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AB4AE" w14:textId="77777777" w:rsidR="00832CB3" w:rsidRPr="00746487" w:rsidRDefault="00832CB3" w:rsidP="00D83E7E">
      <w:pPr>
        <w:pStyle w:val="ZPTitulkafakulta"/>
        <w:spacing w:before="0" w:after="0" w:line="240" w:lineRule="auto"/>
      </w:pPr>
      <w:r w:rsidRPr="00746487">
        <w:rPr>
          <w:noProof/>
        </w:rPr>
        <mc:AlternateContent>
          <mc:Choice Requires="wps">
            <w:drawing>
              <wp:inline distT="0" distB="0" distL="0" distR="0" wp14:anchorId="7BB7C40F" wp14:editId="53E966C3">
                <wp:extent cx="4572000" cy="1404620"/>
                <wp:effectExtent l="0" t="0" r="0" b="0"/>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noFill/>
                          <a:miter lim="800000"/>
                          <a:headEnd/>
                          <a:tailEnd/>
                        </a:ln>
                      </wps:spPr>
                      <wps:txbx>
                        <w:txbxContent>
                          <w:p w14:paraId="0C0F8648" w14:textId="77777777" w:rsidR="00832CB3" w:rsidRDefault="00832CB3" w:rsidP="00832CB3">
                            <w:pPr>
                              <w:pStyle w:val="ZPZhlavtitulnlist"/>
                              <w:pBdr>
                                <w:bottom w:val="none" w:sz="0" w:space="0" w:color="auto"/>
                              </w:pBdr>
                              <w:spacing w:after="0"/>
                              <w:rPr>
                                <w:rStyle w:val="ZP-NadpisyzkladChar"/>
                              </w:rPr>
                            </w:pPr>
                            <w:r>
                              <w:rPr>
                                <w:noProof/>
                              </w:rPr>
                              <w:drawing>
                                <wp:inline distT="0" distB="0" distL="0" distR="0" wp14:anchorId="266C091D" wp14:editId="19A675E1">
                                  <wp:extent cx="2268000" cy="588454"/>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11">
                                            <a:extLst>
                                              <a:ext uri="{28A0092B-C50C-407E-A947-70E740481C1C}">
                                                <a14:useLocalDpi xmlns:a14="http://schemas.microsoft.com/office/drawing/2010/main" val="0"/>
                                              </a:ext>
                                            </a:extLst>
                                          </a:blip>
                                          <a:stretch>
                                            <a:fillRect/>
                                          </a:stretch>
                                        </pic:blipFill>
                                        <pic:spPr>
                                          <a:xfrm>
                                            <a:off x="0" y="0"/>
                                            <a:ext cx="2268000" cy="588454"/>
                                          </a:xfrm>
                                          <a:prstGeom prst="rect">
                                            <a:avLst/>
                                          </a:prstGeom>
                                        </pic:spPr>
                                      </pic:pic>
                                    </a:graphicData>
                                  </a:graphic>
                                </wp:inline>
                              </w:drawing>
                            </w:r>
                          </w:p>
                          <w:p w14:paraId="4A9F1D9F" w14:textId="77777777" w:rsidR="00832CB3" w:rsidRDefault="00BF14D0" w:rsidP="00832CB3">
                            <w:pPr>
                              <w:pStyle w:val="ZPTitulkafakulta"/>
                            </w:pPr>
                            <w:r>
                              <w:t>Lékařská fakulta</w:t>
                            </w:r>
                          </w:p>
                          <w:p w14:paraId="55402FB5" w14:textId="6928F066" w:rsidR="00832CB3" w:rsidRDefault="00000000" w:rsidP="00940EE8">
                            <w:pPr>
                              <w:pStyle w:val="ZPTitulkanzev"/>
                            </w:pPr>
                            <w:sdt>
                              <w:sdtPr>
                                <w:alias w:val="Název"/>
                                <w:tag w:val=""/>
                                <w:id w:val="209769564"/>
                                <w:dataBinding w:prefixMappings="xmlns:ns0='http://purl.org/dc/elements/1.1/' xmlns:ns1='http://schemas.openxmlformats.org/package/2006/metadata/core-properties' " w:xpath="/ns1:coreProperties[1]/ns0:title[1]" w:storeItemID="{6C3C8BC8-F283-45AE-878A-BAB7291924A1}"/>
                                <w:text/>
                              </w:sdtPr>
                              <w:sdtContent>
                                <w:r w:rsidR="00385DCF">
                                  <w:t xml:space="preserve">Stárnutí české populace a jeho dopady na </w:t>
                                </w:r>
                                <w:r w:rsidR="00B55ACA">
                                  <w:t>urgentní příjmy</w:t>
                                </w:r>
                              </w:sdtContent>
                            </w:sdt>
                          </w:p>
                        </w:txbxContent>
                      </wps:txbx>
                      <wps:bodyPr rot="0" vert="horz" wrap="square" lIns="91440" tIns="45720" rIns="91440" bIns="45720" anchor="t" anchorCtr="0">
                        <a:spAutoFit/>
                      </wps:bodyPr>
                    </wps:wsp>
                  </a:graphicData>
                </a:graphic>
              </wp:inline>
            </w:drawing>
          </mc:Choice>
          <mc:Fallback>
            <w:pict>
              <v:shapetype w14:anchorId="7BB7C40F" id="_x0000_t202" coordsize="21600,21600" o:spt="202" path="m,l,21600r21600,l21600,xe">
                <v:stroke joinstyle="miter"/>
                <v:path gradientshapeok="t" o:connecttype="rect"/>
              </v:shapetype>
              <v:shape id="Textové pole 2" o:spid="_x0000_s1026"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" stroked="f">
                <v:textbox style="mso-fit-shape-to-text:t">
                  <w:txbxContent>
                    <w:p w14:paraId="0C0F8648" w14:textId="77777777" w:rsidR="00832CB3" w:rsidRDefault="00832CB3" w:rsidP="00832CB3">
                      <w:pPr>
                        <w:pStyle w:val="ZPZhlavtitulnlist"/>
                        <w:pBdr>
                          <w:bottom w:val="none" w:sz="0" w:space="0" w:color="auto"/>
                        </w:pBdr>
                        <w:spacing w:after="0"/>
                        <w:rPr>
                          <w:rStyle w:val="ZP-NadpisyzkladChar"/>
                        </w:rPr>
                      </w:pPr>
                      <w:r>
                        <w:rPr>
                          <w:noProof/>
                        </w:rPr>
                        <w:drawing>
                          <wp:inline distT="0" distB="0" distL="0" distR="0" wp14:anchorId="266C091D" wp14:editId="19A675E1">
                            <wp:extent cx="2268000" cy="588454"/>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12">
                                      <a:extLst>
                                        <a:ext uri="{28A0092B-C50C-407E-A947-70E740481C1C}">
                                          <a14:useLocalDpi xmlns:a14="http://schemas.microsoft.com/office/drawing/2010/main" val="0"/>
                                        </a:ext>
                                      </a:extLst>
                                    </a:blip>
                                    <a:stretch>
                                      <a:fillRect/>
                                    </a:stretch>
                                  </pic:blipFill>
                                  <pic:spPr>
                                    <a:xfrm>
                                      <a:off x="0" y="0"/>
                                      <a:ext cx="2268000" cy="588454"/>
                                    </a:xfrm>
                                    <a:prstGeom prst="rect">
                                      <a:avLst/>
                                    </a:prstGeom>
                                  </pic:spPr>
                                </pic:pic>
                              </a:graphicData>
                            </a:graphic>
                          </wp:inline>
                        </w:drawing>
                      </w:r>
                    </w:p>
                    <w:p w14:paraId="4A9F1D9F" w14:textId="77777777" w:rsidR="00832CB3" w:rsidRDefault="00BF14D0" w:rsidP="00832CB3">
                      <w:pPr>
                        <w:pStyle w:val="ZPTitulkafakulta"/>
                      </w:pPr>
                      <w:r>
                        <w:t>Lékařská fakulta</w:t>
                      </w:r>
                    </w:p>
                    <w:p w14:paraId="55402FB5" w14:textId="6928F066" w:rsidR="00832CB3" w:rsidRDefault="00000000" w:rsidP="00940EE8">
                      <w:pPr>
                        <w:pStyle w:val="ZPTitulkanzev"/>
                      </w:pPr>
                      <w:sdt>
                        <w:sdtPr>
                          <w:alias w:val="Název"/>
                          <w:tag w:val=""/>
                          <w:id w:val="209769564"/>
                          <w:dataBinding w:prefixMappings="xmlns:ns0='http://purl.org/dc/elements/1.1/' xmlns:ns1='http://schemas.openxmlformats.org/package/2006/metadata/core-properties' " w:xpath="/ns1:coreProperties[1]/ns0:title[1]" w:storeItemID="{6C3C8BC8-F283-45AE-878A-BAB7291924A1}"/>
                          <w:text/>
                        </w:sdtPr>
                        <w:sdtContent>
                          <w:r w:rsidR="00385DCF">
                            <w:t xml:space="preserve">Stárnutí české populace a jeho dopady na </w:t>
                          </w:r>
                          <w:r w:rsidR="00B55ACA">
                            <w:t>urgentní příjmy</w:t>
                          </w:r>
                        </w:sdtContent>
                      </w:sdt>
                    </w:p>
                  </w:txbxContent>
                </v:textbox>
                <w10:anchorlock/>
              </v:shape>
            </w:pict>
          </mc:Fallback>
        </mc:AlternateContent>
      </w:r>
    </w:p>
    <w:sdt>
      <w:sdtPr>
        <w:alias w:val="Druh práce"/>
        <w:tag w:val="Druh práce"/>
        <w:id w:val="-1458097364"/>
        <w:placeholder>
          <w:docPart w:val="7A1F0FEF06E64EDBB2EC014BE2C904E2"/>
        </w:placeholder>
        <w:comboBox>
          <w:listItem w:displayText="[Zvolte druh závěrečné práce]" w:value=""/>
          <w:listItem w:displayText="Bakalářská práce" w:value="Bakalářská práce"/>
          <w:listItem w:displayText="Diplomová práce" w:value="Diplomová práce"/>
        </w:comboBox>
      </w:sdtPr>
      <w:sdtContent>
        <w:p w14:paraId="19A26908" w14:textId="4CFE18AE" w:rsidR="00832CB3" w:rsidRPr="00746487" w:rsidRDefault="00385DCF" w:rsidP="00832CB3">
          <w:pPr>
            <w:pStyle w:val="ZPTitulkahlavn"/>
          </w:pPr>
          <w:r>
            <w:t>Diplomová práce</w:t>
          </w:r>
        </w:p>
      </w:sdtContent>
    </w:sdt>
    <w:p w14:paraId="06A40817" w14:textId="0EBEB8C8" w:rsidR="00832CB3" w:rsidRPr="00746487" w:rsidRDefault="00000000" w:rsidP="00832CB3">
      <w:pPr>
        <w:pStyle w:val="ZPTitulkaautor"/>
      </w:pPr>
      <w:sdt>
        <w:sdtPr>
          <w:alias w:val="Autor"/>
          <w:tag w:val=""/>
          <w:id w:val="678628427"/>
          <w:placeholder>
            <w:docPart w:val="EE617C243D6D4FABBF989EAF73BB2512"/>
          </w:placeholder>
          <w:dataBinding w:prefixMappings="xmlns:ns0='http://purl.org/dc/elements/1.1/' xmlns:ns1='http://schemas.openxmlformats.org/package/2006/metadata/core-properties' " w:xpath="/ns1:coreProperties[1]/ns0:creator[1]" w:storeItemID="{6C3C8BC8-F283-45AE-878A-BAB7291924A1}"/>
          <w:text/>
        </w:sdtPr>
        <w:sdtContent>
          <w:r w:rsidR="00385DCF">
            <w:t>Bc. Jiří Řehánek</w:t>
          </w:r>
        </w:sdtContent>
      </w:sdt>
    </w:p>
    <w:p w14:paraId="5DD705F6" w14:textId="77777777" w:rsidR="00832CB3" w:rsidRPr="00746487" w:rsidRDefault="00832CB3" w:rsidP="00704143">
      <w:pPr>
        <w:pStyle w:val="ZPTitulkadra"/>
      </w:pPr>
    </w:p>
    <w:p w14:paraId="1D0CA3A2" w14:textId="77777777" w:rsidR="00B75A1B" w:rsidRPr="00746487" w:rsidRDefault="00830CE4" w:rsidP="00704143">
      <w:pPr>
        <w:pStyle w:val="ZPPatatitulnstrnky"/>
        <w:keepNext w:val="0"/>
        <w:keepLines w:val="0"/>
        <w:widowControl w:val="0"/>
      </w:pPr>
      <w:r w:rsidRPr="00746487">
        <w:rPr>
          <w:noProof/>
        </w:rPr>
        <mc:AlternateContent>
          <mc:Choice Requires="wps">
            <w:drawing>
              <wp:inline distT="0" distB="0" distL="0" distR="0" wp14:anchorId="3C1835A9" wp14:editId="07CF60AD">
                <wp:extent cx="4572000" cy="1152000"/>
                <wp:effectExtent l="0" t="0" r="0" b="1270"/>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152000"/>
                        </a:xfrm>
                        <a:prstGeom prst="rect">
                          <a:avLst/>
                        </a:prstGeom>
                        <a:solidFill>
                          <a:srgbClr val="FFFFFF"/>
                        </a:solidFill>
                        <a:ln w="9525">
                          <a:noFill/>
                          <a:miter lim="800000"/>
                          <a:headEnd/>
                          <a:tailEnd/>
                        </a:ln>
                      </wps:spPr>
                      <wps:txbx>
                        <w:txbxContent>
                          <w:p w14:paraId="4B270FD9" w14:textId="6BBD9DC8" w:rsidR="00830CE4" w:rsidRDefault="00BF14D0" w:rsidP="006E36ED">
                            <w:pPr>
                              <w:pStyle w:val="ZPTitulkahlavn"/>
                              <w:spacing w:after="340"/>
                            </w:pPr>
                            <w:r>
                              <w:t>Vedoucí práce</w:t>
                            </w:r>
                            <w:r w:rsidR="00830CE4">
                              <w:t xml:space="preserve">: </w:t>
                            </w:r>
                            <w:sdt>
                              <w:sdtPr>
                                <w:alias w:val="Vedoucí práce"/>
                                <w:tag w:val=""/>
                                <w:id w:val="321477507"/>
                                <w:dataBinding w:prefixMappings="xmlns:ns0='http://schemas.openxmlformats.org/officeDocument/2006/extended-properties' " w:xpath="/ns0:Properties[1]/ns0:Manager[1]" w:storeItemID="{6668398D-A668-4E3E-A5EB-62B293D839F1}"/>
                                <w:text/>
                              </w:sdtPr>
                              <w:sdtContent>
                                <w:r w:rsidR="00385DCF">
                                  <w:t>Mgr. Pavlína Kaňová, Ph.D.</w:t>
                                </w:r>
                              </w:sdtContent>
                            </w:sdt>
                          </w:p>
                          <w:bookmarkStart w:id="0" w:name="PRACOVISTE" w:displacedByCustomXml="next"/>
                          <w:sdt>
                            <w:sdtPr>
                              <w:alias w:val="PRACOVISTE"/>
                              <w:tag w:val="Pracoviště"/>
                              <w:id w:val="356312957"/>
                              <w:dataBinding w:xpath="/ns0:Properties[1]/ns0:Company[1]" w:storeItemID="{6668398D-A668-4E3E-A5EB-62B293D839F1}"/>
                              <w:text/>
                            </w:sdtPr>
                            <w:sdtContent>
                              <w:p w14:paraId="3497C9F4" w14:textId="47D64CD2" w:rsidR="00FC6C95" w:rsidRPr="00581F80" w:rsidRDefault="00BF14D0" w:rsidP="00FC6C95">
                                <w:pPr>
                                  <w:pStyle w:val="ZPTitulkahlavn"/>
                                </w:pPr>
                                <w:r>
                                  <w:t>Pracoviště</w:t>
                                </w:r>
                                <w:r w:rsidR="00F40D2C">
                                  <w:t xml:space="preserve"> Institut</w:t>
                                </w:r>
                                <w:r w:rsidR="00D44B5C">
                                  <w:t xml:space="preserve"> biostatistiky a analýz</w:t>
                                </w:r>
                              </w:p>
                            </w:sdtContent>
                          </w:sdt>
                          <w:bookmarkEnd w:id="0" w:displacedByCustomXml="prev"/>
                          <w:p w14:paraId="3E2B727A" w14:textId="7337FEB2" w:rsidR="00830CE4" w:rsidRDefault="00B51FE3" w:rsidP="009263A5">
                            <w:pPr>
                              <w:pStyle w:val="ZPTitulkahlavn"/>
                            </w:pPr>
                            <w:proofErr w:type="spellStart"/>
                            <w:r>
                              <w:rPr>
                                <w:lang w:val="en-US"/>
                              </w:rPr>
                              <w:t>Studijní</w:t>
                            </w:r>
                            <w:proofErr w:type="spellEnd"/>
                            <w:r w:rsidR="005C5EE9">
                              <w:rPr>
                                <w:lang w:val="en-US"/>
                              </w:rPr>
                              <w:t xml:space="preserve"> </w:t>
                            </w:r>
                            <w:r>
                              <w:rPr>
                                <w:lang w:val="en-US"/>
                              </w:rPr>
                              <w:t>program</w:t>
                            </w:r>
                            <w:r w:rsidR="009263A5">
                              <w:t xml:space="preserve"> </w:t>
                            </w:r>
                            <w:bookmarkStart w:id="1" w:name="OBOR"/>
                            <w:sdt>
                              <w:sdtPr>
                                <w:alias w:val="Obor"/>
                                <w:tag w:val="Obor"/>
                                <w:id w:val="358245295"/>
                                <w:text/>
                              </w:sdtPr>
                              <w:sdtContent>
                                <w:r w:rsidR="00385DCF">
                                  <w:t>Veřejné zdravotnictví</w:t>
                                </w:r>
                              </w:sdtContent>
                            </w:sdt>
                            <w:r w:rsidR="00061EC6">
                              <w:t xml:space="preserve"> </w:t>
                            </w:r>
                            <w:bookmarkEnd w:id="1"/>
                          </w:p>
                        </w:txbxContent>
                      </wps:txbx>
                      <wps:bodyPr rot="0" vert="horz" wrap="square" lIns="91440" tIns="45720" rIns="91440" bIns="45720" anchor="t" anchorCtr="0">
                        <a:spAutoFit/>
                      </wps:bodyPr>
                    </wps:wsp>
                  </a:graphicData>
                </a:graphic>
              </wp:inline>
            </w:drawing>
          </mc:Choice>
          <mc:Fallback>
            <w:pict>
              <v:shape w14:anchorId="3C1835A9" id="_x0000_s1027" type="#_x0000_t202" style="width:5in;height:9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" stroked="f">
                <v:textbox style="mso-fit-shape-to-text:t">
                  <w:txbxContent>
                    <w:p w14:paraId="4B270FD9" w14:textId="6BBD9DC8" w:rsidR="00830CE4" w:rsidRDefault="00BF14D0" w:rsidP="006E36ED">
                      <w:pPr>
                        <w:pStyle w:val="ZPTitulkahlavn"/>
                        <w:spacing w:after="340"/>
                      </w:pPr>
                      <w:r>
                        <w:t>Vedoucí práce</w:t>
                      </w:r>
                      <w:r w:rsidR="00830CE4">
                        <w:t xml:space="preserve">: </w:t>
                      </w:r>
                      <w:sdt>
                        <w:sdtPr>
                          <w:alias w:val="Vedoucí práce"/>
                          <w:tag w:val=""/>
                          <w:id w:val="321477507"/>
                          <w:dataBinding w:prefixMappings="xmlns:ns0='http://schemas.openxmlformats.org/officeDocument/2006/extended-properties' " w:xpath="/ns0:Properties[1]/ns0:Manager[1]" w:storeItemID="{6668398D-A668-4E3E-A5EB-62B293D839F1}"/>
                          <w:text/>
                        </w:sdtPr>
                        <w:sdtContent>
                          <w:r w:rsidR="00385DCF">
                            <w:t>Mgr. Pavlína Kaňová, Ph.D.</w:t>
                          </w:r>
                        </w:sdtContent>
                      </w:sdt>
                    </w:p>
                    <w:bookmarkStart w:id="2" w:name="PRACOVISTE" w:displacedByCustomXml="next"/>
                    <w:sdt>
                      <w:sdtPr>
                        <w:alias w:val="PRACOVISTE"/>
                        <w:tag w:val="Pracoviště"/>
                        <w:id w:val="356312957"/>
                        <w:dataBinding w:xpath="/ns0:Properties[1]/ns0:Company[1]" w:storeItemID="{6668398D-A668-4E3E-A5EB-62B293D839F1}"/>
                        <w:text/>
                      </w:sdtPr>
                      <w:sdtContent>
                        <w:p w14:paraId="3497C9F4" w14:textId="47D64CD2" w:rsidR="00FC6C95" w:rsidRPr="00581F80" w:rsidRDefault="00BF14D0" w:rsidP="00FC6C95">
                          <w:pPr>
                            <w:pStyle w:val="ZPTitulkahlavn"/>
                          </w:pPr>
                          <w:r>
                            <w:t>Pracoviště</w:t>
                          </w:r>
                          <w:r w:rsidR="00F40D2C">
                            <w:t xml:space="preserve"> Institut</w:t>
                          </w:r>
                          <w:r w:rsidR="00D44B5C">
                            <w:t xml:space="preserve"> biostatistiky a analýz</w:t>
                          </w:r>
                        </w:p>
                      </w:sdtContent>
                    </w:sdt>
                    <w:bookmarkEnd w:id="2" w:displacedByCustomXml="prev"/>
                    <w:p w14:paraId="3E2B727A" w14:textId="7337FEB2" w:rsidR="00830CE4" w:rsidRDefault="00B51FE3" w:rsidP="009263A5">
                      <w:pPr>
                        <w:pStyle w:val="ZPTitulkahlavn"/>
                      </w:pPr>
                      <w:proofErr w:type="spellStart"/>
                      <w:r>
                        <w:rPr>
                          <w:lang w:val="en-US"/>
                        </w:rPr>
                        <w:t>Studijní</w:t>
                      </w:r>
                      <w:proofErr w:type="spellEnd"/>
                      <w:r w:rsidR="005C5EE9">
                        <w:rPr>
                          <w:lang w:val="en-US"/>
                        </w:rPr>
                        <w:t xml:space="preserve"> </w:t>
                      </w:r>
                      <w:r>
                        <w:rPr>
                          <w:lang w:val="en-US"/>
                        </w:rPr>
                        <w:t>program</w:t>
                      </w:r>
                      <w:r w:rsidR="009263A5">
                        <w:t xml:space="preserve"> </w:t>
                      </w:r>
                      <w:bookmarkStart w:id="3" w:name="OBOR"/>
                      <w:sdt>
                        <w:sdtPr>
                          <w:alias w:val="Obor"/>
                          <w:tag w:val="Obor"/>
                          <w:id w:val="358245295"/>
                          <w:text/>
                        </w:sdtPr>
                        <w:sdtContent>
                          <w:r w:rsidR="00385DCF">
                            <w:t>Veřejné zdravotnictví</w:t>
                          </w:r>
                        </w:sdtContent>
                      </w:sdt>
                      <w:r w:rsidR="00061EC6">
                        <w:t xml:space="preserve"> </w:t>
                      </w:r>
                      <w:bookmarkEnd w:id="3"/>
                    </w:p>
                  </w:txbxContent>
                </v:textbox>
                <w10:anchorlock/>
              </v:shape>
            </w:pict>
          </mc:Fallback>
        </mc:AlternateContent>
      </w:r>
    </w:p>
    <w:p w14:paraId="08EE3B99" w14:textId="1ED038DD" w:rsidR="00825B26" w:rsidRPr="00746487" w:rsidRDefault="00DD5A2A" w:rsidP="00832CB3">
      <w:pPr>
        <w:pStyle w:val="ZPTitulkarok"/>
        <w:sectPr w:rsidR="00825B26" w:rsidRPr="00746487" w:rsidSect="002005DB">
          <w:headerReference w:type="even" r:id="rId13"/>
          <w:footerReference w:type="even" r:id="rId14"/>
          <w:pgSz w:w="11906" w:h="16838" w:code="9"/>
          <w:pgMar w:top="1980" w:right="1140" w:bottom="2380" w:left="1140" w:header="1140" w:footer="1420" w:gutter="860"/>
          <w:cols w:space="708"/>
          <w:vAlign w:val="both"/>
          <w:docGrid w:linePitch="360"/>
        </w:sectPr>
      </w:pPr>
      <w:r w:rsidRPr="00746487">
        <w:t>Brno</w:t>
      </w:r>
      <w:r w:rsidR="007468F6" w:rsidRPr="00746487">
        <w:t xml:space="preserve"> </w:t>
      </w:r>
      <w:bookmarkStart w:id="2" w:name="ROK_ODEVZDANI"/>
      <w:sdt>
        <w:sdtPr>
          <w:alias w:val="Rok odevzdání"/>
          <w:tag w:val="ROK_ODEVZDANI"/>
          <w:id w:val="-513071692"/>
          <w:placeholder>
            <w:docPart w:val="CE18481513CD44BDB90F25D565AC0A4C"/>
          </w:placeholder>
          <w:text/>
        </w:sdtPr>
        <w:sdtContent>
          <w:r w:rsidR="00385DCF">
            <w:t>2025</w:t>
          </w:r>
        </w:sdtContent>
      </w:sdt>
      <w:bookmarkEnd w:id="2"/>
      <w:r w:rsidR="00194596">
        <w:t xml:space="preserve">  </w:t>
      </w:r>
    </w:p>
    <w:p w14:paraId="36710379" w14:textId="3DE801D6" w:rsidR="00E5465E" w:rsidRPr="00746487" w:rsidRDefault="00E5465E" w:rsidP="00F343E4">
      <w:pPr>
        <w:pStyle w:val="ZPTitulkadra"/>
      </w:pPr>
    </w:p>
    <w:p w14:paraId="289EF6D9" w14:textId="77777777" w:rsidR="004932BC" w:rsidRPr="00746487" w:rsidRDefault="00BF14D0" w:rsidP="004932BC">
      <w:pPr>
        <w:pStyle w:val="inZPKlovslova"/>
        <w:jc w:val="center"/>
      </w:pPr>
      <w:r>
        <w:rPr>
          <w:noProof/>
        </w:rPr>
        <w:drawing>
          <wp:inline distT="0" distB="0" distL="0" distR="0" wp14:anchorId="39BC7CE1" wp14:editId="0F0F87C7">
            <wp:extent cx="1128889" cy="778933"/>
            <wp:effectExtent l="0" t="0" r="0" b="2540"/>
            <wp:docPr id="1" name="Obráze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128889" cy="778933"/>
                    </a:xfrm>
                    <a:prstGeom prst="rect">
                      <a:avLst/>
                    </a:prstGeom>
                  </pic:spPr>
                </pic:pic>
              </a:graphicData>
            </a:graphic>
          </wp:inline>
        </w:drawing>
      </w:r>
    </w:p>
    <w:p w14:paraId="7570BE04" w14:textId="77777777" w:rsidR="00E5465E" w:rsidRPr="00746487" w:rsidRDefault="00E5465E" w:rsidP="00F343E4">
      <w:pPr>
        <w:pStyle w:val="ZPTitulkadra"/>
      </w:pPr>
    </w:p>
    <w:p w14:paraId="0136A1D5" w14:textId="77777777" w:rsidR="00C35E32" w:rsidRPr="00746487" w:rsidRDefault="00C35E32" w:rsidP="00F343E4">
      <w:pPr>
        <w:pStyle w:val="ZPTitulkadra"/>
      </w:pPr>
    </w:p>
    <w:p w14:paraId="27EB1DF4" w14:textId="77777777" w:rsidR="00C35E32" w:rsidRPr="00746487" w:rsidRDefault="00C35E32" w:rsidP="007C294D">
      <w:pPr>
        <w:pStyle w:val="inZPKlovslova"/>
        <w:sectPr w:rsidR="00C35E32" w:rsidRPr="00746487" w:rsidSect="002005DB">
          <w:headerReference w:type="default" r:id="rId16"/>
          <w:headerReference w:type="first" r:id="rId17"/>
          <w:footerReference w:type="first" r:id="rId18"/>
          <w:type w:val="oddPage"/>
          <w:pgSz w:w="11906" w:h="16838" w:code="9"/>
          <w:pgMar w:top="1980" w:right="1140" w:bottom="2380" w:left="1140" w:header="1140" w:footer="1420" w:gutter="860"/>
          <w:pgNumType w:start="1"/>
          <w:cols w:space="708"/>
          <w:vAlign w:val="both"/>
          <w:docGrid w:linePitch="360"/>
        </w:sectPr>
      </w:pPr>
    </w:p>
    <w:p w14:paraId="01E8EE9D" w14:textId="77777777" w:rsidR="002C0686" w:rsidRPr="00746487" w:rsidRDefault="002C0686" w:rsidP="00A00BBC">
      <w:pPr>
        <w:pStyle w:val="ZPNadpis1vodn"/>
      </w:pPr>
      <w:r w:rsidRPr="00746487">
        <w:lastRenderedPageBreak/>
        <w:t>Bibliografický záznam</w:t>
      </w:r>
    </w:p>
    <w:p w14:paraId="6016BB43" w14:textId="5E3CF85F" w:rsidR="00BB6FEC" w:rsidRPr="00746487" w:rsidRDefault="00974A40" w:rsidP="00280732">
      <w:pPr>
        <w:pStyle w:val="ZPBibilografickzznam"/>
      </w:pPr>
      <w:r w:rsidRPr="00746487">
        <w:rPr>
          <w:rStyle w:val="ZPPKlbiblografie"/>
        </w:rPr>
        <w:t>Autor:</w:t>
      </w:r>
      <w:r w:rsidRPr="00746487">
        <w:tab/>
      </w:r>
      <w:sdt>
        <w:sdtPr>
          <w:alias w:val="Autor"/>
          <w:tag w:val=""/>
          <w:id w:val="-2076660119"/>
          <w:placeholder>
            <w:docPart w:val="A3F2D9EB49CE4F9BB23F34CB88B26D23"/>
          </w:placeholder>
          <w:dataBinding w:prefixMappings="xmlns:ns0='http://purl.org/dc/elements/1.1/' xmlns:ns1='http://schemas.openxmlformats.org/package/2006/metadata/core-properties' " w:xpath="/ns1:coreProperties[1]/ns0:creator[1]" w:storeItemID="{6C3C8BC8-F283-45AE-878A-BAB7291924A1}"/>
          <w:text/>
        </w:sdtPr>
        <w:sdtContent>
          <w:r w:rsidR="00385DCF">
            <w:t xml:space="preserve">Bc. Jiří </w:t>
          </w:r>
          <w:proofErr w:type="spellStart"/>
          <w:r w:rsidR="00385DCF">
            <w:t>Řehánek</w:t>
          </w:r>
          <w:proofErr w:type="spellEnd"/>
        </w:sdtContent>
      </w:sdt>
      <w:r w:rsidRPr="00746487">
        <w:br/>
      </w:r>
      <w:r w:rsidR="00BF14D0">
        <w:t>Lékařská fakulta</w:t>
      </w:r>
      <w:r w:rsidR="006C2D7E">
        <w:br/>
      </w:r>
      <w:r w:rsidR="009263A5" w:rsidRPr="00746487">
        <w:t xml:space="preserve">Masarykova univerzita </w:t>
      </w:r>
      <w:r w:rsidRPr="00746487">
        <w:br/>
      </w:r>
      <w:r w:rsidR="00BF14D0">
        <w:fldChar w:fldCharType="begin"/>
      </w:r>
      <w:r w:rsidR="00BF14D0">
        <w:instrText xml:space="preserve"> REF PRACOVISTE \h </w:instrText>
      </w:r>
      <w:r w:rsidR="00BF14D0">
        <w:fldChar w:fldCharType="separate"/>
      </w:r>
      <w:sdt>
        <w:sdtPr>
          <w:alias w:val="PRACOVISTE"/>
          <w:tag w:val="Pracoviště"/>
          <w:id w:val="-505898805"/>
          <w:dataBinding w:xpath="/ns0:Properties[1]/ns0:Company[1]" w:storeItemID="{6668398D-A668-4E3E-A5EB-62B293D839F1}"/>
          <w:text/>
        </w:sdtPr>
        <w:sdtContent>
          <w:r w:rsidR="00D44B5C">
            <w:t>Pracoviště Institut biostatistiky a analýz</w:t>
          </w:r>
        </w:sdtContent>
      </w:sdt>
      <w:r w:rsidR="00BF14D0">
        <w:fldChar w:fldCharType="end"/>
      </w:r>
    </w:p>
    <w:p w14:paraId="631AE0B4" w14:textId="183C7E38" w:rsidR="00974A40" w:rsidRPr="00746487" w:rsidRDefault="00974A40" w:rsidP="00280732">
      <w:pPr>
        <w:pStyle w:val="ZPBibilografickzznam"/>
      </w:pPr>
      <w:r w:rsidRPr="00746487">
        <w:rPr>
          <w:rStyle w:val="ZPPKlbiblografie"/>
        </w:rPr>
        <w:t>Název práce:</w:t>
      </w:r>
      <w:r w:rsidRPr="00746487">
        <w:tab/>
      </w:r>
      <w:sdt>
        <w:sdtPr>
          <w:alias w:val="Název"/>
          <w:tag w:val=""/>
          <w:id w:val="1293642851"/>
          <w:placeholder>
            <w:docPart w:val="3DB29A78B1AB44E5A0A7C7BFCEC4E8D4"/>
          </w:placeholder>
          <w:dataBinding w:prefixMappings="xmlns:ns0='http://purl.org/dc/elements/1.1/' xmlns:ns1='http://schemas.openxmlformats.org/package/2006/metadata/core-properties' " w:xpath="/ns1:coreProperties[1]/ns0:title[1]" w:storeItemID="{6C3C8BC8-F283-45AE-878A-BAB7291924A1}"/>
          <w:text/>
        </w:sdtPr>
        <w:sdtContent>
          <w:r w:rsidR="00B55ACA">
            <w:t>Stárnutí české populace a jeho dopady na urgentní příjmy</w:t>
          </w:r>
        </w:sdtContent>
      </w:sdt>
    </w:p>
    <w:p w14:paraId="2D36039E" w14:textId="64677849" w:rsidR="0091711B" w:rsidRPr="0053795B" w:rsidRDefault="00974A40" w:rsidP="0053795B">
      <w:pPr>
        <w:pStyle w:val="ZPBibilografickzznam"/>
        <w:rPr>
          <w:b/>
          <w:color w:val="0000DC"/>
        </w:rPr>
      </w:pPr>
      <w:r w:rsidRPr="00746487">
        <w:rPr>
          <w:rStyle w:val="ZPPKlbiblografie"/>
        </w:rPr>
        <w:t>Studijní program:</w:t>
      </w:r>
      <w:r w:rsidRPr="00746487">
        <w:rPr>
          <w:rStyle w:val="ZPPKlbiblografie"/>
        </w:rPr>
        <w:tab/>
      </w:r>
      <w:r w:rsidR="006F0A05">
        <w:t>Veřejné zdravotnictví</w:t>
      </w:r>
    </w:p>
    <w:p w14:paraId="0C359F97" w14:textId="68FBC740" w:rsidR="00974A40" w:rsidRPr="00746487" w:rsidRDefault="00BF14D0" w:rsidP="00704143">
      <w:pPr>
        <w:pStyle w:val="ZPBibilografickzznam"/>
      </w:pPr>
      <w:r>
        <w:rPr>
          <w:rStyle w:val="ZPPKlbiblografie"/>
        </w:rPr>
        <w:t>Vedoucí práce</w:t>
      </w:r>
      <w:r w:rsidR="00974A40" w:rsidRPr="00746487">
        <w:rPr>
          <w:rStyle w:val="ZPPKlbiblografie"/>
        </w:rPr>
        <w:t>:</w:t>
      </w:r>
      <w:r w:rsidR="00974A40" w:rsidRPr="00746487">
        <w:tab/>
      </w:r>
      <w:sdt>
        <w:sdtPr>
          <w:alias w:val="Vedoucí práce"/>
          <w:tag w:val=""/>
          <w:id w:val="1828940534"/>
          <w:placeholder>
            <w:docPart w:val="C183BA6229154D94A73CCCE1BA95848E"/>
          </w:placeholder>
          <w:dataBinding w:prefixMappings="xmlns:ns0='http://schemas.openxmlformats.org/officeDocument/2006/extended-properties' " w:xpath="/ns0:Properties[1]/ns0:Manager[1]" w:storeItemID="{6668398D-A668-4E3E-A5EB-62B293D839F1}"/>
          <w:text/>
        </w:sdtPr>
        <w:sdtContent>
          <w:r w:rsidR="00385DCF">
            <w:t>Mgr. Pavlína Kaňová, Ph.D.</w:t>
          </w:r>
        </w:sdtContent>
      </w:sdt>
    </w:p>
    <w:p w14:paraId="00381982" w14:textId="0E97A501" w:rsidR="00974A40" w:rsidRPr="00746487" w:rsidRDefault="00BF14D0" w:rsidP="00704143">
      <w:pPr>
        <w:pStyle w:val="ZPBibilografickzznam"/>
      </w:pPr>
      <w:r>
        <w:rPr>
          <w:rStyle w:val="ZPPKlbiblografie"/>
          <w:lang w:val="en-US"/>
        </w:rPr>
        <w:t>Rok</w:t>
      </w:r>
      <w:r w:rsidR="00D21BED" w:rsidRPr="00746487">
        <w:rPr>
          <w:rStyle w:val="ZPPKlbiblografie"/>
        </w:rPr>
        <w:t>:</w:t>
      </w:r>
      <w:r w:rsidR="00974A40" w:rsidRPr="00746487">
        <w:tab/>
      </w:r>
      <w:r w:rsidR="00B67E52">
        <w:fldChar w:fldCharType="begin"/>
      </w:r>
      <w:r w:rsidR="00B67E52">
        <w:instrText xml:space="preserve"> REF ROK_ODEVZDANI \h </w:instrText>
      </w:r>
      <w:r w:rsidR="00B67E52">
        <w:fldChar w:fldCharType="separate"/>
      </w:r>
      <w:sdt>
        <w:sdtPr>
          <w:alias w:val="Rok odevzdání"/>
          <w:tag w:val="ROK_ODEVZDANI"/>
          <w:id w:val="-2046363795"/>
          <w:placeholder>
            <w:docPart w:val="288D6EF1884A4ABD900E0D9ADB0ED5C2"/>
          </w:placeholder>
          <w:text/>
        </w:sdtPr>
        <w:sdtContent>
          <w:r w:rsidR="0008412A">
            <w:t>2025</w:t>
          </w:r>
        </w:sdtContent>
      </w:sdt>
      <w:r w:rsidR="00B67E52">
        <w:fldChar w:fldCharType="end"/>
      </w:r>
    </w:p>
    <w:p w14:paraId="033745CE" w14:textId="0EF7B18D" w:rsidR="00974A40" w:rsidRPr="00746487" w:rsidRDefault="00974A40" w:rsidP="00704143">
      <w:pPr>
        <w:pStyle w:val="ZPBibilografickzznam"/>
      </w:pPr>
      <w:r w:rsidRPr="00746487">
        <w:rPr>
          <w:rStyle w:val="ZPPKlbiblografie"/>
        </w:rPr>
        <w:t>Počet stran:</w:t>
      </w:r>
      <w:r w:rsidRPr="00746487">
        <w:tab/>
      </w:r>
      <w:r w:rsidR="00612ED3" w:rsidRPr="00746487">
        <w:rPr>
          <w:noProof/>
        </w:rPr>
        <w:fldChar w:fldCharType="begin"/>
      </w:r>
      <w:r w:rsidR="00612ED3" w:rsidRPr="00746487">
        <w:rPr>
          <w:noProof/>
        </w:rPr>
        <w:instrText xml:space="preserve"> NUMPAGES  \* Arabic  \* MERGEFORMAT </w:instrText>
      </w:r>
      <w:r w:rsidR="00612ED3" w:rsidRPr="00746487">
        <w:rPr>
          <w:noProof/>
        </w:rPr>
        <w:fldChar w:fldCharType="separate"/>
      </w:r>
      <w:r w:rsidR="00DD35FB">
        <w:rPr>
          <w:noProof/>
        </w:rPr>
        <w:t>96</w:t>
      </w:r>
      <w:r w:rsidR="00612ED3" w:rsidRPr="00746487">
        <w:rPr>
          <w:noProof/>
        </w:rPr>
        <w:fldChar w:fldCharType="end"/>
      </w:r>
    </w:p>
    <w:p w14:paraId="7A7D9E71" w14:textId="1C8071E5" w:rsidR="00A3028A" w:rsidRDefault="00974A40" w:rsidP="00704143">
      <w:pPr>
        <w:pStyle w:val="ZPBibilografickzznam"/>
      </w:pPr>
      <w:r w:rsidRPr="00746487">
        <w:rPr>
          <w:rStyle w:val="ZPPKlbiblografie"/>
        </w:rPr>
        <w:t>Klíčová slova:</w:t>
      </w:r>
      <w:r w:rsidRPr="00746487">
        <w:tab/>
      </w:r>
      <w:sdt>
        <w:sdtPr>
          <w:tag w:val="POLE_KEY_WORDS_CS"/>
          <w:id w:val="2087726934"/>
          <w:placeholder>
            <w:docPart w:val="8B0580F2067F4E168083310A96E431C1"/>
          </w:placeholder>
          <w:text/>
        </w:sdtPr>
        <w:sdtContent>
          <w:r w:rsidR="0023630F">
            <w:t>demografické stárnutí</w:t>
          </w:r>
          <w:r w:rsidR="00D373E3">
            <w:t>,</w:t>
          </w:r>
          <w:r w:rsidR="00276159">
            <w:t xml:space="preserve"> </w:t>
          </w:r>
          <w:r w:rsidR="00396710">
            <w:t>stárnutí</w:t>
          </w:r>
          <w:r w:rsidR="004160CB">
            <w:t xml:space="preserve"> populace</w:t>
          </w:r>
          <w:r w:rsidR="00615879">
            <w:t>,</w:t>
          </w:r>
          <w:r w:rsidR="00276159">
            <w:t xml:space="preserve"> </w:t>
          </w:r>
          <w:r w:rsidR="00095FBC">
            <w:t xml:space="preserve">stárnutí, stáří, </w:t>
          </w:r>
          <w:r w:rsidR="00615879">
            <w:t>urgentní příjem, geriatrická urgentní medicína</w:t>
          </w:r>
          <w:r w:rsidR="00505620">
            <w:t>, geriatrický pacient, deskriptivní studie</w:t>
          </w:r>
        </w:sdtContent>
      </w:sdt>
    </w:p>
    <w:p w14:paraId="40343C84" w14:textId="77777777" w:rsidR="000E1807" w:rsidRPr="00746487" w:rsidRDefault="000E1807" w:rsidP="00704143">
      <w:pPr>
        <w:pStyle w:val="ZPBibilografickzznam"/>
      </w:pPr>
      <w:r w:rsidRPr="00746487">
        <w:br w:type="page"/>
      </w:r>
    </w:p>
    <w:p w14:paraId="2F026819" w14:textId="77777777" w:rsidR="000E1807" w:rsidRPr="00F8678C" w:rsidRDefault="004F1C84" w:rsidP="00A00BBC">
      <w:pPr>
        <w:pStyle w:val="ZPNadpis1vodn"/>
      </w:pPr>
      <w:proofErr w:type="spellStart"/>
      <w:r w:rsidRPr="00F8678C">
        <w:lastRenderedPageBreak/>
        <w:t>Bibliographic</w:t>
      </w:r>
      <w:proofErr w:type="spellEnd"/>
      <w:r w:rsidR="000E1807" w:rsidRPr="00F8678C">
        <w:t xml:space="preserve"> </w:t>
      </w:r>
      <w:proofErr w:type="spellStart"/>
      <w:r w:rsidR="000E1807" w:rsidRPr="00F8678C">
        <w:t>record</w:t>
      </w:r>
      <w:proofErr w:type="spellEnd"/>
    </w:p>
    <w:p w14:paraId="0A606040" w14:textId="258ACF1A" w:rsidR="00BB6FEC" w:rsidRPr="007E5512" w:rsidRDefault="000E1807" w:rsidP="00EF006C">
      <w:pPr>
        <w:pStyle w:val="ZPBibilografickzznam"/>
      </w:pPr>
      <w:proofErr w:type="spellStart"/>
      <w:r w:rsidRPr="00F8678C">
        <w:rPr>
          <w:rStyle w:val="ZPPKlbiblografie"/>
        </w:rPr>
        <w:t>Author</w:t>
      </w:r>
      <w:proofErr w:type="spellEnd"/>
      <w:r w:rsidRPr="00F8678C">
        <w:rPr>
          <w:rStyle w:val="ZPPKlbiblografie"/>
        </w:rPr>
        <w:t>:</w:t>
      </w:r>
      <w:r w:rsidRPr="007E5512">
        <w:tab/>
      </w:r>
      <w:sdt>
        <w:sdtPr>
          <w:alias w:val="Autor"/>
          <w:tag w:val=""/>
          <w:id w:val="-1160154958"/>
          <w:placeholder>
            <w:docPart w:val="81032CFB149D4181BA3E48ABCD3817BF"/>
          </w:placeholder>
          <w:dataBinding w:prefixMappings="xmlns:ns0='http://purl.org/dc/elements/1.1/' xmlns:ns1='http://schemas.openxmlformats.org/package/2006/metadata/core-properties' " w:xpath="/ns1:coreProperties[1]/ns0:creator[1]" w:storeItemID="{6C3C8BC8-F283-45AE-878A-BAB7291924A1}"/>
          <w:text/>
        </w:sdtPr>
        <w:sdtContent>
          <w:r w:rsidR="00385DCF">
            <w:t xml:space="preserve">Bc. Jiří </w:t>
          </w:r>
          <w:proofErr w:type="spellStart"/>
          <w:r w:rsidR="00385DCF">
            <w:t>Řehánek</w:t>
          </w:r>
          <w:proofErr w:type="spellEnd"/>
        </w:sdtContent>
      </w:sdt>
      <w:r w:rsidRPr="007E5512">
        <w:br/>
      </w:r>
      <w:proofErr w:type="spellStart"/>
      <w:r w:rsidR="00BF14D0">
        <w:t>Faculty</w:t>
      </w:r>
      <w:proofErr w:type="spellEnd"/>
      <w:r w:rsidR="00BF14D0">
        <w:t xml:space="preserve"> </w:t>
      </w:r>
      <w:proofErr w:type="spellStart"/>
      <w:r w:rsidR="00BF14D0">
        <w:t>of</w:t>
      </w:r>
      <w:proofErr w:type="spellEnd"/>
      <w:r w:rsidR="00BF14D0">
        <w:t xml:space="preserve"> </w:t>
      </w:r>
      <w:proofErr w:type="spellStart"/>
      <w:r w:rsidR="00BF14D0">
        <w:t>Medicine</w:t>
      </w:r>
      <w:proofErr w:type="spellEnd"/>
      <w:r w:rsidR="006C2D7E" w:rsidRPr="007E5512">
        <w:br/>
      </w:r>
      <w:r w:rsidR="009263A5" w:rsidRPr="007E5512">
        <w:t>Masaryk University</w:t>
      </w:r>
      <w:r w:rsidRPr="007E5512">
        <w:br/>
      </w:r>
      <w:sdt>
        <w:sdtPr>
          <w:alias w:val="PRACOVISTE_EN"/>
          <w:tag w:val="Pracoviště anglicky"/>
          <w:id w:val="-135723974"/>
          <w:placeholder>
            <w:docPart w:val="D272BC17A68C4E5682D038750618ACB1"/>
          </w:placeholder>
          <w:text/>
        </w:sdtPr>
        <w:sdtContent>
          <w:r w:rsidR="00FC3555">
            <w:t xml:space="preserve">Institute </w:t>
          </w:r>
          <w:proofErr w:type="spellStart"/>
          <w:r w:rsidR="00FC3555">
            <w:t>of</w:t>
          </w:r>
          <w:proofErr w:type="spellEnd"/>
          <w:r w:rsidR="00CE3C33">
            <w:t xml:space="preserve"> </w:t>
          </w:r>
          <w:proofErr w:type="spellStart"/>
          <w:r w:rsidR="00CE3C33">
            <w:t>Biostatistics</w:t>
          </w:r>
          <w:proofErr w:type="spellEnd"/>
          <w:r w:rsidR="00CE3C33">
            <w:t xml:space="preserve"> and </w:t>
          </w:r>
          <w:proofErr w:type="spellStart"/>
          <w:r w:rsidR="00CE3C33">
            <w:t>Analyses</w:t>
          </w:r>
          <w:proofErr w:type="spellEnd"/>
        </w:sdtContent>
      </w:sdt>
    </w:p>
    <w:p w14:paraId="2E593092" w14:textId="4A3451D6" w:rsidR="000E1807" w:rsidRPr="00746487" w:rsidRDefault="000E1807" w:rsidP="00704143">
      <w:pPr>
        <w:pStyle w:val="ZPBibilografickzznam"/>
        <w:rPr>
          <w:lang w:val="en-GB"/>
        </w:rPr>
      </w:pPr>
      <w:r w:rsidRPr="00746487">
        <w:rPr>
          <w:rStyle w:val="ZPPKlbiblografie"/>
          <w:lang w:val="en-GB"/>
        </w:rPr>
        <w:t>Title of Thesis:</w:t>
      </w:r>
      <w:r w:rsidRPr="00746487">
        <w:rPr>
          <w:lang w:val="en-GB"/>
        </w:rPr>
        <w:tab/>
      </w:r>
      <w:sdt>
        <w:sdtPr>
          <w:rPr>
            <w:lang w:val="en-GB"/>
          </w:rPr>
          <w:id w:val="-469832108"/>
          <w:placeholder>
            <w:docPart w:val="C86D46A6659C416E82C82100CB5D11DA"/>
          </w:placeholder>
          <w:text/>
        </w:sdtPr>
        <w:sdtContent>
          <w:r w:rsidR="00074289">
            <w:rPr>
              <w:lang w:val="en-GB"/>
            </w:rPr>
            <w:t>The ag</w:t>
          </w:r>
          <w:r w:rsidR="002D7826">
            <w:rPr>
              <w:lang w:val="en-GB"/>
            </w:rPr>
            <w:t>e</w:t>
          </w:r>
          <w:r w:rsidR="00074289">
            <w:rPr>
              <w:lang w:val="en-GB"/>
            </w:rPr>
            <w:t>ing of the Czech population and its impact</w:t>
          </w:r>
          <w:r w:rsidR="005252DF">
            <w:rPr>
              <w:lang w:val="en-GB"/>
            </w:rPr>
            <w:t>s</w:t>
          </w:r>
          <w:r w:rsidR="00074289">
            <w:rPr>
              <w:lang w:val="en-GB"/>
            </w:rPr>
            <w:t xml:space="preserve"> on </w:t>
          </w:r>
          <w:r w:rsidR="002C4B61">
            <w:rPr>
              <w:lang w:val="en-GB"/>
            </w:rPr>
            <w:t>emergency</w:t>
          </w:r>
          <w:r w:rsidR="008866B5">
            <w:rPr>
              <w:lang w:val="en-GB"/>
            </w:rPr>
            <w:t xml:space="preserve"> department</w:t>
          </w:r>
          <w:r w:rsidR="00B9028F">
            <w:rPr>
              <w:lang w:val="en-GB"/>
            </w:rPr>
            <w:t>s</w:t>
          </w:r>
        </w:sdtContent>
      </w:sdt>
    </w:p>
    <w:p w14:paraId="2A9CAE63" w14:textId="0A73169F" w:rsidR="0091711B" w:rsidRPr="002865E1" w:rsidRDefault="00D21BED" w:rsidP="002865E1">
      <w:pPr>
        <w:pStyle w:val="ZPBibilografickzznam"/>
        <w:rPr>
          <w:b/>
          <w:color w:val="0000DC"/>
          <w:lang w:val="en-GB"/>
        </w:rPr>
      </w:pPr>
      <w:r w:rsidRPr="00746487">
        <w:rPr>
          <w:rStyle w:val="ZPPKlbiblografie"/>
          <w:lang w:val="en-GB"/>
        </w:rPr>
        <w:t>Degree Programme</w:t>
      </w:r>
      <w:r w:rsidR="000E1807" w:rsidRPr="00746487">
        <w:rPr>
          <w:rStyle w:val="ZPPKlbiblografie"/>
          <w:lang w:val="en-GB"/>
        </w:rPr>
        <w:t>:</w:t>
      </w:r>
      <w:r w:rsidR="000E1807" w:rsidRPr="00746487">
        <w:rPr>
          <w:rStyle w:val="ZPPKlbiblografie"/>
          <w:lang w:val="en-GB"/>
        </w:rPr>
        <w:tab/>
      </w:r>
      <w:r w:rsidR="00AD7142">
        <w:t xml:space="preserve">Public </w:t>
      </w:r>
      <w:proofErr w:type="spellStart"/>
      <w:r w:rsidR="00AD7142">
        <w:t>Health</w:t>
      </w:r>
      <w:proofErr w:type="spellEnd"/>
    </w:p>
    <w:p w14:paraId="57DAD10C" w14:textId="15BBFB21" w:rsidR="000E1807" w:rsidRPr="00746487" w:rsidRDefault="00D21BED" w:rsidP="00704143">
      <w:pPr>
        <w:pStyle w:val="ZPBibilografickzznam"/>
        <w:rPr>
          <w:lang w:val="en-GB"/>
        </w:rPr>
      </w:pPr>
      <w:r w:rsidRPr="00746487">
        <w:rPr>
          <w:rStyle w:val="ZPPKlbiblografie"/>
          <w:lang w:val="en-GB"/>
        </w:rPr>
        <w:t>Supervisor</w:t>
      </w:r>
      <w:r w:rsidR="000E1807" w:rsidRPr="00746487">
        <w:rPr>
          <w:rStyle w:val="ZPPKlbiblografie"/>
          <w:lang w:val="en-GB"/>
        </w:rPr>
        <w:t>:</w:t>
      </w:r>
      <w:r w:rsidR="000E1807" w:rsidRPr="00746487">
        <w:rPr>
          <w:lang w:val="en-GB"/>
        </w:rPr>
        <w:tab/>
      </w:r>
      <w:sdt>
        <w:sdtPr>
          <w:rPr>
            <w:lang w:val="en-GB"/>
          </w:rPr>
          <w:alias w:val="Vedoucí práce"/>
          <w:tag w:val=""/>
          <w:id w:val="-1442070207"/>
          <w:placeholder>
            <w:docPart w:val="52E2DAC343ED4B6DB70D436F20CD6875"/>
          </w:placeholder>
          <w:dataBinding w:prefixMappings="xmlns:ns0='http://schemas.openxmlformats.org/officeDocument/2006/extended-properties' " w:xpath="/ns0:Properties[1]/ns0:Manager[1]" w:storeItemID="{6668398D-A668-4E3E-A5EB-62B293D839F1}"/>
          <w:text/>
        </w:sdtPr>
        <w:sdtContent>
          <w:r w:rsidR="00385DCF">
            <w:rPr>
              <w:lang w:val="en-GB"/>
            </w:rPr>
            <w:t>Mgr. Pavlína Kaňová, Ph.D.</w:t>
          </w:r>
        </w:sdtContent>
      </w:sdt>
    </w:p>
    <w:p w14:paraId="0092A556" w14:textId="4F3D8511" w:rsidR="000E1807" w:rsidRPr="00746487" w:rsidRDefault="00BF14D0" w:rsidP="00704143">
      <w:pPr>
        <w:pStyle w:val="ZPBibilografickzznam"/>
        <w:rPr>
          <w:lang w:val="en-GB"/>
        </w:rPr>
      </w:pPr>
      <w:r>
        <w:rPr>
          <w:rStyle w:val="ZPPKlbiblografie"/>
          <w:lang w:val="en-GB"/>
        </w:rPr>
        <w:t>Year</w:t>
      </w:r>
      <w:r w:rsidR="00D21BED" w:rsidRPr="00746487">
        <w:rPr>
          <w:rStyle w:val="ZPPKlbiblografie"/>
          <w:lang w:val="en-GB"/>
        </w:rPr>
        <w:t>:</w:t>
      </w:r>
      <w:r w:rsidR="000E1807" w:rsidRPr="00746487">
        <w:rPr>
          <w:lang w:val="en-GB"/>
        </w:rPr>
        <w:tab/>
      </w:r>
      <w:r w:rsidR="00B67E52">
        <w:rPr>
          <w:lang w:val="en-GB"/>
        </w:rPr>
        <w:fldChar w:fldCharType="begin"/>
      </w:r>
      <w:r w:rsidR="00B67E52">
        <w:rPr>
          <w:lang w:val="en-GB"/>
        </w:rPr>
        <w:instrText xml:space="preserve"> REF ROK_ODEVZDANI \h </w:instrText>
      </w:r>
      <w:r w:rsidR="00B67E52">
        <w:rPr>
          <w:lang w:val="en-GB"/>
        </w:rPr>
      </w:r>
      <w:r w:rsidR="00B67E52">
        <w:rPr>
          <w:lang w:val="en-GB"/>
        </w:rPr>
        <w:fldChar w:fldCharType="separate"/>
      </w:r>
      <w:sdt>
        <w:sdtPr>
          <w:alias w:val="Rok odevzdání"/>
          <w:tag w:val="ROK_ODEVZDANI"/>
          <w:id w:val="-1353796211"/>
          <w:placeholder>
            <w:docPart w:val="032A1619D324464BA6E8A98AB93174AF"/>
          </w:placeholder>
          <w:text/>
        </w:sdtPr>
        <w:sdtContent>
          <w:r w:rsidR="004E0D50">
            <w:t>2025</w:t>
          </w:r>
        </w:sdtContent>
      </w:sdt>
      <w:r w:rsidR="00B67E52">
        <w:rPr>
          <w:lang w:val="en-GB"/>
        </w:rPr>
        <w:fldChar w:fldCharType="end"/>
      </w:r>
    </w:p>
    <w:p w14:paraId="14DD7DE8" w14:textId="0A483443" w:rsidR="000E1807" w:rsidRPr="00746487" w:rsidRDefault="00D21BED" w:rsidP="00704143">
      <w:pPr>
        <w:pStyle w:val="ZPBibilografickzznam"/>
        <w:rPr>
          <w:lang w:val="en-GB"/>
        </w:rPr>
      </w:pPr>
      <w:r w:rsidRPr="00746487">
        <w:rPr>
          <w:rStyle w:val="ZPPKlbiblografie"/>
          <w:lang w:val="en-GB"/>
        </w:rPr>
        <w:t>Number of Pages</w:t>
      </w:r>
      <w:r w:rsidR="000E1807" w:rsidRPr="00746487">
        <w:rPr>
          <w:rStyle w:val="ZPPKlbiblografie"/>
          <w:lang w:val="en-GB"/>
        </w:rPr>
        <w:t>:</w:t>
      </w:r>
      <w:r w:rsidR="000E1807" w:rsidRPr="00746487">
        <w:rPr>
          <w:lang w:val="en-GB"/>
        </w:rPr>
        <w:tab/>
      </w:r>
      <w:r w:rsidR="00612ED3" w:rsidRPr="00746487">
        <w:rPr>
          <w:lang w:val="en-GB"/>
        </w:rPr>
        <w:fldChar w:fldCharType="begin"/>
      </w:r>
      <w:r w:rsidR="00612ED3" w:rsidRPr="00746487">
        <w:rPr>
          <w:lang w:val="en-GB"/>
        </w:rPr>
        <w:instrText xml:space="preserve"> NUMPAGES  \* Arabic  \* MERGEFORMAT </w:instrText>
      </w:r>
      <w:r w:rsidR="00612ED3" w:rsidRPr="00746487">
        <w:rPr>
          <w:lang w:val="en-GB"/>
        </w:rPr>
        <w:fldChar w:fldCharType="separate"/>
      </w:r>
      <w:r w:rsidR="00DD35FB">
        <w:rPr>
          <w:noProof/>
          <w:lang w:val="en-GB"/>
        </w:rPr>
        <w:t>96</w:t>
      </w:r>
      <w:r w:rsidR="00612ED3" w:rsidRPr="00746487">
        <w:rPr>
          <w:lang w:val="en-GB"/>
        </w:rPr>
        <w:fldChar w:fldCharType="end"/>
      </w:r>
    </w:p>
    <w:p w14:paraId="1033E076" w14:textId="2E92238D" w:rsidR="00974A40" w:rsidRPr="00746487" w:rsidRDefault="000E1807" w:rsidP="00704143">
      <w:pPr>
        <w:pStyle w:val="ZPBibilografickzznam"/>
        <w:rPr>
          <w:lang w:val="en-GB"/>
        </w:rPr>
      </w:pPr>
      <w:r w:rsidRPr="00746487">
        <w:rPr>
          <w:rStyle w:val="ZPPKlbiblografie"/>
          <w:lang w:val="en-GB"/>
        </w:rPr>
        <w:t>K</w:t>
      </w:r>
      <w:r w:rsidR="00D21BED" w:rsidRPr="00746487">
        <w:rPr>
          <w:rStyle w:val="ZPPKlbiblografie"/>
          <w:lang w:val="en-GB"/>
        </w:rPr>
        <w:t>eywords</w:t>
      </w:r>
      <w:r w:rsidRPr="00746487">
        <w:rPr>
          <w:rStyle w:val="ZPPKlbiblografie"/>
          <w:lang w:val="en-GB"/>
        </w:rPr>
        <w:t>:</w:t>
      </w:r>
      <w:r w:rsidRPr="00746487">
        <w:rPr>
          <w:lang w:val="en-GB"/>
        </w:rPr>
        <w:tab/>
      </w:r>
      <w:sdt>
        <w:sdtPr>
          <w:rPr>
            <w:lang w:val="en-GB"/>
          </w:rPr>
          <w:tag w:val="POLE_KEY_WORDS"/>
          <w:id w:val="112340290"/>
          <w:placeholder>
            <w:docPart w:val="9729234533D441BD9542CED1A20D8267"/>
          </w:placeholder>
          <w:text/>
        </w:sdtPr>
        <w:sdtContent>
          <w:r w:rsidR="00C81222">
            <w:rPr>
              <w:lang w:val="en-GB"/>
            </w:rPr>
            <w:t xml:space="preserve">demographic </w:t>
          </w:r>
          <w:r w:rsidR="00286347">
            <w:rPr>
              <w:lang w:val="en-GB"/>
            </w:rPr>
            <w:t>ageing, population ageing, aging, old age</w:t>
          </w:r>
          <w:r w:rsidR="00FD153B">
            <w:rPr>
              <w:lang w:val="en-GB"/>
            </w:rPr>
            <w:t>, emergency department, geriatric emergency medicine</w:t>
          </w:r>
          <w:r w:rsidR="001C5660">
            <w:rPr>
              <w:lang w:val="en-GB"/>
            </w:rPr>
            <w:t>, geriatric patient</w:t>
          </w:r>
          <w:r w:rsidR="005F2A7F">
            <w:rPr>
              <w:lang w:val="en-GB"/>
            </w:rPr>
            <w:t>, descriptive study</w:t>
          </w:r>
        </w:sdtContent>
      </w:sdt>
    </w:p>
    <w:p w14:paraId="3136D02B" w14:textId="77777777" w:rsidR="000E1807" w:rsidRPr="00746487" w:rsidRDefault="000E1807" w:rsidP="00704143">
      <w:pPr>
        <w:pStyle w:val="ZPBibilografickzznam"/>
        <w:sectPr w:rsidR="000E1807" w:rsidRPr="00746487" w:rsidSect="002005DB">
          <w:headerReference w:type="default" r:id="rId19"/>
          <w:footerReference w:type="even" r:id="rId20"/>
          <w:footerReference w:type="default" r:id="rId21"/>
          <w:type w:val="evenPage"/>
          <w:pgSz w:w="11906" w:h="16838" w:code="9"/>
          <w:pgMar w:top="1980" w:right="1140" w:bottom="2380" w:left="1140" w:header="1140" w:footer="1420" w:gutter="860"/>
          <w:cols w:space="708"/>
          <w:docGrid w:linePitch="360"/>
        </w:sectPr>
      </w:pPr>
    </w:p>
    <w:p w14:paraId="1EDCD3C8" w14:textId="77777777" w:rsidR="0077567B" w:rsidRPr="00746487" w:rsidRDefault="0077567B" w:rsidP="00A00BBC">
      <w:pPr>
        <w:pStyle w:val="ZPNadpis1vodn"/>
      </w:pPr>
      <w:r w:rsidRPr="00746487">
        <w:lastRenderedPageBreak/>
        <w:t>A</w:t>
      </w:r>
      <w:r w:rsidR="00DD1BF2">
        <w:t>notace</w:t>
      </w:r>
    </w:p>
    <w:p w14:paraId="18B56CCC" w14:textId="5E736592" w:rsidR="00C96B30" w:rsidRPr="00746487" w:rsidRDefault="009A5432" w:rsidP="00C96B30">
      <w:pPr>
        <w:pStyle w:val="ZPZklad"/>
      </w:pPr>
      <w:r>
        <w:t xml:space="preserve">Diplomová práce </w:t>
      </w:r>
      <w:r w:rsidR="00155D81">
        <w:t xml:space="preserve">se zabývá </w:t>
      </w:r>
      <w:r w:rsidR="009A7C79">
        <w:t>stárnutí</w:t>
      </w:r>
      <w:r w:rsidR="00155D81">
        <w:t>m</w:t>
      </w:r>
      <w:r w:rsidR="009A7C79">
        <w:t xml:space="preserve"> české populace</w:t>
      </w:r>
      <w:r w:rsidR="00BD1C79">
        <w:t>, kter</w:t>
      </w:r>
      <w:r w:rsidR="00176CA0">
        <w:t>é</w:t>
      </w:r>
      <w:r w:rsidR="00BD1C79">
        <w:t xml:space="preserve"> je</w:t>
      </w:r>
      <w:r w:rsidR="0008467F">
        <w:t xml:space="preserve"> </w:t>
      </w:r>
      <w:r w:rsidR="00A03782">
        <w:t>zasazen</w:t>
      </w:r>
      <w:r w:rsidR="00176CA0">
        <w:t>o</w:t>
      </w:r>
      <w:r w:rsidR="00A03782">
        <w:t xml:space="preserve"> do kontextu</w:t>
      </w:r>
      <w:r w:rsidR="00CA0E8D">
        <w:t xml:space="preserve"> urgentních příjmů. </w:t>
      </w:r>
      <w:r w:rsidR="00551357">
        <w:t xml:space="preserve">V práci </w:t>
      </w:r>
      <w:r w:rsidR="00F500EC">
        <w:t>jsou prezentovány výsledky kvantitativní</w:t>
      </w:r>
      <w:r w:rsidR="00AA174A">
        <w:t>ho</w:t>
      </w:r>
      <w:r w:rsidR="00F500EC">
        <w:t xml:space="preserve"> výzkumu</w:t>
      </w:r>
      <w:r w:rsidR="00D934B2">
        <w:t xml:space="preserve"> </w:t>
      </w:r>
      <w:r w:rsidR="00D86D02">
        <w:t>realizov</w:t>
      </w:r>
      <w:r w:rsidR="00D934B2">
        <w:t>aného</w:t>
      </w:r>
      <w:r w:rsidR="00D86D02">
        <w:t xml:space="preserve"> formou deskriptivní studie.</w:t>
      </w:r>
      <w:r w:rsidR="00024A72">
        <w:t xml:space="preserve"> Výzkumným souborem byli pacienti ve věk</w:t>
      </w:r>
      <w:r w:rsidR="003F09B3">
        <w:t xml:space="preserve">u </w:t>
      </w:r>
      <w:r w:rsidR="00024A72">
        <w:t>7</w:t>
      </w:r>
      <w:r w:rsidR="001037DB">
        <w:t>5</w:t>
      </w:r>
      <w:r w:rsidR="0079219E">
        <w:t> </w:t>
      </w:r>
      <w:r w:rsidR="00024A72">
        <w:t>a více</w:t>
      </w:r>
      <w:r w:rsidR="0079219E">
        <w:t xml:space="preserve"> let</w:t>
      </w:r>
      <w:r w:rsidR="00791430">
        <w:t>, kteří byli ošetřeni na Nízkoprahovém urgentním příjmu Fakultní nemocnice Brno v letech 2019 a 2023</w:t>
      </w:r>
      <w:r w:rsidR="006017F4">
        <w:t xml:space="preserve">. </w:t>
      </w:r>
      <w:r w:rsidR="001037DB">
        <w:t xml:space="preserve">Výsledky </w:t>
      </w:r>
      <w:r w:rsidR="003F5D98">
        <w:t>výzkumu</w:t>
      </w:r>
      <w:r w:rsidR="004D1436">
        <w:t xml:space="preserve"> sloužily </w:t>
      </w:r>
      <w:r w:rsidR="0029033E">
        <w:t>ke</w:t>
      </w:r>
      <w:r w:rsidR="004D1436">
        <w:t xml:space="preserve"> zmapovan</w:t>
      </w:r>
      <w:r w:rsidR="00AF09D0">
        <w:t xml:space="preserve">í projevů </w:t>
      </w:r>
      <w:r w:rsidR="00517C62">
        <w:t xml:space="preserve">stárnutí české populace </w:t>
      </w:r>
      <w:r w:rsidR="00D744FF">
        <w:t>v</w:t>
      </w:r>
      <w:r w:rsidR="00517C62">
        <w:t xml:space="preserve"> prostředí </w:t>
      </w:r>
      <w:r w:rsidR="00D744FF">
        <w:t>n</w:t>
      </w:r>
      <w:r w:rsidR="00517C62">
        <w:t>ízkoprahového urgentního příjmu</w:t>
      </w:r>
      <w:r w:rsidR="000D3DE5">
        <w:t xml:space="preserve"> a</w:t>
      </w:r>
      <w:r w:rsidR="0050659B">
        <w:t xml:space="preserve"> </w:t>
      </w:r>
      <w:r w:rsidR="00D668FE">
        <w:t xml:space="preserve">k </w:t>
      </w:r>
      <w:r w:rsidR="000D3DE5">
        <w:t>návrh</w:t>
      </w:r>
      <w:r w:rsidR="0056427A">
        <w:t>u</w:t>
      </w:r>
      <w:r w:rsidR="000D3DE5">
        <w:t xml:space="preserve"> možných doporučení pro praxi</w:t>
      </w:r>
      <w:r w:rsidR="005B4BB0">
        <w:t>.</w:t>
      </w:r>
    </w:p>
    <w:p w14:paraId="031B94BC" w14:textId="77777777" w:rsidR="00C96B30" w:rsidRPr="00F8678C" w:rsidRDefault="00C96B30" w:rsidP="00A00BBC">
      <w:pPr>
        <w:pStyle w:val="ZPNadpis1vodn"/>
      </w:pPr>
      <w:proofErr w:type="spellStart"/>
      <w:r w:rsidRPr="00F8678C">
        <w:lastRenderedPageBreak/>
        <w:t>Abstract</w:t>
      </w:r>
      <w:proofErr w:type="spellEnd"/>
    </w:p>
    <w:p w14:paraId="5425981F" w14:textId="649FA987" w:rsidR="00C96B30" w:rsidRPr="00524469" w:rsidRDefault="009D47BB" w:rsidP="00524469">
      <w:pPr>
        <w:pStyle w:val="Odstavec1EN"/>
      </w:pPr>
      <w:r w:rsidRPr="009D47BB">
        <w:t xml:space="preserve">The thesis deals with the ageing of the Czech population, which is set in the context of emergency </w:t>
      </w:r>
      <w:r w:rsidR="003542E9">
        <w:t>department</w:t>
      </w:r>
      <w:r w:rsidRPr="009D47BB">
        <w:t xml:space="preserve">s. The thesis presents the results of quantitative research in the form of a descriptive study. The research population was patients aged 75 years and older who were treated at the Low Threshold Emergency </w:t>
      </w:r>
      <w:r w:rsidR="00CD793A">
        <w:t>Department</w:t>
      </w:r>
      <w:r w:rsidRPr="009D47BB">
        <w:t xml:space="preserve"> of the University Hospital Brno in the years 2019 and 2023. The results of the research served to map the manifestations of ageing of the Czech population in the environment of the Low Threshold Emergency </w:t>
      </w:r>
      <w:r w:rsidR="0023379C">
        <w:t>Department</w:t>
      </w:r>
      <w:r w:rsidRPr="009D47BB">
        <w:t xml:space="preserve"> and to propose possible recommendations for practice.</w:t>
      </w:r>
    </w:p>
    <w:p w14:paraId="4149B8B7" w14:textId="77777777" w:rsidR="002C0686" w:rsidRPr="00746487" w:rsidRDefault="002C0686" w:rsidP="002C0686">
      <w:pPr>
        <w:pStyle w:val="ZPSeznamzkratek"/>
      </w:pPr>
    </w:p>
    <w:p w14:paraId="4440164D" w14:textId="77777777" w:rsidR="002C0686" w:rsidRPr="00746487" w:rsidRDefault="002C0686" w:rsidP="007C294D">
      <w:pPr>
        <w:pStyle w:val="inZPKlovslova"/>
        <w:sectPr w:rsidR="002C0686" w:rsidRPr="00746487" w:rsidSect="002005DB">
          <w:type w:val="evenPage"/>
          <w:pgSz w:w="11906" w:h="16838" w:code="9"/>
          <w:pgMar w:top="1980" w:right="1140" w:bottom="2380" w:left="1140" w:header="1140" w:footer="1420" w:gutter="860"/>
          <w:cols w:space="708"/>
          <w:docGrid w:linePitch="360"/>
        </w:sectPr>
      </w:pPr>
    </w:p>
    <w:p w14:paraId="69A46F4C" w14:textId="77777777" w:rsidR="006613D4" w:rsidRPr="00746487" w:rsidRDefault="006613D4" w:rsidP="00CE1A04">
      <w:pPr>
        <w:pStyle w:val="ZPNadpis1vodn"/>
      </w:pPr>
      <w:r w:rsidRPr="00746487">
        <w:lastRenderedPageBreak/>
        <w:t>Čestné prohlášení</w:t>
      </w:r>
    </w:p>
    <w:p w14:paraId="644EA2F4" w14:textId="4AFAC2F4" w:rsidR="00BF14D0" w:rsidRDefault="00BF14D0" w:rsidP="00ED1B1E">
      <w:pPr>
        <w:pStyle w:val="ZPZklad"/>
      </w:pPr>
      <w:r w:rsidRPr="00746487">
        <w:t xml:space="preserve">Prohlašuji, že jsem </w:t>
      </w:r>
      <w:sdt>
        <w:sdtPr>
          <w:alias w:val="Druh práce"/>
          <w:tag w:val="Druh práce"/>
          <w:id w:val="320934966"/>
          <w:placeholder>
            <w:docPart w:val="258E598C835648A6B2E0365FD76FF6F6"/>
          </w:placeholder>
          <w:comboBox>
            <w:listItem w:displayText="[Vyberte druh práce]" w:value=""/>
            <w:listItem w:displayText="bakalářskou práci" w:value="bakalářskou práci"/>
            <w:listItem w:displayText="diplomovou práci" w:value="diplomovou práci"/>
          </w:comboBox>
        </w:sdtPr>
        <w:sdtContent>
          <w:r w:rsidR="008D6F12">
            <w:t>diplomovou práci</w:t>
          </w:r>
        </w:sdtContent>
      </w:sdt>
      <w:r w:rsidRPr="00746487">
        <w:t xml:space="preserve"> na téma</w:t>
      </w:r>
      <w:r w:rsidRPr="00746487">
        <w:rPr>
          <w:rStyle w:val="ZPSilnvyznaen"/>
        </w:rPr>
        <w:t xml:space="preserve"> </w:t>
      </w:r>
      <w:sdt>
        <w:sdtPr>
          <w:rPr>
            <w:rStyle w:val="ZPSilnvyznaen"/>
          </w:rPr>
          <w:alias w:val="Název"/>
          <w:tag w:val=""/>
          <w:id w:val="418843204"/>
          <w:placeholder>
            <w:docPart w:val="FA408374FCA145BB8BF3513BF5E357EE"/>
          </w:placeholder>
          <w:dataBinding w:prefixMappings="xmlns:ns0='http://purl.org/dc/elements/1.1/' xmlns:ns1='http://schemas.openxmlformats.org/package/2006/metadata/core-properties' " w:xpath="/ns1:coreProperties[1]/ns0:title[1]" w:storeItemID="{6C3C8BC8-F283-45AE-878A-BAB7291924A1}"/>
          <w:text/>
        </w:sdtPr>
        <w:sdtContent>
          <w:r w:rsidR="00B55ACA">
            <w:rPr>
              <w:rStyle w:val="ZPSilnvyznaen"/>
            </w:rPr>
            <w:t>Stárnutí české populace a jeho dopady na urgentní příjmy</w:t>
          </w:r>
        </w:sdtContent>
      </w:sdt>
      <w:r w:rsidRPr="00746487">
        <w:rPr>
          <w:rStyle w:val="ZPSilnvyznaen"/>
        </w:rPr>
        <w:t xml:space="preserve"> </w:t>
      </w:r>
      <w:sdt>
        <w:sdtPr>
          <w:rPr>
            <w:rStyle w:val="ZPSilnvyznaen"/>
            <w:b w:val="0"/>
          </w:rPr>
          <w:id w:val="1031064272"/>
          <w:placeholder>
            <w:docPart w:val="DECBB30BA24A4130A964347D30261BB4"/>
          </w:placeholder>
          <w:comboBox>
            <w:listItem w:value="Zvolte podle rodu"/>
            <w:listItem w:displayText="zpracovala sama" w:value="zpracovala sama"/>
            <w:listItem w:displayText="zpracoval sám" w:value="zpracoval sám"/>
          </w:comboBox>
        </w:sdtPr>
        <w:sdtContent>
          <w:r w:rsidR="008D6F12">
            <w:rPr>
              <w:rStyle w:val="ZPSilnvyznaen"/>
              <w:b w:val="0"/>
            </w:rPr>
            <w:t>zpracoval sám</w:t>
          </w:r>
        </w:sdtContent>
      </w:sdt>
      <w:r w:rsidRPr="00677782">
        <w:rPr>
          <w:b/>
        </w:rPr>
        <w:t>.</w:t>
      </w:r>
      <w:r w:rsidRPr="00746487">
        <w:t xml:space="preserve"> Veškeré prameny a zdroje informací, které jsem </w:t>
      </w:r>
      <w:sdt>
        <w:sdtPr>
          <w:id w:val="-1571889777"/>
          <w:placeholder>
            <w:docPart w:val="95E5F4E6FFCB4167BD79D2951BF2B912"/>
          </w:placeholder>
          <w:comboBox>
            <w:listItem w:value="Zvolte položku."/>
            <w:listItem w:displayText="použil" w:value="použil"/>
            <w:listItem w:displayText="použila" w:value="použila"/>
          </w:comboBox>
        </w:sdtPr>
        <w:sdtContent>
          <w:r w:rsidR="008D6F12">
            <w:t>použil</w:t>
          </w:r>
        </w:sdtContent>
      </w:sdt>
      <w:r w:rsidRPr="00746487">
        <w:t xml:space="preserve"> k sepsání této práce, byly citovány</w:t>
      </w:r>
      <w:r>
        <w:t xml:space="preserve"> v textu</w:t>
      </w:r>
      <w:r w:rsidRPr="00746487">
        <w:t xml:space="preserve"> a jsou uvedeny v seznamu použitých pramenů a literatury.</w:t>
      </w:r>
    </w:p>
    <w:p w14:paraId="37CE5D82" w14:textId="0BF7EA66" w:rsidR="00581933" w:rsidRPr="00746487" w:rsidRDefault="00F40517" w:rsidP="00FF3438">
      <w:pPr>
        <w:pStyle w:val="inZPPodpisprohlen"/>
        <w:spacing w:before="600"/>
      </w:pPr>
      <w:r w:rsidRPr="00746487">
        <w:t xml:space="preserve">V Brně </w:t>
      </w:r>
      <w:sdt>
        <w:sdtPr>
          <w:tag w:val="DATUM"/>
          <w:id w:val="541563648"/>
          <w:placeholder>
            <w:docPart w:val="7D16F3658B614A719121AE52F28C8ED3"/>
          </w:placeholder>
          <w:date w:fullDate="2025-03-31T00:00:00Z">
            <w:dateFormat w:val="d. MMMM yyyy"/>
            <w:lid w:val="cs-CZ"/>
            <w:storeMappedDataAs w:val="dateTime"/>
            <w:calendar w:val="gregorian"/>
          </w:date>
        </w:sdtPr>
        <w:sdtContent>
          <w:r w:rsidR="00AE682D">
            <w:t>31. března 2025</w:t>
          </w:r>
        </w:sdtContent>
      </w:sdt>
      <w:r w:rsidR="00581933" w:rsidRPr="00746487">
        <w:tab/>
      </w:r>
      <w:r w:rsidR="00FF3438" w:rsidRPr="00746487">
        <w:t>.......................................</w:t>
      </w:r>
      <w:r w:rsidR="00581933" w:rsidRPr="00746487">
        <w:tab/>
      </w:r>
      <w:sdt>
        <w:sdtPr>
          <w:alias w:val="Autor"/>
          <w:tag w:val=""/>
          <w:id w:val="-1420636599"/>
          <w:placeholder>
            <w:docPart w:val="B063D8DCB8A54C589B3C664838C1A000"/>
          </w:placeholder>
          <w:dataBinding w:prefixMappings="xmlns:ns0='http://purl.org/dc/elements/1.1/' xmlns:ns1='http://schemas.openxmlformats.org/package/2006/metadata/core-properties' " w:xpath="/ns1:coreProperties[1]/ns0:creator[1]" w:storeItemID="{6C3C8BC8-F283-45AE-878A-BAB7291924A1}"/>
          <w:text/>
        </w:sdtPr>
        <w:sdtContent>
          <w:r w:rsidR="00385DCF">
            <w:t xml:space="preserve">Bc. Jiří </w:t>
          </w:r>
          <w:proofErr w:type="spellStart"/>
          <w:r w:rsidR="00385DCF">
            <w:t>Řehánek</w:t>
          </w:r>
          <w:proofErr w:type="spellEnd"/>
        </w:sdtContent>
      </w:sdt>
    </w:p>
    <w:p w14:paraId="02E6092A" w14:textId="77777777" w:rsidR="00DB00F5" w:rsidRPr="00746487" w:rsidRDefault="00DB00F5" w:rsidP="00581933">
      <w:pPr>
        <w:pStyle w:val="inZPPodpisprohlen"/>
      </w:pPr>
    </w:p>
    <w:p w14:paraId="4DFA47EE" w14:textId="77777777" w:rsidR="00FF3438" w:rsidRPr="00746487" w:rsidRDefault="00FF3438" w:rsidP="00581933">
      <w:pPr>
        <w:pStyle w:val="inZPPodpisprohlen"/>
        <w:sectPr w:rsidR="00FF3438" w:rsidRPr="00746487" w:rsidSect="002005DB">
          <w:type w:val="oddPage"/>
          <w:pgSz w:w="11906" w:h="16838" w:code="9"/>
          <w:pgMar w:top="1980" w:right="1140" w:bottom="2380" w:left="1140" w:header="1140" w:footer="1420" w:gutter="860"/>
          <w:cols w:space="708"/>
          <w:vAlign w:val="bottom"/>
          <w:docGrid w:linePitch="360"/>
        </w:sectPr>
      </w:pPr>
    </w:p>
    <w:p w14:paraId="15A64DBB" w14:textId="77777777" w:rsidR="00F40517" w:rsidRPr="00746487" w:rsidRDefault="00210C1C" w:rsidP="00CE1A04">
      <w:pPr>
        <w:pStyle w:val="ZPNadpis1vodn"/>
      </w:pPr>
      <w:r w:rsidRPr="00746487">
        <w:lastRenderedPageBreak/>
        <w:t>Poděkování</w:t>
      </w:r>
    </w:p>
    <w:p w14:paraId="434A1B1D" w14:textId="0B842B67" w:rsidR="002E6EDC" w:rsidRDefault="002E6EDC" w:rsidP="002E6EDC">
      <w:pPr>
        <w:pStyle w:val="ZPZklad"/>
      </w:pPr>
      <w:r>
        <w:t>Na tomto místě bych rád poděkoval vedoucí své diplomové práce, Mgr. Pavlíně Kaňové,</w:t>
      </w:r>
      <w:r w:rsidR="00E34F0C">
        <w:t> </w:t>
      </w:r>
      <w:r>
        <w:t>Ph.D., za odborné vedení, přínosné rady, vstřícnost a veškerý čas, který mi v průběhu realizace práce věnovala.</w:t>
      </w:r>
    </w:p>
    <w:p w14:paraId="0CFEFCE2" w14:textId="77777777" w:rsidR="002E6EDC" w:rsidRDefault="002E6EDC" w:rsidP="002E6EDC">
      <w:pPr>
        <w:pStyle w:val="ZPZklad"/>
      </w:pPr>
    </w:p>
    <w:p w14:paraId="2800C85D" w14:textId="756A8C04" w:rsidR="00210C1C" w:rsidRPr="00746487" w:rsidRDefault="002E6EDC" w:rsidP="00F41918">
      <w:pPr>
        <w:pStyle w:val="ZPZklad"/>
      </w:pPr>
      <w:r>
        <w:t xml:space="preserve">Poděkování rovněž patří Fakultní nemocnici Brno za umožnění realizace výzkumné části </w:t>
      </w:r>
      <w:r w:rsidR="00FD53EA">
        <w:t xml:space="preserve">diplomové </w:t>
      </w:r>
      <w:r>
        <w:t>práce a za poskytnuté materiály.</w:t>
      </w:r>
      <w:r w:rsidR="00F41918">
        <w:t xml:space="preserve"> </w:t>
      </w:r>
    </w:p>
    <w:p w14:paraId="411371ED" w14:textId="77777777" w:rsidR="00C612F9" w:rsidRPr="00746487" w:rsidRDefault="00C612F9" w:rsidP="00A2558D">
      <w:pPr>
        <w:pStyle w:val="Dalodstavce"/>
      </w:pPr>
    </w:p>
    <w:p w14:paraId="22065848" w14:textId="77777777" w:rsidR="009951BF" w:rsidRPr="00746487" w:rsidRDefault="009951BF" w:rsidP="00A2558D">
      <w:pPr>
        <w:pStyle w:val="Dalodstavce"/>
        <w:sectPr w:rsidR="009951BF" w:rsidRPr="00746487" w:rsidSect="002005DB">
          <w:footerReference w:type="default" r:id="rId22"/>
          <w:footerReference w:type="first" r:id="rId23"/>
          <w:type w:val="oddPage"/>
          <w:pgSz w:w="11906" w:h="16838" w:code="9"/>
          <w:pgMar w:top="1980" w:right="1140" w:bottom="2380" w:left="1140" w:header="1140" w:footer="1420" w:gutter="860"/>
          <w:cols w:space="708"/>
          <w:docGrid w:linePitch="360"/>
        </w:sectPr>
      </w:pPr>
    </w:p>
    <w:p w14:paraId="68758B0F" w14:textId="77777777" w:rsidR="00E76694" w:rsidRPr="00746487" w:rsidRDefault="00F44C00" w:rsidP="002E640F">
      <w:pPr>
        <w:pStyle w:val="ZPNadpis1vodn"/>
      </w:pPr>
      <w:r w:rsidRPr="00746487">
        <w:lastRenderedPageBreak/>
        <w:t>Obsah</w:t>
      </w:r>
    </w:p>
    <w:p w14:paraId="0B268A85" w14:textId="0A646B84" w:rsidR="00DD35FB" w:rsidRDefault="00825A03">
      <w:pPr>
        <w:pStyle w:val="Obsah1"/>
        <w:rPr>
          <w:rFonts w:asciiTheme="minorHAnsi" w:eastAsiaTheme="minorEastAsia" w:hAnsiTheme="minorHAnsi" w:cstheme="minorBidi"/>
          <w:b w:val="0"/>
          <w:color w:val="auto"/>
          <w:kern w:val="2"/>
          <w14:ligatures w14:val="standardContextual"/>
        </w:rPr>
      </w:pPr>
      <w:r w:rsidRPr="00746487">
        <w:rPr>
          <w:rFonts w:ascii="Arial" w:hAnsi="Arial"/>
          <w:bCs/>
          <w:noProof w:val="0"/>
        </w:rPr>
        <w:fldChar w:fldCharType="begin"/>
      </w:r>
      <w:r w:rsidRPr="00746487">
        <w:rPr>
          <w:noProof w:val="0"/>
        </w:rPr>
        <w:instrText xml:space="preserve"> TOC \o "1-</w:instrText>
      </w:r>
      <w:r w:rsidR="004E0F2F">
        <w:rPr>
          <w:noProof w:val="0"/>
        </w:rPr>
        <w:instrText>2</w:instrText>
      </w:r>
      <w:r w:rsidRPr="00746487">
        <w:rPr>
          <w:noProof w:val="0"/>
        </w:rPr>
        <w:instrText xml:space="preserve">" </w:instrText>
      </w:r>
      <w:r w:rsidRPr="00746487">
        <w:rPr>
          <w:rFonts w:ascii="Arial" w:hAnsi="Arial"/>
          <w:bCs/>
          <w:noProof w:val="0"/>
        </w:rPr>
        <w:fldChar w:fldCharType="separate"/>
      </w:r>
      <w:r w:rsidR="00DD35FB">
        <w:t>Seznam obrázků</w:t>
      </w:r>
      <w:r w:rsidR="00DD35FB">
        <w:tab/>
      </w:r>
      <w:r w:rsidR="00DD35FB">
        <w:fldChar w:fldCharType="begin"/>
      </w:r>
      <w:r w:rsidR="00DD35FB">
        <w:instrText xml:space="preserve"> PAGEREF _Toc195517098 \h </w:instrText>
      </w:r>
      <w:r w:rsidR="00DD35FB">
        <w:fldChar w:fldCharType="separate"/>
      </w:r>
      <w:r w:rsidR="00DD35FB">
        <w:t>13</w:t>
      </w:r>
      <w:r w:rsidR="00DD35FB">
        <w:fldChar w:fldCharType="end"/>
      </w:r>
    </w:p>
    <w:p w14:paraId="609CD88C" w14:textId="4EAF24FD" w:rsidR="00DD35FB" w:rsidRDefault="00DD35FB">
      <w:pPr>
        <w:pStyle w:val="Obsah1"/>
        <w:rPr>
          <w:rFonts w:asciiTheme="minorHAnsi" w:eastAsiaTheme="minorEastAsia" w:hAnsiTheme="minorHAnsi" w:cstheme="minorBidi"/>
          <w:b w:val="0"/>
          <w:color w:val="auto"/>
          <w:kern w:val="2"/>
          <w14:ligatures w14:val="standardContextual"/>
        </w:rPr>
      </w:pPr>
      <w:r>
        <w:t>Seznam tabulek</w:t>
      </w:r>
      <w:r>
        <w:tab/>
      </w:r>
      <w:r>
        <w:fldChar w:fldCharType="begin"/>
      </w:r>
      <w:r>
        <w:instrText xml:space="preserve"> PAGEREF _Toc195517099 \h </w:instrText>
      </w:r>
      <w:r>
        <w:fldChar w:fldCharType="separate"/>
      </w:r>
      <w:r>
        <w:t>14</w:t>
      </w:r>
      <w:r>
        <w:fldChar w:fldCharType="end"/>
      </w:r>
    </w:p>
    <w:p w14:paraId="7C2C5097" w14:textId="53314656" w:rsidR="00DD35FB" w:rsidRDefault="00DD35FB">
      <w:pPr>
        <w:pStyle w:val="Obsah1"/>
        <w:rPr>
          <w:rFonts w:asciiTheme="minorHAnsi" w:eastAsiaTheme="minorEastAsia" w:hAnsiTheme="minorHAnsi" w:cstheme="minorBidi"/>
          <w:b w:val="0"/>
          <w:color w:val="auto"/>
          <w:kern w:val="2"/>
          <w14:ligatures w14:val="standardContextual"/>
        </w:rPr>
      </w:pPr>
      <w:r>
        <w:t>Seznam grafů</w:t>
      </w:r>
      <w:r>
        <w:tab/>
      </w:r>
      <w:r>
        <w:fldChar w:fldCharType="begin"/>
      </w:r>
      <w:r>
        <w:instrText xml:space="preserve"> PAGEREF _Toc195517100 \h </w:instrText>
      </w:r>
      <w:r>
        <w:fldChar w:fldCharType="separate"/>
      </w:r>
      <w:r>
        <w:t>16</w:t>
      </w:r>
      <w:r>
        <w:fldChar w:fldCharType="end"/>
      </w:r>
    </w:p>
    <w:p w14:paraId="4B1CB9F9" w14:textId="0329EAA0" w:rsidR="00DD35FB" w:rsidRDefault="00DD35FB">
      <w:pPr>
        <w:pStyle w:val="Obsah1"/>
        <w:rPr>
          <w:rFonts w:asciiTheme="minorHAnsi" w:eastAsiaTheme="minorEastAsia" w:hAnsiTheme="minorHAnsi" w:cstheme="minorBidi"/>
          <w:b w:val="0"/>
          <w:color w:val="auto"/>
          <w:kern w:val="2"/>
          <w14:ligatures w14:val="standardContextual"/>
        </w:rPr>
      </w:pPr>
      <w:r>
        <w:t>Seznam pojmů a zkratek</w:t>
      </w:r>
      <w:r>
        <w:tab/>
      </w:r>
      <w:r>
        <w:fldChar w:fldCharType="begin"/>
      </w:r>
      <w:r>
        <w:instrText xml:space="preserve"> PAGEREF _Toc195517101 \h </w:instrText>
      </w:r>
      <w:r>
        <w:fldChar w:fldCharType="separate"/>
      </w:r>
      <w:r>
        <w:t>17</w:t>
      </w:r>
      <w:r>
        <w:fldChar w:fldCharType="end"/>
      </w:r>
    </w:p>
    <w:p w14:paraId="28176EE2" w14:textId="0E17B6FE" w:rsidR="00DD35FB" w:rsidRDefault="00DD35FB">
      <w:pPr>
        <w:pStyle w:val="Obsah1"/>
        <w:rPr>
          <w:rFonts w:asciiTheme="minorHAnsi" w:eastAsiaTheme="minorEastAsia" w:hAnsiTheme="minorHAnsi" w:cstheme="minorBidi"/>
          <w:b w:val="0"/>
          <w:color w:val="auto"/>
          <w:kern w:val="2"/>
          <w14:ligatures w14:val="standardContextual"/>
        </w:rPr>
      </w:pPr>
      <w:r>
        <w:t>Seznam příloh</w:t>
      </w:r>
      <w:r>
        <w:tab/>
      </w:r>
      <w:r>
        <w:fldChar w:fldCharType="begin"/>
      </w:r>
      <w:r>
        <w:instrText xml:space="preserve"> PAGEREF _Toc195517102 \h </w:instrText>
      </w:r>
      <w:r>
        <w:fldChar w:fldCharType="separate"/>
      </w:r>
      <w:r>
        <w:t>18</w:t>
      </w:r>
      <w:r>
        <w:fldChar w:fldCharType="end"/>
      </w:r>
    </w:p>
    <w:p w14:paraId="26059D62" w14:textId="08F5E2B9" w:rsidR="00DD35FB" w:rsidRDefault="00DD35FB">
      <w:pPr>
        <w:pStyle w:val="Obsah1"/>
        <w:rPr>
          <w:rFonts w:asciiTheme="minorHAnsi" w:eastAsiaTheme="minorEastAsia" w:hAnsiTheme="minorHAnsi" w:cstheme="minorBidi"/>
          <w:b w:val="0"/>
          <w:color w:val="auto"/>
          <w:kern w:val="2"/>
          <w14:ligatures w14:val="standardContextual"/>
        </w:rPr>
      </w:pPr>
      <w:r>
        <w:t>1</w:t>
      </w:r>
      <w:r>
        <w:rPr>
          <w:rFonts w:asciiTheme="minorHAnsi" w:eastAsiaTheme="minorEastAsia" w:hAnsiTheme="minorHAnsi" w:cstheme="minorBidi"/>
          <w:b w:val="0"/>
          <w:color w:val="auto"/>
          <w:kern w:val="2"/>
          <w14:ligatures w14:val="standardContextual"/>
        </w:rPr>
        <w:tab/>
      </w:r>
      <w:r>
        <w:t>Úvod</w:t>
      </w:r>
      <w:r>
        <w:tab/>
      </w:r>
      <w:r>
        <w:fldChar w:fldCharType="begin"/>
      </w:r>
      <w:r>
        <w:instrText xml:space="preserve"> PAGEREF _Toc195517103 \h </w:instrText>
      </w:r>
      <w:r>
        <w:fldChar w:fldCharType="separate"/>
      </w:r>
      <w:r>
        <w:t>19</w:t>
      </w:r>
      <w:r>
        <w:fldChar w:fldCharType="end"/>
      </w:r>
    </w:p>
    <w:p w14:paraId="407384CE" w14:textId="175F10B5" w:rsidR="00DD35FB" w:rsidRDefault="00DD35FB">
      <w:pPr>
        <w:pStyle w:val="Obsah1"/>
        <w:rPr>
          <w:rFonts w:asciiTheme="minorHAnsi" w:eastAsiaTheme="minorEastAsia" w:hAnsiTheme="minorHAnsi" w:cstheme="minorBidi"/>
          <w:b w:val="0"/>
          <w:color w:val="auto"/>
          <w:kern w:val="2"/>
          <w14:ligatures w14:val="standardContextual"/>
        </w:rPr>
      </w:pPr>
      <w:r>
        <w:t>2</w:t>
      </w:r>
      <w:r>
        <w:rPr>
          <w:rFonts w:asciiTheme="minorHAnsi" w:eastAsiaTheme="minorEastAsia" w:hAnsiTheme="minorHAnsi" w:cstheme="minorBidi"/>
          <w:b w:val="0"/>
          <w:color w:val="auto"/>
          <w:kern w:val="2"/>
          <w14:ligatures w14:val="standardContextual"/>
        </w:rPr>
        <w:tab/>
      </w:r>
      <w:r>
        <w:t>Stárnutí a stáří</w:t>
      </w:r>
      <w:r>
        <w:tab/>
      </w:r>
      <w:r>
        <w:fldChar w:fldCharType="begin"/>
      </w:r>
      <w:r>
        <w:instrText xml:space="preserve"> PAGEREF _Toc195517104 \h </w:instrText>
      </w:r>
      <w:r>
        <w:fldChar w:fldCharType="separate"/>
      </w:r>
      <w:r>
        <w:t>20</w:t>
      </w:r>
      <w:r>
        <w:fldChar w:fldCharType="end"/>
      </w:r>
    </w:p>
    <w:p w14:paraId="2ABAA243" w14:textId="171E3743" w:rsidR="00DD35FB" w:rsidRDefault="00DD35FB">
      <w:pPr>
        <w:pStyle w:val="Obsah2"/>
        <w:rPr>
          <w:rFonts w:asciiTheme="minorHAnsi" w:eastAsiaTheme="minorEastAsia" w:hAnsiTheme="minorHAnsi" w:cstheme="minorBidi"/>
          <w:iCs w:val="0"/>
          <w:kern w:val="2"/>
          <w14:ligatures w14:val="standardContextual"/>
        </w:rPr>
      </w:pPr>
      <w:r>
        <w:t>2.1</w:t>
      </w:r>
      <w:r>
        <w:rPr>
          <w:rFonts w:asciiTheme="minorHAnsi" w:eastAsiaTheme="minorEastAsia" w:hAnsiTheme="minorHAnsi" w:cstheme="minorBidi"/>
          <w:iCs w:val="0"/>
          <w:kern w:val="2"/>
          <w14:ligatures w14:val="standardContextual"/>
        </w:rPr>
        <w:tab/>
      </w:r>
      <w:r>
        <w:t>Vymezení a periodizace věku</w:t>
      </w:r>
      <w:r>
        <w:tab/>
      </w:r>
      <w:r>
        <w:fldChar w:fldCharType="begin"/>
      </w:r>
      <w:r>
        <w:instrText xml:space="preserve"> PAGEREF _Toc195517105 \h </w:instrText>
      </w:r>
      <w:r>
        <w:fldChar w:fldCharType="separate"/>
      </w:r>
      <w:r>
        <w:t>20</w:t>
      </w:r>
      <w:r>
        <w:fldChar w:fldCharType="end"/>
      </w:r>
    </w:p>
    <w:p w14:paraId="54EFAC7F" w14:textId="1DFC5B4F" w:rsidR="00DD35FB" w:rsidRDefault="00DD35FB">
      <w:pPr>
        <w:pStyle w:val="Obsah2"/>
        <w:rPr>
          <w:rFonts w:asciiTheme="minorHAnsi" w:eastAsiaTheme="minorEastAsia" w:hAnsiTheme="minorHAnsi" w:cstheme="minorBidi"/>
          <w:iCs w:val="0"/>
          <w:kern w:val="2"/>
          <w14:ligatures w14:val="standardContextual"/>
        </w:rPr>
      </w:pPr>
      <w:r>
        <w:t>2.2</w:t>
      </w:r>
      <w:r>
        <w:rPr>
          <w:rFonts w:asciiTheme="minorHAnsi" w:eastAsiaTheme="minorEastAsia" w:hAnsiTheme="minorHAnsi" w:cstheme="minorBidi"/>
          <w:iCs w:val="0"/>
          <w:kern w:val="2"/>
          <w14:ligatures w14:val="standardContextual"/>
        </w:rPr>
        <w:tab/>
      </w:r>
      <w:r>
        <w:t>Nemoci ve stáří</w:t>
      </w:r>
      <w:r>
        <w:tab/>
      </w:r>
      <w:r>
        <w:fldChar w:fldCharType="begin"/>
      </w:r>
      <w:r>
        <w:instrText xml:space="preserve"> PAGEREF _Toc195517106 \h </w:instrText>
      </w:r>
      <w:r>
        <w:fldChar w:fldCharType="separate"/>
      </w:r>
      <w:r>
        <w:t>22</w:t>
      </w:r>
      <w:r>
        <w:fldChar w:fldCharType="end"/>
      </w:r>
    </w:p>
    <w:p w14:paraId="09B95AE8" w14:textId="7DA7EF67" w:rsidR="00DD35FB" w:rsidRDefault="00DD35FB">
      <w:pPr>
        <w:pStyle w:val="Obsah2"/>
        <w:rPr>
          <w:rFonts w:asciiTheme="minorHAnsi" w:eastAsiaTheme="minorEastAsia" w:hAnsiTheme="minorHAnsi" w:cstheme="minorBidi"/>
          <w:iCs w:val="0"/>
          <w:kern w:val="2"/>
          <w14:ligatures w14:val="standardContextual"/>
        </w:rPr>
      </w:pPr>
      <w:r>
        <w:t>2.3</w:t>
      </w:r>
      <w:r>
        <w:rPr>
          <w:rFonts w:asciiTheme="minorHAnsi" w:eastAsiaTheme="minorEastAsia" w:hAnsiTheme="minorHAnsi" w:cstheme="minorBidi"/>
          <w:iCs w:val="0"/>
          <w:kern w:val="2"/>
          <w14:ligatures w14:val="standardContextual"/>
        </w:rPr>
        <w:tab/>
      </w:r>
      <w:r>
        <w:t>Zdravé a aktivní stárnutí</w:t>
      </w:r>
      <w:r>
        <w:tab/>
      </w:r>
      <w:r>
        <w:fldChar w:fldCharType="begin"/>
      </w:r>
      <w:r>
        <w:instrText xml:space="preserve"> PAGEREF _Toc195517107 \h </w:instrText>
      </w:r>
      <w:r>
        <w:fldChar w:fldCharType="separate"/>
      </w:r>
      <w:r>
        <w:t>26</w:t>
      </w:r>
      <w:r>
        <w:fldChar w:fldCharType="end"/>
      </w:r>
    </w:p>
    <w:p w14:paraId="26E136CC" w14:textId="7C92F30B" w:rsidR="00DD35FB" w:rsidRDefault="00DD35FB">
      <w:pPr>
        <w:pStyle w:val="Obsah1"/>
        <w:rPr>
          <w:rFonts w:asciiTheme="minorHAnsi" w:eastAsiaTheme="minorEastAsia" w:hAnsiTheme="minorHAnsi" w:cstheme="minorBidi"/>
          <w:b w:val="0"/>
          <w:color w:val="auto"/>
          <w:kern w:val="2"/>
          <w14:ligatures w14:val="standardContextual"/>
        </w:rPr>
      </w:pPr>
      <w:r>
        <w:t>3</w:t>
      </w:r>
      <w:r>
        <w:rPr>
          <w:rFonts w:asciiTheme="minorHAnsi" w:eastAsiaTheme="minorEastAsia" w:hAnsiTheme="minorHAnsi" w:cstheme="minorBidi"/>
          <w:b w:val="0"/>
          <w:color w:val="auto"/>
          <w:kern w:val="2"/>
          <w14:ligatures w14:val="standardContextual"/>
        </w:rPr>
        <w:tab/>
      </w:r>
      <w:r>
        <w:t>Demografické stárnutí lidských populací</w:t>
      </w:r>
      <w:r>
        <w:tab/>
      </w:r>
      <w:r>
        <w:fldChar w:fldCharType="begin"/>
      </w:r>
      <w:r>
        <w:instrText xml:space="preserve"> PAGEREF _Toc195517108 \h </w:instrText>
      </w:r>
      <w:r>
        <w:fldChar w:fldCharType="separate"/>
      </w:r>
      <w:r>
        <w:t>27</w:t>
      </w:r>
      <w:r>
        <w:fldChar w:fldCharType="end"/>
      </w:r>
    </w:p>
    <w:p w14:paraId="28FFF2A6" w14:textId="5241F161" w:rsidR="00DD35FB" w:rsidRDefault="00DD35FB">
      <w:pPr>
        <w:pStyle w:val="Obsah2"/>
        <w:rPr>
          <w:rFonts w:asciiTheme="minorHAnsi" w:eastAsiaTheme="minorEastAsia" w:hAnsiTheme="minorHAnsi" w:cstheme="minorBidi"/>
          <w:iCs w:val="0"/>
          <w:kern w:val="2"/>
          <w14:ligatures w14:val="standardContextual"/>
        </w:rPr>
      </w:pPr>
      <w:r>
        <w:t>3.1</w:t>
      </w:r>
      <w:r>
        <w:rPr>
          <w:rFonts w:asciiTheme="minorHAnsi" w:eastAsiaTheme="minorEastAsia" w:hAnsiTheme="minorHAnsi" w:cstheme="minorBidi"/>
          <w:iCs w:val="0"/>
          <w:kern w:val="2"/>
          <w14:ligatures w14:val="standardContextual"/>
        </w:rPr>
        <w:tab/>
      </w:r>
      <w:r>
        <w:t>Demografická situace v České republice a její prognóza</w:t>
      </w:r>
      <w:r>
        <w:tab/>
      </w:r>
      <w:r>
        <w:fldChar w:fldCharType="begin"/>
      </w:r>
      <w:r>
        <w:instrText xml:space="preserve"> PAGEREF _Toc195517109 \h </w:instrText>
      </w:r>
      <w:r>
        <w:fldChar w:fldCharType="separate"/>
      </w:r>
      <w:r>
        <w:t>28</w:t>
      </w:r>
      <w:r>
        <w:fldChar w:fldCharType="end"/>
      </w:r>
    </w:p>
    <w:p w14:paraId="7E0C892B" w14:textId="0A46DE86" w:rsidR="00DD35FB" w:rsidRDefault="00DD35FB">
      <w:pPr>
        <w:pStyle w:val="Obsah1"/>
        <w:rPr>
          <w:rFonts w:asciiTheme="minorHAnsi" w:eastAsiaTheme="minorEastAsia" w:hAnsiTheme="minorHAnsi" w:cstheme="minorBidi"/>
          <w:b w:val="0"/>
          <w:color w:val="auto"/>
          <w:kern w:val="2"/>
          <w14:ligatures w14:val="standardContextual"/>
        </w:rPr>
      </w:pPr>
      <w:r>
        <w:t>4</w:t>
      </w:r>
      <w:r>
        <w:rPr>
          <w:rFonts w:asciiTheme="minorHAnsi" w:eastAsiaTheme="minorEastAsia" w:hAnsiTheme="minorHAnsi" w:cstheme="minorBidi"/>
          <w:b w:val="0"/>
          <w:color w:val="auto"/>
          <w:kern w:val="2"/>
          <w14:ligatures w14:val="standardContextual"/>
        </w:rPr>
        <w:tab/>
      </w:r>
      <w:r>
        <w:t>Urgentní příjem</w:t>
      </w:r>
      <w:r>
        <w:tab/>
      </w:r>
      <w:r>
        <w:fldChar w:fldCharType="begin"/>
      </w:r>
      <w:r>
        <w:instrText xml:space="preserve"> PAGEREF _Toc195517110 \h </w:instrText>
      </w:r>
      <w:r>
        <w:fldChar w:fldCharType="separate"/>
      </w:r>
      <w:r>
        <w:t>36</w:t>
      </w:r>
      <w:r>
        <w:fldChar w:fldCharType="end"/>
      </w:r>
    </w:p>
    <w:p w14:paraId="41F71FAC" w14:textId="5411F2E9" w:rsidR="00DD35FB" w:rsidRDefault="00DD35FB">
      <w:pPr>
        <w:pStyle w:val="Obsah2"/>
        <w:rPr>
          <w:rFonts w:asciiTheme="minorHAnsi" w:eastAsiaTheme="minorEastAsia" w:hAnsiTheme="minorHAnsi" w:cstheme="minorBidi"/>
          <w:iCs w:val="0"/>
          <w:kern w:val="2"/>
          <w14:ligatures w14:val="standardContextual"/>
        </w:rPr>
      </w:pPr>
      <w:r>
        <w:t>4.1</w:t>
      </w:r>
      <w:r>
        <w:rPr>
          <w:rFonts w:asciiTheme="minorHAnsi" w:eastAsiaTheme="minorEastAsia" w:hAnsiTheme="minorHAnsi" w:cstheme="minorBidi"/>
          <w:iCs w:val="0"/>
          <w:kern w:val="2"/>
          <w14:ligatures w14:val="standardContextual"/>
        </w:rPr>
        <w:tab/>
      </w:r>
      <w:r>
        <w:t>Geriatrická problematika na urgentním příjmu</w:t>
      </w:r>
      <w:r>
        <w:tab/>
      </w:r>
      <w:r>
        <w:fldChar w:fldCharType="begin"/>
      </w:r>
      <w:r>
        <w:instrText xml:space="preserve"> PAGEREF _Toc195517111 \h </w:instrText>
      </w:r>
      <w:r>
        <w:fldChar w:fldCharType="separate"/>
      </w:r>
      <w:r>
        <w:t>36</w:t>
      </w:r>
      <w:r>
        <w:fldChar w:fldCharType="end"/>
      </w:r>
    </w:p>
    <w:p w14:paraId="4086D670" w14:textId="217E3668" w:rsidR="00DD35FB" w:rsidRDefault="00DD35FB">
      <w:pPr>
        <w:pStyle w:val="Obsah1"/>
        <w:rPr>
          <w:rFonts w:asciiTheme="minorHAnsi" w:eastAsiaTheme="minorEastAsia" w:hAnsiTheme="minorHAnsi" w:cstheme="minorBidi"/>
          <w:b w:val="0"/>
          <w:color w:val="auto"/>
          <w:kern w:val="2"/>
          <w14:ligatures w14:val="standardContextual"/>
        </w:rPr>
      </w:pPr>
      <w:r>
        <w:t>5</w:t>
      </w:r>
      <w:r>
        <w:rPr>
          <w:rFonts w:asciiTheme="minorHAnsi" w:eastAsiaTheme="minorEastAsia" w:hAnsiTheme="minorHAnsi" w:cstheme="minorBidi"/>
          <w:b w:val="0"/>
          <w:color w:val="auto"/>
          <w:kern w:val="2"/>
          <w14:ligatures w14:val="standardContextual"/>
        </w:rPr>
        <w:tab/>
      </w:r>
      <w:r>
        <w:t>Metodika a organizace výzkumného šetření</w:t>
      </w:r>
      <w:r>
        <w:tab/>
      </w:r>
      <w:r>
        <w:fldChar w:fldCharType="begin"/>
      </w:r>
      <w:r>
        <w:instrText xml:space="preserve"> PAGEREF _Toc195517112 \h </w:instrText>
      </w:r>
      <w:r>
        <w:fldChar w:fldCharType="separate"/>
      </w:r>
      <w:r>
        <w:t>38</w:t>
      </w:r>
      <w:r>
        <w:fldChar w:fldCharType="end"/>
      </w:r>
    </w:p>
    <w:p w14:paraId="0FDD4F12" w14:textId="03BEFB70" w:rsidR="00DD35FB" w:rsidRDefault="00DD35FB">
      <w:pPr>
        <w:pStyle w:val="Obsah2"/>
        <w:rPr>
          <w:rFonts w:asciiTheme="minorHAnsi" w:eastAsiaTheme="minorEastAsia" w:hAnsiTheme="minorHAnsi" w:cstheme="minorBidi"/>
          <w:iCs w:val="0"/>
          <w:kern w:val="2"/>
          <w14:ligatures w14:val="standardContextual"/>
        </w:rPr>
      </w:pPr>
      <w:r>
        <w:t>5.1</w:t>
      </w:r>
      <w:r>
        <w:rPr>
          <w:rFonts w:asciiTheme="minorHAnsi" w:eastAsiaTheme="minorEastAsia" w:hAnsiTheme="minorHAnsi" w:cstheme="minorBidi"/>
          <w:iCs w:val="0"/>
          <w:kern w:val="2"/>
          <w14:ligatures w14:val="standardContextual"/>
        </w:rPr>
        <w:tab/>
      </w:r>
      <w:r>
        <w:t>Charakteristika pracoviště, na němž byl výzkum realizován</w:t>
      </w:r>
      <w:r>
        <w:tab/>
      </w:r>
      <w:r>
        <w:fldChar w:fldCharType="begin"/>
      </w:r>
      <w:r>
        <w:instrText xml:space="preserve"> PAGEREF _Toc195517113 \h </w:instrText>
      </w:r>
      <w:r>
        <w:fldChar w:fldCharType="separate"/>
      </w:r>
      <w:r>
        <w:t>38</w:t>
      </w:r>
      <w:r>
        <w:fldChar w:fldCharType="end"/>
      </w:r>
    </w:p>
    <w:p w14:paraId="382F2AD9" w14:textId="5CB31CC8" w:rsidR="00DD35FB" w:rsidRDefault="00DD35FB">
      <w:pPr>
        <w:pStyle w:val="Obsah2"/>
        <w:rPr>
          <w:rFonts w:asciiTheme="minorHAnsi" w:eastAsiaTheme="minorEastAsia" w:hAnsiTheme="minorHAnsi" w:cstheme="minorBidi"/>
          <w:iCs w:val="0"/>
          <w:kern w:val="2"/>
          <w14:ligatures w14:val="standardContextual"/>
        </w:rPr>
      </w:pPr>
      <w:r>
        <w:t>5.2</w:t>
      </w:r>
      <w:r>
        <w:rPr>
          <w:rFonts w:asciiTheme="minorHAnsi" w:eastAsiaTheme="minorEastAsia" w:hAnsiTheme="minorHAnsi" w:cstheme="minorBidi"/>
          <w:iCs w:val="0"/>
          <w:kern w:val="2"/>
          <w14:ligatures w14:val="standardContextual"/>
        </w:rPr>
        <w:tab/>
      </w:r>
      <w:r>
        <w:t>Výzkumný záměr a výzkumné cíle</w:t>
      </w:r>
      <w:r>
        <w:tab/>
      </w:r>
      <w:r>
        <w:fldChar w:fldCharType="begin"/>
      </w:r>
      <w:r>
        <w:instrText xml:space="preserve"> PAGEREF _Toc195517114 \h </w:instrText>
      </w:r>
      <w:r>
        <w:fldChar w:fldCharType="separate"/>
      </w:r>
      <w:r>
        <w:t>39</w:t>
      </w:r>
      <w:r>
        <w:fldChar w:fldCharType="end"/>
      </w:r>
    </w:p>
    <w:p w14:paraId="048BA159" w14:textId="3C76663B" w:rsidR="00DD35FB" w:rsidRDefault="00DD35FB">
      <w:pPr>
        <w:pStyle w:val="Obsah2"/>
        <w:rPr>
          <w:rFonts w:asciiTheme="minorHAnsi" w:eastAsiaTheme="minorEastAsia" w:hAnsiTheme="minorHAnsi" w:cstheme="minorBidi"/>
          <w:iCs w:val="0"/>
          <w:kern w:val="2"/>
          <w14:ligatures w14:val="standardContextual"/>
        </w:rPr>
      </w:pPr>
      <w:r>
        <w:t>5.3</w:t>
      </w:r>
      <w:r>
        <w:rPr>
          <w:rFonts w:asciiTheme="minorHAnsi" w:eastAsiaTheme="minorEastAsia" w:hAnsiTheme="minorHAnsi" w:cstheme="minorBidi"/>
          <w:iCs w:val="0"/>
          <w:kern w:val="2"/>
          <w14:ligatures w14:val="standardContextual"/>
        </w:rPr>
        <w:tab/>
      </w:r>
      <w:r>
        <w:t>Metoda sběru dat a charakteristika výzkumného souboru</w:t>
      </w:r>
      <w:r>
        <w:tab/>
      </w:r>
      <w:r>
        <w:fldChar w:fldCharType="begin"/>
      </w:r>
      <w:r>
        <w:instrText xml:space="preserve"> PAGEREF _Toc195517115 \h </w:instrText>
      </w:r>
      <w:r>
        <w:fldChar w:fldCharType="separate"/>
      </w:r>
      <w:r>
        <w:t>39</w:t>
      </w:r>
      <w:r>
        <w:fldChar w:fldCharType="end"/>
      </w:r>
    </w:p>
    <w:p w14:paraId="7BB996FD" w14:textId="43B8A2FF" w:rsidR="00DD35FB" w:rsidRDefault="00DD35FB">
      <w:pPr>
        <w:pStyle w:val="Obsah2"/>
        <w:rPr>
          <w:rFonts w:asciiTheme="minorHAnsi" w:eastAsiaTheme="minorEastAsia" w:hAnsiTheme="minorHAnsi" w:cstheme="minorBidi"/>
          <w:iCs w:val="0"/>
          <w:kern w:val="2"/>
          <w14:ligatures w14:val="standardContextual"/>
        </w:rPr>
      </w:pPr>
      <w:r>
        <w:t>5.4</w:t>
      </w:r>
      <w:r>
        <w:rPr>
          <w:rFonts w:asciiTheme="minorHAnsi" w:eastAsiaTheme="minorEastAsia" w:hAnsiTheme="minorHAnsi" w:cstheme="minorBidi"/>
          <w:iCs w:val="0"/>
          <w:kern w:val="2"/>
          <w14:ligatures w14:val="standardContextual"/>
        </w:rPr>
        <w:tab/>
      </w:r>
      <w:r>
        <w:t>Realizace výzkumu a metodika zpracování dat</w:t>
      </w:r>
      <w:r>
        <w:tab/>
      </w:r>
      <w:r>
        <w:fldChar w:fldCharType="begin"/>
      </w:r>
      <w:r>
        <w:instrText xml:space="preserve"> PAGEREF _Toc195517116 \h </w:instrText>
      </w:r>
      <w:r>
        <w:fldChar w:fldCharType="separate"/>
      </w:r>
      <w:r>
        <w:t>40</w:t>
      </w:r>
      <w:r>
        <w:fldChar w:fldCharType="end"/>
      </w:r>
    </w:p>
    <w:p w14:paraId="19E268F0" w14:textId="2E97F664" w:rsidR="00DD35FB" w:rsidRDefault="00DD35FB">
      <w:pPr>
        <w:pStyle w:val="Obsah2"/>
        <w:rPr>
          <w:rFonts w:asciiTheme="minorHAnsi" w:eastAsiaTheme="minorEastAsia" w:hAnsiTheme="minorHAnsi" w:cstheme="minorBidi"/>
          <w:iCs w:val="0"/>
          <w:kern w:val="2"/>
          <w14:ligatures w14:val="standardContextual"/>
        </w:rPr>
      </w:pPr>
      <w:r>
        <w:t>5.5</w:t>
      </w:r>
      <w:r>
        <w:rPr>
          <w:rFonts w:asciiTheme="minorHAnsi" w:eastAsiaTheme="minorEastAsia" w:hAnsiTheme="minorHAnsi" w:cstheme="minorBidi"/>
          <w:iCs w:val="0"/>
          <w:kern w:val="2"/>
          <w14:ligatures w14:val="standardContextual"/>
        </w:rPr>
        <w:tab/>
      </w:r>
      <w:r>
        <w:t>Analýza a interpretace výsledků výzkumu</w:t>
      </w:r>
      <w:r>
        <w:tab/>
      </w:r>
      <w:r>
        <w:fldChar w:fldCharType="begin"/>
      </w:r>
      <w:r>
        <w:instrText xml:space="preserve"> PAGEREF _Toc195517117 \h </w:instrText>
      </w:r>
      <w:r>
        <w:fldChar w:fldCharType="separate"/>
      </w:r>
      <w:r>
        <w:t>41</w:t>
      </w:r>
      <w:r>
        <w:fldChar w:fldCharType="end"/>
      </w:r>
    </w:p>
    <w:p w14:paraId="1DE090F0" w14:textId="24A0E941" w:rsidR="00DD35FB" w:rsidRDefault="00DD35FB">
      <w:pPr>
        <w:pStyle w:val="Obsah1"/>
        <w:rPr>
          <w:rFonts w:asciiTheme="minorHAnsi" w:eastAsiaTheme="minorEastAsia" w:hAnsiTheme="minorHAnsi" w:cstheme="minorBidi"/>
          <w:b w:val="0"/>
          <w:color w:val="auto"/>
          <w:kern w:val="2"/>
          <w14:ligatures w14:val="standardContextual"/>
        </w:rPr>
      </w:pPr>
      <w:r>
        <w:t>6</w:t>
      </w:r>
      <w:r>
        <w:rPr>
          <w:rFonts w:asciiTheme="minorHAnsi" w:eastAsiaTheme="minorEastAsia" w:hAnsiTheme="minorHAnsi" w:cstheme="minorBidi"/>
          <w:b w:val="0"/>
          <w:color w:val="auto"/>
          <w:kern w:val="2"/>
          <w14:ligatures w14:val="standardContextual"/>
        </w:rPr>
        <w:tab/>
      </w:r>
      <w:r>
        <w:t>Diskuze</w:t>
      </w:r>
      <w:r>
        <w:tab/>
      </w:r>
      <w:r>
        <w:fldChar w:fldCharType="begin"/>
      </w:r>
      <w:r>
        <w:instrText xml:space="preserve"> PAGEREF _Toc195517118 \h </w:instrText>
      </w:r>
      <w:r>
        <w:fldChar w:fldCharType="separate"/>
      </w:r>
      <w:r>
        <w:t>78</w:t>
      </w:r>
      <w:r>
        <w:fldChar w:fldCharType="end"/>
      </w:r>
    </w:p>
    <w:p w14:paraId="4B25012F" w14:textId="20116106" w:rsidR="00DD35FB" w:rsidRDefault="00DD35FB">
      <w:pPr>
        <w:pStyle w:val="Obsah2"/>
        <w:rPr>
          <w:rFonts w:asciiTheme="minorHAnsi" w:eastAsiaTheme="minorEastAsia" w:hAnsiTheme="minorHAnsi" w:cstheme="minorBidi"/>
          <w:iCs w:val="0"/>
          <w:kern w:val="2"/>
          <w14:ligatures w14:val="standardContextual"/>
        </w:rPr>
      </w:pPr>
      <w:r>
        <w:t>6.1</w:t>
      </w:r>
      <w:r>
        <w:rPr>
          <w:rFonts w:asciiTheme="minorHAnsi" w:eastAsiaTheme="minorEastAsia" w:hAnsiTheme="minorHAnsi" w:cstheme="minorBidi"/>
          <w:iCs w:val="0"/>
          <w:kern w:val="2"/>
          <w14:ligatures w14:val="standardContextual"/>
        </w:rPr>
        <w:tab/>
      </w:r>
      <w:r>
        <w:t>Limitace výzkumu</w:t>
      </w:r>
      <w:r>
        <w:tab/>
      </w:r>
      <w:r>
        <w:fldChar w:fldCharType="begin"/>
      </w:r>
      <w:r>
        <w:instrText xml:space="preserve"> PAGEREF _Toc195517119 \h </w:instrText>
      </w:r>
      <w:r>
        <w:fldChar w:fldCharType="separate"/>
      </w:r>
      <w:r>
        <w:t>82</w:t>
      </w:r>
      <w:r>
        <w:fldChar w:fldCharType="end"/>
      </w:r>
    </w:p>
    <w:p w14:paraId="65AB322D" w14:textId="1F14F723" w:rsidR="00DD35FB" w:rsidRDefault="00DD35FB">
      <w:pPr>
        <w:pStyle w:val="Obsah1"/>
        <w:rPr>
          <w:rFonts w:asciiTheme="minorHAnsi" w:eastAsiaTheme="minorEastAsia" w:hAnsiTheme="minorHAnsi" w:cstheme="minorBidi"/>
          <w:b w:val="0"/>
          <w:color w:val="auto"/>
          <w:kern w:val="2"/>
          <w14:ligatures w14:val="standardContextual"/>
        </w:rPr>
      </w:pPr>
      <w:r>
        <w:t>7</w:t>
      </w:r>
      <w:r>
        <w:rPr>
          <w:rFonts w:asciiTheme="minorHAnsi" w:eastAsiaTheme="minorEastAsia" w:hAnsiTheme="minorHAnsi" w:cstheme="minorBidi"/>
          <w:b w:val="0"/>
          <w:color w:val="auto"/>
          <w:kern w:val="2"/>
          <w14:ligatures w14:val="standardContextual"/>
        </w:rPr>
        <w:tab/>
      </w:r>
      <w:r>
        <w:t>Doporučení pro praxi</w:t>
      </w:r>
      <w:r>
        <w:tab/>
      </w:r>
      <w:r>
        <w:fldChar w:fldCharType="begin"/>
      </w:r>
      <w:r>
        <w:instrText xml:space="preserve"> PAGEREF _Toc195517120 \h </w:instrText>
      </w:r>
      <w:r>
        <w:fldChar w:fldCharType="separate"/>
      </w:r>
      <w:r>
        <w:t>84</w:t>
      </w:r>
      <w:r>
        <w:fldChar w:fldCharType="end"/>
      </w:r>
    </w:p>
    <w:p w14:paraId="73B0DAD6" w14:textId="55B64209" w:rsidR="00DD35FB" w:rsidRDefault="00DD35FB">
      <w:pPr>
        <w:pStyle w:val="Obsah1"/>
        <w:rPr>
          <w:rFonts w:asciiTheme="minorHAnsi" w:eastAsiaTheme="minorEastAsia" w:hAnsiTheme="minorHAnsi" w:cstheme="minorBidi"/>
          <w:b w:val="0"/>
          <w:color w:val="auto"/>
          <w:kern w:val="2"/>
          <w14:ligatures w14:val="standardContextual"/>
        </w:rPr>
      </w:pPr>
      <w:r>
        <w:t>8</w:t>
      </w:r>
      <w:r>
        <w:rPr>
          <w:rFonts w:asciiTheme="minorHAnsi" w:eastAsiaTheme="minorEastAsia" w:hAnsiTheme="minorHAnsi" w:cstheme="minorBidi"/>
          <w:b w:val="0"/>
          <w:color w:val="auto"/>
          <w:kern w:val="2"/>
          <w14:ligatures w14:val="standardContextual"/>
        </w:rPr>
        <w:tab/>
      </w:r>
      <w:r>
        <w:t>Závěr</w:t>
      </w:r>
      <w:r>
        <w:tab/>
      </w:r>
      <w:r>
        <w:fldChar w:fldCharType="begin"/>
      </w:r>
      <w:r>
        <w:instrText xml:space="preserve"> PAGEREF _Toc195517121 \h </w:instrText>
      </w:r>
      <w:r>
        <w:fldChar w:fldCharType="separate"/>
      </w:r>
      <w:r>
        <w:t>87</w:t>
      </w:r>
      <w:r>
        <w:fldChar w:fldCharType="end"/>
      </w:r>
    </w:p>
    <w:p w14:paraId="62C8328F" w14:textId="5878229B" w:rsidR="00DD35FB" w:rsidRDefault="00DD35FB">
      <w:pPr>
        <w:pStyle w:val="Obsah1"/>
        <w:rPr>
          <w:rFonts w:asciiTheme="minorHAnsi" w:eastAsiaTheme="minorEastAsia" w:hAnsiTheme="minorHAnsi" w:cstheme="minorBidi"/>
          <w:b w:val="0"/>
          <w:color w:val="auto"/>
          <w:kern w:val="2"/>
          <w14:ligatures w14:val="standardContextual"/>
        </w:rPr>
      </w:pPr>
      <w:r>
        <w:t>Použité zdroje</w:t>
      </w:r>
      <w:r>
        <w:tab/>
      </w:r>
      <w:r>
        <w:fldChar w:fldCharType="begin"/>
      </w:r>
      <w:r>
        <w:instrText xml:space="preserve"> PAGEREF _Toc195517122 \h </w:instrText>
      </w:r>
      <w:r>
        <w:fldChar w:fldCharType="separate"/>
      </w:r>
      <w:r>
        <w:t>89</w:t>
      </w:r>
      <w:r>
        <w:fldChar w:fldCharType="end"/>
      </w:r>
    </w:p>
    <w:p w14:paraId="35488AAA" w14:textId="75E61B56" w:rsidR="00DD35FB" w:rsidRDefault="00DD35FB">
      <w:pPr>
        <w:pStyle w:val="Obsah1"/>
        <w:tabs>
          <w:tab w:val="left" w:pos="1440"/>
        </w:tabs>
        <w:rPr>
          <w:rFonts w:asciiTheme="minorHAnsi" w:eastAsiaTheme="minorEastAsia" w:hAnsiTheme="minorHAnsi" w:cstheme="minorBidi"/>
          <w:b w:val="0"/>
          <w:color w:val="auto"/>
          <w:kern w:val="2"/>
          <w14:ligatures w14:val="standardContextual"/>
        </w:rPr>
      </w:pPr>
      <w:r>
        <w:lastRenderedPageBreak/>
        <w:t>Příloha A</w:t>
      </w:r>
      <w:r>
        <w:rPr>
          <w:rFonts w:asciiTheme="minorHAnsi" w:eastAsiaTheme="minorEastAsia" w:hAnsiTheme="minorHAnsi" w:cstheme="minorBidi"/>
          <w:b w:val="0"/>
          <w:color w:val="auto"/>
          <w:kern w:val="2"/>
          <w14:ligatures w14:val="standardContextual"/>
        </w:rPr>
        <w:tab/>
      </w:r>
      <w:r>
        <w:t>Žádost o sběr dat pro studijní účely</w:t>
      </w:r>
      <w:r>
        <w:tab/>
      </w:r>
      <w:r>
        <w:fldChar w:fldCharType="begin"/>
      </w:r>
      <w:r>
        <w:instrText xml:space="preserve"> PAGEREF _Toc195517123 \h </w:instrText>
      </w:r>
      <w:r>
        <w:fldChar w:fldCharType="separate"/>
      </w:r>
      <w:r>
        <w:t>93</w:t>
      </w:r>
      <w:r>
        <w:fldChar w:fldCharType="end"/>
      </w:r>
    </w:p>
    <w:p w14:paraId="23390DFE" w14:textId="3AFC791E" w:rsidR="00F5609F" w:rsidRPr="00746487" w:rsidRDefault="00825A03" w:rsidP="00A2558D">
      <w:pPr>
        <w:pStyle w:val="Dalodstavce"/>
      </w:pPr>
      <w:r w:rsidRPr="00746487">
        <w:fldChar w:fldCharType="end"/>
      </w:r>
    </w:p>
    <w:p w14:paraId="5EDA8511" w14:textId="77777777" w:rsidR="00A639A6" w:rsidRPr="00746487" w:rsidRDefault="00A639A6" w:rsidP="00A2558D">
      <w:pPr>
        <w:pStyle w:val="Dalodstavce"/>
        <w:sectPr w:rsidR="00A639A6" w:rsidRPr="00746487" w:rsidSect="002005DB">
          <w:headerReference w:type="even" r:id="rId24"/>
          <w:headerReference w:type="default" r:id="rId25"/>
          <w:footerReference w:type="default" r:id="rId26"/>
          <w:type w:val="oddPage"/>
          <w:pgSz w:w="11906" w:h="16838" w:code="9"/>
          <w:pgMar w:top="1980" w:right="1140" w:bottom="2380" w:left="1140" w:header="1140" w:footer="1420" w:gutter="860"/>
          <w:cols w:space="708"/>
          <w:docGrid w:linePitch="360"/>
        </w:sectPr>
      </w:pPr>
    </w:p>
    <w:p w14:paraId="002FB512" w14:textId="77777777" w:rsidR="008B1BE6" w:rsidRPr="00746487" w:rsidRDefault="008B1BE6" w:rsidP="008B1BE6">
      <w:pPr>
        <w:pStyle w:val="Nadpis10"/>
      </w:pPr>
      <w:bookmarkStart w:id="3" w:name="_Toc195517098"/>
      <w:r w:rsidRPr="00746487">
        <w:lastRenderedPageBreak/>
        <w:t>Seznam obrázků</w:t>
      </w:r>
      <w:bookmarkEnd w:id="3"/>
    </w:p>
    <w:p w14:paraId="67324ACC" w14:textId="4291AC09" w:rsidR="00DD35FB" w:rsidRDefault="004668F5">
      <w:pPr>
        <w:pStyle w:val="Seznamobrzk"/>
        <w:tabs>
          <w:tab w:val="right" w:leader="dot" w:pos="8756"/>
        </w:tabs>
        <w:rPr>
          <w:rFonts w:asciiTheme="minorHAnsi" w:eastAsiaTheme="minorEastAsia" w:hAnsiTheme="minorHAnsi" w:cstheme="minorBidi"/>
          <w:noProof/>
          <w:kern w:val="2"/>
          <w14:ligatures w14:val="standardContextual"/>
        </w:rPr>
      </w:pPr>
      <w:r w:rsidRPr="00746487">
        <w:rPr>
          <w:noProof/>
        </w:rPr>
        <w:fldChar w:fldCharType="begin"/>
      </w:r>
      <w:r w:rsidRPr="00746487">
        <w:rPr>
          <w:noProof/>
        </w:rPr>
        <w:instrText xml:space="preserve"> TOC \h \z \c "Obr." </w:instrText>
      </w:r>
      <w:r w:rsidRPr="00746487">
        <w:rPr>
          <w:noProof/>
        </w:rPr>
        <w:fldChar w:fldCharType="separate"/>
      </w:r>
      <w:hyperlink w:anchor="_Toc195517124" w:history="1">
        <w:r w:rsidR="00DD35FB" w:rsidRPr="009F6A30">
          <w:rPr>
            <w:rStyle w:val="Hypertextovodkaz"/>
            <w:noProof/>
          </w:rPr>
          <w:t>Obr. 1: Modelové typy věkových pyramid dle věkového rozložení populace</w:t>
        </w:r>
        <w:r w:rsidR="00DD35FB" w:rsidRPr="009F6A30">
          <w:rPr>
            <w:rStyle w:val="Hypertextovodkaz"/>
            <w:noProof/>
            <w:vertAlign w:val="superscript"/>
          </w:rPr>
          <w:t>24(p36)</w:t>
        </w:r>
        <w:r w:rsidR="00DD35FB">
          <w:rPr>
            <w:noProof/>
            <w:webHidden/>
          </w:rPr>
          <w:tab/>
        </w:r>
        <w:r w:rsidR="00DD35FB">
          <w:rPr>
            <w:noProof/>
            <w:webHidden/>
          </w:rPr>
          <w:fldChar w:fldCharType="begin"/>
        </w:r>
        <w:r w:rsidR="00DD35FB">
          <w:rPr>
            <w:noProof/>
            <w:webHidden/>
          </w:rPr>
          <w:instrText xml:space="preserve"> PAGEREF _Toc195517124 \h </w:instrText>
        </w:r>
        <w:r w:rsidR="00DD35FB">
          <w:rPr>
            <w:noProof/>
            <w:webHidden/>
          </w:rPr>
        </w:r>
        <w:r w:rsidR="00DD35FB">
          <w:rPr>
            <w:noProof/>
            <w:webHidden/>
          </w:rPr>
          <w:fldChar w:fldCharType="separate"/>
        </w:r>
        <w:r w:rsidR="00DD35FB">
          <w:rPr>
            <w:noProof/>
            <w:webHidden/>
          </w:rPr>
          <w:t>33</w:t>
        </w:r>
        <w:r w:rsidR="00DD35FB">
          <w:rPr>
            <w:noProof/>
            <w:webHidden/>
          </w:rPr>
          <w:fldChar w:fldCharType="end"/>
        </w:r>
      </w:hyperlink>
    </w:p>
    <w:p w14:paraId="0F6C657B" w14:textId="7D6B8BFA"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25" w:history="1">
        <w:r w:rsidRPr="009F6A30">
          <w:rPr>
            <w:rStyle w:val="Hypertextovodkaz"/>
            <w:noProof/>
          </w:rPr>
          <w:t>Obr. 2: Reálné a projektované složení obyvatelstva České republiky dle pohlaví a věku (stav k 1. 1. daného roku), střední varianta projekce Českého statistického úřadu</w:t>
        </w:r>
        <w:r w:rsidRPr="009F6A30">
          <w:rPr>
            <w:rStyle w:val="Hypertextovodkaz"/>
            <w:noProof/>
            <w:vertAlign w:val="superscript"/>
          </w:rPr>
          <w:t>27(p12)</w:t>
        </w:r>
        <w:r>
          <w:rPr>
            <w:noProof/>
            <w:webHidden/>
          </w:rPr>
          <w:tab/>
        </w:r>
        <w:r>
          <w:rPr>
            <w:noProof/>
            <w:webHidden/>
          </w:rPr>
          <w:fldChar w:fldCharType="begin"/>
        </w:r>
        <w:r>
          <w:rPr>
            <w:noProof/>
            <w:webHidden/>
          </w:rPr>
          <w:instrText xml:space="preserve"> PAGEREF _Toc195517125 \h </w:instrText>
        </w:r>
        <w:r>
          <w:rPr>
            <w:noProof/>
            <w:webHidden/>
          </w:rPr>
        </w:r>
        <w:r>
          <w:rPr>
            <w:noProof/>
            <w:webHidden/>
          </w:rPr>
          <w:fldChar w:fldCharType="separate"/>
        </w:r>
        <w:r>
          <w:rPr>
            <w:noProof/>
            <w:webHidden/>
          </w:rPr>
          <w:t>34</w:t>
        </w:r>
        <w:r>
          <w:rPr>
            <w:noProof/>
            <w:webHidden/>
          </w:rPr>
          <w:fldChar w:fldCharType="end"/>
        </w:r>
      </w:hyperlink>
    </w:p>
    <w:p w14:paraId="4142297D" w14:textId="4C7DE358" w:rsidR="007A6350" w:rsidRPr="007A6350" w:rsidRDefault="004668F5" w:rsidP="00785FE4">
      <w:pPr>
        <w:pStyle w:val="Odstavec1"/>
      </w:pPr>
      <w:r w:rsidRPr="00746487">
        <w:rPr>
          <w:noProof/>
        </w:rPr>
        <w:fldChar w:fldCharType="end"/>
      </w:r>
    </w:p>
    <w:p w14:paraId="223E71DC" w14:textId="77777777" w:rsidR="008B1BE6" w:rsidRPr="00746487" w:rsidRDefault="008B1BE6" w:rsidP="008B1BE6">
      <w:pPr>
        <w:pStyle w:val="Nadpis10"/>
      </w:pPr>
      <w:bookmarkStart w:id="4" w:name="_Toc195517099"/>
      <w:r w:rsidRPr="00746487">
        <w:lastRenderedPageBreak/>
        <w:t>Seznam tabulek</w:t>
      </w:r>
      <w:bookmarkEnd w:id="4"/>
    </w:p>
    <w:p w14:paraId="27E4336B" w14:textId="5B53C874" w:rsidR="00DD35FB" w:rsidRDefault="004668F5">
      <w:pPr>
        <w:pStyle w:val="Seznamobrzk"/>
        <w:tabs>
          <w:tab w:val="right" w:leader="dot" w:pos="8756"/>
        </w:tabs>
        <w:rPr>
          <w:rFonts w:asciiTheme="minorHAnsi" w:eastAsiaTheme="minorEastAsia" w:hAnsiTheme="minorHAnsi" w:cstheme="minorBidi"/>
          <w:noProof/>
          <w:kern w:val="2"/>
          <w14:ligatures w14:val="standardContextual"/>
        </w:rPr>
      </w:pPr>
      <w:r w:rsidRPr="00746487">
        <w:rPr>
          <w:b/>
          <w:bCs/>
          <w:noProof/>
        </w:rPr>
        <w:fldChar w:fldCharType="begin"/>
      </w:r>
      <w:r w:rsidRPr="00746487">
        <w:rPr>
          <w:b/>
          <w:bCs/>
          <w:noProof/>
        </w:rPr>
        <w:instrText xml:space="preserve"> TOC \h \z \c "Tab." </w:instrText>
      </w:r>
      <w:r w:rsidRPr="00746487">
        <w:rPr>
          <w:b/>
          <w:bCs/>
          <w:noProof/>
        </w:rPr>
        <w:fldChar w:fldCharType="separate"/>
      </w:r>
      <w:hyperlink w:anchor="_Toc195517126" w:history="1">
        <w:r w:rsidR="00DD35FB" w:rsidRPr="00031889">
          <w:rPr>
            <w:rStyle w:val="Hypertextovodkaz"/>
            <w:noProof/>
          </w:rPr>
          <w:t>Tab. 1: Zastoupení osob ve věku 65 let a více ve světových regionech dle stupně rozvoje</w:t>
        </w:r>
        <w:r w:rsidR="00DD35FB" w:rsidRPr="00031889">
          <w:rPr>
            <w:rStyle w:val="Hypertextovodkaz"/>
            <w:noProof/>
            <w:vertAlign w:val="superscript"/>
          </w:rPr>
          <w:t>26(p24)</w:t>
        </w:r>
        <w:r w:rsidR="00DD35FB">
          <w:rPr>
            <w:noProof/>
            <w:webHidden/>
          </w:rPr>
          <w:tab/>
        </w:r>
        <w:r w:rsidR="00DD35FB">
          <w:rPr>
            <w:noProof/>
            <w:webHidden/>
          </w:rPr>
          <w:fldChar w:fldCharType="begin"/>
        </w:r>
        <w:r w:rsidR="00DD35FB">
          <w:rPr>
            <w:noProof/>
            <w:webHidden/>
          </w:rPr>
          <w:instrText xml:space="preserve"> PAGEREF _Toc195517126 \h </w:instrText>
        </w:r>
        <w:r w:rsidR="00DD35FB">
          <w:rPr>
            <w:noProof/>
            <w:webHidden/>
          </w:rPr>
        </w:r>
        <w:r w:rsidR="00DD35FB">
          <w:rPr>
            <w:noProof/>
            <w:webHidden/>
          </w:rPr>
          <w:fldChar w:fldCharType="separate"/>
        </w:r>
        <w:r w:rsidR="00DD35FB">
          <w:rPr>
            <w:noProof/>
            <w:webHidden/>
          </w:rPr>
          <w:t>28</w:t>
        </w:r>
        <w:r w:rsidR="00DD35FB">
          <w:rPr>
            <w:noProof/>
            <w:webHidden/>
          </w:rPr>
          <w:fldChar w:fldCharType="end"/>
        </w:r>
      </w:hyperlink>
    </w:p>
    <w:p w14:paraId="789563B6" w14:textId="1D6762F3"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27" w:history="1">
        <w:r w:rsidRPr="00031889">
          <w:rPr>
            <w:rStyle w:val="Hypertextovodkaz"/>
            <w:noProof/>
          </w:rPr>
          <w:t>Tab. 2: Vybrané ukazatele stárnutí populace v krajích České republiky v letech 2013 a 2023</w:t>
        </w:r>
        <w:r w:rsidRPr="00031889">
          <w:rPr>
            <w:rStyle w:val="Hypertextovodkaz"/>
            <w:noProof/>
            <w:vertAlign w:val="superscript"/>
          </w:rPr>
          <w:t>30</w:t>
        </w:r>
        <w:r>
          <w:rPr>
            <w:noProof/>
            <w:webHidden/>
          </w:rPr>
          <w:tab/>
        </w:r>
        <w:r>
          <w:rPr>
            <w:noProof/>
            <w:webHidden/>
          </w:rPr>
          <w:fldChar w:fldCharType="begin"/>
        </w:r>
        <w:r>
          <w:rPr>
            <w:noProof/>
            <w:webHidden/>
          </w:rPr>
          <w:instrText xml:space="preserve"> PAGEREF _Toc195517127 \h </w:instrText>
        </w:r>
        <w:r>
          <w:rPr>
            <w:noProof/>
            <w:webHidden/>
          </w:rPr>
        </w:r>
        <w:r>
          <w:rPr>
            <w:noProof/>
            <w:webHidden/>
          </w:rPr>
          <w:fldChar w:fldCharType="separate"/>
        </w:r>
        <w:r>
          <w:rPr>
            <w:noProof/>
            <w:webHidden/>
          </w:rPr>
          <w:t>35</w:t>
        </w:r>
        <w:r>
          <w:rPr>
            <w:noProof/>
            <w:webHidden/>
          </w:rPr>
          <w:fldChar w:fldCharType="end"/>
        </w:r>
      </w:hyperlink>
    </w:p>
    <w:p w14:paraId="161F4723" w14:textId="781D9E5C"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28" w:history="1">
        <w:r w:rsidRPr="00031889">
          <w:rPr>
            <w:rStyle w:val="Hypertextovodkaz"/>
            <w:noProof/>
          </w:rPr>
          <w:t>Tab. 3: Věk a pohlaví pacientů ošetřených na NUP FN Brno ve věkové kategorii 75 a více let</w:t>
        </w:r>
        <w:r>
          <w:rPr>
            <w:noProof/>
            <w:webHidden/>
          </w:rPr>
          <w:tab/>
        </w:r>
        <w:r>
          <w:rPr>
            <w:noProof/>
            <w:webHidden/>
          </w:rPr>
          <w:fldChar w:fldCharType="begin"/>
        </w:r>
        <w:r>
          <w:rPr>
            <w:noProof/>
            <w:webHidden/>
          </w:rPr>
          <w:instrText xml:space="preserve"> PAGEREF _Toc195517128 \h </w:instrText>
        </w:r>
        <w:r>
          <w:rPr>
            <w:noProof/>
            <w:webHidden/>
          </w:rPr>
        </w:r>
        <w:r>
          <w:rPr>
            <w:noProof/>
            <w:webHidden/>
          </w:rPr>
          <w:fldChar w:fldCharType="separate"/>
        </w:r>
        <w:r>
          <w:rPr>
            <w:noProof/>
            <w:webHidden/>
          </w:rPr>
          <w:t>44</w:t>
        </w:r>
        <w:r>
          <w:rPr>
            <w:noProof/>
            <w:webHidden/>
          </w:rPr>
          <w:fldChar w:fldCharType="end"/>
        </w:r>
      </w:hyperlink>
    </w:p>
    <w:p w14:paraId="48F8D3AB" w14:textId="155F5A18"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29" w:history="1">
        <w:r w:rsidRPr="00031889">
          <w:rPr>
            <w:rStyle w:val="Hypertextovodkaz"/>
            <w:noProof/>
          </w:rPr>
          <w:t>Tab. 4: Průměrný věk pacientů NUP FN Brno ve věkové kategorii 75 a více let</w:t>
        </w:r>
        <w:r>
          <w:rPr>
            <w:noProof/>
            <w:webHidden/>
          </w:rPr>
          <w:tab/>
        </w:r>
        <w:r>
          <w:rPr>
            <w:noProof/>
            <w:webHidden/>
          </w:rPr>
          <w:fldChar w:fldCharType="begin"/>
        </w:r>
        <w:r>
          <w:rPr>
            <w:noProof/>
            <w:webHidden/>
          </w:rPr>
          <w:instrText xml:space="preserve"> PAGEREF _Toc195517129 \h </w:instrText>
        </w:r>
        <w:r>
          <w:rPr>
            <w:noProof/>
            <w:webHidden/>
          </w:rPr>
        </w:r>
        <w:r>
          <w:rPr>
            <w:noProof/>
            <w:webHidden/>
          </w:rPr>
          <w:fldChar w:fldCharType="separate"/>
        </w:r>
        <w:r>
          <w:rPr>
            <w:noProof/>
            <w:webHidden/>
          </w:rPr>
          <w:t>45</w:t>
        </w:r>
        <w:r>
          <w:rPr>
            <w:noProof/>
            <w:webHidden/>
          </w:rPr>
          <w:fldChar w:fldCharType="end"/>
        </w:r>
      </w:hyperlink>
    </w:p>
    <w:p w14:paraId="0CDD2BAE" w14:textId="2FDB3AB1"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30" w:history="1">
        <w:r w:rsidRPr="00031889">
          <w:rPr>
            <w:rStyle w:val="Hypertextovodkaz"/>
            <w:noProof/>
          </w:rPr>
          <w:t>Tab. 5: Věk a pohlaví pacientů ve věku 75 a více let ošetřených na NUP FN Brno v letech 2019 a 2023 (řádková %; *N</w:t>
        </w:r>
        <w:r w:rsidRPr="00031889">
          <w:rPr>
            <w:rStyle w:val="Hypertextovodkaz"/>
            <w:noProof/>
            <w:vertAlign w:val="subscript"/>
          </w:rPr>
          <w:t>(2019)</w:t>
        </w:r>
        <w:r w:rsidRPr="00031889">
          <w:rPr>
            <w:rStyle w:val="Hypertextovodkaz"/>
            <w:noProof/>
          </w:rPr>
          <w:t>=509; **N</w:t>
        </w:r>
        <w:r w:rsidRPr="00031889">
          <w:rPr>
            <w:rStyle w:val="Hypertextovodkaz"/>
            <w:noProof/>
            <w:vertAlign w:val="subscript"/>
          </w:rPr>
          <w:t>(2023)</w:t>
        </w:r>
        <w:r w:rsidRPr="00031889">
          <w:rPr>
            <w:rStyle w:val="Hypertextovodkaz"/>
            <w:noProof/>
          </w:rPr>
          <w:t>=598)</w:t>
        </w:r>
        <w:r>
          <w:rPr>
            <w:noProof/>
            <w:webHidden/>
          </w:rPr>
          <w:tab/>
        </w:r>
        <w:r>
          <w:rPr>
            <w:noProof/>
            <w:webHidden/>
          </w:rPr>
          <w:fldChar w:fldCharType="begin"/>
        </w:r>
        <w:r>
          <w:rPr>
            <w:noProof/>
            <w:webHidden/>
          </w:rPr>
          <w:instrText xml:space="preserve"> PAGEREF _Toc195517130 \h </w:instrText>
        </w:r>
        <w:r>
          <w:rPr>
            <w:noProof/>
            <w:webHidden/>
          </w:rPr>
        </w:r>
        <w:r>
          <w:rPr>
            <w:noProof/>
            <w:webHidden/>
          </w:rPr>
          <w:fldChar w:fldCharType="separate"/>
        </w:r>
        <w:r>
          <w:rPr>
            <w:noProof/>
            <w:webHidden/>
          </w:rPr>
          <w:t>46</w:t>
        </w:r>
        <w:r>
          <w:rPr>
            <w:noProof/>
            <w:webHidden/>
          </w:rPr>
          <w:fldChar w:fldCharType="end"/>
        </w:r>
      </w:hyperlink>
    </w:p>
    <w:p w14:paraId="1BE15C8C" w14:textId="38DB52E8"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31" w:history="1">
        <w:r w:rsidRPr="00031889">
          <w:rPr>
            <w:rStyle w:val="Hypertextovodkaz"/>
            <w:noProof/>
          </w:rPr>
          <w:t>Tab. 6: Podíl všech pacientů ošetřených na NUP FN Brno v letech 2019 a 2023 dle pohlaví</w:t>
        </w:r>
        <w:r>
          <w:rPr>
            <w:noProof/>
            <w:webHidden/>
          </w:rPr>
          <w:tab/>
        </w:r>
        <w:r>
          <w:rPr>
            <w:noProof/>
            <w:webHidden/>
          </w:rPr>
          <w:fldChar w:fldCharType="begin"/>
        </w:r>
        <w:r>
          <w:rPr>
            <w:noProof/>
            <w:webHidden/>
          </w:rPr>
          <w:instrText xml:space="preserve"> PAGEREF _Toc195517131 \h </w:instrText>
        </w:r>
        <w:r>
          <w:rPr>
            <w:noProof/>
            <w:webHidden/>
          </w:rPr>
        </w:r>
        <w:r>
          <w:rPr>
            <w:noProof/>
            <w:webHidden/>
          </w:rPr>
          <w:fldChar w:fldCharType="separate"/>
        </w:r>
        <w:r>
          <w:rPr>
            <w:noProof/>
            <w:webHidden/>
          </w:rPr>
          <w:t>46</w:t>
        </w:r>
        <w:r>
          <w:rPr>
            <w:noProof/>
            <w:webHidden/>
          </w:rPr>
          <w:fldChar w:fldCharType="end"/>
        </w:r>
      </w:hyperlink>
    </w:p>
    <w:p w14:paraId="2FA83263" w14:textId="742FF5FF"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32" w:history="1">
        <w:r w:rsidRPr="00031889">
          <w:rPr>
            <w:rStyle w:val="Hypertextovodkaz"/>
            <w:noProof/>
          </w:rPr>
          <w:t>Tab. 7: Podíl pacientů ve věku 75 a více let v celkovém počtu pacientů ošetřených na NUP FN Brno v letech 2019 a 2023</w:t>
        </w:r>
        <w:r>
          <w:rPr>
            <w:noProof/>
            <w:webHidden/>
          </w:rPr>
          <w:tab/>
        </w:r>
        <w:r>
          <w:rPr>
            <w:noProof/>
            <w:webHidden/>
          </w:rPr>
          <w:fldChar w:fldCharType="begin"/>
        </w:r>
        <w:r>
          <w:rPr>
            <w:noProof/>
            <w:webHidden/>
          </w:rPr>
          <w:instrText xml:space="preserve"> PAGEREF _Toc195517132 \h </w:instrText>
        </w:r>
        <w:r>
          <w:rPr>
            <w:noProof/>
            <w:webHidden/>
          </w:rPr>
        </w:r>
        <w:r>
          <w:rPr>
            <w:noProof/>
            <w:webHidden/>
          </w:rPr>
          <w:fldChar w:fldCharType="separate"/>
        </w:r>
        <w:r>
          <w:rPr>
            <w:noProof/>
            <w:webHidden/>
          </w:rPr>
          <w:t>47</w:t>
        </w:r>
        <w:r>
          <w:rPr>
            <w:noProof/>
            <w:webHidden/>
          </w:rPr>
          <w:fldChar w:fldCharType="end"/>
        </w:r>
      </w:hyperlink>
    </w:p>
    <w:p w14:paraId="62A1DD66" w14:textId="76A0D75B"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33" w:history="1">
        <w:r w:rsidRPr="00031889">
          <w:rPr>
            <w:rStyle w:val="Hypertextovodkaz"/>
            <w:noProof/>
          </w:rPr>
          <w:t>Tab. 8: Podíl pacientů ve věku 75 a více let v celkovém počtu pacientů ošetřených na NUP FN Brno v letech 2019 a 2023 dle pohlaví</w:t>
        </w:r>
        <w:r>
          <w:rPr>
            <w:noProof/>
            <w:webHidden/>
          </w:rPr>
          <w:tab/>
        </w:r>
        <w:r>
          <w:rPr>
            <w:noProof/>
            <w:webHidden/>
          </w:rPr>
          <w:fldChar w:fldCharType="begin"/>
        </w:r>
        <w:r>
          <w:rPr>
            <w:noProof/>
            <w:webHidden/>
          </w:rPr>
          <w:instrText xml:space="preserve"> PAGEREF _Toc195517133 \h </w:instrText>
        </w:r>
        <w:r>
          <w:rPr>
            <w:noProof/>
            <w:webHidden/>
          </w:rPr>
        </w:r>
        <w:r>
          <w:rPr>
            <w:noProof/>
            <w:webHidden/>
          </w:rPr>
          <w:fldChar w:fldCharType="separate"/>
        </w:r>
        <w:r>
          <w:rPr>
            <w:noProof/>
            <w:webHidden/>
          </w:rPr>
          <w:t>47</w:t>
        </w:r>
        <w:r>
          <w:rPr>
            <w:noProof/>
            <w:webHidden/>
          </w:rPr>
          <w:fldChar w:fldCharType="end"/>
        </w:r>
      </w:hyperlink>
    </w:p>
    <w:p w14:paraId="76B77F4C" w14:textId="632570BF"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34" w:history="1">
        <w:r w:rsidRPr="00031889">
          <w:rPr>
            <w:rStyle w:val="Hypertextovodkaz"/>
            <w:noProof/>
          </w:rPr>
          <w:t>Tab. 9: Způsob dopravy k ošetření na NUP FN Brno u pacientů ve věkové kategorii 75 a více let</w:t>
        </w:r>
        <w:r>
          <w:rPr>
            <w:noProof/>
            <w:webHidden/>
          </w:rPr>
          <w:tab/>
        </w:r>
        <w:r>
          <w:rPr>
            <w:noProof/>
            <w:webHidden/>
          </w:rPr>
          <w:fldChar w:fldCharType="begin"/>
        </w:r>
        <w:r>
          <w:rPr>
            <w:noProof/>
            <w:webHidden/>
          </w:rPr>
          <w:instrText xml:space="preserve"> PAGEREF _Toc195517134 \h </w:instrText>
        </w:r>
        <w:r>
          <w:rPr>
            <w:noProof/>
            <w:webHidden/>
          </w:rPr>
        </w:r>
        <w:r>
          <w:rPr>
            <w:noProof/>
            <w:webHidden/>
          </w:rPr>
          <w:fldChar w:fldCharType="separate"/>
        </w:r>
        <w:r>
          <w:rPr>
            <w:noProof/>
            <w:webHidden/>
          </w:rPr>
          <w:t>48</w:t>
        </w:r>
        <w:r>
          <w:rPr>
            <w:noProof/>
            <w:webHidden/>
          </w:rPr>
          <w:fldChar w:fldCharType="end"/>
        </w:r>
      </w:hyperlink>
    </w:p>
    <w:p w14:paraId="789B805D" w14:textId="41B33FBA"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35" w:history="1">
        <w:r w:rsidRPr="00031889">
          <w:rPr>
            <w:rStyle w:val="Hypertextovodkaz"/>
            <w:noProof/>
          </w:rPr>
          <w:t>Tab. 10: Spádovost na NUP FN Brno u ošetřených pacientů ve věkové kategorii 75 a více let</w:t>
        </w:r>
        <w:r>
          <w:rPr>
            <w:noProof/>
            <w:webHidden/>
          </w:rPr>
          <w:tab/>
        </w:r>
        <w:r>
          <w:rPr>
            <w:noProof/>
            <w:webHidden/>
          </w:rPr>
          <w:fldChar w:fldCharType="begin"/>
        </w:r>
        <w:r>
          <w:rPr>
            <w:noProof/>
            <w:webHidden/>
          </w:rPr>
          <w:instrText xml:space="preserve"> PAGEREF _Toc195517135 \h </w:instrText>
        </w:r>
        <w:r>
          <w:rPr>
            <w:noProof/>
            <w:webHidden/>
          </w:rPr>
        </w:r>
        <w:r>
          <w:rPr>
            <w:noProof/>
            <w:webHidden/>
          </w:rPr>
          <w:fldChar w:fldCharType="separate"/>
        </w:r>
        <w:r>
          <w:rPr>
            <w:noProof/>
            <w:webHidden/>
          </w:rPr>
          <w:t>48</w:t>
        </w:r>
        <w:r>
          <w:rPr>
            <w:noProof/>
            <w:webHidden/>
          </w:rPr>
          <w:fldChar w:fldCharType="end"/>
        </w:r>
      </w:hyperlink>
    </w:p>
    <w:p w14:paraId="0098766F" w14:textId="15A14ED6"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36" w:history="1">
        <w:r w:rsidRPr="00031889">
          <w:rPr>
            <w:rStyle w:val="Hypertextovodkaz"/>
            <w:noProof/>
          </w:rPr>
          <w:t>Tab. 11: Doporučení k ošetření na NUP FN Brno u pacientů ve věkové kategorii 75 a více let</w:t>
        </w:r>
        <w:r>
          <w:rPr>
            <w:noProof/>
            <w:webHidden/>
          </w:rPr>
          <w:tab/>
        </w:r>
        <w:r>
          <w:rPr>
            <w:noProof/>
            <w:webHidden/>
          </w:rPr>
          <w:fldChar w:fldCharType="begin"/>
        </w:r>
        <w:r>
          <w:rPr>
            <w:noProof/>
            <w:webHidden/>
          </w:rPr>
          <w:instrText xml:space="preserve"> PAGEREF _Toc195517136 \h </w:instrText>
        </w:r>
        <w:r>
          <w:rPr>
            <w:noProof/>
            <w:webHidden/>
          </w:rPr>
        </w:r>
        <w:r>
          <w:rPr>
            <w:noProof/>
            <w:webHidden/>
          </w:rPr>
          <w:fldChar w:fldCharType="separate"/>
        </w:r>
        <w:r>
          <w:rPr>
            <w:noProof/>
            <w:webHidden/>
          </w:rPr>
          <w:t>49</w:t>
        </w:r>
        <w:r>
          <w:rPr>
            <w:noProof/>
            <w:webHidden/>
          </w:rPr>
          <w:fldChar w:fldCharType="end"/>
        </w:r>
      </w:hyperlink>
    </w:p>
    <w:p w14:paraId="74044388" w14:textId="6FC6232B"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37" w:history="1">
        <w:r w:rsidRPr="00031889">
          <w:rPr>
            <w:rStyle w:val="Hypertextovodkaz"/>
            <w:noProof/>
          </w:rPr>
          <w:t>Tab. 12: Ošetřující ambulance NUP FN Brno u pacientů ve věkové kategorii 75 a více let</w:t>
        </w:r>
        <w:r>
          <w:rPr>
            <w:noProof/>
            <w:webHidden/>
          </w:rPr>
          <w:tab/>
        </w:r>
        <w:r>
          <w:rPr>
            <w:noProof/>
            <w:webHidden/>
          </w:rPr>
          <w:fldChar w:fldCharType="begin"/>
        </w:r>
        <w:r>
          <w:rPr>
            <w:noProof/>
            <w:webHidden/>
          </w:rPr>
          <w:instrText xml:space="preserve"> PAGEREF _Toc195517137 \h </w:instrText>
        </w:r>
        <w:r>
          <w:rPr>
            <w:noProof/>
            <w:webHidden/>
          </w:rPr>
        </w:r>
        <w:r>
          <w:rPr>
            <w:noProof/>
            <w:webHidden/>
          </w:rPr>
          <w:fldChar w:fldCharType="separate"/>
        </w:r>
        <w:r>
          <w:rPr>
            <w:noProof/>
            <w:webHidden/>
          </w:rPr>
          <w:t>49</w:t>
        </w:r>
        <w:r>
          <w:rPr>
            <w:noProof/>
            <w:webHidden/>
          </w:rPr>
          <w:fldChar w:fldCharType="end"/>
        </w:r>
      </w:hyperlink>
    </w:p>
    <w:p w14:paraId="629FB5FC" w14:textId="116D810C"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38" w:history="1">
        <w:r w:rsidRPr="00031889">
          <w:rPr>
            <w:rStyle w:val="Hypertextovodkaz"/>
            <w:noProof/>
          </w:rPr>
          <w:t>Tab. 13: Potřeba využití observačního lůžka u pacientů ve věkové kategorii 75 a více let</w:t>
        </w:r>
        <w:r>
          <w:rPr>
            <w:noProof/>
            <w:webHidden/>
          </w:rPr>
          <w:tab/>
        </w:r>
        <w:r>
          <w:rPr>
            <w:noProof/>
            <w:webHidden/>
          </w:rPr>
          <w:fldChar w:fldCharType="begin"/>
        </w:r>
        <w:r>
          <w:rPr>
            <w:noProof/>
            <w:webHidden/>
          </w:rPr>
          <w:instrText xml:space="preserve"> PAGEREF _Toc195517138 \h </w:instrText>
        </w:r>
        <w:r>
          <w:rPr>
            <w:noProof/>
            <w:webHidden/>
          </w:rPr>
        </w:r>
        <w:r>
          <w:rPr>
            <w:noProof/>
            <w:webHidden/>
          </w:rPr>
          <w:fldChar w:fldCharType="separate"/>
        </w:r>
        <w:r>
          <w:rPr>
            <w:noProof/>
            <w:webHidden/>
          </w:rPr>
          <w:t>50</w:t>
        </w:r>
        <w:r>
          <w:rPr>
            <w:noProof/>
            <w:webHidden/>
          </w:rPr>
          <w:fldChar w:fldCharType="end"/>
        </w:r>
      </w:hyperlink>
    </w:p>
    <w:p w14:paraId="24157A69" w14:textId="17AFE338"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39" w:history="1">
        <w:r w:rsidRPr="00031889">
          <w:rPr>
            <w:rStyle w:val="Hypertextovodkaz"/>
            <w:noProof/>
          </w:rPr>
          <w:t>Tab. 14: Využití zobrazovacích metod na NUP FN Brno u pacientů ve věkové kategorii 75 a více let</w:t>
        </w:r>
        <w:r>
          <w:rPr>
            <w:noProof/>
            <w:webHidden/>
          </w:rPr>
          <w:tab/>
        </w:r>
        <w:r>
          <w:rPr>
            <w:noProof/>
            <w:webHidden/>
          </w:rPr>
          <w:fldChar w:fldCharType="begin"/>
        </w:r>
        <w:r>
          <w:rPr>
            <w:noProof/>
            <w:webHidden/>
          </w:rPr>
          <w:instrText xml:space="preserve"> PAGEREF _Toc195517139 \h </w:instrText>
        </w:r>
        <w:r>
          <w:rPr>
            <w:noProof/>
            <w:webHidden/>
          </w:rPr>
        </w:r>
        <w:r>
          <w:rPr>
            <w:noProof/>
            <w:webHidden/>
          </w:rPr>
          <w:fldChar w:fldCharType="separate"/>
        </w:r>
        <w:r>
          <w:rPr>
            <w:noProof/>
            <w:webHidden/>
          </w:rPr>
          <w:t>50</w:t>
        </w:r>
        <w:r>
          <w:rPr>
            <w:noProof/>
            <w:webHidden/>
          </w:rPr>
          <w:fldChar w:fldCharType="end"/>
        </w:r>
      </w:hyperlink>
    </w:p>
    <w:p w14:paraId="6705DD44" w14:textId="62861A48"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40" w:history="1">
        <w:r w:rsidRPr="00031889">
          <w:rPr>
            <w:rStyle w:val="Hypertextovodkaz"/>
            <w:noProof/>
          </w:rPr>
          <w:t>Tab. 15: Využití konzilia specialisty na NUP FN Brno u pacientů ve věkové kategorii 75 a více let</w:t>
        </w:r>
        <w:r>
          <w:rPr>
            <w:noProof/>
            <w:webHidden/>
          </w:rPr>
          <w:tab/>
        </w:r>
        <w:r>
          <w:rPr>
            <w:noProof/>
            <w:webHidden/>
          </w:rPr>
          <w:fldChar w:fldCharType="begin"/>
        </w:r>
        <w:r>
          <w:rPr>
            <w:noProof/>
            <w:webHidden/>
          </w:rPr>
          <w:instrText xml:space="preserve"> PAGEREF _Toc195517140 \h </w:instrText>
        </w:r>
        <w:r>
          <w:rPr>
            <w:noProof/>
            <w:webHidden/>
          </w:rPr>
        </w:r>
        <w:r>
          <w:rPr>
            <w:noProof/>
            <w:webHidden/>
          </w:rPr>
          <w:fldChar w:fldCharType="separate"/>
        </w:r>
        <w:r>
          <w:rPr>
            <w:noProof/>
            <w:webHidden/>
          </w:rPr>
          <w:t>51</w:t>
        </w:r>
        <w:r>
          <w:rPr>
            <w:noProof/>
            <w:webHidden/>
          </w:rPr>
          <w:fldChar w:fldCharType="end"/>
        </w:r>
      </w:hyperlink>
    </w:p>
    <w:p w14:paraId="670672B6" w14:textId="7CCD4A9E"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41" w:history="1">
        <w:r w:rsidRPr="00031889">
          <w:rPr>
            <w:rStyle w:val="Hypertextovodkaz"/>
            <w:noProof/>
          </w:rPr>
          <w:t>Tab. 16: Způsob ukončení ošetření na NUP FN Brno u pacientů ve věkové kategorii 75 a více let</w:t>
        </w:r>
        <w:r>
          <w:rPr>
            <w:noProof/>
            <w:webHidden/>
          </w:rPr>
          <w:tab/>
        </w:r>
        <w:r>
          <w:rPr>
            <w:noProof/>
            <w:webHidden/>
          </w:rPr>
          <w:fldChar w:fldCharType="begin"/>
        </w:r>
        <w:r>
          <w:rPr>
            <w:noProof/>
            <w:webHidden/>
          </w:rPr>
          <w:instrText xml:space="preserve"> PAGEREF _Toc195517141 \h </w:instrText>
        </w:r>
        <w:r>
          <w:rPr>
            <w:noProof/>
            <w:webHidden/>
          </w:rPr>
        </w:r>
        <w:r>
          <w:rPr>
            <w:noProof/>
            <w:webHidden/>
          </w:rPr>
          <w:fldChar w:fldCharType="separate"/>
        </w:r>
        <w:r>
          <w:rPr>
            <w:noProof/>
            <w:webHidden/>
          </w:rPr>
          <w:t>51</w:t>
        </w:r>
        <w:r>
          <w:rPr>
            <w:noProof/>
            <w:webHidden/>
          </w:rPr>
          <w:fldChar w:fldCharType="end"/>
        </w:r>
      </w:hyperlink>
    </w:p>
    <w:p w14:paraId="7D6B975D" w14:textId="25A6AD22"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42" w:history="1">
        <w:r w:rsidRPr="00031889">
          <w:rPr>
            <w:rStyle w:val="Hypertextovodkaz"/>
            <w:noProof/>
          </w:rPr>
          <w:t>Tab. 17: Závislost mezi pohlavím pacienta ve věku 75 a více let a jeho trajektorií na NUP FN Brno – rok 2023 (řádková %; N=598; *N=592)</w:t>
        </w:r>
        <w:r>
          <w:rPr>
            <w:noProof/>
            <w:webHidden/>
          </w:rPr>
          <w:tab/>
        </w:r>
        <w:r>
          <w:rPr>
            <w:noProof/>
            <w:webHidden/>
          </w:rPr>
          <w:fldChar w:fldCharType="begin"/>
        </w:r>
        <w:r>
          <w:rPr>
            <w:noProof/>
            <w:webHidden/>
          </w:rPr>
          <w:instrText xml:space="preserve"> PAGEREF _Toc195517142 \h </w:instrText>
        </w:r>
        <w:r>
          <w:rPr>
            <w:noProof/>
            <w:webHidden/>
          </w:rPr>
        </w:r>
        <w:r>
          <w:rPr>
            <w:noProof/>
            <w:webHidden/>
          </w:rPr>
          <w:fldChar w:fldCharType="separate"/>
        </w:r>
        <w:r>
          <w:rPr>
            <w:noProof/>
            <w:webHidden/>
          </w:rPr>
          <w:t>57</w:t>
        </w:r>
        <w:r>
          <w:rPr>
            <w:noProof/>
            <w:webHidden/>
          </w:rPr>
          <w:fldChar w:fldCharType="end"/>
        </w:r>
      </w:hyperlink>
    </w:p>
    <w:p w14:paraId="239AD687" w14:textId="6006DF5D"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43" w:history="1">
        <w:r w:rsidRPr="00031889">
          <w:rPr>
            <w:rStyle w:val="Hypertextovodkaz"/>
            <w:noProof/>
          </w:rPr>
          <w:t>Tab. 18: Závislost mezi věkem pacienta ve věku 75 a více let a jeho trajektorií na NUP FN Brno – rok 2023 (řádková %; N=598; *N=592)</w:t>
        </w:r>
        <w:r>
          <w:rPr>
            <w:noProof/>
            <w:webHidden/>
          </w:rPr>
          <w:tab/>
        </w:r>
        <w:r>
          <w:rPr>
            <w:noProof/>
            <w:webHidden/>
          </w:rPr>
          <w:fldChar w:fldCharType="begin"/>
        </w:r>
        <w:r>
          <w:rPr>
            <w:noProof/>
            <w:webHidden/>
          </w:rPr>
          <w:instrText xml:space="preserve"> PAGEREF _Toc195517143 \h </w:instrText>
        </w:r>
        <w:r>
          <w:rPr>
            <w:noProof/>
            <w:webHidden/>
          </w:rPr>
        </w:r>
        <w:r>
          <w:rPr>
            <w:noProof/>
            <w:webHidden/>
          </w:rPr>
          <w:fldChar w:fldCharType="separate"/>
        </w:r>
        <w:r>
          <w:rPr>
            <w:noProof/>
            <w:webHidden/>
          </w:rPr>
          <w:t>58</w:t>
        </w:r>
        <w:r>
          <w:rPr>
            <w:noProof/>
            <w:webHidden/>
          </w:rPr>
          <w:fldChar w:fldCharType="end"/>
        </w:r>
      </w:hyperlink>
    </w:p>
    <w:p w14:paraId="0624C9BF" w14:textId="21C6659D"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44" w:history="1">
        <w:r w:rsidRPr="00031889">
          <w:rPr>
            <w:rStyle w:val="Hypertextovodkaz"/>
            <w:noProof/>
          </w:rPr>
          <w:t>Tab. 19: Závislost mezi spádovostí pacienta ve věku 75 a více let a jeho trajektorií na NUP FN Brno – rok 2023 (řádková %; N=598; *N=592)</w:t>
        </w:r>
        <w:r>
          <w:rPr>
            <w:noProof/>
            <w:webHidden/>
          </w:rPr>
          <w:tab/>
        </w:r>
        <w:r>
          <w:rPr>
            <w:noProof/>
            <w:webHidden/>
          </w:rPr>
          <w:fldChar w:fldCharType="begin"/>
        </w:r>
        <w:r>
          <w:rPr>
            <w:noProof/>
            <w:webHidden/>
          </w:rPr>
          <w:instrText xml:space="preserve"> PAGEREF _Toc195517144 \h </w:instrText>
        </w:r>
        <w:r>
          <w:rPr>
            <w:noProof/>
            <w:webHidden/>
          </w:rPr>
        </w:r>
        <w:r>
          <w:rPr>
            <w:noProof/>
            <w:webHidden/>
          </w:rPr>
          <w:fldChar w:fldCharType="separate"/>
        </w:r>
        <w:r>
          <w:rPr>
            <w:noProof/>
            <w:webHidden/>
          </w:rPr>
          <w:t>59</w:t>
        </w:r>
        <w:r>
          <w:rPr>
            <w:noProof/>
            <w:webHidden/>
          </w:rPr>
          <w:fldChar w:fldCharType="end"/>
        </w:r>
      </w:hyperlink>
    </w:p>
    <w:p w14:paraId="4C5C498D" w14:textId="2C7158AC"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45" w:history="1">
        <w:r w:rsidRPr="00031889">
          <w:rPr>
            <w:rStyle w:val="Hypertextovodkaz"/>
            <w:noProof/>
          </w:rPr>
          <w:t>Tab. 20: Vztah mezi jednotlivými službami na NUP FN Brno u pacientů ve věku 75 a více let – rok 2023 (N=598; *N=592)</w:t>
        </w:r>
        <w:r>
          <w:rPr>
            <w:noProof/>
            <w:webHidden/>
          </w:rPr>
          <w:tab/>
        </w:r>
        <w:r>
          <w:rPr>
            <w:noProof/>
            <w:webHidden/>
          </w:rPr>
          <w:fldChar w:fldCharType="begin"/>
        </w:r>
        <w:r>
          <w:rPr>
            <w:noProof/>
            <w:webHidden/>
          </w:rPr>
          <w:instrText xml:space="preserve"> PAGEREF _Toc195517145 \h </w:instrText>
        </w:r>
        <w:r>
          <w:rPr>
            <w:noProof/>
            <w:webHidden/>
          </w:rPr>
        </w:r>
        <w:r>
          <w:rPr>
            <w:noProof/>
            <w:webHidden/>
          </w:rPr>
          <w:fldChar w:fldCharType="separate"/>
        </w:r>
        <w:r>
          <w:rPr>
            <w:noProof/>
            <w:webHidden/>
          </w:rPr>
          <w:t>61</w:t>
        </w:r>
        <w:r>
          <w:rPr>
            <w:noProof/>
            <w:webHidden/>
          </w:rPr>
          <w:fldChar w:fldCharType="end"/>
        </w:r>
      </w:hyperlink>
    </w:p>
    <w:p w14:paraId="0B7E83A9" w14:textId="2AE43E97"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46" w:history="1">
        <w:r w:rsidRPr="00031889">
          <w:rPr>
            <w:rStyle w:val="Hypertextovodkaz"/>
            <w:noProof/>
          </w:rPr>
          <w:t>Tab. 21: Faktory predikující způsob ukončení ošetření na NUP FN Brno u pacientů ve věku 75 a více let – rok 2023 (řádková %; N=552)</w:t>
        </w:r>
        <w:r>
          <w:rPr>
            <w:noProof/>
            <w:webHidden/>
          </w:rPr>
          <w:tab/>
        </w:r>
        <w:r>
          <w:rPr>
            <w:noProof/>
            <w:webHidden/>
          </w:rPr>
          <w:fldChar w:fldCharType="begin"/>
        </w:r>
        <w:r>
          <w:rPr>
            <w:noProof/>
            <w:webHidden/>
          </w:rPr>
          <w:instrText xml:space="preserve"> PAGEREF _Toc195517146 \h </w:instrText>
        </w:r>
        <w:r>
          <w:rPr>
            <w:noProof/>
            <w:webHidden/>
          </w:rPr>
        </w:r>
        <w:r>
          <w:rPr>
            <w:noProof/>
            <w:webHidden/>
          </w:rPr>
          <w:fldChar w:fldCharType="separate"/>
        </w:r>
        <w:r>
          <w:rPr>
            <w:noProof/>
            <w:webHidden/>
          </w:rPr>
          <w:t>64</w:t>
        </w:r>
        <w:r>
          <w:rPr>
            <w:noProof/>
            <w:webHidden/>
          </w:rPr>
          <w:fldChar w:fldCharType="end"/>
        </w:r>
      </w:hyperlink>
    </w:p>
    <w:p w14:paraId="0F8DB148" w14:textId="180B9D66"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47" w:history="1">
        <w:r w:rsidRPr="00031889">
          <w:rPr>
            <w:rStyle w:val="Hypertextovodkaz"/>
            <w:noProof/>
          </w:rPr>
          <w:t>Tab. 22: Závislost mezi pohlavím pacienta ve věku 75 a více let a jeho trajektorií na NUP FN Brno – rok 2019 (řádková %; N=509; *N=508; **N=1 107; ***N=1 100)</w:t>
        </w:r>
        <w:r>
          <w:rPr>
            <w:noProof/>
            <w:webHidden/>
          </w:rPr>
          <w:tab/>
        </w:r>
        <w:r>
          <w:rPr>
            <w:noProof/>
            <w:webHidden/>
          </w:rPr>
          <w:fldChar w:fldCharType="begin"/>
        </w:r>
        <w:r>
          <w:rPr>
            <w:noProof/>
            <w:webHidden/>
          </w:rPr>
          <w:instrText xml:space="preserve"> PAGEREF _Toc195517147 \h </w:instrText>
        </w:r>
        <w:r>
          <w:rPr>
            <w:noProof/>
            <w:webHidden/>
          </w:rPr>
        </w:r>
        <w:r>
          <w:rPr>
            <w:noProof/>
            <w:webHidden/>
          </w:rPr>
          <w:fldChar w:fldCharType="separate"/>
        </w:r>
        <w:r>
          <w:rPr>
            <w:noProof/>
            <w:webHidden/>
          </w:rPr>
          <w:t>68</w:t>
        </w:r>
        <w:r>
          <w:rPr>
            <w:noProof/>
            <w:webHidden/>
          </w:rPr>
          <w:fldChar w:fldCharType="end"/>
        </w:r>
      </w:hyperlink>
    </w:p>
    <w:p w14:paraId="49D6C430" w14:textId="00297D74"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48" w:history="1">
        <w:r w:rsidRPr="00031889">
          <w:rPr>
            <w:rStyle w:val="Hypertextovodkaz"/>
            <w:noProof/>
          </w:rPr>
          <w:t>Tab. 23: Závislost mezi věkem pacienta ve věku 75 a více let a jeho trajektorií na NUP FN Brno – rok 2019 (řádková %; N=509; *N=508; **N=1 107; ***N=1 100)</w:t>
        </w:r>
        <w:r>
          <w:rPr>
            <w:noProof/>
            <w:webHidden/>
          </w:rPr>
          <w:tab/>
        </w:r>
        <w:r>
          <w:rPr>
            <w:noProof/>
            <w:webHidden/>
          </w:rPr>
          <w:fldChar w:fldCharType="begin"/>
        </w:r>
        <w:r>
          <w:rPr>
            <w:noProof/>
            <w:webHidden/>
          </w:rPr>
          <w:instrText xml:space="preserve"> PAGEREF _Toc195517148 \h </w:instrText>
        </w:r>
        <w:r>
          <w:rPr>
            <w:noProof/>
            <w:webHidden/>
          </w:rPr>
        </w:r>
        <w:r>
          <w:rPr>
            <w:noProof/>
            <w:webHidden/>
          </w:rPr>
          <w:fldChar w:fldCharType="separate"/>
        </w:r>
        <w:r>
          <w:rPr>
            <w:noProof/>
            <w:webHidden/>
          </w:rPr>
          <w:t>69</w:t>
        </w:r>
        <w:r>
          <w:rPr>
            <w:noProof/>
            <w:webHidden/>
          </w:rPr>
          <w:fldChar w:fldCharType="end"/>
        </w:r>
      </w:hyperlink>
    </w:p>
    <w:p w14:paraId="4F3145A5" w14:textId="1A7B2A2C"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49" w:history="1">
        <w:r w:rsidRPr="00031889">
          <w:rPr>
            <w:rStyle w:val="Hypertextovodkaz"/>
            <w:noProof/>
          </w:rPr>
          <w:t>Tab. 24: Závislost mezi spádovostí pacienta ve věku 75 a více let a jeho trajektorií na NUP FN Brno – rok 2019 (řádková %; N=509; *N=1 107)</w:t>
        </w:r>
        <w:r>
          <w:rPr>
            <w:noProof/>
            <w:webHidden/>
          </w:rPr>
          <w:tab/>
        </w:r>
        <w:r>
          <w:rPr>
            <w:noProof/>
            <w:webHidden/>
          </w:rPr>
          <w:fldChar w:fldCharType="begin"/>
        </w:r>
        <w:r>
          <w:rPr>
            <w:noProof/>
            <w:webHidden/>
          </w:rPr>
          <w:instrText xml:space="preserve"> PAGEREF _Toc195517149 \h </w:instrText>
        </w:r>
        <w:r>
          <w:rPr>
            <w:noProof/>
            <w:webHidden/>
          </w:rPr>
        </w:r>
        <w:r>
          <w:rPr>
            <w:noProof/>
            <w:webHidden/>
          </w:rPr>
          <w:fldChar w:fldCharType="separate"/>
        </w:r>
        <w:r>
          <w:rPr>
            <w:noProof/>
            <w:webHidden/>
          </w:rPr>
          <w:t>70</w:t>
        </w:r>
        <w:r>
          <w:rPr>
            <w:noProof/>
            <w:webHidden/>
          </w:rPr>
          <w:fldChar w:fldCharType="end"/>
        </w:r>
      </w:hyperlink>
    </w:p>
    <w:p w14:paraId="3049AD79" w14:textId="1AF830CB"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50" w:history="1">
        <w:r w:rsidRPr="00031889">
          <w:rPr>
            <w:rStyle w:val="Hypertextovodkaz"/>
            <w:noProof/>
          </w:rPr>
          <w:t>Tab. 25: Vztah mezi jednotlivými službami na NUP FN Brno u pacientů ve věku 75 a více let – rok 2019 (N=509; *N=508)</w:t>
        </w:r>
        <w:r>
          <w:rPr>
            <w:noProof/>
            <w:webHidden/>
          </w:rPr>
          <w:tab/>
        </w:r>
        <w:r>
          <w:rPr>
            <w:noProof/>
            <w:webHidden/>
          </w:rPr>
          <w:fldChar w:fldCharType="begin"/>
        </w:r>
        <w:r>
          <w:rPr>
            <w:noProof/>
            <w:webHidden/>
          </w:rPr>
          <w:instrText xml:space="preserve"> PAGEREF _Toc195517150 \h </w:instrText>
        </w:r>
        <w:r>
          <w:rPr>
            <w:noProof/>
            <w:webHidden/>
          </w:rPr>
        </w:r>
        <w:r>
          <w:rPr>
            <w:noProof/>
            <w:webHidden/>
          </w:rPr>
          <w:fldChar w:fldCharType="separate"/>
        </w:r>
        <w:r>
          <w:rPr>
            <w:noProof/>
            <w:webHidden/>
          </w:rPr>
          <w:t>72</w:t>
        </w:r>
        <w:r>
          <w:rPr>
            <w:noProof/>
            <w:webHidden/>
          </w:rPr>
          <w:fldChar w:fldCharType="end"/>
        </w:r>
      </w:hyperlink>
    </w:p>
    <w:p w14:paraId="1590CF54" w14:textId="32381A42"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51" w:history="1">
        <w:r w:rsidRPr="00031889">
          <w:rPr>
            <w:rStyle w:val="Hypertextovodkaz"/>
            <w:noProof/>
          </w:rPr>
          <w:t>Tab. 26: Vztah mezi jednotlivými službami na NUP FN Brno u pacientů ve věku 75 a více let – meziroční srovnání (N=1 107; *N=1 100)</w:t>
        </w:r>
        <w:r>
          <w:rPr>
            <w:noProof/>
            <w:webHidden/>
          </w:rPr>
          <w:tab/>
        </w:r>
        <w:r>
          <w:rPr>
            <w:noProof/>
            <w:webHidden/>
          </w:rPr>
          <w:fldChar w:fldCharType="begin"/>
        </w:r>
        <w:r>
          <w:rPr>
            <w:noProof/>
            <w:webHidden/>
          </w:rPr>
          <w:instrText xml:space="preserve"> PAGEREF _Toc195517151 \h </w:instrText>
        </w:r>
        <w:r>
          <w:rPr>
            <w:noProof/>
            <w:webHidden/>
          </w:rPr>
        </w:r>
        <w:r>
          <w:rPr>
            <w:noProof/>
            <w:webHidden/>
          </w:rPr>
          <w:fldChar w:fldCharType="separate"/>
        </w:r>
        <w:r>
          <w:rPr>
            <w:noProof/>
            <w:webHidden/>
          </w:rPr>
          <w:t>73</w:t>
        </w:r>
        <w:r>
          <w:rPr>
            <w:noProof/>
            <w:webHidden/>
          </w:rPr>
          <w:fldChar w:fldCharType="end"/>
        </w:r>
      </w:hyperlink>
    </w:p>
    <w:p w14:paraId="6F6E9138" w14:textId="03BB970C"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52" w:history="1">
        <w:r w:rsidRPr="00031889">
          <w:rPr>
            <w:rStyle w:val="Hypertextovodkaz"/>
            <w:noProof/>
          </w:rPr>
          <w:t>Tab. 27: Faktory predikující způsob ukončení ošetření na NUP FN Brno u pacientů ve věku 75 a více let – rok 2019 (řádková %; N=470; *N=469; **N=1 022; ***N=1 016)</w:t>
        </w:r>
        <w:r>
          <w:rPr>
            <w:noProof/>
            <w:webHidden/>
          </w:rPr>
          <w:tab/>
        </w:r>
        <w:r>
          <w:rPr>
            <w:noProof/>
            <w:webHidden/>
          </w:rPr>
          <w:fldChar w:fldCharType="begin"/>
        </w:r>
        <w:r>
          <w:rPr>
            <w:noProof/>
            <w:webHidden/>
          </w:rPr>
          <w:instrText xml:space="preserve"> PAGEREF _Toc195517152 \h </w:instrText>
        </w:r>
        <w:r>
          <w:rPr>
            <w:noProof/>
            <w:webHidden/>
          </w:rPr>
        </w:r>
        <w:r>
          <w:rPr>
            <w:noProof/>
            <w:webHidden/>
          </w:rPr>
          <w:fldChar w:fldCharType="separate"/>
        </w:r>
        <w:r>
          <w:rPr>
            <w:noProof/>
            <w:webHidden/>
          </w:rPr>
          <w:t>76</w:t>
        </w:r>
        <w:r>
          <w:rPr>
            <w:noProof/>
            <w:webHidden/>
          </w:rPr>
          <w:fldChar w:fldCharType="end"/>
        </w:r>
      </w:hyperlink>
    </w:p>
    <w:p w14:paraId="50A2D7CB" w14:textId="7FC60B06" w:rsidR="008B1BE6" w:rsidRPr="00746487" w:rsidRDefault="004668F5" w:rsidP="00457A41">
      <w:pPr>
        <w:pStyle w:val="Odstavec1"/>
      </w:pPr>
      <w:r w:rsidRPr="00746487">
        <w:rPr>
          <w:b/>
          <w:bCs/>
          <w:noProof/>
        </w:rPr>
        <w:fldChar w:fldCharType="end"/>
      </w:r>
    </w:p>
    <w:p w14:paraId="01973838" w14:textId="57EE17E3" w:rsidR="004F4AE0" w:rsidRDefault="004F4AE0" w:rsidP="007C0619">
      <w:pPr>
        <w:pStyle w:val="Nadpis10"/>
      </w:pPr>
      <w:bookmarkStart w:id="5" w:name="_Toc195517100"/>
      <w:r>
        <w:lastRenderedPageBreak/>
        <w:t>Seznam grafů</w:t>
      </w:r>
      <w:bookmarkEnd w:id="5"/>
    </w:p>
    <w:p w14:paraId="00BAD6EC" w14:textId="3575BAB2" w:rsidR="00DD35FB" w:rsidRDefault="008B6609">
      <w:pPr>
        <w:pStyle w:val="Seznamobrzk"/>
        <w:tabs>
          <w:tab w:val="right" w:leader="dot" w:pos="8756"/>
        </w:tabs>
        <w:rPr>
          <w:rFonts w:asciiTheme="minorHAnsi" w:eastAsiaTheme="minorEastAsia" w:hAnsiTheme="minorHAnsi" w:cstheme="minorBidi"/>
          <w:noProof/>
          <w:kern w:val="2"/>
          <w14:ligatures w14:val="standardContextual"/>
        </w:rPr>
      </w:pPr>
      <w:r>
        <w:fldChar w:fldCharType="begin"/>
      </w:r>
      <w:r>
        <w:instrText xml:space="preserve"> TOC \h \z \c "Graf" </w:instrText>
      </w:r>
      <w:r>
        <w:fldChar w:fldCharType="separate"/>
      </w:r>
      <w:hyperlink w:anchor="_Toc195517153" w:history="1">
        <w:r w:rsidR="00DD35FB" w:rsidRPr="006C113F">
          <w:rPr>
            <w:rStyle w:val="Hypertextovodkaz"/>
            <w:noProof/>
          </w:rPr>
          <w:t>Graf 1: Podíl pacientů na NUP FN Brno ve věkové kategorii 75 a více let vůči mladším ročníkům</w:t>
        </w:r>
        <w:r w:rsidR="00DD35FB">
          <w:rPr>
            <w:noProof/>
            <w:webHidden/>
          </w:rPr>
          <w:tab/>
        </w:r>
        <w:r w:rsidR="00DD35FB">
          <w:rPr>
            <w:noProof/>
            <w:webHidden/>
          </w:rPr>
          <w:fldChar w:fldCharType="begin"/>
        </w:r>
        <w:r w:rsidR="00DD35FB">
          <w:rPr>
            <w:noProof/>
            <w:webHidden/>
          </w:rPr>
          <w:instrText xml:space="preserve"> PAGEREF _Toc195517153 \h </w:instrText>
        </w:r>
        <w:r w:rsidR="00DD35FB">
          <w:rPr>
            <w:noProof/>
            <w:webHidden/>
          </w:rPr>
        </w:r>
        <w:r w:rsidR="00DD35FB">
          <w:rPr>
            <w:noProof/>
            <w:webHidden/>
          </w:rPr>
          <w:fldChar w:fldCharType="separate"/>
        </w:r>
        <w:r w:rsidR="00DD35FB">
          <w:rPr>
            <w:noProof/>
            <w:webHidden/>
          </w:rPr>
          <w:t>42</w:t>
        </w:r>
        <w:r w:rsidR="00DD35FB">
          <w:rPr>
            <w:noProof/>
            <w:webHidden/>
          </w:rPr>
          <w:fldChar w:fldCharType="end"/>
        </w:r>
      </w:hyperlink>
    </w:p>
    <w:p w14:paraId="1AD3CE50" w14:textId="61034D07"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54" w:history="1">
        <w:r w:rsidRPr="006C113F">
          <w:rPr>
            <w:rStyle w:val="Hypertextovodkaz"/>
            <w:noProof/>
          </w:rPr>
          <w:t>Graf 2: Pohlaví pacientů ošetřených na NUP FN Brno ve věkové kategorii 75 a více let v porovnání s mladšími ročníky pacientů</w:t>
        </w:r>
        <w:r>
          <w:rPr>
            <w:noProof/>
            <w:webHidden/>
          </w:rPr>
          <w:tab/>
        </w:r>
        <w:r>
          <w:rPr>
            <w:noProof/>
            <w:webHidden/>
          </w:rPr>
          <w:fldChar w:fldCharType="begin"/>
        </w:r>
        <w:r>
          <w:rPr>
            <w:noProof/>
            <w:webHidden/>
          </w:rPr>
          <w:instrText xml:space="preserve"> PAGEREF _Toc195517154 \h </w:instrText>
        </w:r>
        <w:r>
          <w:rPr>
            <w:noProof/>
            <w:webHidden/>
          </w:rPr>
        </w:r>
        <w:r>
          <w:rPr>
            <w:noProof/>
            <w:webHidden/>
          </w:rPr>
          <w:fldChar w:fldCharType="separate"/>
        </w:r>
        <w:r>
          <w:rPr>
            <w:noProof/>
            <w:webHidden/>
          </w:rPr>
          <w:t>43</w:t>
        </w:r>
        <w:r>
          <w:rPr>
            <w:noProof/>
            <w:webHidden/>
          </w:rPr>
          <w:fldChar w:fldCharType="end"/>
        </w:r>
      </w:hyperlink>
    </w:p>
    <w:p w14:paraId="4A9E9DD7" w14:textId="6AC53831"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55" w:history="1">
        <w:r w:rsidRPr="006C113F">
          <w:rPr>
            <w:rStyle w:val="Hypertextovodkaz"/>
            <w:noProof/>
          </w:rPr>
          <w:t>Graf 3: Věk a pohlaví pacientů ošetřených na NUP FN Brno ve věkové kategorii 75 a více let</w:t>
        </w:r>
        <w:r>
          <w:rPr>
            <w:noProof/>
            <w:webHidden/>
          </w:rPr>
          <w:tab/>
        </w:r>
        <w:r>
          <w:rPr>
            <w:noProof/>
            <w:webHidden/>
          </w:rPr>
          <w:fldChar w:fldCharType="begin"/>
        </w:r>
        <w:r>
          <w:rPr>
            <w:noProof/>
            <w:webHidden/>
          </w:rPr>
          <w:instrText xml:space="preserve"> PAGEREF _Toc195517155 \h </w:instrText>
        </w:r>
        <w:r>
          <w:rPr>
            <w:noProof/>
            <w:webHidden/>
          </w:rPr>
        </w:r>
        <w:r>
          <w:rPr>
            <w:noProof/>
            <w:webHidden/>
          </w:rPr>
          <w:fldChar w:fldCharType="separate"/>
        </w:r>
        <w:r>
          <w:rPr>
            <w:noProof/>
            <w:webHidden/>
          </w:rPr>
          <w:t>45</w:t>
        </w:r>
        <w:r>
          <w:rPr>
            <w:noProof/>
            <w:webHidden/>
          </w:rPr>
          <w:fldChar w:fldCharType="end"/>
        </w:r>
      </w:hyperlink>
    </w:p>
    <w:p w14:paraId="421A3116" w14:textId="097F007D"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56" w:history="1">
        <w:r w:rsidRPr="006C113F">
          <w:rPr>
            <w:rStyle w:val="Hypertextovodkaz"/>
            <w:noProof/>
          </w:rPr>
          <w:t>Graf 4: Diagnostické kapitoly u pacientů na NUP FN Brno ve věkové kategorii 75 a více let</w:t>
        </w:r>
        <w:r>
          <w:rPr>
            <w:noProof/>
            <w:webHidden/>
          </w:rPr>
          <w:tab/>
        </w:r>
        <w:r>
          <w:rPr>
            <w:noProof/>
            <w:webHidden/>
          </w:rPr>
          <w:fldChar w:fldCharType="begin"/>
        </w:r>
        <w:r>
          <w:rPr>
            <w:noProof/>
            <w:webHidden/>
          </w:rPr>
          <w:instrText xml:space="preserve"> PAGEREF _Toc195517156 \h </w:instrText>
        </w:r>
        <w:r>
          <w:rPr>
            <w:noProof/>
            <w:webHidden/>
          </w:rPr>
        </w:r>
        <w:r>
          <w:rPr>
            <w:noProof/>
            <w:webHidden/>
          </w:rPr>
          <w:fldChar w:fldCharType="separate"/>
        </w:r>
        <w:r>
          <w:rPr>
            <w:noProof/>
            <w:webHidden/>
          </w:rPr>
          <w:t>52</w:t>
        </w:r>
        <w:r>
          <w:rPr>
            <w:noProof/>
            <w:webHidden/>
          </w:rPr>
          <w:fldChar w:fldCharType="end"/>
        </w:r>
      </w:hyperlink>
    </w:p>
    <w:p w14:paraId="01D9F169" w14:textId="4E477C34" w:rsidR="00DD35FB" w:rsidRDefault="00DD35FB">
      <w:pPr>
        <w:pStyle w:val="Seznamobrzk"/>
        <w:tabs>
          <w:tab w:val="right" w:leader="dot" w:pos="8756"/>
        </w:tabs>
        <w:rPr>
          <w:rFonts w:asciiTheme="minorHAnsi" w:eastAsiaTheme="minorEastAsia" w:hAnsiTheme="minorHAnsi" w:cstheme="minorBidi"/>
          <w:noProof/>
          <w:kern w:val="2"/>
          <w14:ligatures w14:val="standardContextual"/>
        </w:rPr>
      </w:pPr>
      <w:hyperlink w:anchor="_Toc195517157" w:history="1">
        <w:r w:rsidRPr="006C113F">
          <w:rPr>
            <w:rStyle w:val="Hypertextovodkaz"/>
            <w:noProof/>
          </w:rPr>
          <w:t>Graf 5: Nejčastější diagnózy u pacientů na NUP FN Brno ve věkové kategorii 75 a více let</w:t>
        </w:r>
        <w:r>
          <w:rPr>
            <w:noProof/>
            <w:webHidden/>
          </w:rPr>
          <w:tab/>
        </w:r>
        <w:r>
          <w:rPr>
            <w:noProof/>
            <w:webHidden/>
          </w:rPr>
          <w:fldChar w:fldCharType="begin"/>
        </w:r>
        <w:r>
          <w:rPr>
            <w:noProof/>
            <w:webHidden/>
          </w:rPr>
          <w:instrText xml:space="preserve"> PAGEREF _Toc195517157 \h </w:instrText>
        </w:r>
        <w:r>
          <w:rPr>
            <w:noProof/>
            <w:webHidden/>
          </w:rPr>
        </w:r>
        <w:r>
          <w:rPr>
            <w:noProof/>
            <w:webHidden/>
          </w:rPr>
          <w:fldChar w:fldCharType="separate"/>
        </w:r>
        <w:r>
          <w:rPr>
            <w:noProof/>
            <w:webHidden/>
          </w:rPr>
          <w:t>53</w:t>
        </w:r>
        <w:r>
          <w:rPr>
            <w:noProof/>
            <w:webHidden/>
          </w:rPr>
          <w:fldChar w:fldCharType="end"/>
        </w:r>
      </w:hyperlink>
    </w:p>
    <w:p w14:paraId="54387E21" w14:textId="210F0983" w:rsidR="008B6609" w:rsidRPr="008B6609" w:rsidRDefault="008B6609" w:rsidP="008B6609">
      <w:pPr>
        <w:pStyle w:val="Odstavec1"/>
      </w:pPr>
      <w:r>
        <w:rPr>
          <w:b/>
          <w:bCs/>
          <w:noProof/>
        </w:rPr>
        <w:fldChar w:fldCharType="end"/>
      </w:r>
    </w:p>
    <w:p w14:paraId="123D5C8B" w14:textId="1F4B7D30" w:rsidR="00DC0619" w:rsidRPr="00746487" w:rsidRDefault="001165B2" w:rsidP="007C0619">
      <w:pPr>
        <w:pStyle w:val="Nadpis10"/>
      </w:pPr>
      <w:bookmarkStart w:id="6" w:name="_Toc195517101"/>
      <w:r w:rsidRPr="00746487">
        <w:lastRenderedPageBreak/>
        <w:t>Seznam pojmů a zkratek</w:t>
      </w:r>
      <w:bookmarkEnd w:id="6"/>
    </w:p>
    <w:sdt>
      <w:sdtPr>
        <w:id w:val="1914736146"/>
        <w15:repeatingSection/>
      </w:sdtPr>
      <w:sdtContent>
        <w:sdt>
          <w:sdtPr>
            <w:id w:val="1802113663"/>
            <w:placeholder>
              <w:docPart w:val="48A5540970534A16B73D020A6F591C7B"/>
            </w:placeholder>
            <w15:repeatingSectionItem/>
          </w:sdtPr>
          <w:sdtContent>
            <w:p w14:paraId="676BED47" w14:textId="0ECCEDBA" w:rsidR="00A409D4" w:rsidRDefault="00A409D4" w:rsidP="003F666A">
              <w:pPr>
                <w:pStyle w:val="ZPSeznamzkratek"/>
              </w:pPr>
              <w:r>
                <w:t>CI</w:t>
              </w:r>
              <w:r w:rsidRPr="00746487">
                <w:tab/>
                <w:t>–</w:t>
              </w:r>
              <w:r w:rsidRPr="00746487">
                <w:tab/>
              </w:r>
              <w:r>
                <w:t>Konfidenční interval</w:t>
              </w:r>
            </w:p>
          </w:sdtContent>
        </w:sdt>
        <w:sdt>
          <w:sdtPr>
            <w:id w:val="551897096"/>
            <w:placeholder>
              <w:docPart w:val="F0DFDB32757B441984148277A40249CE"/>
            </w:placeholder>
            <w15:repeatingSectionItem/>
          </w:sdtPr>
          <w:sdtContent>
            <w:p w14:paraId="74F6875E" w14:textId="77777777" w:rsidR="00A409D4" w:rsidRPr="00746487" w:rsidRDefault="00A409D4" w:rsidP="003605C4">
              <w:pPr>
                <w:pStyle w:val="ZPSeznamzkratek"/>
              </w:pPr>
              <w:r>
                <w:t>CV</w:t>
              </w:r>
              <w:r w:rsidRPr="00746487">
                <w:tab/>
                <w:t>–</w:t>
              </w:r>
              <w:r w:rsidRPr="00746487">
                <w:tab/>
              </w:r>
              <w:proofErr w:type="spellStart"/>
              <w:r>
                <w:t>Cramerovo</w:t>
              </w:r>
              <w:proofErr w:type="spellEnd"/>
              <w:r>
                <w:t xml:space="preserve"> V</w:t>
              </w:r>
            </w:p>
          </w:sdtContent>
        </w:sdt>
        <w:sdt>
          <w:sdtPr>
            <w:id w:val="-295836527"/>
            <w:placeholder>
              <w:docPart w:val="07233A74121D49D1A8AE906BF08B76B1"/>
            </w:placeholder>
            <w15:repeatingSectionItem/>
          </w:sdtPr>
          <w:sdtContent>
            <w:p w14:paraId="57A08D8D" w14:textId="77777777" w:rsidR="00A409D4" w:rsidRPr="00746487" w:rsidRDefault="00A409D4" w:rsidP="002014A9">
              <w:pPr>
                <w:pStyle w:val="ZPSeznamzkratek"/>
              </w:pPr>
              <w:r>
                <w:t>ČR</w:t>
              </w:r>
              <w:r w:rsidRPr="00746487">
                <w:tab/>
                <w:t>–</w:t>
              </w:r>
              <w:r w:rsidRPr="00746487">
                <w:tab/>
              </w:r>
              <w:r>
                <w:t>Česká republika</w:t>
              </w:r>
            </w:p>
          </w:sdtContent>
        </w:sdt>
        <w:sdt>
          <w:sdtPr>
            <w:id w:val="293645189"/>
            <w:placeholder>
              <w:docPart w:val="9EAEE7C7310241F39F91DD4E51A7BB7C"/>
            </w:placeholder>
            <w15:repeatingSectionItem/>
          </w:sdtPr>
          <w:sdtContent>
            <w:p w14:paraId="5713F326" w14:textId="245ED19C" w:rsidR="003F666A" w:rsidRPr="00746487" w:rsidRDefault="0015779C" w:rsidP="003F666A">
              <w:pPr>
                <w:pStyle w:val="ZPSeznamzkratek"/>
              </w:pPr>
              <w:r>
                <w:t>ČSÚ</w:t>
              </w:r>
              <w:r w:rsidR="003F666A" w:rsidRPr="00746487">
                <w:tab/>
              </w:r>
              <w:r w:rsidR="00DC0619" w:rsidRPr="00746487">
                <w:t>–</w:t>
              </w:r>
              <w:r w:rsidR="00DC0619" w:rsidRPr="00746487">
                <w:tab/>
              </w:r>
              <w:r w:rsidR="004D5701">
                <w:t>Český statistický úřad</w:t>
              </w:r>
            </w:p>
          </w:sdtContent>
        </w:sdt>
        <w:sdt>
          <w:sdtPr>
            <w:id w:val="2106838714"/>
            <w:placeholder>
              <w:docPart w:val="CBE1FDC9E1C340BF91395FBB32707BC7"/>
            </w:placeholder>
            <w15:repeatingSectionItem/>
          </w:sdtPr>
          <w:sdtContent>
            <w:p w14:paraId="48EBE292" w14:textId="77777777" w:rsidR="00655A70" w:rsidRPr="00746487" w:rsidRDefault="00655A70" w:rsidP="008D46AF">
              <w:pPr>
                <w:pStyle w:val="ZPSeznamzkratek"/>
              </w:pPr>
              <w:proofErr w:type="spellStart"/>
              <w:r>
                <w:t>EuGMS</w:t>
              </w:r>
              <w:proofErr w:type="spellEnd"/>
              <w:r w:rsidRPr="00746487">
                <w:tab/>
                <w:t>–</w:t>
              </w:r>
              <w:r w:rsidRPr="00746487">
                <w:tab/>
              </w:r>
              <w:r>
                <w:t>Evropská společnost pro geriatrickou medicínu (</w:t>
              </w:r>
              <w:proofErr w:type="spellStart"/>
              <w:r>
                <w:t>European</w:t>
              </w:r>
              <w:proofErr w:type="spellEnd"/>
              <w:r>
                <w:t xml:space="preserve"> </w:t>
              </w:r>
              <w:proofErr w:type="spellStart"/>
              <w:r>
                <w:t>Geriatric</w:t>
              </w:r>
              <w:proofErr w:type="spellEnd"/>
              <w:r>
                <w:t xml:space="preserve"> </w:t>
              </w:r>
              <w:proofErr w:type="spellStart"/>
              <w:r>
                <w:t>Medicine</w:t>
              </w:r>
              <w:proofErr w:type="spellEnd"/>
              <w:r>
                <w:t xml:space="preserve"> Society)</w:t>
              </w:r>
            </w:p>
          </w:sdtContent>
        </w:sdt>
        <w:sdt>
          <w:sdtPr>
            <w:id w:val="-1660456754"/>
            <w:placeholder>
              <w:docPart w:val="B26E80FD11C14CDA880E72FA4B67D7E2"/>
            </w:placeholder>
            <w15:repeatingSectionItem/>
          </w:sdtPr>
          <w:sdtContent>
            <w:p w14:paraId="4DE55CF3" w14:textId="77777777" w:rsidR="00655A70" w:rsidRPr="00746487" w:rsidRDefault="00655A70" w:rsidP="009765C4">
              <w:pPr>
                <w:pStyle w:val="ZPSeznamzkratek"/>
              </w:pPr>
              <w:r>
                <w:t>EUSEM</w:t>
              </w:r>
              <w:r w:rsidRPr="00746487">
                <w:tab/>
                <w:t>–</w:t>
              </w:r>
              <w:r w:rsidRPr="00746487">
                <w:tab/>
              </w:r>
              <w:r>
                <w:t>Evropská společnost pro urgentní medicínu (</w:t>
              </w:r>
              <w:proofErr w:type="spellStart"/>
              <w:r>
                <w:t>European</w:t>
              </w:r>
              <w:proofErr w:type="spellEnd"/>
              <w:r>
                <w:t xml:space="preserve"> Society </w:t>
              </w:r>
              <w:proofErr w:type="spellStart"/>
              <w:r>
                <w:t>for</w:t>
              </w:r>
              <w:proofErr w:type="spellEnd"/>
              <w:r>
                <w:t xml:space="preserve"> </w:t>
              </w:r>
              <w:proofErr w:type="spellStart"/>
              <w:r>
                <w:t>Emergency</w:t>
              </w:r>
              <w:proofErr w:type="spellEnd"/>
              <w:r>
                <w:t xml:space="preserve"> </w:t>
              </w:r>
              <w:proofErr w:type="spellStart"/>
              <w:r>
                <w:t>Medicine</w:t>
              </w:r>
              <w:proofErr w:type="spellEnd"/>
              <w:r>
                <w:t>)</w:t>
              </w:r>
            </w:p>
          </w:sdtContent>
        </w:sdt>
        <w:sdt>
          <w:sdtPr>
            <w:id w:val="127674610"/>
            <w:placeholder>
              <w:docPart w:val="D1755065BEA9479AAA12231344832E60"/>
            </w:placeholder>
            <w15:repeatingSectionItem/>
          </w:sdtPr>
          <w:sdtContent>
            <w:p w14:paraId="50C7FE7E" w14:textId="77777777" w:rsidR="008302DA" w:rsidRPr="00746487" w:rsidRDefault="008302DA" w:rsidP="00DE6255">
              <w:pPr>
                <w:pStyle w:val="ZPSeznamzkratek"/>
              </w:pPr>
              <w:r>
                <w:t>FN Brno</w:t>
              </w:r>
              <w:r w:rsidRPr="00746487">
                <w:tab/>
                <w:t>–</w:t>
              </w:r>
              <w:r w:rsidRPr="00746487">
                <w:tab/>
              </w:r>
              <w:r>
                <w:t>Fakultní nemocnice Brno</w:t>
              </w:r>
            </w:p>
          </w:sdtContent>
        </w:sdt>
        <w:sdt>
          <w:sdtPr>
            <w:id w:val="112488653"/>
            <w:placeholder>
              <w:docPart w:val="E1C68DEE495C4EA5931662B669A4F84F"/>
            </w:placeholder>
            <w15:repeatingSectionItem/>
          </w:sdtPr>
          <w:sdtContent>
            <w:p w14:paraId="252D9DFA" w14:textId="77777777" w:rsidR="008302DA" w:rsidRPr="00746487" w:rsidRDefault="008302DA" w:rsidP="00AE43B9">
              <w:pPr>
                <w:pStyle w:val="ZPSeznamzkratek"/>
              </w:pPr>
              <w:r>
                <w:t>GEMSIG</w:t>
              </w:r>
              <w:r w:rsidRPr="00746487">
                <w:tab/>
                <w:t>–</w:t>
              </w:r>
              <w:r w:rsidRPr="00746487">
                <w:tab/>
              </w:r>
              <w:r>
                <w:t>Speciální zájmová skupina geriatrické urgentní medicíny (</w:t>
              </w:r>
              <w:proofErr w:type="spellStart"/>
              <w:r>
                <w:t>Geriatric</w:t>
              </w:r>
              <w:proofErr w:type="spellEnd"/>
              <w:r>
                <w:t xml:space="preserve"> </w:t>
              </w:r>
              <w:proofErr w:type="spellStart"/>
              <w:r>
                <w:t>Emergency</w:t>
              </w:r>
              <w:proofErr w:type="spellEnd"/>
              <w:r>
                <w:t xml:space="preserve"> </w:t>
              </w:r>
              <w:proofErr w:type="spellStart"/>
              <w:r>
                <w:t>Medicine</w:t>
              </w:r>
              <w:proofErr w:type="spellEnd"/>
              <w:r>
                <w:t xml:space="preserve"> </w:t>
              </w:r>
              <w:proofErr w:type="spellStart"/>
              <w:r>
                <w:t>Special</w:t>
              </w:r>
              <w:proofErr w:type="spellEnd"/>
              <w:r>
                <w:t xml:space="preserve"> </w:t>
              </w:r>
              <w:proofErr w:type="spellStart"/>
              <w:r>
                <w:t>Interest</w:t>
              </w:r>
              <w:proofErr w:type="spellEnd"/>
              <w:r>
                <w:t xml:space="preserve"> Group)</w:t>
              </w:r>
            </w:p>
          </w:sdtContent>
        </w:sdt>
        <w:sdt>
          <w:sdtPr>
            <w:id w:val="212320355"/>
            <w:placeholder>
              <w:docPart w:val="B74F812FDCCC4A7887BD9957E0B553AE"/>
            </w:placeholder>
            <w15:repeatingSectionItem/>
          </w:sdtPr>
          <w:sdtContent>
            <w:p w14:paraId="486BBEEF" w14:textId="77777777" w:rsidR="008302DA" w:rsidRPr="00746487" w:rsidRDefault="008302DA" w:rsidP="00A73D88">
              <w:pPr>
                <w:pStyle w:val="ZPSeznamzkratek"/>
              </w:pPr>
              <w:proofErr w:type="spellStart"/>
              <w:r>
                <w:t>geriEM</w:t>
              </w:r>
              <w:proofErr w:type="spellEnd"/>
              <w:r w:rsidRPr="00746487">
                <w:tab/>
                <w:t>–</w:t>
              </w:r>
              <w:r w:rsidRPr="00746487">
                <w:tab/>
              </w:r>
              <w:r>
                <w:t>Evropská pracovní skupina pro geriatrickou urgentní medicínu (</w:t>
              </w:r>
              <w:proofErr w:type="spellStart"/>
              <w:r>
                <w:t>European</w:t>
              </w:r>
              <w:proofErr w:type="spellEnd"/>
              <w:r>
                <w:t xml:space="preserve"> </w:t>
              </w:r>
              <w:proofErr w:type="spellStart"/>
              <w:r>
                <w:t>Task</w:t>
              </w:r>
              <w:proofErr w:type="spellEnd"/>
              <w:r>
                <w:t xml:space="preserve"> </w:t>
              </w:r>
              <w:proofErr w:type="spellStart"/>
              <w:r>
                <w:t>Force</w:t>
              </w:r>
              <w:proofErr w:type="spellEnd"/>
              <w:r>
                <w:t xml:space="preserve"> </w:t>
              </w:r>
              <w:proofErr w:type="spellStart"/>
              <w:r>
                <w:t>for</w:t>
              </w:r>
              <w:proofErr w:type="spellEnd"/>
              <w:r>
                <w:t xml:space="preserve"> </w:t>
              </w:r>
              <w:proofErr w:type="spellStart"/>
              <w:r>
                <w:t>Geriatric</w:t>
              </w:r>
              <w:proofErr w:type="spellEnd"/>
              <w:r>
                <w:t xml:space="preserve"> </w:t>
              </w:r>
              <w:proofErr w:type="spellStart"/>
              <w:r>
                <w:t>Emergency</w:t>
              </w:r>
              <w:proofErr w:type="spellEnd"/>
              <w:r>
                <w:t xml:space="preserve"> </w:t>
              </w:r>
              <w:proofErr w:type="spellStart"/>
              <w:r>
                <w:t>Medicine</w:t>
              </w:r>
              <w:proofErr w:type="spellEnd"/>
              <w:r>
                <w:t>)</w:t>
              </w:r>
            </w:p>
          </w:sdtContent>
        </w:sdt>
        <w:sdt>
          <w:sdtPr>
            <w:id w:val="-1336600684"/>
            <w:placeholder>
              <w:docPart w:val="FA3E59A8182E4796B5638967DBEE8858"/>
            </w:placeholder>
            <w15:repeatingSectionItem/>
          </w:sdtPr>
          <w:sdtContent>
            <w:p w14:paraId="5F009154" w14:textId="77777777" w:rsidR="00C85A6B" w:rsidRPr="00746487" w:rsidRDefault="00C85A6B" w:rsidP="009A4E14">
              <w:pPr>
                <w:pStyle w:val="ZPSeznamzkratek"/>
              </w:pPr>
              <w:r>
                <w:t>IFEM</w:t>
              </w:r>
              <w:r w:rsidRPr="00746487">
                <w:tab/>
                <w:t>–</w:t>
              </w:r>
              <w:r w:rsidRPr="00746487">
                <w:tab/>
              </w:r>
              <w:r>
                <w:t xml:space="preserve">Mezinárodní federace urgentní medicíny (International </w:t>
              </w:r>
              <w:proofErr w:type="spellStart"/>
              <w:r>
                <w:t>Federation</w:t>
              </w:r>
              <w:proofErr w:type="spellEnd"/>
              <w:r>
                <w:t xml:space="preserve"> </w:t>
              </w:r>
              <w:proofErr w:type="spellStart"/>
              <w:r>
                <w:t>of</w:t>
              </w:r>
              <w:proofErr w:type="spellEnd"/>
              <w:r>
                <w:t xml:space="preserve"> </w:t>
              </w:r>
              <w:proofErr w:type="spellStart"/>
              <w:r>
                <w:t>Emergency</w:t>
              </w:r>
              <w:proofErr w:type="spellEnd"/>
              <w:r>
                <w:t xml:space="preserve"> </w:t>
              </w:r>
              <w:proofErr w:type="spellStart"/>
              <w:r>
                <w:t>Medicine</w:t>
              </w:r>
              <w:proofErr w:type="spellEnd"/>
              <w:r>
                <w:t>)</w:t>
              </w:r>
            </w:p>
          </w:sdtContent>
        </w:sdt>
        <w:sdt>
          <w:sdtPr>
            <w:id w:val="-1221819885"/>
            <w:placeholder>
              <w:docPart w:val="2D11DC41BF204A58B529D0926285CA8E"/>
            </w:placeholder>
            <w15:repeatingSectionItem/>
          </w:sdtPr>
          <w:sdtContent>
            <w:p w14:paraId="535D2388" w14:textId="77777777" w:rsidR="00C85A6B" w:rsidRPr="00746487" w:rsidRDefault="00C85A6B" w:rsidP="00C969EA">
              <w:pPr>
                <w:pStyle w:val="ZPSeznamzkratek"/>
              </w:pPr>
              <w:r>
                <w:t>MKN-10</w:t>
              </w:r>
              <w:r w:rsidRPr="00746487">
                <w:tab/>
                <w:t>–</w:t>
              </w:r>
              <w:r w:rsidRPr="00746487">
                <w:tab/>
              </w:r>
              <w:r>
                <w:t>Mezinárodní klasifikace nemocí a souvisejících zdravotních problémů, 10. revize</w:t>
              </w:r>
            </w:p>
          </w:sdtContent>
        </w:sdt>
        <w:sdt>
          <w:sdtPr>
            <w:id w:val="800811980"/>
            <w:placeholder>
              <w:docPart w:val="099F8FC7D4CD4D6A9C6E413E621385E0"/>
            </w:placeholder>
            <w15:repeatingSectionItem/>
          </w:sdtPr>
          <w:sdtContent>
            <w:p w14:paraId="669EE171" w14:textId="0DF2ED60" w:rsidR="004D5701" w:rsidRPr="00746487" w:rsidRDefault="004D5701" w:rsidP="003F666A">
              <w:pPr>
                <w:pStyle w:val="ZPSeznamzkratek"/>
              </w:pPr>
              <w:r>
                <w:t>MPSV</w:t>
              </w:r>
              <w:r w:rsidRPr="00746487">
                <w:tab/>
                <w:t>–</w:t>
              </w:r>
              <w:r w:rsidRPr="00746487">
                <w:tab/>
              </w:r>
              <w:r>
                <w:t>Ministerstvo práce a sociálních věcí</w:t>
              </w:r>
              <w:r w:rsidR="00712CD7">
                <w:t xml:space="preserve"> České republiky</w:t>
              </w:r>
            </w:p>
          </w:sdtContent>
        </w:sdt>
        <w:sdt>
          <w:sdtPr>
            <w:id w:val="-171411255"/>
            <w:placeholder>
              <w:docPart w:val="C5DEE9E4DAAC457DBEC0D64D5913C977"/>
            </w:placeholder>
            <w15:repeatingSectionItem/>
          </w:sdtPr>
          <w:sdtContent>
            <w:p w14:paraId="76D346E3" w14:textId="77777777" w:rsidR="00C85A6B" w:rsidRPr="00746487" w:rsidRDefault="00C85A6B" w:rsidP="00292032">
              <w:pPr>
                <w:pStyle w:val="ZPSeznamzkratek"/>
              </w:pPr>
              <w:r>
                <w:t>NIS</w:t>
              </w:r>
              <w:r w:rsidRPr="00746487">
                <w:tab/>
                <w:t>–</w:t>
              </w:r>
              <w:r w:rsidRPr="00746487">
                <w:tab/>
              </w:r>
              <w:r>
                <w:t>Nemocniční informační systém</w:t>
              </w:r>
            </w:p>
          </w:sdtContent>
        </w:sdt>
        <w:sdt>
          <w:sdtPr>
            <w:id w:val="502398041"/>
            <w:placeholder>
              <w:docPart w:val="E6BFFC919FE243AD991790FAEAD847A8"/>
            </w:placeholder>
            <w15:repeatingSectionItem/>
          </w:sdtPr>
          <w:sdtContent>
            <w:p w14:paraId="5AAFD2FA" w14:textId="77777777" w:rsidR="00F01F0F" w:rsidRPr="00746487" w:rsidRDefault="00F01F0F" w:rsidP="0054175F">
              <w:pPr>
                <w:pStyle w:val="ZPSeznamzkratek"/>
              </w:pPr>
              <w:r>
                <w:t>NS</w:t>
              </w:r>
              <w:r w:rsidRPr="00746487">
                <w:tab/>
                <w:t>–</w:t>
              </w:r>
              <w:r w:rsidRPr="00746487">
                <w:tab/>
              </w:r>
              <w:r>
                <w:t>Nespecifikovaný</w:t>
              </w:r>
            </w:p>
          </w:sdtContent>
        </w:sdt>
        <w:sdt>
          <w:sdtPr>
            <w:id w:val="258036744"/>
            <w:placeholder>
              <w:docPart w:val="88D64C89778349B19A8E1E728111AB67"/>
            </w:placeholder>
            <w15:repeatingSectionItem/>
          </w:sdtPr>
          <w:sdtContent>
            <w:p w14:paraId="3A586A66" w14:textId="75F0B0C7" w:rsidR="00F01F0F" w:rsidRPr="00746487" w:rsidRDefault="00F01F0F" w:rsidP="00431903">
              <w:pPr>
                <w:pStyle w:val="ZPSeznamzkratek"/>
              </w:pPr>
              <w:r>
                <w:t>NUP</w:t>
              </w:r>
              <w:r w:rsidRPr="00746487">
                <w:tab/>
                <w:t>–</w:t>
              </w:r>
              <w:r w:rsidRPr="00746487">
                <w:tab/>
              </w:r>
              <w:r>
                <w:t>Nízkoprahový urgentní příjem</w:t>
              </w:r>
            </w:p>
          </w:sdtContent>
        </w:sdt>
        <w:sdt>
          <w:sdtPr>
            <w:id w:val="-2059071434"/>
            <w:placeholder>
              <w:docPart w:val="BDC3EEC7B59B48478DC75C5EE0D5E647"/>
            </w:placeholder>
            <w15:repeatingSectionItem/>
          </w:sdtPr>
          <w:sdtContent>
            <w:p w14:paraId="6552027D" w14:textId="1FC21D7A" w:rsidR="00431903" w:rsidRPr="00746487" w:rsidRDefault="00431903" w:rsidP="00431903">
              <w:pPr>
                <w:pStyle w:val="ZPSeznamzkratek"/>
                <w:ind w:left="0" w:firstLine="0"/>
              </w:pPr>
              <w:r>
                <w:t>SPSS</w:t>
              </w:r>
              <w:r w:rsidRPr="00746487">
                <w:tab/>
                <w:t>–</w:t>
              </w:r>
              <w:r w:rsidRPr="00746487">
                <w:tab/>
              </w:r>
              <w:r>
                <w:t>S</w:t>
              </w:r>
              <w:r w:rsidRPr="00C31679">
                <w:t>oftwar</w:t>
              </w:r>
              <w:r>
                <w:t>e</w:t>
              </w:r>
              <w:r w:rsidRPr="00C31679">
                <w:t xml:space="preserve"> </w:t>
              </w:r>
              <w:r>
                <w:t xml:space="preserve">IBM </w:t>
              </w:r>
              <w:r w:rsidRPr="00C31679">
                <w:t>SPSS</w:t>
              </w:r>
              <w:r>
                <w:t xml:space="preserve"> </w:t>
              </w:r>
              <w:proofErr w:type="spellStart"/>
              <w:r>
                <w:t>Statistics</w:t>
              </w:r>
              <w:proofErr w:type="spellEnd"/>
              <w:r>
                <w:t xml:space="preserve"> 30</w:t>
              </w:r>
            </w:p>
          </w:sdtContent>
        </w:sdt>
        <w:sdt>
          <w:sdtPr>
            <w:id w:val="454753725"/>
            <w:placeholder>
              <w:docPart w:val="8DE450B976C64B599C79827FE4F89468"/>
            </w:placeholder>
            <w15:repeatingSectionItem/>
          </w:sdtPr>
          <w:sdtContent>
            <w:p w14:paraId="58ED0381" w14:textId="2EA9BFDB" w:rsidR="00F103F6" w:rsidRPr="00746487" w:rsidRDefault="00F103F6" w:rsidP="00431903">
              <w:pPr>
                <w:pStyle w:val="ZPSeznamzkratek"/>
                <w:ind w:left="0" w:firstLine="0"/>
              </w:pPr>
              <w:r>
                <w:t>THP</w:t>
              </w:r>
              <w:r w:rsidRPr="00746487">
                <w:tab/>
                <w:t>–</w:t>
              </w:r>
              <w:r w:rsidRPr="00746487">
                <w:tab/>
              </w:r>
              <w:r>
                <w:t>Technickohospodářský pracovník</w:t>
              </w:r>
            </w:p>
          </w:sdtContent>
        </w:sdt>
        <w:sdt>
          <w:sdtPr>
            <w:id w:val="511271075"/>
            <w:placeholder>
              <w:docPart w:val="14EBF9F054D3476583113B18CE943721"/>
            </w:placeholder>
            <w15:repeatingSectionItem/>
          </w:sdtPr>
          <w:sdtContent>
            <w:p w14:paraId="4F6B3D11" w14:textId="4106BE84" w:rsidR="001F420E" w:rsidRPr="00746487" w:rsidRDefault="001F420E" w:rsidP="003F666A">
              <w:pPr>
                <w:pStyle w:val="ZPSeznamzkratek"/>
              </w:pPr>
              <w:r>
                <w:t>WHO</w:t>
              </w:r>
              <w:r w:rsidRPr="00746487">
                <w:tab/>
                <w:t>–</w:t>
              </w:r>
              <w:r w:rsidRPr="00746487">
                <w:tab/>
              </w:r>
              <w:r w:rsidR="009249F0">
                <w:t>Světová zdravotnická organizace (</w:t>
              </w:r>
              <w:proofErr w:type="spellStart"/>
              <w:r w:rsidR="009249F0">
                <w:t>World</w:t>
              </w:r>
              <w:proofErr w:type="spellEnd"/>
              <w:r w:rsidR="009249F0">
                <w:t xml:space="preserve"> </w:t>
              </w:r>
              <w:proofErr w:type="spellStart"/>
              <w:r w:rsidR="009249F0">
                <w:t>Health</w:t>
              </w:r>
              <w:proofErr w:type="spellEnd"/>
              <w:r w:rsidR="009249F0">
                <w:t xml:space="preserve"> </w:t>
              </w:r>
              <w:proofErr w:type="spellStart"/>
              <w:r w:rsidR="009249F0">
                <w:t>Organization</w:t>
              </w:r>
              <w:proofErr w:type="spellEnd"/>
              <w:r w:rsidR="009249F0">
                <w:t>)</w:t>
              </w:r>
            </w:p>
          </w:sdtContent>
        </w:sdt>
        <w:sdt>
          <w:sdtPr>
            <w:id w:val="-1572809150"/>
            <w:placeholder>
              <w:docPart w:val="5077C46EF48D4C31BD38C8313C849108"/>
            </w:placeholder>
            <w15:repeatingSectionItem/>
          </w:sdtPr>
          <w:sdtContent>
            <w:p w14:paraId="2DCFB508" w14:textId="1ED3A4AC" w:rsidR="004D5A63" w:rsidRPr="00746487" w:rsidRDefault="00F33A2F" w:rsidP="00CD30F8">
              <w:pPr>
                <w:pStyle w:val="ZPSeznamzkratek"/>
              </w:pPr>
              <w:r>
                <w:t>Z</w:t>
              </w:r>
              <w:r w:rsidR="001F724F">
                <w:t>DS</w:t>
              </w:r>
              <w:r w:rsidR="00F736AC" w:rsidRPr="00746487">
                <w:tab/>
                <w:t>–</w:t>
              </w:r>
              <w:r w:rsidR="00F736AC" w:rsidRPr="00746487">
                <w:tab/>
              </w:r>
              <w:r w:rsidR="001F724F">
                <w:t>Zdravotnická dopravní služba</w:t>
              </w:r>
            </w:p>
          </w:sdtContent>
        </w:sdt>
        <w:sdt>
          <w:sdtPr>
            <w:id w:val="1055890552"/>
            <w:placeholder>
              <w:docPart w:val="935DB51E088E4D51828DB386B13FA844"/>
            </w:placeholder>
            <w15:repeatingSectionItem/>
          </w:sdtPr>
          <w:sdtContent>
            <w:p w14:paraId="56E79E5A" w14:textId="02D3B4D4" w:rsidR="00431903" w:rsidRPr="00746487" w:rsidRDefault="00431903" w:rsidP="00D96606">
              <w:pPr>
                <w:pStyle w:val="ZPSeznamzkratek"/>
              </w:pPr>
              <w:r>
                <w:t>ZZS</w:t>
              </w:r>
              <w:r w:rsidRPr="00746487">
                <w:tab/>
                <w:t>–</w:t>
              </w:r>
              <w:r w:rsidRPr="00746487">
                <w:tab/>
              </w:r>
              <w:r>
                <w:t>Zdravotnická záchranná služba</w:t>
              </w:r>
            </w:p>
          </w:sdtContent>
        </w:sdt>
      </w:sdtContent>
    </w:sdt>
    <w:p w14:paraId="71E9FAB8" w14:textId="327A997B" w:rsidR="0076570B" w:rsidRPr="00746487" w:rsidRDefault="0076570B" w:rsidP="00EB38D1">
      <w:pPr>
        <w:pStyle w:val="ZPSeznamzkratek"/>
      </w:pPr>
    </w:p>
    <w:p w14:paraId="3363CA8D" w14:textId="77777777" w:rsidR="00960575" w:rsidRDefault="00960575" w:rsidP="00F92E36">
      <w:pPr>
        <w:pStyle w:val="Nadpis10"/>
      </w:pPr>
      <w:bookmarkStart w:id="7" w:name="_Toc195517102"/>
      <w:r>
        <w:lastRenderedPageBreak/>
        <w:t>Seznam příloh</w:t>
      </w:r>
      <w:bookmarkEnd w:id="7"/>
    </w:p>
    <w:p w14:paraId="165E6395" w14:textId="77777777" w:rsidR="00960575" w:rsidRDefault="00960575" w:rsidP="006072DC">
      <w:pPr>
        <w:pStyle w:val="ZPNadpisy2"/>
      </w:pPr>
      <w:r>
        <w:t>Přílohy v textu</w:t>
      </w:r>
    </w:p>
    <w:p w14:paraId="2BEDBA64" w14:textId="29A22629" w:rsidR="00DD35FB" w:rsidRDefault="00960575">
      <w:pPr>
        <w:pStyle w:val="Obsah9"/>
        <w:rPr>
          <w:rFonts w:asciiTheme="minorHAnsi" w:eastAsiaTheme="minorEastAsia" w:hAnsiTheme="minorHAnsi" w:cstheme="minorBidi"/>
          <w:noProof/>
          <w:kern w:val="2"/>
          <w14:ligatures w14:val="standardContextual"/>
        </w:rPr>
      </w:pPr>
      <w:r>
        <w:fldChar w:fldCharType="begin"/>
      </w:r>
      <w:r>
        <w:instrText xml:space="preserve"> TOC \h \z \t "Příloha 1;9;" </w:instrText>
      </w:r>
      <w:r>
        <w:fldChar w:fldCharType="separate"/>
      </w:r>
      <w:hyperlink w:anchor="_Toc195517158" w:history="1">
        <w:r w:rsidR="00DD35FB" w:rsidRPr="00314167">
          <w:rPr>
            <w:rStyle w:val="Hypertextovodkaz"/>
            <w:noProof/>
          </w:rPr>
          <w:t>Příloha A</w:t>
        </w:r>
        <w:r w:rsidR="00DD35FB">
          <w:rPr>
            <w:rFonts w:asciiTheme="minorHAnsi" w:eastAsiaTheme="minorEastAsia" w:hAnsiTheme="minorHAnsi" w:cstheme="minorBidi"/>
            <w:noProof/>
            <w:kern w:val="2"/>
            <w14:ligatures w14:val="standardContextual"/>
          </w:rPr>
          <w:tab/>
        </w:r>
        <w:r w:rsidR="00DD35FB" w:rsidRPr="00314167">
          <w:rPr>
            <w:rStyle w:val="Hypertextovodkaz"/>
            <w:noProof/>
          </w:rPr>
          <w:t>Žádost o sběr dat pro studijní účely</w:t>
        </w:r>
        <w:r w:rsidR="00DD35FB">
          <w:rPr>
            <w:noProof/>
            <w:webHidden/>
          </w:rPr>
          <w:tab/>
        </w:r>
        <w:r w:rsidR="00DD35FB">
          <w:rPr>
            <w:noProof/>
            <w:webHidden/>
          </w:rPr>
          <w:fldChar w:fldCharType="begin"/>
        </w:r>
        <w:r w:rsidR="00DD35FB">
          <w:rPr>
            <w:noProof/>
            <w:webHidden/>
          </w:rPr>
          <w:instrText xml:space="preserve"> PAGEREF _Toc195517158 \h </w:instrText>
        </w:r>
        <w:r w:rsidR="00DD35FB">
          <w:rPr>
            <w:noProof/>
            <w:webHidden/>
          </w:rPr>
        </w:r>
        <w:r w:rsidR="00DD35FB">
          <w:rPr>
            <w:noProof/>
            <w:webHidden/>
          </w:rPr>
          <w:fldChar w:fldCharType="separate"/>
        </w:r>
        <w:r w:rsidR="00DD35FB">
          <w:rPr>
            <w:noProof/>
            <w:webHidden/>
          </w:rPr>
          <w:t>93</w:t>
        </w:r>
        <w:r w:rsidR="00DD35FB">
          <w:rPr>
            <w:noProof/>
            <w:webHidden/>
          </w:rPr>
          <w:fldChar w:fldCharType="end"/>
        </w:r>
      </w:hyperlink>
    </w:p>
    <w:p w14:paraId="4578E9DD" w14:textId="5A14483F" w:rsidR="00960575" w:rsidRDefault="00960575" w:rsidP="005E6DDB">
      <w:pPr>
        <w:pStyle w:val="ZPNadpisy2"/>
      </w:pPr>
      <w:r>
        <w:fldChar w:fldCharType="end"/>
      </w:r>
    </w:p>
    <w:p w14:paraId="4AB099AD" w14:textId="77777777" w:rsidR="00960575" w:rsidRPr="00746487" w:rsidRDefault="00960575" w:rsidP="002C0686">
      <w:pPr>
        <w:pStyle w:val="ZPSeznamzkratek"/>
        <w:sectPr w:rsidR="00960575" w:rsidRPr="00746487" w:rsidSect="002005DB">
          <w:headerReference w:type="even" r:id="rId27"/>
          <w:headerReference w:type="default" r:id="rId28"/>
          <w:type w:val="oddPage"/>
          <w:pgSz w:w="11906" w:h="16838" w:code="9"/>
          <w:pgMar w:top="1980" w:right="1140" w:bottom="2380" w:left="1140" w:header="1140" w:footer="1420" w:gutter="860"/>
          <w:cols w:space="708"/>
          <w:docGrid w:linePitch="360"/>
        </w:sectPr>
      </w:pPr>
    </w:p>
    <w:p w14:paraId="74046C3E" w14:textId="77777777" w:rsidR="00BF14D0" w:rsidRPr="00746487" w:rsidRDefault="00BF14D0" w:rsidP="002E32D6">
      <w:pPr>
        <w:pStyle w:val="Nadpis1"/>
        <w:numPr>
          <w:ilvl w:val="0"/>
          <w:numId w:val="14"/>
        </w:numPr>
      </w:pPr>
      <w:bookmarkStart w:id="8" w:name="_Toc381564257"/>
      <w:bookmarkStart w:id="9" w:name="_Toc20320070"/>
      <w:bookmarkStart w:id="10" w:name="_Toc195517103"/>
      <w:r w:rsidRPr="00EE252F">
        <w:lastRenderedPageBreak/>
        <w:t>Úvod</w:t>
      </w:r>
      <w:bookmarkEnd w:id="8"/>
      <w:bookmarkEnd w:id="9"/>
      <w:bookmarkEnd w:id="10"/>
    </w:p>
    <w:p w14:paraId="2283AF25" w14:textId="5D056CEA" w:rsidR="0093735D" w:rsidRDefault="007A5A81" w:rsidP="005A20B0">
      <w:pPr>
        <w:pStyle w:val="Odstavec1"/>
      </w:pPr>
      <w:r>
        <w:t xml:space="preserve">Vlivem </w:t>
      </w:r>
      <w:r w:rsidR="009A3E6D">
        <w:t xml:space="preserve">výrazného </w:t>
      </w:r>
      <w:r w:rsidR="00953D32">
        <w:t>pokroku</w:t>
      </w:r>
      <w:r w:rsidR="006A2687">
        <w:t xml:space="preserve"> </w:t>
      </w:r>
      <w:r w:rsidR="009A3E6D">
        <w:t>v</w:t>
      </w:r>
      <w:r w:rsidR="000C507A">
        <w:t xml:space="preserve"> oblastech </w:t>
      </w:r>
      <w:r w:rsidR="00615C07">
        <w:t xml:space="preserve">zdravotnictví, </w:t>
      </w:r>
      <w:r w:rsidR="002406D7">
        <w:t>sociální</w:t>
      </w:r>
      <w:r w:rsidR="000C507A">
        <w:t>ho</w:t>
      </w:r>
      <w:r w:rsidR="002406D7">
        <w:t xml:space="preserve"> a</w:t>
      </w:r>
      <w:r w:rsidR="00615C07">
        <w:t> </w:t>
      </w:r>
      <w:r w:rsidR="002406D7">
        <w:t>ekonomick</w:t>
      </w:r>
      <w:r w:rsidR="000C507A">
        <w:t>ého</w:t>
      </w:r>
      <w:r w:rsidR="009A3E6D">
        <w:t xml:space="preserve"> </w:t>
      </w:r>
      <w:r w:rsidR="00953D32">
        <w:t>rozvoj</w:t>
      </w:r>
      <w:r w:rsidR="00615C07">
        <w:t>e</w:t>
      </w:r>
      <w:r w:rsidR="00FC0F4C">
        <w:t xml:space="preserve"> </w:t>
      </w:r>
      <w:r w:rsidR="00F216FB">
        <w:t>dochází k</w:t>
      </w:r>
      <w:r w:rsidR="00FC0F4C">
        <w:t> posun</w:t>
      </w:r>
      <w:r w:rsidR="00F216FB">
        <w:t>u</w:t>
      </w:r>
      <w:r w:rsidR="00FC0F4C">
        <w:t xml:space="preserve"> úmrtnosti do vyšších věkových kategorií</w:t>
      </w:r>
      <w:r w:rsidR="005F71AE">
        <w:t xml:space="preserve">, </w:t>
      </w:r>
      <w:r w:rsidR="000E5F16">
        <w:t>což</w:t>
      </w:r>
      <w:r w:rsidR="005F71AE">
        <w:t xml:space="preserve"> je</w:t>
      </w:r>
      <w:r w:rsidR="00B41AC9">
        <w:t xml:space="preserve"> </w:t>
      </w:r>
      <w:r w:rsidR="000E5F16">
        <w:t>často</w:t>
      </w:r>
      <w:r w:rsidR="0002592C">
        <w:t xml:space="preserve"> </w:t>
      </w:r>
      <w:r w:rsidR="0013531E">
        <w:t>doprovázen</w:t>
      </w:r>
      <w:r w:rsidR="000E5F16">
        <w:t>o</w:t>
      </w:r>
      <w:r w:rsidR="0002592C">
        <w:t xml:space="preserve"> </w:t>
      </w:r>
      <w:r w:rsidR="0013531E">
        <w:t>poklesem plodnosti a porodnosti.</w:t>
      </w:r>
      <w:r w:rsidR="00E55ED3">
        <w:t xml:space="preserve"> Tento proces vede k</w:t>
      </w:r>
      <w:r w:rsidR="004D43CE">
        <w:t xml:space="preserve"> demografickému</w:t>
      </w:r>
      <w:r w:rsidR="00953556">
        <w:t xml:space="preserve"> </w:t>
      </w:r>
      <w:r w:rsidR="00503FB7">
        <w:t>stárnutí společnosti, které</w:t>
      </w:r>
      <w:r w:rsidR="00F22B48">
        <w:t xml:space="preserve"> v</w:t>
      </w:r>
      <w:r w:rsidR="00104278">
        <w:t xml:space="preserve"> poslední</w:t>
      </w:r>
      <w:r w:rsidR="00F22B48">
        <w:t>ch</w:t>
      </w:r>
      <w:r w:rsidR="00104278">
        <w:t xml:space="preserve"> dekád</w:t>
      </w:r>
      <w:r w:rsidR="00F22B48">
        <w:t xml:space="preserve">ách </w:t>
      </w:r>
      <w:r w:rsidR="009D4BCB">
        <w:t>n</w:t>
      </w:r>
      <w:r w:rsidR="004D43CE">
        <w:t>abývá</w:t>
      </w:r>
      <w:r w:rsidR="00104278">
        <w:t xml:space="preserve"> </w:t>
      </w:r>
      <w:r w:rsidR="000329DE">
        <w:t>celosvětového rozsahu.</w:t>
      </w:r>
      <w:r w:rsidR="00BD3F42">
        <w:t xml:space="preserve"> Výsled</w:t>
      </w:r>
      <w:r w:rsidR="007401B0">
        <w:t>kem</w:t>
      </w:r>
      <w:r w:rsidR="00136354">
        <w:t xml:space="preserve"> je</w:t>
      </w:r>
      <w:r w:rsidR="000E54CC">
        <w:t xml:space="preserve"> </w:t>
      </w:r>
      <w:r w:rsidR="00136354">
        <w:t>nár</w:t>
      </w:r>
      <w:r w:rsidR="00724BA2">
        <w:t>ů</w:t>
      </w:r>
      <w:r w:rsidR="00136354">
        <w:t>st osob vyššího věku</w:t>
      </w:r>
      <w:r w:rsidR="00CB7C1E">
        <w:t xml:space="preserve">, </w:t>
      </w:r>
      <w:r w:rsidR="00F35C8D">
        <w:t>zvláště pak osob dlouhověkých</w:t>
      </w:r>
      <w:r w:rsidR="00CB7C1E">
        <w:t>,</w:t>
      </w:r>
      <w:r w:rsidR="00136354">
        <w:t xml:space="preserve"> </w:t>
      </w:r>
      <w:r w:rsidR="001C2B6C">
        <w:t>na úkor reprodukční a</w:t>
      </w:r>
      <w:r w:rsidR="00F35C8D">
        <w:t> </w:t>
      </w:r>
      <w:r w:rsidR="001C2B6C">
        <w:t>před</w:t>
      </w:r>
      <w:r w:rsidR="00BF6CF1">
        <w:t>-</w:t>
      </w:r>
      <w:r w:rsidR="001C2B6C">
        <w:t xml:space="preserve">reprodukční složky </w:t>
      </w:r>
      <w:r w:rsidR="00136354">
        <w:t xml:space="preserve">dané </w:t>
      </w:r>
      <w:r w:rsidR="004D13FF">
        <w:t>populace</w:t>
      </w:r>
      <w:r w:rsidR="00136354">
        <w:t>.</w:t>
      </w:r>
      <w:r w:rsidR="00F846EE">
        <w:fldChar w:fldCharType="begin"/>
      </w:r>
      <w:r w:rsidR="002B3D48">
        <w:instrText xml:space="preserve"> ADDIN ZOTERO_ITEM CSL_CITATION {"citationID":"zqweoWNJ","properties":{"formattedCitation":"\\super 1(p45),2(p24,30),3(p2)\\nosupersub{}","plainCitation":"1(p45),2(p24,30),3(p2)","noteIndex":0},"citationItems":[{"id":133,"uris":["http://zotero.org/users/9426386/items/RW2L6RHE"],"itemData":{"id":133,"type":"book","event-place":"Praha","ISBN":"978-80-247-0548-4","language":"cze","note":"OCLC: 85137350","publisher":"Grada","publisher-place":"Praha","source":"Open WorldCat","title":"Geriatrie a gerontologie","author":[{"family":"Kalvach","given":"Zdeněk"},{"family":"Zadák","given":"Z."},{"family":"Jirák","given":"R."},{"family":"Zavázalová","given":"H."},{"family":"Sucharda","given":"P."}],"issued":{"date-parts":[["2004"]]}},"locator":"45","label":"page"},{"id":142,"uris":["http://zotero.org/users/9426386/items/23ZMXUSV"],"itemData":{"id":142,"type":"article-journal","abstract":"Old age and aging of individuals are phenomenons that took important place in society as early as former times. During twentieth century the question of aging got new meaning, because it newly started to overreach from individual level to all-society. As a result of improvement of some social conditions (f.e. medical care, lifestyle, hygiene, living standard etc.), that was already initiated approximately at the beginning of the nineteenth century, dying started to be moved to higher age and people live longer. In modern societies this event usually goes with decline of natality and fertility. In final effect combination of these two factors causes the process that is known as demographic aging. In general we have to distinction between two views of problems of aging. The first view is focused on individual aging, the second one on demographic aging of human population. But it is clear that both of these views relate to each other. Similarly this article offers the roundup of problems of demographic aging, but also gives a touch of questions about longevity and quality of life, that gain ground in connection with theme of individual aging.","container-title":"NAŠE SPOLEČNOST","issue":"1","language":"cs","page":"24-30","source":"Zotero","title":"Demografické souvislosti stárnutí","volume":"5","author":[{"family":"Dimitrová","given":"Michaela"}],"issued":{"date-parts":[["2007"]]}},"locator":"24,30","label":"page"},{"id":161,"uris":["http://zotero.org/users/9426386/items/UI2YZEZG"],"itemData":{"id":161,"type":"document","language":"en","publisher":"World Health Organization","title":"UN Decade of Healthy Ageing: Plan of Action 2021-2030","URL":"https://www.who.int/initiatives/decade-of-healthy-ageing","issued":{"date-parts":[["2020",12,14]]}},"locator":"2","label":"page"}],"schema":"https://github.com/citation-style-language/schema/raw/master/csl-citation.json"} </w:instrText>
      </w:r>
      <w:r w:rsidR="00F846EE">
        <w:fldChar w:fldCharType="separate"/>
      </w:r>
      <w:r w:rsidR="00F846EE" w:rsidRPr="00F846EE">
        <w:rPr>
          <w:vertAlign w:val="superscript"/>
        </w:rPr>
        <w:t>1(p45),2(p24,30),3(p2)</w:t>
      </w:r>
      <w:r w:rsidR="00F846EE">
        <w:fldChar w:fldCharType="end"/>
      </w:r>
    </w:p>
    <w:p w14:paraId="21626648" w14:textId="5AE4FAE0" w:rsidR="00F53991" w:rsidRPr="00F53991" w:rsidRDefault="002032D5" w:rsidP="00F53991">
      <w:pPr>
        <w:pStyle w:val="Dalodstavce"/>
      </w:pPr>
      <w:r>
        <w:t>Demografické s</w:t>
      </w:r>
      <w:r w:rsidR="00B817E5">
        <w:t xml:space="preserve">tárnutí </w:t>
      </w:r>
      <w:r w:rsidR="00206223">
        <w:t>je velice ko</w:t>
      </w:r>
      <w:r w:rsidR="005611EC">
        <w:t>m</w:t>
      </w:r>
      <w:r w:rsidR="00206223">
        <w:t>plexní</w:t>
      </w:r>
      <w:r w:rsidR="005611EC">
        <w:t xml:space="preserve"> tematikou na celospolečenské úrovni.</w:t>
      </w:r>
      <w:r w:rsidR="002A01F7">
        <w:t xml:space="preserve"> Jedn</w:t>
      </w:r>
      <w:r w:rsidR="00F12460">
        <w:t>ou</w:t>
      </w:r>
      <w:r w:rsidR="002A01F7">
        <w:t xml:space="preserve"> </w:t>
      </w:r>
      <w:r w:rsidR="00F12460">
        <w:t>z oblastí</w:t>
      </w:r>
      <w:r w:rsidR="002A01F7">
        <w:t>, kter</w:t>
      </w:r>
      <w:r w:rsidR="00F12460">
        <w:t>á</w:t>
      </w:r>
      <w:r w:rsidR="002A01F7">
        <w:t xml:space="preserve"> </w:t>
      </w:r>
      <w:r w:rsidR="00212F48">
        <w:t xml:space="preserve">je </w:t>
      </w:r>
      <w:r w:rsidR="009D1CA1">
        <w:t xml:space="preserve">taktéž </w:t>
      </w:r>
      <w:r w:rsidR="00212F48">
        <w:t>dotčen</w:t>
      </w:r>
      <w:r w:rsidR="00F12460">
        <w:t>a</w:t>
      </w:r>
      <w:r w:rsidR="00212F48">
        <w:t xml:space="preserve"> dopady zmíněných demografických změn, j</w:t>
      </w:r>
      <w:r w:rsidR="00F15913">
        <w:t>sou</w:t>
      </w:r>
      <w:r w:rsidR="00212F48">
        <w:t xml:space="preserve"> </w:t>
      </w:r>
      <w:r w:rsidR="00F15913">
        <w:t>urgentní příjmy</w:t>
      </w:r>
      <w:r w:rsidR="00632885" w:rsidRPr="00A7651F">
        <w:t xml:space="preserve">. </w:t>
      </w:r>
      <w:r w:rsidR="00751908" w:rsidRPr="00A7651F">
        <w:t>Největší nár</w:t>
      </w:r>
      <w:r w:rsidR="00724BA2">
        <w:t>ů</w:t>
      </w:r>
      <w:r w:rsidR="00751908" w:rsidRPr="00A7651F">
        <w:t>st</w:t>
      </w:r>
      <w:r w:rsidR="00FD3F99" w:rsidRPr="00A7651F">
        <w:t xml:space="preserve"> potřeby zdravotní péče v</w:t>
      </w:r>
      <w:r w:rsidR="00401262" w:rsidRPr="00A7651F">
        <w:t xml:space="preserve"> to</w:t>
      </w:r>
      <w:r w:rsidR="00FD3F99" w:rsidRPr="00A7651F">
        <w:t>mto</w:t>
      </w:r>
      <w:r w:rsidR="00401262" w:rsidRPr="00A7651F">
        <w:t xml:space="preserve"> </w:t>
      </w:r>
      <w:r w:rsidR="005F3E5E" w:rsidRPr="00A7651F">
        <w:t>segment</w:t>
      </w:r>
      <w:r w:rsidR="00401262" w:rsidRPr="00A7651F">
        <w:t>u</w:t>
      </w:r>
      <w:r w:rsidR="005F3E5E" w:rsidRPr="00A7651F">
        <w:t xml:space="preserve"> urgentní medicíny</w:t>
      </w:r>
      <w:r w:rsidR="00401262" w:rsidRPr="00A7651F">
        <w:t xml:space="preserve"> j</w:t>
      </w:r>
      <w:r w:rsidR="00591D62" w:rsidRPr="00A7651F">
        <w:t xml:space="preserve">e </w:t>
      </w:r>
      <w:r w:rsidR="006470AE" w:rsidRPr="00A7651F">
        <w:t xml:space="preserve">již delší dobu </w:t>
      </w:r>
      <w:r w:rsidR="00912C67" w:rsidRPr="00A7651F">
        <w:t>pozorován</w:t>
      </w:r>
      <w:r w:rsidR="007F3AAF" w:rsidRPr="00A7651F">
        <w:t xml:space="preserve"> právě</w:t>
      </w:r>
      <w:r w:rsidR="00401262" w:rsidRPr="00A7651F">
        <w:t xml:space="preserve"> </w:t>
      </w:r>
      <w:r w:rsidR="00912C67" w:rsidRPr="00A7651F">
        <w:t xml:space="preserve">u </w:t>
      </w:r>
      <w:r w:rsidR="00591D62" w:rsidRPr="00A7651F">
        <w:t>starší</w:t>
      </w:r>
      <w:r w:rsidR="00F466A2" w:rsidRPr="00A7651F">
        <w:t xml:space="preserve"> části populace</w:t>
      </w:r>
      <w:r w:rsidR="00F65C6E">
        <w:t>, což představuje proces</w:t>
      </w:r>
      <w:r w:rsidR="008529C9">
        <w:t xml:space="preserve"> </w:t>
      </w:r>
      <w:r w:rsidR="002C6408" w:rsidRPr="00A7651F">
        <w:t xml:space="preserve">tzv. </w:t>
      </w:r>
      <w:proofErr w:type="spellStart"/>
      <w:r w:rsidR="002C6408" w:rsidRPr="00A7651F">
        <w:t>geriatrizac</w:t>
      </w:r>
      <w:r w:rsidR="00897620">
        <w:t>e</w:t>
      </w:r>
      <w:proofErr w:type="spellEnd"/>
      <w:r w:rsidR="002C6408" w:rsidRPr="00A7651F">
        <w:t xml:space="preserve"> medicíny</w:t>
      </w:r>
      <w:r w:rsidR="007F3AAF" w:rsidRPr="00A7651F">
        <w:t>.</w:t>
      </w:r>
      <w:r w:rsidR="00220238" w:rsidRPr="00A7651F">
        <w:t xml:space="preserve"> </w:t>
      </w:r>
      <w:r w:rsidR="00DF41C6">
        <w:t>Přitom</w:t>
      </w:r>
      <w:r w:rsidR="00140F4B">
        <w:t> </w:t>
      </w:r>
      <w:r w:rsidR="004235D4">
        <w:t xml:space="preserve">s </w:t>
      </w:r>
      <w:r w:rsidR="00140F4B">
        <w:t>pacient</w:t>
      </w:r>
      <w:r w:rsidR="004235D4">
        <w:t>y</w:t>
      </w:r>
      <w:r w:rsidR="00140F4B">
        <w:t xml:space="preserve"> vyšších věkových kategorií </w:t>
      </w:r>
      <w:r w:rsidR="004235D4">
        <w:t>j</w:t>
      </w:r>
      <w:r w:rsidR="00A63270">
        <w:t xml:space="preserve">e </w:t>
      </w:r>
      <w:r w:rsidR="004235D4">
        <w:t>spjat</w:t>
      </w:r>
      <w:r w:rsidR="00A63270">
        <w:t>a</w:t>
      </w:r>
      <w:r w:rsidR="004235D4">
        <w:t xml:space="preserve"> řada specifi</w:t>
      </w:r>
      <w:r w:rsidR="00630C5A">
        <w:t xml:space="preserve">k </w:t>
      </w:r>
      <w:r w:rsidR="00650204">
        <w:t xml:space="preserve">a odlišností </w:t>
      </w:r>
      <w:r w:rsidR="00DC2D48">
        <w:t xml:space="preserve">oproti mladším pacientům </w:t>
      </w:r>
      <w:r w:rsidR="00650204">
        <w:t>(</w:t>
      </w:r>
      <w:r w:rsidR="00BF540C">
        <w:t xml:space="preserve">kupříkladu </w:t>
      </w:r>
      <w:r w:rsidR="00E26081">
        <w:t xml:space="preserve">mnohdy </w:t>
      </w:r>
      <w:r w:rsidR="001A2D86">
        <w:t>obtížnější a</w:t>
      </w:r>
      <w:r w:rsidR="00471C3B">
        <w:t> </w:t>
      </w:r>
      <w:r w:rsidR="001A2D86">
        <w:t xml:space="preserve">časově náročnější diagnostika </w:t>
      </w:r>
      <w:r w:rsidR="00E26081">
        <w:t>nebo</w:t>
      </w:r>
      <w:r w:rsidR="001A2D86">
        <w:t xml:space="preserve"> léčba</w:t>
      </w:r>
      <w:r w:rsidR="00650204">
        <w:t>).</w:t>
      </w:r>
      <w:r w:rsidR="00F823EF">
        <w:t xml:space="preserve"> </w:t>
      </w:r>
      <w:r w:rsidR="00806FC3" w:rsidRPr="00A7651F">
        <w:t xml:space="preserve">Urgentní příjmy </w:t>
      </w:r>
      <w:r w:rsidR="00654309">
        <w:t>plní</w:t>
      </w:r>
      <w:r w:rsidR="00260681" w:rsidRPr="00A7651F">
        <w:t xml:space="preserve"> funkci </w:t>
      </w:r>
      <w:r w:rsidR="00897620">
        <w:t>pomyslného</w:t>
      </w:r>
      <w:r w:rsidR="00260681" w:rsidRPr="00A7651F">
        <w:t xml:space="preserve"> průsečíku v řetězci </w:t>
      </w:r>
      <w:r w:rsidR="00710C9D" w:rsidRPr="00A7651F">
        <w:t>poskytov</w:t>
      </w:r>
      <w:r w:rsidR="00366DC6">
        <w:t>ání</w:t>
      </w:r>
      <w:r w:rsidR="00710C9D" w:rsidRPr="00A7651F">
        <w:t xml:space="preserve"> zdravotní péče </w:t>
      </w:r>
      <w:r w:rsidR="00CE296B">
        <w:t>všem věkovým skupinám</w:t>
      </w:r>
      <w:r w:rsidR="001A5F0E" w:rsidRPr="00A7651F">
        <w:t>,</w:t>
      </w:r>
      <w:r w:rsidR="00F32516" w:rsidRPr="00A7651F">
        <w:t xml:space="preserve"> a pro starší </w:t>
      </w:r>
      <w:r w:rsidR="00CE296B">
        <w:t>osoby</w:t>
      </w:r>
      <w:r w:rsidR="00F32516" w:rsidRPr="00A7651F">
        <w:t xml:space="preserve"> se stáv</w:t>
      </w:r>
      <w:r w:rsidR="001E3352" w:rsidRPr="00A7651F">
        <w:t>ají</w:t>
      </w:r>
      <w:r w:rsidR="00F32516" w:rsidRPr="00A7651F">
        <w:t xml:space="preserve"> velmi důlež</w:t>
      </w:r>
      <w:r w:rsidR="00310B04" w:rsidRPr="00A7651F">
        <w:t>i</w:t>
      </w:r>
      <w:r w:rsidR="00F32516" w:rsidRPr="00A7651F">
        <w:t>tým</w:t>
      </w:r>
      <w:r w:rsidR="00905A87" w:rsidRPr="00A7651F">
        <w:t xml:space="preserve">, často také jediným, přístupovým místem </w:t>
      </w:r>
      <w:r w:rsidR="004E75A7" w:rsidRPr="00A7651F">
        <w:t>do</w:t>
      </w:r>
      <w:r w:rsidR="00692796">
        <w:t xml:space="preserve"> </w:t>
      </w:r>
      <w:r w:rsidR="004E75A7" w:rsidRPr="00A7651F">
        <w:t>systému</w:t>
      </w:r>
      <w:r w:rsidR="00692796">
        <w:t xml:space="preserve"> zdravotnictví</w:t>
      </w:r>
      <w:r w:rsidR="00310B04" w:rsidRPr="00A7651F">
        <w:t>.</w:t>
      </w:r>
      <w:r w:rsidR="00056D7F" w:rsidRPr="00A7651F">
        <w:t xml:space="preserve"> </w:t>
      </w:r>
      <w:r w:rsidR="00F87442" w:rsidRPr="00A7651F">
        <w:t>Na této úrovni tak může e</w:t>
      </w:r>
      <w:r w:rsidR="00056D7F" w:rsidRPr="00A7651F">
        <w:t xml:space="preserve">fektivní </w:t>
      </w:r>
      <w:r w:rsidR="008C6664" w:rsidRPr="00A7651F">
        <w:t xml:space="preserve">hodnocení a </w:t>
      </w:r>
      <w:r w:rsidR="00056D7F" w:rsidRPr="00A7651F">
        <w:t>management</w:t>
      </w:r>
      <w:r w:rsidR="00F87442" w:rsidRPr="00A7651F">
        <w:t xml:space="preserve"> výraznou měrou přispět k</w:t>
      </w:r>
      <w:r w:rsidR="00FC6F62" w:rsidRPr="00A7651F">
        <w:t>e z</w:t>
      </w:r>
      <w:r w:rsidR="001079B5" w:rsidRPr="00A7651F">
        <w:t>kvalitnění včasné a účinné diagnosti</w:t>
      </w:r>
      <w:r w:rsidR="008219EB">
        <w:t>ky</w:t>
      </w:r>
      <w:r w:rsidR="00603642" w:rsidRPr="00A7651F">
        <w:t>, optimální léčb</w:t>
      </w:r>
      <w:r w:rsidR="00264AEC">
        <w:t>y</w:t>
      </w:r>
      <w:r w:rsidR="00933D4B" w:rsidRPr="00A7651F">
        <w:t xml:space="preserve"> </w:t>
      </w:r>
      <w:r w:rsidR="00F45401" w:rsidRPr="00A7651F">
        <w:t xml:space="preserve">pacienta, </w:t>
      </w:r>
      <w:r w:rsidR="00933D4B" w:rsidRPr="00A7651F">
        <w:t>prevenc</w:t>
      </w:r>
      <w:r w:rsidR="00C968D3">
        <w:t>i</w:t>
      </w:r>
      <w:r w:rsidR="00315F08" w:rsidRPr="00A7651F">
        <w:t xml:space="preserve"> nemocnosti</w:t>
      </w:r>
      <w:r w:rsidR="00CE6E01" w:rsidRPr="00A7651F">
        <w:t>,</w:t>
      </w:r>
      <w:r w:rsidR="00D204AD" w:rsidRPr="00A7651F">
        <w:t xml:space="preserve"> přechodu </w:t>
      </w:r>
      <w:r w:rsidR="009B5002" w:rsidRPr="00A7651F">
        <w:t>k navazující</w:t>
      </w:r>
      <w:r w:rsidR="00D204AD" w:rsidRPr="00A7651F">
        <w:t xml:space="preserve"> </w:t>
      </w:r>
      <w:r w:rsidR="006E4C79" w:rsidRPr="00A7651F">
        <w:t>zdravotní</w:t>
      </w:r>
      <w:r w:rsidR="00DC1F63">
        <w:t xml:space="preserve"> či </w:t>
      </w:r>
      <w:r w:rsidR="006E4C79" w:rsidRPr="00A7651F">
        <w:t xml:space="preserve">sociální </w:t>
      </w:r>
      <w:r w:rsidR="00D204AD" w:rsidRPr="00A7651F">
        <w:t>péči</w:t>
      </w:r>
      <w:r w:rsidR="00F45401" w:rsidRPr="00A7651F">
        <w:t xml:space="preserve"> a</w:t>
      </w:r>
      <w:r w:rsidR="00CE6E01" w:rsidRPr="00A7651F">
        <w:t xml:space="preserve"> </w:t>
      </w:r>
      <w:r w:rsidR="00D979E3">
        <w:t xml:space="preserve">výsledně taktéž </w:t>
      </w:r>
      <w:r w:rsidR="00BE5BE6">
        <w:t xml:space="preserve">ke </w:t>
      </w:r>
      <w:r w:rsidR="00CE6E01" w:rsidRPr="00A7651F">
        <w:t xml:space="preserve">snížení zátěže </w:t>
      </w:r>
      <w:r w:rsidR="007F6D4A">
        <w:t xml:space="preserve">samotných </w:t>
      </w:r>
      <w:r w:rsidR="00CE6E01" w:rsidRPr="00A7651F">
        <w:t>urge</w:t>
      </w:r>
      <w:r w:rsidR="00DE4C2E" w:rsidRPr="00A7651F">
        <w:t>ntních příjm</w:t>
      </w:r>
      <w:r w:rsidR="001F76E4" w:rsidRPr="00A7651F">
        <w:t>ů</w:t>
      </w:r>
      <w:r w:rsidR="00F45401" w:rsidRPr="00A7651F">
        <w:t>.</w:t>
      </w:r>
      <w:r w:rsidR="00463868">
        <w:fldChar w:fldCharType="begin"/>
      </w:r>
      <w:r w:rsidR="009C123F">
        <w:instrText xml:space="preserve"> ADDIN ZOTERO_ITEM CSL_CITATION {"citationID":"X1bXrYng","properties":{"formattedCitation":"\\super 1(p45),4(p13),5(p10),6(p4)\\nosupersub{}","plainCitation":"1(p45),4(p13),5(p10),6(p4)","noteIndex":0},"citationItems":[{"id":133,"uris":["http://zotero.org/users/9426386/items/RW2L6RHE"],"itemData":{"id":133,"type":"book","event-place":"Praha","ISBN":"978-80-247-0548-4","language":"cze","note":"OCLC: 85137350","publisher":"Grada","publisher-place":"Praha","source":"Open WorldCat","title":"Geriatrie a gerontologie","author":[{"family":"Kalvach","given":"Zdeněk"},{"family":"Zadák","given":"Z."},{"family":"Jirák","given":"R."},{"family":"Zavázalová","given":"H."},{"family":"Sucharda","given":"P."}],"issued":{"date-parts":[["2004"]]}},"locator":"45","label":"page"},{"id":148,"uris":["http://zotero.org/users/9426386/items/9H3AY94L"],"itemData":{"id":148,"type":"book","ISBN":"978-80-204-5489-8","language":"cs","publisher":"Mladá fronta","title":"Aktivní gerontologie aneb Jak stárnout dobře","author":[{"family":"Macháčová","given":"Kateřina"},{"family":"Holmerová","given":"Iva"}],"issued":{"date-parts":[["2019"]]}},"locator":"13","label":"page"},{"id":198,"uris":["http://zotero.org/users/9426386/items/UDG2IEYS"],"itemData":{"id":198,"type":"book","ISBN":"978-1-908911-58-2","language":"en","number-of-pages":"344","publisher":"CRC Press","title":"Acute Medicine in the Frail Elderly","URL":"https://doi.org/10.1201/9781909368330","author":[{"family":"Woodford","given":"Henry"},{"family":"George","given":"James"}],"issued":{"date-parts":[["2013"]]}},"locator":"10","label":"page"},{"id":196,"uris":["http://zotero.org/users/9426386/items/BXNLYBH5"],"itemData":{"id":196,"type":"book","ISBN":"978-0-9873901-9-6","language":"en","number-of-pages":"11","publisher":"IFEM – Geriatric Emergency Medicine Special Interest Group","source":"Zotero","title":"White Paper on the Care of Older People with Acute illness and Injury in the Emergency Department","URL":"https://assets.nationbuilder.com/ifem/pages/284/attachments/original/1650665462/IFEM-White-Paper-on-the-Care-of-Older-People-with-Acute-Illness-and-Injury-in-the-Emergency-Department-December-2020.pdf?1650665462","author":[{"family":"Ellis","given":"B"},{"family":"Lowthian","given":"J."},{"family":"Melady","given":"D."}],"issued":{"date-parts":[["2020"]]}},"locator":"4","label":"page"}],"schema":"https://github.com/citation-style-language/schema/raw/master/csl-citation.json"} </w:instrText>
      </w:r>
      <w:r w:rsidR="00463868">
        <w:fldChar w:fldCharType="separate"/>
      </w:r>
      <w:r w:rsidR="00463868" w:rsidRPr="00463868">
        <w:rPr>
          <w:vertAlign w:val="superscript"/>
        </w:rPr>
        <w:t>1(p45),4(p13),5(p10),6(p4)</w:t>
      </w:r>
      <w:r w:rsidR="00463868">
        <w:fldChar w:fldCharType="end"/>
      </w:r>
    </w:p>
    <w:p w14:paraId="73332F12" w14:textId="61DC2FAE" w:rsidR="00104496" w:rsidRDefault="00781542" w:rsidP="00F53991">
      <w:pPr>
        <w:pStyle w:val="Dalodstavce"/>
      </w:pPr>
      <w:r>
        <w:t>Ačkoliv</w:t>
      </w:r>
      <w:r w:rsidR="000F64D6">
        <w:t xml:space="preserve"> </w:t>
      </w:r>
      <w:r w:rsidR="00F60B59">
        <w:t>je populační stárnutí velmi aktuální a často diskutovan</w:t>
      </w:r>
      <w:r w:rsidR="002B1DD7">
        <w:t>ou</w:t>
      </w:r>
      <w:r w:rsidR="00F60B59">
        <w:t xml:space="preserve"> t</w:t>
      </w:r>
      <w:r w:rsidR="002B1DD7">
        <w:t>ematikou</w:t>
      </w:r>
      <w:r w:rsidR="00F60B59">
        <w:t>,</w:t>
      </w:r>
      <w:r>
        <w:t xml:space="preserve"> </w:t>
      </w:r>
      <w:r w:rsidR="00F60B59">
        <w:t>pohledy na n</w:t>
      </w:r>
      <w:r w:rsidR="00D3449C">
        <w:t>ěj</w:t>
      </w:r>
      <w:r w:rsidR="00F60B59">
        <w:t xml:space="preserve"> </w:t>
      </w:r>
      <w:r>
        <w:t xml:space="preserve">se mohou </w:t>
      </w:r>
      <w:r w:rsidR="0061590D">
        <w:t>do značné míry</w:t>
      </w:r>
      <w:r>
        <w:t xml:space="preserve"> lišit</w:t>
      </w:r>
      <w:r w:rsidR="005662C8">
        <w:t>.</w:t>
      </w:r>
      <w:r w:rsidR="00865ADB">
        <w:t xml:space="preserve"> </w:t>
      </w:r>
      <w:r w:rsidR="005B48AA">
        <w:t>Z</w:t>
      </w:r>
      <w:r w:rsidR="00D3449C">
        <w:t>a</w:t>
      </w:r>
      <w:r w:rsidR="005B48AA">
        <w:t xml:space="preserve">tímco </w:t>
      </w:r>
      <w:r w:rsidR="00E3461E">
        <w:t xml:space="preserve">někteří jej </w:t>
      </w:r>
      <w:r w:rsidR="009F7941">
        <w:t>označ</w:t>
      </w:r>
      <w:r w:rsidR="00E3461E">
        <w:t>ují</w:t>
      </w:r>
      <w:r w:rsidR="009F7941">
        <w:t xml:space="preserve"> jako problém či dokonce hrozb</w:t>
      </w:r>
      <w:r w:rsidR="00101C0C">
        <w:t>u</w:t>
      </w:r>
      <w:r w:rsidR="009F7941">
        <w:t xml:space="preserve">, </w:t>
      </w:r>
      <w:r w:rsidR="00DB73A0">
        <w:t>jiní</w:t>
      </w:r>
      <w:r w:rsidR="009F7941">
        <w:t xml:space="preserve"> jej vnímají naopak jako </w:t>
      </w:r>
      <w:r w:rsidR="008D5795">
        <w:t xml:space="preserve">úspěch </w:t>
      </w:r>
      <w:r w:rsidR="008F7659">
        <w:t>pokroku.</w:t>
      </w:r>
      <w:r w:rsidR="008D3925">
        <w:t xml:space="preserve"> </w:t>
      </w:r>
      <w:r w:rsidR="00D72C80">
        <w:t xml:space="preserve">Nejspíše nejvhodnější je </w:t>
      </w:r>
      <w:r w:rsidR="00296E3D">
        <w:t>postoj</w:t>
      </w:r>
      <w:r w:rsidR="002F58A6">
        <w:t xml:space="preserve"> ně</w:t>
      </w:r>
      <w:r w:rsidR="00024B47">
        <w:t xml:space="preserve">kterých </w:t>
      </w:r>
      <w:r w:rsidR="00300456">
        <w:t xml:space="preserve">národních </w:t>
      </w:r>
      <w:r w:rsidR="003C100D">
        <w:t xml:space="preserve">či nadnárodních </w:t>
      </w:r>
      <w:r w:rsidR="00024B47">
        <w:t>politik</w:t>
      </w:r>
      <w:r w:rsidR="00070F31">
        <w:t xml:space="preserve">, </w:t>
      </w:r>
      <w:r w:rsidR="009F3141">
        <w:t>např. Evropské unie</w:t>
      </w:r>
      <w:r w:rsidR="00024B47">
        <w:t xml:space="preserve">, jež </w:t>
      </w:r>
      <w:r w:rsidR="00576C36">
        <w:t>přistupují k</w:t>
      </w:r>
      <w:r w:rsidR="00070F31">
        <w:t xml:space="preserve"> demografickému </w:t>
      </w:r>
      <w:r w:rsidR="00F133A7">
        <w:t xml:space="preserve">stárnutí jako </w:t>
      </w:r>
      <w:r w:rsidR="00576C36">
        <w:t xml:space="preserve">k </w:t>
      </w:r>
      <w:r w:rsidR="00F133A7">
        <w:t>výzv</w:t>
      </w:r>
      <w:r w:rsidR="00576C36">
        <w:t>ě</w:t>
      </w:r>
      <w:r w:rsidR="00E242F1">
        <w:t xml:space="preserve">, na kterou je zapotřebí se </w:t>
      </w:r>
      <w:r w:rsidR="00E40B1F">
        <w:t xml:space="preserve">adekvátně </w:t>
      </w:r>
      <w:r w:rsidR="00E242F1">
        <w:t>připravit</w:t>
      </w:r>
      <w:r w:rsidR="00E40B1F">
        <w:t>.</w:t>
      </w:r>
      <w:r w:rsidR="00992763">
        <w:t xml:space="preserve"> Čím </w:t>
      </w:r>
      <w:r w:rsidR="004908F3">
        <w:t>lépe</w:t>
      </w:r>
      <w:r w:rsidR="00992763">
        <w:t xml:space="preserve"> pochopíme </w:t>
      </w:r>
      <w:r w:rsidR="00BF55F2">
        <w:t>veškeré souvislosti</w:t>
      </w:r>
      <w:r w:rsidR="00BC6683">
        <w:t xml:space="preserve">, </w:t>
      </w:r>
      <w:r w:rsidR="00EA019B">
        <w:t>zákonitosti</w:t>
      </w:r>
      <w:r w:rsidR="00BC6683">
        <w:t xml:space="preserve"> a možné úhly pohledu na</w:t>
      </w:r>
      <w:r w:rsidR="00EA019B">
        <w:t xml:space="preserve"> stárnutí a stáří</w:t>
      </w:r>
      <w:r w:rsidR="00BC6683">
        <w:t xml:space="preserve">, tím </w:t>
      </w:r>
      <w:r w:rsidR="004908F3">
        <w:t>efektivněji</w:t>
      </w:r>
      <w:r w:rsidR="00377E36">
        <w:t xml:space="preserve"> budeme schopni vytvořit</w:t>
      </w:r>
      <w:r w:rsidR="00E5570D">
        <w:t xml:space="preserve"> </w:t>
      </w:r>
      <w:r w:rsidR="00137541">
        <w:t>prostředí pro kvalitní stárnutí</w:t>
      </w:r>
      <w:r w:rsidR="006A31C7">
        <w:t xml:space="preserve">. </w:t>
      </w:r>
      <w:r w:rsidR="00E26E84">
        <w:t>Prostředí, v</w:t>
      </w:r>
      <w:r w:rsidR="00F65B1B">
        <w:t xml:space="preserve"> němž se bude dobře stárnout </w:t>
      </w:r>
      <w:r w:rsidR="001F53B5">
        <w:t xml:space="preserve">nejen </w:t>
      </w:r>
      <w:r w:rsidR="00F65B1B">
        <w:t>současným seniorům,</w:t>
      </w:r>
      <w:r w:rsidR="001F53B5">
        <w:t xml:space="preserve"> ale</w:t>
      </w:r>
      <w:r w:rsidR="00F65B1B">
        <w:t xml:space="preserve"> </w:t>
      </w:r>
      <w:r w:rsidR="001F53B5">
        <w:t>do budoucna také každému z nás.</w:t>
      </w:r>
      <w:r w:rsidR="00A2413E">
        <w:fldChar w:fldCharType="begin"/>
      </w:r>
      <w:r w:rsidR="009B3709">
        <w:instrText xml:space="preserve"> ADDIN ZOTERO_ITEM CSL_CITATION {"citationID":"axLC7X98","properties":{"formattedCitation":"\\super 4(p13),7(p31)\\nosupersub{}","plainCitation":"4(p13),7(p31)","noteIndex":0},"citationItems":[{"id":148,"uris":["http://zotero.org/users/9426386/items/9H3AY94L"],"itemData":{"id":148,"type":"book","ISBN":"978-80-204-5489-8","language":"cs","publisher":"Mladá fronta","title":"Aktivní gerontologie aneb Jak stárnout dobře","author":[{"family":"Macháčová","given":"Kateřina"},{"family":"Holmerová","given":"Iva"}],"issued":{"date-parts":[["2019"]]}},"locator":"13","label":"page"},{"id":150,"uris":["http://zotero.org/users/9426386/items/KZHM6B4S"],"itemData":{"id":150,"type":"book","event-place":"Praha","ISBN":"978-80-271-0876-3","language":"cs","publisher":"Grada","publisher-place":"Praha","title":"Psychosociální adaptace ve stáří a nemoci","author":[{"family":"Ptáček","given":"Radek"},{"family":"Ptáčková","given":"Hana"}],"issued":{"date-parts":[["2021"]]}},"locator":"31","label":"page"}],"schema":"https://github.com/citation-style-language/schema/raw/master/csl-citation.json"} </w:instrText>
      </w:r>
      <w:r w:rsidR="00A2413E">
        <w:fldChar w:fldCharType="separate"/>
      </w:r>
      <w:r w:rsidR="00A2413E" w:rsidRPr="00A2413E">
        <w:rPr>
          <w:vertAlign w:val="superscript"/>
        </w:rPr>
        <w:t>4(p13),7(p31)</w:t>
      </w:r>
      <w:r w:rsidR="00A2413E">
        <w:fldChar w:fldCharType="end"/>
      </w:r>
    </w:p>
    <w:p w14:paraId="0426B7E3" w14:textId="27BBDB68" w:rsidR="00C532DA" w:rsidRPr="00104496" w:rsidRDefault="00E43CEB" w:rsidP="00104496">
      <w:pPr>
        <w:pStyle w:val="Dalodstavce"/>
      </w:pPr>
      <w:r>
        <w:t xml:space="preserve">Vlastní motivací </w:t>
      </w:r>
      <w:r w:rsidR="00F77437">
        <w:t>k</w:t>
      </w:r>
      <w:r w:rsidR="000849F3">
        <w:t> </w:t>
      </w:r>
      <w:r w:rsidR="00F77437">
        <w:t>vy</w:t>
      </w:r>
      <w:r w:rsidR="000849F3">
        <w:t xml:space="preserve">hotovení </w:t>
      </w:r>
      <w:r w:rsidR="00636BBA">
        <w:t xml:space="preserve">diplomové </w:t>
      </w:r>
      <w:r w:rsidR="00F77437">
        <w:t>práce</w:t>
      </w:r>
      <w:r w:rsidR="00AF3078">
        <w:t xml:space="preserve"> byl</w:t>
      </w:r>
      <w:r w:rsidR="00BB0F47">
        <w:t>o studium programu veřejné zdravotnictví a</w:t>
      </w:r>
      <w:r w:rsidR="00AF3078">
        <w:t xml:space="preserve"> zájem o </w:t>
      </w:r>
      <w:r w:rsidR="00CA71C9">
        <w:t xml:space="preserve">demografickou </w:t>
      </w:r>
      <w:r w:rsidR="00480481">
        <w:t>temati</w:t>
      </w:r>
      <w:r w:rsidR="00D23690">
        <w:t>ku stárnutí lidských populací</w:t>
      </w:r>
      <w:r w:rsidR="00BB0F47">
        <w:t>.</w:t>
      </w:r>
      <w:r w:rsidR="00223577">
        <w:t xml:space="preserve"> </w:t>
      </w:r>
      <w:r w:rsidR="00844892">
        <w:t>Při</w:t>
      </w:r>
      <w:r w:rsidR="00DF0F60">
        <w:t xml:space="preserve"> konkretizaci zaměření diplomové práce</w:t>
      </w:r>
      <w:r w:rsidR="001A7AD2">
        <w:t xml:space="preserve">, </w:t>
      </w:r>
      <w:r w:rsidR="00DF0F60">
        <w:t>obzvláště pak v její výzkumné části</w:t>
      </w:r>
      <w:r w:rsidR="001A7AD2">
        <w:t>,</w:t>
      </w:r>
      <w:r w:rsidR="00DF0F60">
        <w:t xml:space="preserve"> </w:t>
      </w:r>
      <w:r w:rsidR="004503A5">
        <w:t>se výraznou měrou uplatnily vlastní zkušenosti z</w:t>
      </w:r>
      <w:r w:rsidR="00834333">
        <w:t xml:space="preserve"> </w:t>
      </w:r>
      <w:r w:rsidR="00045B86">
        <w:t>Nízkoprahového urgentního příjmu Fakultní nemocnice Brno</w:t>
      </w:r>
      <w:r w:rsidR="00834333">
        <w:t>, kter</w:t>
      </w:r>
      <w:r w:rsidR="00275B27">
        <w:t>ý</w:t>
      </w:r>
      <w:r w:rsidR="00834333">
        <w:t xml:space="preserve"> </w:t>
      </w:r>
      <w:r w:rsidR="002171AE">
        <w:t>ve výzkumné části práce</w:t>
      </w:r>
      <w:r w:rsidR="00AD0115">
        <w:t xml:space="preserve"> </w:t>
      </w:r>
      <w:r w:rsidR="00834333">
        <w:t xml:space="preserve">sloužil </w:t>
      </w:r>
      <w:r w:rsidR="00AD0115">
        <w:t xml:space="preserve">jako prostředí </w:t>
      </w:r>
      <w:r w:rsidR="002F157E">
        <w:t xml:space="preserve">pro </w:t>
      </w:r>
      <w:r w:rsidR="00AD0115">
        <w:t>sběr dat.</w:t>
      </w:r>
    </w:p>
    <w:p w14:paraId="300AE3F9" w14:textId="40372569" w:rsidR="00BF14D0" w:rsidRDefault="006E7EE5" w:rsidP="002E32D6">
      <w:pPr>
        <w:pStyle w:val="Nadpis1"/>
        <w:numPr>
          <w:ilvl w:val="0"/>
          <w:numId w:val="14"/>
        </w:numPr>
      </w:pPr>
      <w:bookmarkStart w:id="11" w:name="_Toc20320071"/>
      <w:bookmarkStart w:id="12" w:name="_Toc195517104"/>
      <w:r>
        <w:lastRenderedPageBreak/>
        <w:t>S</w:t>
      </w:r>
      <w:bookmarkEnd w:id="11"/>
      <w:r>
        <w:t>tárnutí a stáří</w:t>
      </w:r>
      <w:bookmarkEnd w:id="12"/>
    </w:p>
    <w:p w14:paraId="3F5878E5" w14:textId="4019B53B" w:rsidR="00CF3587" w:rsidRDefault="007644DB" w:rsidP="00A37140">
      <w:pPr>
        <w:pStyle w:val="Odstavec1"/>
      </w:pPr>
      <w:r>
        <w:t xml:space="preserve">Jakákoliv živá hmota </w:t>
      </w:r>
      <w:r w:rsidR="004C6E44">
        <w:t xml:space="preserve">se </w:t>
      </w:r>
      <w:r w:rsidR="00706C09">
        <w:t>v průběhu své existence potýká s</w:t>
      </w:r>
      <w:r w:rsidR="00DA3710">
        <w:t> </w:t>
      </w:r>
      <w:r w:rsidR="00706C09">
        <w:t>procesem</w:t>
      </w:r>
      <w:r w:rsidR="00DA3710">
        <w:t xml:space="preserve"> stárnutí (involucí). Zmíněný b</w:t>
      </w:r>
      <w:r w:rsidR="00974F04">
        <w:t>iologický proces</w:t>
      </w:r>
      <w:r w:rsidR="00DA3710">
        <w:t>,</w:t>
      </w:r>
      <w:r w:rsidR="00B76DC8">
        <w:t xml:space="preserve"> doprovázený typickými biologickými a fyziologickými</w:t>
      </w:r>
      <w:r w:rsidR="00F97224">
        <w:t xml:space="preserve"> projevy</w:t>
      </w:r>
      <w:r w:rsidR="00DA3710">
        <w:t>,</w:t>
      </w:r>
      <w:r w:rsidR="00F97224">
        <w:t xml:space="preserve"> </w:t>
      </w:r>
      <w:r w:rsidR="00DA3710">
        <w:t xml:space="preserve">se tedy nevyhýbá </w:t>
      </w:r>
      <w:r w:rsidR="00963CE3">
        <w:t xml:space="preserve">ani </w:t>
      </w:r>
      <w:r w:rsidR="0089145F">
        <w:t xml:space="preserve">samotnému </w:t>
      </w:r>
      <w:r w:rsidR="00963CE3">
        <w:t>člověku</w:t>
      </w:r>
      <w:r w:rsidR="0087063C">
        <w:t xml:space="preserve">. </w:t>
      </w:r>
      <w:r w:rsidR="0083083B">
        <w:t xml:space="preserve">Byť stárnutí provází člověka již od </w:t>
      </w:r>
      <w:r w:rsidR="00BE7A7D">
        <w:t>početí</w:t>
      </w:r>
      <w:r w:rsidR="00125C12">
        <w:t>, hovoříme o jeho reálných dopadech až v souvislosti s</w:t>
      </w:r>
      <w:r w:rsidR="0019080D">
        <w:t> poklesem funkčních schopností po dosažení</w:t>
      </w:r>
      <w:r w:rsidR="00045C44">
        <w:t xml:space="preserve"> sexuální dospělosti.</w:t>
      </w:r>
      <w:r w:rsidR="00872A33">
        <w:t xml:space="preserve"> </w:t>
      </w:r>
      <w:r w:rsidR="008B2F16">
        <w:t>Jedná se o s</w:t>
      </w:r>
      <w:r w:rsidR="008164DE">
        <w:t>pletitý soubor dějů</w:t>
      </w:r>
      <w:r w:rsidR="008B2F16">
        <w:t xml:space="preserve">, jež </w:t>
      </w:r>
      <w:r w:rsidR="00D82B80">
        <w:t xml:space="preserve">mezi sebou </w:t>
      </w:r>
      <w:r w:rsidR="008B2F16">
        <w:t>vzájemně interagují</w:t>
      </w:r>
      <w:r w:rsidR="005F3BC7">
        <w:t xml:space="preserve"> na všech </w:t>
      </w:r>
      <w:r w:rsidR="0092190E">
        <w:t xml:space="preserve">somatických </w:t>
      </w:r>
      <w:r w:rsidR="005F3BC7">
        <w:t>úrovních</w:t>
      </w:r>
      <w:r w:rsidR="001525D5">
        <w:t>, v němž se výrazný</w:t>
      </w:r>
      <w:r w:rsidR="00880084">
        <w:t xml:space="preserve">m způsobem projevují i ostatní vlivy, které na organismus působí (např. </w:t>
      </w:r>
      <w:r w:rsidR="002C126F">
        <w:t xml:space="preserve">životní styl, </w:t>
      </w:r>
      <w:r w:rsidR="008958E4">
        <w:t xml:space="preserve">duševní zdraví, </w:t>
      </w:r>
      <w:r w:rsidR="002C126F">
        <w:t>socioekonomické postavení</w:t>
      </w:r>
      <w:r w:rsidR="008005D6">
        <w:t xml:space="preserve"> či nejrůznější patologické děje</w:t>
      </w:r>
      <w:r w:rsidR="00880084">
        <w:t>).</w:t>
      </w:r>
      <w:r w:rsidR="00D952BD">
        <w:fldChar w:fldCharType="begin"/>
      </w:r>
      <w:r w:rsidR="002B3D48">
        <w:instrText xml:space="preserve"> ADDIN ZOTERO_ITEM CSL_CITATION {"citationID":"EPID5AzP","properties":{"formattedCitation":"\\super 1(p67),2(p24),7(p18)\\nosupersub{}","plainCitation":"1(p67),2(p24),7(p18)","noteIndex":0},"citationItems":[{"id":150,"uris":["http://zotero.org/users/9426386/items/KZHM6B4S"],"itemData":{"id":150,"type":"book","event-place":"Praha","ISBN":"978-80-271-0876-3","language":"cs","publisher":"Grada","publisher-place":"Praha","title":"Psychosociální adaptace ve stáří a nemoci","author":[{"family":"Ptáček","given":"Radek"},{"family":"Ptáčková","given":"Hana"}],"issued":{"date-parts":[["2021"]]}},"locator":"18","label":"page"},{"id":133,"uris":["http://zotero.org/users/9426386/items/RW2L6RHE"],"itemData":{"id":133,"type":"book","event-place":"Praha","ISBN":"978-80-247-0548-4","language":"cze","note":"OCLC: 85137350","publisher":"Grada","publisher-place":"Praha","source":"Open WorldCat","title":"Geriatrie a gerontologie","author":[{"family":"Kalvach","given":"Zdeněk"},{"family":"Zadák","given":"Z."},{"family":"Jirák","given":"R."},{"family":"Zavázalová","given":"H."},{"family":"Sucharda","given":"P."}],"issued":{"date-parts":[["2004"]]}},"locator":"67","label":"page"},{"id":142,"uris":["http://zotero.org/users/9426386/items/23ZMXUSV"],"itemData":{"id":142,"type":"article-journal","abstract":"Old age and aging of individuals are phenomenons that took important place in society as early as former times. During twentieth century the question of aging got new meaning, because it newly started to overreach from individual level to all-society. As a result of improvement of some social conditions (f.e. medical care, lifestyle, hygiene, living standard etc.), that was already initiated approximately at the beginning of the nineteenth century, dying started to be moved to higher age and people live longer. In modern societies this event usually goes with decline of natality and fertility. In final effect combination of these two factors causes the process that is known as demographic aging. In general we have to distinction between two views of problems of aging. The first view is focused on individual aging, the second one on demographic aging of human population. But it is clear that both of these views relate to each other. Similarly this article offers the roundup of problems of demographic aging, but also gives a touch of questions about longevity and quality of life, that gain ground in connection with theme of individual aging.","container-title":"NAŠE SPOLEČNOST","issue":"1","language":"cs","page":"24-30","source":"Zotero","title":"Demografické souvislosti stárnutí","volume":"5","author":[{"family":"Dimitrová","given":"Michaela"}],"issued":{"date-parts":[["2007"]]}},"locator":"24","label":"page"}],"schema":"https://github.com/citation-style-language/schema/raw/master/csl-citation.json"} </w:instrText>
      </w:r>
      <w:r w:rsidR="00D952BD">
        <w:fldChar w:fldCharType="separate"/>
      </w:r>
      <w:r w:rsidR="00463868" w:rsidRPr="00463868">
        <w:rPr>
          <w:vertAlign w:val="superscript"/>
        </w:rPr>
        <w:t>1(p67),2(p24),7(p18)</w:t>
      </w:r>
      <w:r w:rsidR="00D952BD">
        <w:fldChar w:fldCharType="end"/>
      </w:r>
    </w:p>
    <w:p w14:paraId="646F7CEC" w14:textId="1EA7EC36" w:rsidR="00B44C07" w:rsidRDefault="003370B8" w:rsidP="004B5259">
      <w:pPr>
        <w:pStyle w:val="Dalodstavce"/>
      </w:pPr>
      <w:r>
        <w:t>S</w:t>
      </w:r>
      <w:r w:rsidR="004B5259">
        <w:t>táří</w:t>
      </w:r>
      <w:r w:rsidR="00E64A53">
        <w:t xml:space="preserve"> (</w:t>
      </w:r>
      <w:proofErr w:type="spellStart"/>
      <w:r w:rsidR="00E64A53">
        <w:t>senium</w:t>
      </w:r>
      <w:proofErr w:type="spellEnd"/>
      <w:r w:rsidR="00E64A53">
        <w:t>), jakožto výsledek procesu stárnutí,</w:t>
      </w:r>
      <w:r w:rsidR="004B5259">
        <w:t xml:space="preserve"> </w:t>
      </w:r>
      <w:r w:rsidR="0081156E">
        <w:t>p</w:t>
      </w:r>
      <w:r w:rsidR="009676FC">
        <w:t>osléze označuje</w:t>
      </w:r>
      <w:r w:rsidR="001861CE">
        <w:t xml:space="preserve"> závěrečnou,</w:t>
      </w:r>
      <w:r w:rsidR="00173646">
        <w:t xml:space="preserve"> očekávanou a př</w:t>
      </w:r>
      <w:r w:rsidR="00BE1DC1">
        <w:t>irozenou</w:t>
      </w:r>
      <w:r w:rsidR="00173646">
        <w:t xml:space="preserve"> </w:t>
      </w:r>
      <w:r w:rsidR="001861CE">
        <w:t xml:space="preserve">vývojovou </w:t>
      </w:r>
      <w:r w:rsidR="00173646">
        <w:t>etapu lidského života</w:t>
      </w:r>
      <w:r w:rsidR="0054027E">
        <w:t>.</w:t>
      </w:r>
      <w:r w:rsidR="001A0051">
        <w:fldChar w:fldCharType="begin"/>
      </w:r>
      <w:r w:rsidR="002B3D48">
        <w:instrText xml:space="preserve"> ADDIN ZOTERO_ITEM CSL_CITATION {"citationID":"m6Y9yodd","properties":{"formattedCitation":"\\super 1(p47,67),7(p9)\\nosupersub{}","plainCitation":"1(p47,67),7(p9)","noteIndex":0},"citationItems":[{"id":150,"uris":["http://zotero.org/users/9426386/items/KZHM6B4S"],"itemData":{"id":150,"type":"book","event-place":"Praha","ISBN":"978-80-271-0876-3","language":"cs","publisher":"Grada","publisher-place":"Praha","title":"Psychosociální adaptace ve stáří a nemoci","author":[{"family":"Ptáček","given":"Radek"},{"family":"Ptáčková","given":"Hana"}],"issued":{"date-parts":[["2021"]]}},"locator":"9","label":"page"},{"id":133,"uris":["http://zotero.org/users/9426386/items/RW2L6RHE"],"itemData":{"id":133,"type":"book","event-place":"Praha","ISBN":"978-80-247-0548-4","language":"cze","note":"OCLC: 85137350","publisher":"Grada","publisher-place":"Praha","source":"Open WorldCat","title":"Geriatrie a gerontologie","author":[{"family":"Kalvach","given":"Zdeněk"},{"family":"Zadák","given":"Z."},{"family":"Jirák","given":"R."},{"family":"Zavázalová","given":"H."},{"family":"Sucharda","given":"P."}],"issued":{"date-parts":[["2004"]]}},"locator":"47,67","label":"page"}],"schema":"https://github.com/citation-style-language/schema/raw/master/csl-citation.json"} </w:instrText>
      </w:r>
      <w:r w:rsidR="001A0051">
        <w:fldChar w:fldCharType="separate"/>
      </w:r>
      <w:r w:rsidR="00463868" w:rsidRPr="00463868">
        <w:rPr>
          <w:vertAlign w:val="superscript"/>
        </w:rPr>
        <w:t>1(p47,67),7(p9)</w:t>
      </w:r>
      <w:r w:rsidR="001A0051">
        <w:fldChar w:fldCharType="end"/>
      </w:r>
      <w:r w:rsidR="005503E2">
        <w:t xml:space="preserve"> </w:t>
      </w:r>
      <w:r w:rsidR="00557891">
        <w:t>Hovoří</w:t>
      </w:r>
      <w:r w:rsidR="003252AF">
        <w:t>me</w:t>
      </w:r>
      <w:r w:rsidR="00557891">
        <w:t xml:space="preserve"> o období, během něhož </w:t>
      </w:r>
      <w:r w:rsidR="00557891" w:rsidRPr="004C4EEA">
        <w:rPr>
          <w:i/>
          <w:iCs/>
        </w:rPr>
        <w:t>„…</w:t>
      </w:r>
      <w:r w:rsidR="00033256" w:rsidRPr="004C4EEA">
        <w:rPr>
          <w:i/>
          <w:iCs/>
        </w:rPr>
        <w:t>dochází nejen k involučním procesům, ale také ke zrání naší osobnosti</w:t>
      </w:r>
      <w:r w:rsidR="00B9369B">
        <w:rPr>
          <w:i/>
          <w:iCs/>
        </w:rPr>
        <w:t>,</w:t>
      </w:r>
      <w:r w:rsidR="00557891">
        <w:t>“</w:t>
      </w:r>
      <w:r w:rsidR="00ED51CB">
        <w:t xml:space="preserve"> a</w:t>
      </w:r>
      <w:r w:rsidR="00470E2F">
        <w:t xml:space="preserve"> kdy </w:t>
      </w:r>
      <w:r w:rsidR="004D6577">
        <w:t>probíhá</w:t>
      </w:r>
      <w:r w:rsidR="00470E2F">
        <w:t xml:space="preserve"> </w:t>
      </w:r>
      <w:r w:rsidR="00470E2F" w:rsidRPr="004C4EEA">
        <w:rPr>
          <w:i/>
          <w:iCs/>
        </w:rPr>
        <w:t>„</w:t>
      </w:r>
      <w:r w:rsidR="004C4EEA" w:rsidRPr="004C4EEA">
        <w:rPr>
          <w:i/>
          <w:iCs/>
        </w:rPr>
        <w:t>…</w:t>
      </w:r>
      <w:r w:rsidR="00470E2F" w:rsidRPr="004C4EEA">
        <w:rPr>
          <w:i/>
          <w:iCs/>
        </w:rPr>
        <w:t>bilancování vlastního života</w:t>
      </w:r>
      <w:r w:rsidR="004C4EEA" w:rsidRPr="004C4EEA">
        <w:rPr>
          <w:i/>
          <w:iCs/>
        </w:rPr>
        <w:t xml:space="preserve"> i přijetí jeho konce</w:t>
      </w:r>
      <w:r w:rsidR="001B74E5">
        <w:rPr>
          <w:i/>
          <w:iCs/>
        </w:rPr>
        <w:t>.</w:t>
      </w:r>
      <w:r w:rsidR="00470E2F">
        <w:t>“</w:t>
      </w:r>
      <w:r w:rsidR="000225B8">
        <w:fldChar w:fldCharType="begin"/>
      </w:r>
      <w:r w:rsidR="00870A2F">
        <w:instrText xml:space="preserve"> ADDIN ZOTERO_ITEM CSL_CITATION {"citationID":"txtW6oCY","properties":{"formattedCitation":"\\super 7(p13)\\nosupersub{}","plainCitation":"7(p13)","noteIndex":0},"citationItems":[{"id":150,"uris":["http://zotero.org/users/9426386/items/KZHM6B4S"],"itemData":{"id":150,"type":"book","event-place":"Praha","ISBN":"978-80-271-0876-3","language":"cs","publisher":"Grada","publisher-place":"Praha","title":"Psychosociální adaptace ve stáří a nemoci","author":[{"family":"Ptáček","given":"Radek"},{"family":"Ptáčková","given":"Hana"}],"issued":{"date-parts":[["2021"]]}},"locator":"13","label":"page"}],"schema":"https://github.com/citation-style-language/schema/raw/master/csl-citation.json"} </w:instrText>
      </w:r>
      <w:r w:rsidR="000225B8">
        <w:fldChar w:fldCharType="separate"/>
      </w:r>
      <w:r w:rsidR="00463868" w:rsidRPr="00463868">
        <w:rPr>
          <w:vertAlign w:val="superscript"/>
        </w:rPr>
        <w:t>7(p13)</w:t>
      </w:r>
      <w:r w:rsidR="000225B8">
        <w:fldChar w:fldCharType="end"/>
      </w:r>
    </w:p>
    <w:p w14:paraId="621A92E5" w14:textId="34B7A32C" w:rsidR="00803D4C" w:rsidRDefault="007A04B9" w:rsidP="00803D4C">
      <w:pPr>
        <w:pStyle w:val="Dalodstavce"/>
      </w:pPr>
      <w:r>
        <w:t>Popsan</w:t>
      </w:r>
      <w:r w:rsidR="000A75A3">
        <w:t>é</w:t>
      </w:r>
      <w:r>
        <w:t xml:space="preserve"> </w:t>
      </w:r>
      <w:r w:rsidR="000A75A3">
        <w:t>procesy</w:t>
      </w:r>
      <w:r>
        <w:t xml:space="preserve"> však </w:t>
      </w:r>
      <w:r w:rsidR="00936A03">
        <w:t xml:space="preserve">nejsou </w:t>
      </w:r>
      <w:r w:rsidR="001D2723">
        <w:t xml:space="preserve">u každého jedince </w:t>
      </w:r>
      <w:r w:rsidR="00936A03">
        <w:t>univerzální</w:t>
      </w:r>
      <w:r w:rsidR="001D2723">
        <w:t xml:space="preserve"> – </w:t>
      </w:r>
      <w:r>
        <w:t>neprobíh</w:t>
      </w:r>
      <w:r w:rsidR="000A75A3">
        <w:t>ají</w:t>
      </w:r>
      <w:r w:rsidR="001D2723">
        <w:t xml:space="preserve"> </w:t>
      </w:r>
      <w:r>
        <w:t>totožně</w:t>
      </w:r>
      <w:r w:rsidR="00D972D7">
        <w:t xml:space="preserve"> </w:t>
      </w:r>
      <w:r w:rsidR="00DD070F">
        <w:t xml:space="preserve">jak </w:t>
      </w:r>
      <w:r w:rsidR="00083B11">
        <w:t>z</w:t>
      </w:r>
      <w:r w:rsidR="00535FC1">
        <w:t> </w:t>
      </w:r>
      <w:r w:rsidR="00083B11">
        <w:t>hledis</w:t>
      </w:r>
      <w:r w:rsidR="00535FC1">
        <w:t>k</w:t>
      </w:r>
      <w:r w:rsidR="00083B11">
        <w:t>a</w:t>
      </w:r>
      <w:r w:rsidR="00535FC1">
        <w:t xml:space="preserve"> kvality (obsahu), </w:t>
      </w:r>
      <w:r w:rsidR="00DD070F">
        <w:t>tak</w:t>
      </w:r>
      <w:r w:rsidR="00863409">
        <w:t xml:space="preserve"> času</w:t>
      </w:r>
      <w:r w:rsidR="00DD070F">
        <w:t xml:space="preserve"> (rychlosti)</w:t>
      </w:r>
      <w:r w:rsidR="00166040">
        <w:t>. B</w:t>
      </w:r>
      <w:r>
        <w:t>a naop</w:t>
      </w:r>
      <w:r w:rsidR="00B02FF0">
        <w:t>ak nes</w:t>
      </w:r>
      <w:r w:rsidR="000A75A3">
        <w:t>ou</w:t>
      </w:r>
      <w:r w:rsidR="00B02FF0">
        <w:t xml:space="preserve"> prvky výrazné interindividuální variability</w:t>
      </w:r>
      <w:r w:rsidR="003B485C">
        <w:t>, která probíhá druhově specifickou rychlostí</w:t>
      </w:r>
      <w:r w:rsidR="00C101DB">
        <w:t xml:space="preserve">. </w:t>
      </w:r>
      <w:r w:rsidR="0011707E">
        <w:t xml:space="preserve">Stejně tak </w:t>
      </w:r>
      <w:r w:rsidR="00DF0FB2">
        <w:t xml:space="preserve">lze nalézt </w:t>
      </w:r>
      <w:r w:rsidR="00962A18">
        <w:t>j</w:t>
      </w:r>
      <w:r w:rsidR="00DF0FB2">
        <w:t>i</w:t>
      </w:r>
      <w:r w:rsidR="00962A18">
        <w:t>sté</w:t>
      </w:r>
      <w:r w:rsidR="00DF0FB2">
        <w:t xml:space="preserve"> rozdílnosti </w:t>
      </w:r>
      <w:r w:rsidR="00962A18">
        <w:t xml:space="preserve">i </w:t>
      </w:r>
      <w:r w:rsidR="00DF0FB2">
        <w:t>mezi muži a ženami, a to jak na úrovni biologické,</w:t>
      </w:r>
      <w:r w:rsidR="001C7D3E">
        <w:t xml:space="preserve"> tak</w:t>
      </w:r>
      <w:r w:rsidR="00DF0FB2">
        <w:t xml:space="preserve"> duševní</w:t>
      </w:r>
      <w:r w:rsidR="001C7D3E">
        <w:t>.</w:t>
      </w:r>
      <w:r w:rsidR="001C653A">
        <w:t xml:space="preserve"> Zásadními jsou převážně </w:t>
      </w:r>
      <w:r w:rsidR="00836CCE">
        <w:t>rozdíl</w:t>
      </w:r>
      <w:r w:rsidR="00541F35">
        <w:t>y</w:t>
      </w:r>
      <w:r w:rsidR="00836CCE">
        <w:t xml:space="preserve"> v osobnostní sféře</w:t>
      </w:r>
      <w:r w:rsidR="00284DC5">
        <w:t xml:space="preserve">, přijetí a přizpůsobení se </w:t>
      </w:r>
      <w:r w:rsidR="009F08EE">
        <w:t xml:space="preserve">stárnutí a </w:t>
      </w:r>
      <w:r w:rsidR="00284DC5">
        <w:t xml:space="preserve">stáří. </w:t>
      </w:r>
      <w:r w:rsidR="009F08EE">
        <w:t>Dochází ke změně</w:t>
      </w:r>
      <w:r w:rsidR="005B17C2">
        <w:t xml:space="preserve"> v sociálních rolích</w:t>
      </w:r>
      <w:r w:rsidR="001D69A0">
        <w:t xml:space="preserve"> (odchod ze zaměstnání)</w:t>
      </w:r>
      <w:r w:rsidR="000569BF">
        <w:t>, které jsou lépe snášeny ženami než</w:t>
      </w:r>
      <w:r w:rsidR="00B703CD">
        <w:t xml:space="preserve">li muži. Zatímco se žena </w:t>
      </w:r>
      <w:r w:rsidR="004D7A3D">
        <w:t>zpravidla začíná více orientovat na svou rodinu</w:t>
      </w:r>
      <w:r w:rsidR="001E6DEE">
        <w:t xml:space="preserve">, </w:t>
      </w:r>
      <w:r w:rsidR="004F0508">
        <w:t xml:space="preserve">své postavení </w:t>
      </w:r>
      <w:r w:rsidR="00CF3BEE">
        <w:t>si</w:t>
      </w:r>
      <w:r w:rsidR="006F15C0">
        <w:t xml:space="preserve"> </w:t>
      </w:r>
      <w:r w:rsidR="004F0508">
        <w:t xml:space="preserve">udržuje až do pozdního věku, </w:t>
      </w:r>
      <w:r w:rsidR="00CF3BEE">
        <w:t xml:space="preserve">je </w:t>
      </w:r>
      <w:r w:rsidR="004F0508">
        <w:t>muž</w:t>
      </w:r>
      <w:r w:rsidR="001F40A2">
        <w:t xml:space="preserve"> konfrontován s</w:t>
      </w:r>
      <w:r w:rsidR="00CB0DC1">
        <w:t> náhlou a</w:t>
      </w:r>
      <w:r w:rsidR="00982B78">
        <w:t> </w:t>
      </w:r>
      <w:r w:rsidR="001F40A2">
        <w:t>výraznou životní změnou</w:t>
      </w:r>
      <w:r w:rsidR="00DE376C">
        <w:t xml:space="preserve"> (v důsledku</w:t>
      </w:r>
      <w:r w:rsidR="00CA5688">
        <w:t xml:space="preserve"> změny sociální role a socioekonomické situace</w:t>
      </w:r>
      <w:r w:rsidR="00DE376C">
        <w:t>)</w:t>
      </w:r>
      <w:r w:rsidR="00BF3A2C">
        <w:t xml:space="preserve">. </w:t>
      </w:r>
      <w:r w:rsidR="00F93C5A">
        <w:t>V důchodu</w:t>
      </w:r>
      <w:r w:rsidR="00BF3A2C">
        <w:t xml:space="preserve"> muži obecně lépe snášejí </w:t>
      </w:r>
      <w:r w:rsidR="00F93C5A">
        <w:t>pobyt v</w:t>
      </w:r>
      <w:r w:rsidR="00B15C05">
        <w:t> </w:t>
      </w:r>
      <w:r w:rsidR="00F93C5A">
        <w:t>ústavu</w:t>
      </w:r>
      <w:r w:rsidR="00B15C05">
        <w:t xml:space="preserve">, kterému se </w:t>
      </w:r>
      <w:r w:rsidR="00E92962">
        <w:t>naopak hůře přizpůsobují ženy</w:t>
      </w:r>
      <w:r w:rsidR="00982B78">
        <w:t xml:space="preserve">, </w:t>
      </w:r>
      <w:r w:rsidR="004D46F1">
        <w:t>p</w:t>
      </w:r>
      <w:r w:rsidR="00276C3C">
        <w:t xml:space="preserve">ředevším ztrátou své téměř celoživotní role v rodině. </w:t>
      </w:r>
      <w:r w:rsidR="00B42E60">
        <w:t>Ž</w:t>
      </w:r>
      <w:r w:rsidR="00AF7F05">
        <w:t>ena tak</w:t>
      </w:r>
      <w:r w:rsidR="00A83649">
        <w:t>é</w:t>
      </w:r>
      <w:r w:rsidR="00AF7F05">
        <w:t xml:space="preserve"> </w:t>
      </w:r>
      <w:r w:rsidR="00811116">
        <w:t>silněji vnímá mimořádné rodinné</w:t>
      </w:r>
      <w:r w:rsidR="00A83649">
        <w:t xml:space="preserve"> události.</w:t>
      </w:r>
      <w:r w:rsidR="00304AB3">
        <w:fldChar w:fldCharType="begin"/>
      </w:r>
      <w:r w:rsidR="002B3D48">
        <w:instrText xml:space="preserve"> ADDIN ZOTERO_ITEM CSL_CITATION {"citationID":"GWqpz1F8","properties":{"formattedCitation":"\\super 1(p47),8(pp17-18)\\nosupersub{}","plainCitation":"1(p47),8(pp17-18)","noteIndex":0},"citationItems":[{"id":133,"uris":["http://zotero.org/users/9426386/items/RW2L6RHE"],"itemData":{"id":133,"type":"book","event-place":"Praha","ISBN":"978-80-247-0548-4","language":"cze","note":"OCLC: 85137350","publisher":"Grada","publisher-place":"Praha","source":"Open WorldCat","title":"Geriatrie a gerontologie","author":[{"family":"Kalvach","given":"Zdeněk"},{"family":"Zadák","given":"Z."},{"family":"Jirák","given":"R."},{"family":"Zavázalová","given":"H."},{"family":"Sucharda","given":"P."}],"issued":{"date-parts":[["2004"]]}},"locator":"47","label":"page"},{"id":156,"uris":["http://zotero.org/users/9426386/items/YP5JRLPE"],"itemData":{"id":156,"type":"book","abstract":"Monografie predkládá komplexní obraz soucasné gerontologie. Obsahem publikace jsou ukázky vybraných gerontologických prístupu a otázek aktuálních v Ceské republice. Mnohé kapitoly jsou podloženy vlastním bádáním autoru, kniha tak prenáší poznatky získané výzkumem do praxe a teorie oboru bez velké prodlevy. Autori nove reflektují tradicní témata a doplnují je o nové oblasti zájmu, jako je napríklad environmentální gerontologie, kineziologie, výpocetní technika, uzpusobení moderních technologií potrebám senioru, neuropsychologická diagnostika. Publikace umožnuje vzájemnou komunikaci mezi jednotli","event-place":"Prague, Czech Republic","ISBN":"978-80-246-2628-4","language":"cze","note":"OCLC: 909894457","publisher":"Karolinum","publisher-place":"Prague, Czech Republic","source":"Open WorldCat","title":"Gerontologie: Současné otázky z pohledu biomedicíny a společenských věd","title-short":"Gerontologie","author":[{"family":"Štěpánková","given":"Hana"},{"family":"Höschl","given":"Cyril"},{"family":"Vidovićová","given":"Lucie"}],"contributor":[{"family":"Dragomirecká","given":"Eva"},{"family":"Muchová","given":"Ludmila"},{"family":"Serých","given":"Jan"}],"editor":[{"family":"Jindrová","given":"Jana"}],"issued":{"date-parts":[["2014"]]}},"locator":"17-18","label":"page"}],"schema":"https://github.com/citation-style-language/schema/raw/master/csl-citation.json"} </w:instrText>
      </w:r>
      <w:r w:rsidR="00304AB3">
        <w:fldChar w:fldCharType="separate"/>
      </w:r>
      <w:r w:rsidR="00463868" w:rsidRPr="00463868">
        <w:rPr>
          <w:vertAlign w:val="superscript"/>
        </w:rPr>
        <w:t>1(p47),8(pp17-18)</w:t>
      </w:r>
      <w:r w:rsidR="00304AB3">
        <w:fldChar w:fldCharType="end"/>
      </w:r>
    </w:p>
    <w:p w14:paraId="4660ED3D" w14:textId="26BFE22B" w:rsidR="00B63CBE" w:rsidRDefault="007705AF" w:rsidP="002E32D6">
      <w:pPr>
        <w:pStyle w:val="Nadpis2"/>
        <w:numPr>
          <w:ilvl w:val="1"/>
          <w:numId w:val="14"/>
        </w:numPr>
      </w:pPr>
      <w:bookmarkStart w:id="13" w:name="_Toc195517105"/>
      <w:r>
        <w:t>Vymezení a periodizace věku</w:t>
      </w:r>
      <w:bookmarkEnd w:id="13"/>
    </w:p>
    <w:p w14:paraId="525ED969" w14:textId="2F74FC76" w:rsidR="004A31DC" w:rsidRDefault="008E26A8" w:rsidP="004A31DC">
      <w:pPr>
        <w:pStyle w:val="Dalodstavce"/>
        <w:ind w:firstLine="0"/>
      </w:pPr>
      <w:r>
        <w:t xml:space="preserve">Ve výsledku získáváme velmi různorodou skupinu seniorů/starých lidí. </w:t>
      </w:r>
      <w:r w:rsidR="004A7D00">
        <w:t>Z</w:t>
      </w:r>
      <w:r w:rsidR="004E6A9C">
        <w:t>načn</w:t>
      </w:r>
      <w:r w:rsidR="00766A0E">
        <w:t>á</w:t>
      </w:r>
      <w:r w:rsidR="00E814F3">
        <w:t xml:space="preserve"> heterogenit</w:t>
      </w:r>
      <w:r w:rsidR="00766A0E">
        <w:t>a</w:t>
      </w:r>
      <w:r w:rsidR="00E814F3">
        <w:t xml:space="preserve"> skupiny seniorů </w:t>
      </w:r>
      <w:r w:rsidR="004A7D00">
        <w:t xml:space="preserve">je </w:t>
      </w:r>
      <w:r w:rsidR="00766A0E">
        <w:t>dána</w:t>
      </w:r>
      <w:r w:rsidR="00E814F3">
        <w:t xml:space="preserve"> </w:t>
      </w:r>
      <w:r w:rsidR="00256F47" w:rsidRPr="00EB0766">
        <w:rPr>
          <w:i/>
          <w:iCs/>
        </w:rPr>
        <w:t>„…</w:t>
      </w:r>
      <w:r w:rsidR="008D690F" w:rsidRPr="00EB0766">
        <w:rPr>
          <w:i/>
          <w:iCs/>
        </w:rPr>
        <w:t>věkem, zdravotním stavem a stále narůstající délkou dožití, ale také příjmy, vzděláním, místem bydliště (venkov vs. město), sociálními vazbami, vlastní aktivitou a životní</w:t>
      </w:r>
      <w:r w:rsidR="00256F47" w:rsidRPr="00EB0766">
        <w:rPr>
          <w:i/>
          <w:iCs/>
        </w:rPr>
        <w:t>mi</w:t>
      </w:r>
      <w:r w:rsidR="008D690F" w:rsidRPr="00EB0766">
        <w:rPr>
          <w:i/>
          <w:iCs/>
        </w:rPr>
        <w:t xml:space="preserve"> zkušenost</w:t>
      </w:r>
      <w:r w:rsidR="00256F47" w:rsidRPr="00EB0766">
        <w:rPr>
          <w:i/>
          <w:iCs/>
        </w:rPr>
        <w:t>mi</w:t>
      </w:r>
      <w:r w:rsidR="00473634">
        <w:rPr>
          <w:i/>
          <w:iCs/>
        </w:rPr>
        <w:t>,</w:t>
      </w:r>
      <w:r w:rsidR="00256F47">
        <w:t>“</w:t>
      </w:r>
      <w:r w:rsidR="00C73955">
        <w:fldChar w:fldCharType="begin"/>
      </w:r>
      <w:r w:rsidR="009B3709">
        <w:instrText xml:space="preserve"> ADDIN ZOTERO_ITEM CSL_CITATION {"citationID":"LhE4qCoM","properties":{"formattedCitation":"\\super 9(p7)\\nosupersub{}","plainCitation":"9(p7)","noteIndex":0},"citationItems":[{"id":154,"uris":["http://zotero.org/users/9426386/items/7WJBPSRG"],"itemData":{"id":154,"type":"document","language":"cs","publisher":"MPSV ČR","title":"Strategický rámec přípravy na stárnutí společnosti 2021–2025","URL":"https://www.mpsv.cz/strategicky-ramec-pripravy-na-starnuti-spolecnosti-2021-2025","issued":{"date-parts":[["2022",2,2]]}},"locator":"7","label":"page"}],"schema":"https://github.com/citation-style-language/schema/raw/master/csl-citation.json"} </w:instrText>
      </w:r>
      <w:r w:rsidR="00C73955">
        <w:fldChar w:fldCharType="separate"/>
      </w:r>
      <w:r w:rsidR="00E87A1C" w:rsidRPr="00E87A1C">
        <w:rPr>
          <w:vertAlign w:val="superscript"/>
        </w:rPr>
        <w:t>9(p7)</w:t>
      </w:r>
      <w:r w:rsidR="00C73955">
        <w:fldChar w:fldCharType="end"/>
      </w:r>
      <w:r w:rsidR="004039AC">
        <w:t xml:space="preserve"> k</w:t>
      </w:r>
      <w:r w:rsidR="00256F47">
        <w:t xml:space="preserve"> </w:t>
      </w:r>
      <w:r w:rsidR="004039AC">
        <w:t>čemuž se dále přičítají zákonitosti popsané v</w:t>
      </w:r>
      <w:r w:rsidR="00256F47">
        <w:t xml:space="preserve"> předchozím </w:t>
      </w:r>
      <w:r w:rsidR="004039AC">
        <w:t>text</w:t>
      </w:r>
      <w:r w:rsidR="00256F47">
        <w:t>u</w:t>
      </w:r>
      <w:r w:rsidR="00E814F3">
        <w:t>.</w:t>
      </w:r>
      <w:r w:rsidR="004A31DC">
        <w:t xml:space="preserve"> </w:t>
      </w:r>
      <w:r w:rsidR="004C3F8B">
        <w:t>Stáří</w:t>
      </w:r>
      <w:r w:rsidR="00ED0598">
        <w:t xml:space="preserve">, jakožto pozdní fáze ontogeneze, nám </w:t>
      </w:r>
      <w:r w:rsidR="00367A7D">
        <w:t>samo o</w:t>
      </w:r>
      <w:r w:rsidR="001114E3">
        <w:t> </w:t>
      </w:r>
      <w:r w:rsidR="00367A7D">
        <w:t>sobě</w:t>
      </w:r>
      <w:r w:rsidR="006B7D7D">
        <w:t xml:space="preserve"> </w:t>
      </w:r>
      <w:r w:rsidR="00ED0598">
        <w:t>nevypovídá nic o tom, koho máme na mysli</w:t>
      </w:r>
      <w:r w:rsidR="00BC3049">
        <w:t xml:space="preserve"> pod označením starý člověk</w:t>
      </w:r>
      <w:r w:rsidR="00AB6661">
        <w:t xml:space="preserve"> a komu tím pádem př</w:t>
      </w:r>
      <w:r w:rsidR="00A85789">
        <w:t>i</w:t>
      </w:r>
      <w:r w:rsidR="00BA4A29">
        <w:t>znat</w:t>
      </w:r>
      <w:r w:rsidR="00AB6661">
        <w:t xml:space="preserve"> status stáří</w:t>
      </w:r>
      <w:r w:rsidR="00BC3049">
        <w:t xml:space="preserve">. </w:t>
      </w:r>
      <w:r w:rsidR="00444345">
        <w:t>Vymezení pojmu senior je ta</w:t>
      </w:r>
      <w:r w:rsidR="00CA2CF9">
        <w:t xml:space="preserve">k </w:t>
      </w:r>
      <w:r w:rsidR="004A31DC">
        <w:t xml:space="preserve">v ředě zdrojů </w:t>
      </w:r>
      <w:r w:rsidR="00CA2CF9">
        <w:t>značně různorodé</w:t>
      </w:r>
      <w:r w:rsidR="00940F0B">
        <w:t xml:space="preserve"> a problematické</w:t>
      </w:r>
      <w:r w:rsidR="00C606A3">
        <w:t xml:space="preserve">. </w:t>
      </w:r>
      <w:r w:rsidR="00953838">
        <w:fldChar w:fldCharType="begin"/>
      </w:r>
      <w:r w:rsidR="00870A2F">
        <w:instrText xml:space="preserve"> ADDIN ZOTERO_ITEM CSL_CITATION {"citationID":"10eXISAB","properties":{"formattedCitation":"\\super 7(p9)\\nosupersub{}","plainCitation":"7(p9)","noteIndex":0},"citationItems":[{"id":150,"uris":["http://zotero.org/users/9426386/items/KZHM6B4S"],"itemData":{"id":150,"type":"book","event-place":"Praha","ISBN":"978-80-271-0876-3","language":"cs","publisher":"Grada","publisher-place":"Praha","title":"Psychosociální adaptace ve stáří a nemoci","author":[{"family":"Ptáček","given":"Radek"},{"family":"Ptáčková","given":"Hana"}],"issued":{"date-parts":[["2021"]]}},"locator":"9","label":"page"}],"schema":"https://github.com/citation-style-language/schema/raw/master/csl-citation.json"} </w:instrText>
      </w:r>
      <w:r w:rsidR="00953838">
        <w:fldChar w:fldCharType="separate"/>
      </w:r>
      <w:r w:rsidR="00463868" w:rsidRPr="00463868">
        <w:rPr>
          <w:vertAlign w:val="superscript"/>
        </w:rPr>
        <w:t>7(p9)</w:t>
      </w:r>
      <w:r w:rsidR="00953838">
        <w:fldChar w:fldCharType="end"/>
      </w:r>
    </w:p>
    <w:p w14:paraId="799642CF" w14:textId="22D89CA6" w:rsidR="00A37140" w:rsidRDefault="00946803" w:rsidP="00803D4C">
      <w:pPr>
        <w:pStyle w:val="Dalodstavce"/>
      </w:pPr>
      <w:r>
        <w:t>Český statistický úřad</w:t>
      </w:r>
      <w:r w:rsidR="00953838">
        <w:fldChar w:fldCharType="begin"/>
      </w:r>
      <w:r w:rsidR="000302D1">
        <w:instrText xml:space="preserve"> ADDIN ZOTERO_ITEM CSL_CITATION {"citationID":"IzH4puUw","properties":{"formattedCitation":"\\super 10(p8)\\nosupersub{}","plainCitation":"10(p8)","noteIndex":0},"citationItems":[{"id":135,"uris":["http://zotero.org/users/9426386/items/73VHECLD"],"itemData":{"id":135,"type":"document","language":"cs","publisher":"Český statistický úřad","source":"Zotero","title":"Senioři v ČR v datech – 2023","URL":"https://www.czso.cz/csu/czso/seniori-v-cr-v-datech-ajnoatmxkq","issued":{"date-parts":[["2023"]]}},"locator":"8","label":"page"}],"schema":"https://github.com/citation-style-language/schema/raw/master/csl-citation.json"} </w:instrText>
      </w:r>
      <w:r w:rsidR="00953838">
        <w:fldChar w:fldCharType="separate"/>
      </w:r>
      <w:r w:rsidR="00463868" w:rsidRPr="00463868">
        <w:rPr>
          <w:vertAlign w:val="superscript"/>
        </w:rPr>
        <w:t>10(p8)</w:t>
      </w:r>
      <w:r w:rsidR="00953838">
        <w:fldChar w:fldCharType="end"/>
      </w:r>
      <w:r w:rsidR="003804B6">
        <w:t>(dále jen ČSÚ)</w:t>
      </w:r>
      <w:r w:rsidR="00B865AF">
        <w:t xml:space="preserve"> defin</w:t>
      </w:r>
      <w:r w:rsidR="004F197E">
        <w:t>uje</w:t>
      </w:r>
      <w:r w:rsidR="005643C8">
        <w:t xml:space="preserve"> seniora</w:t>
      </w:r>
      <w:r w:rsidR="00272BC6">
        <w:t xml:space="preserve"> dle kritéria věku</w:t>
      </w:r>
      <w:r w:rsidR="00D04FBA">
        <w:t>,</w:t>
      </w:r>
      <w:r w:rsidR="005643C8">
        <w:t xml:space="preserve"> </w:t>
      </w:r>
      <w:r w:rsidR="004F197E">
        <w:t xml:space="preserve">tedy </w:t>
      </w:r>
      <w:r w:rsidR="005643C8">
        <w:t>jako</w:t>
      </w:r>
      <w:r w:rsidR="003B1590">
        <w:t xml:space="preserve"> každou osobu ve věku 65</w:t>
      </w:r>
      <w:r w:rsidR="000664F6">
        <w:t xml:space="preserve"> </w:t>
      </w:r>
      <w:r w:rsidR="003B1590">
        <w:t>a více</w:t>
      </w:r>
      <w:r w:rsidR="000664F6">
        <w:t xml:space="preserve"> let</w:t>
      </w:r>
      <w:r w:rsidR="003B1590">
        <w:t>.</w:t>
      </w:r>
      <w:r w:rsidR="005643C8">
        <w:t xml:space="preserve"> </w:t>
      </w:r>
      <w:r w:rsidR="00B50D2A">
        <w:t xml:space="preserve">Oproti tomu </w:t>
      </w:r>
      <w:r w:rsidR="002A3A30">
        <w:t xml:space="preserve">Ministerstvo práce a sociálních věcí </w:t>
      </w:r>
      <w:r w:rsidR="00E9366A">
        <w:t xml:space="preserve">České republiky </w:t>
      </w:r>
      <w:r w:rsidR="002A3A30">
        <w:t>(</w:t>
      </w:r>
      <w:r w:rsidR="001475D4">
        <w:t xml:space="preserve">dále jen </w:t>
      </w:r>
      <w:r w:rsidR="002A3A30">
        <w:t>MPSV)</w:t>
      </w:r>
      <w:r w:rsidR="00E9366A">
        <w:t xml:space="preserve"> vymezuje</w:t>
      </w:r>
      <w:r w:rsidR="00CB6318">
        <w:t>,</w:t>
      </w:r>
      <w:r w:rsidR="00E9366A">
        <w:t xml:space="preserve"> </w:t>
      </w:r>
      <w:r w:rsidR="005D4909">
        <w:t xml:space="preserve">ve svém Strategickém rámci přípravy </w:t>
      </w:r>
      <w:r w:rsidR="005D4909">
        <w:lastRenderedPageBreak/>
        <w:t>na stárnutí společnosti</w:t>
      </w:r>
      <w:r w:rsidR="00CB6318">
        <w:t xml:space="preserve"> 2021</w:t>
      </w:r>
      <w:r w:rsidR="00B075F4">
        <w:t>–</w:t>
      </w:r>
      <w:r w:rsidR="00CB6318">
        <w:t>2025</w:t>
      </w:r>
      <w:r w:rsidR="000D39D4">
        <w:t>,</w:t>
      </w:r>
      <w:r w:rsidR="00826F2E">
        <w:fldChar w:fldCharType="begin"/>
      </w:r>
      <w:r w:rsidR="009B3709">
        <w:instrText xml:space="preserve"> ADDIN ZOTERO_ITEM CSL_CITATION {"citationID":"r190roYq","properties":{"formattedCitation":"\\super 9(p7)\\nosupersub{}","plainCitation":"9(p7)","noteIndex":0},"citationItems":[{"id":154,"uris":["http://zotero.org/users/9426386/items/7WJBPSRG"],"itemData":{"id":154,"type":"document","language":"cs","publisher":"MPSV ČR","title":"Strategický rámec přípravy na stárnutí společnosti 2021–2025","URL":"https://www.mpsv.cz/strategicky-ramec-pripravy-na-starnuti-spolecnosti-2021-2025","issued":{"date-parts":[["2022",2,2]]}},"locator":"7","label":"page"}],"schema":"https://github.com/citation-style-language/schema/raw/master/csl-citation.json"} </w:instrText>
      </w:r>
      <w:r w:rsidR="00826F2E">
        <w:fldChar w:fldCharType="separate"/>
      </w:r>
      <w:r w:rsidR="00E87A1C" w:rsidRPr="00E87A1C">
        <w:rPr>
          <w:vertAlign w:val="superscript"/>
        </w:rPr>
        <w:t>9(p7)</w:t>
      </w:r>
      <w:r w:rsidR="00826F2E">
        <w:fldChar w:fldCharType="end"/>
      </w:r>
      <w:r w:rsidR="000D39D4">
        <w:t xml:space="preserve"> </w:t>
      </w:r>
      <w:r w:rsidR="00E9366A">
        <w:t xml:space="preserve">seniora jako osobu </w:t>
      </w:r>
      <w:r w:rsidR="00541071">
        <w:t>nad 60 let věku</w:t>
      </w:r>
      <w:r w:rsidR="005F516E">
        <w:t xml:space="preserve">. Zároveň </w:t>
      </w:r>
      <w:r w:rsidR="004B319D">
        <w:t xml:space="preserve">ve zmíněném dokumentu </w:t>
      </w:r>
      <w:r w:rsidR="005F516E">
        <w:t xml:space="preserve">pracuje </w:t>
      </w:r>
      <w:r w:rsidR="004B319D">
        <w:t xml:space="preserve">s věkovou hranicí pro seniora </w:t>
      </w:r>
      <w:r w:rsidR="001F6C5C">
        <w:t>65 (</w:t>
      </w:r>
      <w:r w:rsidR="001B4203">
        <w:t xml:space="preserve">především </w:t>
      </w:r>
      <w:r w:rsidR="001F6C5C">
        <w:t xml:space="preserve">z důvodu dostupnosti </w:t>
      </w:r>
      <w:r w:rsidR="00005F29">
        <w:t xml:space="preserve">některých </w:t>
      </w:r>
      <w:r w:rsidR="001F6C5C">
        <w:t xml:space="preserve">dat) či 55 </w:t>
      </w:r>
      <w:r w:rsidR="004763E0">
        <w:t xml:space="preserve">let </w:t>
      </w:r>
      <w:r w:rsidR="001F6C5C">
        <w:t>(</w:t>
      </w:r>
      <w:r w:rsidR="00DC0485">
        <w:t>v souvislosti s</w:t>
      </w:r>
      <w:r w:rsidR="001721E2">
        <w:t> </w:t>
      </w:r>
      <w:r w:rsidR="00005F29">
        <w:t>problematikou</w:t>
      </w:r>
      <w:r w:rsidR="001721E2">
        <w:t xml:space="preserve"> týkající se</w:t>
      </w:r>
      <w:r w:rsidR="00005F29">
        <w:t xml:space="preserve"> trhu práce</w:t>
      </w:r>
      <w:r w:rsidR="001F6C5C">
        <w:t xml:space="preserve">). </w:t>
      </w:r>
      <w:r w:rsidR="00280817">
        <w:t xml:space="preserve">MPSV dále </w:t>
      </w:r>
      <w:r w:rsidR="00676FDD">
        <w:t>zmiňuje</w:t>
      </w:r>
      <w:r w:rsidR="0019438C">
        <w:t xml:space="preserve">, že v České republice neexistuje univerzální definice </w:t>
      </w:r>
      <w:r w:rsidR="00676FDD">
        <w:t>pojmu senior</w:t>
      </w:r>
      <w:r w:rsidR="0019438C">
        <w:t>.</w:t>
      </w:r>
    </w:p>
    <w:p w14:paraId="46688C8E" w14:textId="0B0BC68F" w:rsidR="00F64FF1" w:rsidRDefault="003E0DB2" w:rsidP="00A2639F">
      <w:pPr>
        <w:pStyle w:val="Dalodstavce"/>
      </w:pPr>
      <w:r>
        <w:t xml:space="preserve">Pokud bychom chtěli </w:t>
      </w:r>
      <w:r w:rsidR="00B5416D">
        <w:t xml:space="preserve">seniorský </w:t>
      </w:r>
      <w:r w:rsidR="00930E48">
        <w:t>věk</w:t>
      </w:r>
      <w:r w:rsidR="00B5416D">
        <w:t xml:space="preserve"> a stáří</w:t>
      </w:r>
      <w:r w:rsidR="00930E48">
        <w:t xml:space="preserve"> jakkoli </w:t>
      </w:r>
      <w:r w:rsidR="00C0496E">
        <w:t>vymezit a členit</w:t>
      </w:r>
      <w:r w:rsidR="001D797C">
        <w:t>, nabízí se řada možností</w:t>
      </w:r>
      <w:r w:rsidR="00C0496E">
        <w:t xml:space="preserve"> dělení.</w:t>
      </w:r>
      <w:r w:rsidR="003273A0">
        <w:t xml:space="preserve"> </w:t>
      </w:r>
      <w:r w:rsidR="00120724">
        <w:t>Mezi n</w:t>
      </w:r>
      <w:r w:rsidR="00285382">
        <w:t>ejčas</w:t>
      </w:r>
      <w:r w:rsidR="002D7E0D">
        <w:t xml:space="preserve">tější </w:t>
      </w:r>
      <w:r w:rsidR="00171E22">
        <w:t>lze zařadit</w:t>
      </w:r>
      <w:r w:rsidR="00285382">
        <w:t xml:space="preserve"> </w:t>
      </w:r>
      <w:r w:rsidR="00AF1B6A">
        <w:t>rozlišován</w:t>
      </w:r>
      <w:r w:rsidR="002D7E0D">
        <w:t>í</w:t>
      </w:r>
      <w:r w:rsidR="00AF1B6A">
        <w:t xml:space="preserve"> na tři základní přístupy</w:t>
      </w:r>
      <w:r w:rsidR="002D7E0D">
        <w:t xml:space="preserve"> ke stáří, a to </w:t>
      </w:r>
      <w:r w:rsidR="00AF5ADD">
        <w:t>kalendářní, sociální a biologické stáří.</w:t>
      </w:r>
      <w:r w:rsidR="00942CAA">
        <w:fldChar w:fldCharType="begin"/>
      </w:r>
      <w:r w:rsidR="002B3D48">
        <w:instrText xml:space="preserve"> ADDIN ZOTERO_ITEM CSL_CITATION {"citationID":"H6yBjokj","properties":{"formattedCitation":"\\super 1(p47),2(p24)\\nosupersub{}","plainCitation":"1(p47),2(p24)","noteIndex":0},"citationItems":[{"id":133,"uris":["http://zotero.org/users/9426386/items/RW2L6RHE"],"itemData":{"id":133,"type":"book","event-place":"Praha","ISBN":"978-80-247-0548-4","language":"cze","note":"OCLC: 85137350","publisher":"Grada","publisher-place":"Praha","source":"Open WorldCat","title":"Geriatrie a gerontologie","author":[{"family":"Kalvach","given":"Zdeněk"},{"family":"Zadák","given":"Z."},{"family":"Jirák","given":"R."},{"family":"Zavázalová","given":"H."},{"family":"Sucharda","given":"P."}],"issued":{"date-parts":[["2004"]]}},"locator":"47","label":"page"},{"id":142,"uris":["http://zotero.org/users/9426386/items/23ZMXUSV"],"itemData":{"id":142,"type":"article-journal","abstract":"Old age and aging of individuals are phenomenons that took important place in society as early as former times. During twentieth century the question of aging got new meaning, because it newly started to overreach from individual level to all-society. As a result of improvement of some social conditions (f.e. medical care, lifestyle, hygiene, living standard etc.), that was already initiated approximately at the beginning of the nineteenth century, dying started to be moved to higher age and people live longer. In modern societies this event usually goes with decline of natality and fertility. In final effect combination of these two factors causes the process that is known as demographic aging. In general we have to distinction between two views of problems of aging. The first view is focused on individual aging, the second one on demographic aging of human population. But it is clear that both of these views relate to each other. Similarly this article offers the roundup of problems of demographic aging, but also gives a touch of questions about longevity and quality of life, that gain ground in connection with theme of individual aging.","container-title":"NAŠE SPOLEČNOST","issue":"1","language":"cs","page":"24-30","source":"Zotero","title":"Demografické souvislosti stárnutí","volume":"5","author":[{"family":"Dimitrová","given":"Michaela"}],"issued":{"date-parts":[["2007"]]}},"locator":"24","label":"page"}],"schema":"https://github.com/citation-style-language/schema/raw/master/csl-citation.json"} </w:instrText>
      </w:r>
      <w:r w:rsidR="00942CAA">
        <w:fldChar w:fldCharType="separate"/>
      </w:r>
      <w:r w:rsidR="00F846EE" w:rsidRPr="00F846EE">
        <w:rPr>
          <w:vertAlign w:val="superscript"/>
        </w:rPr>
        <w:t>1(p47),2(p24)</w:t>
      </w:r>
      <w:r w:rsidR="00942CAA">
        <w:fldChar w:fldCharType="end"/>
      </w:r>
    </w:p>
    <w:p w14:paraId="41140875" w14:textId="47D2EBA1" w:rsidR="00D0314E" w:rsidRDefault="00CF59A0" w:rsidP="00A2639F">
      <w:pPr>
        <w:pStyle w:val="Dalodstavce"/>
      </w:pPr>
      <w:r>
        <w:t xml:space="preserve">Kalendářní stáří </w:t>
      </w:r>
      <w:r w:rsidR="00B97462">
        <w:t>je určeno datem narození a lze jej tudíž přesně vymezit</w:t>
      </w:r>
      <w:r w:rsidR="00EE384B">
        <w:t xml:space="preserve"> (zpravidla počet let, kterých se</w:t>
      </w:r>
      <w:r w:rsidR="00A7311E">
        <w:t xml:space="preserve"> </w:t>
      </w:r>
      <w:r w:rsidR="00EE384B">
        <w:t>daný jedinec</w:t>
      </w:r>
      <w:r w:rsidR="00A7311E">
        <w:t xml:space="preserve"> dožil</w:t>
      </w:r>
      <w:r w:rsidR="00EE384B">
        <w:t>)</w:t>
      </w:r>
      <w:r w:rsidR="00455B03">
        <w:t>.</w:t>
      </w:r>
      <w:r w:rsidR="00F633F0">
        <w:t xml:space="preserve"> Nevýhodou</w:t>
      </w:r>
      <w:r w:rsidR="008D091B">
        <w:t xml:space="preserve"> zůstává fakt, že zcela neodráží interindividuální rozdíly</w:t>
      </w:r>
      <w:r w:rsidR="006C3DD1">
        <w:t>. Stejně tak i</w:t>
      </w:r>
      <w:r w:rsidR="00972152">
        <w:t xml:space="preserve"> </w:t>
      </w:r>
      <w:r w:rsidR="006C3DD1">
        <w:t>věkov</w:t>
      </w:r>
      <w:r w:rsidR="00972152">
        <w:t>á</w:t>
      </w:r>
      <w:r w:rsidR="006C3DD1">
        <w:t xml:space="preserve"> hranice </w:t>
      </w:r>
      <w:r w:rsidR="00AA2D37">
        <w:t>se</w:t>
      </w:r>
      <w:r w:rsidR="00163DDA">
        <w:t>,</w:t>
      </w:r>
      <w:r w:rsidR="00AA2D37">
        <w:t xml:space="preserve"> </w:t>
      </w:r>
      <w:r w:rsidR="00025DBB">
        <w:t>v souvislosti s</w:t>
      </w:r>
      <w:r w:rsidR="00BA2DF3">
        <w:t> populačním stárnutím</w:t>
      </w:r>
      <w:r w:rsidR="00163DDA">
        <w:t>, postupem času posouvá</w:t>
      </w:r>
      <w:r w:rsidR="00976A8B">
        <w:t>, neboť „</w:t>
      </w:r>
      <w:r w:rsidR="003C7A22" w:rsidRPr="003C7A22">
        <w:rPr>
          <w:i/>
          <w:iCs/>
        </w:rPr>
        <w:t>…</w:t>
      </w:r>
      <w:r w:rsidR="008A6B8E" w:rsidRPr="003C7A22">
        <w:rPr>
          <w:i/>
          <w:iCs/>
        </w:rPr>
        <w:t>se prodlužuje oč</w:t>
      </w:r>
      <w:r w:rsidR="007A3BC2" w:rsidRPr="003C7A22">
        <w:rPr>
          <w:i/>
          <w:iCs/>
        </w:rPr>
        <w:t>e</w:t>
      </w:r>
      <w:r w:rsidR="008A6B8E" w:rsidRPr="003C7A22">
        <w:rPr>
          <w:i/>
          <w:iCs/>
        </w:rPr>
        <w:t>kávaná doba</w:t>
      </w:r>
      <w:r w:rsidR="007A3BC2" w:rsidRPr="003C7A22">
        <w:rPr>
          <w:i/>
          <w:iCs/>
        </w:rPr>
        <w:t xml:space="preserve"> dožití a průběžně se zlepšuje zdravotní a funkční stav nově stárnoucích generací</w:t>
      </w:r>
      <w:r w:rsidR="00976A8B">
        <w:t>“</w:t>
      </w:r>
      <w:r w:rsidR="00C3260F">
        <w:fldChar w:fldCharType="begin"/>
      </w:r>
      <w:r w:rsidR="002B3D48">
        <w:instrText xml:space="preserve"> ADDIN ZOTERO_ITEM CSL_CITATION {"citationID":"EhjmAFil","properties":{"formattedCitation":"\\super 1(p47)\\nosupersub{}","plainCitation":"1(p47)","noteIndex":0},"citationItems":[{"id":133,"uris":["http://zotero.org/users/9426386/items/RW2L6RHE"],"itemData":{"id":133,"type":"book","event-place":"Praha","ISBN":"978-80-247-0548-4","language":"cze","note":"OCLC: 85137350","publisher":"Grada","publisher-place":"Praha","source":"Open WorldCat","title":"Geriatrie a gerontologie","author":[{"family":"Kalvach","given":"Zdeněk"},{"family":"Zadák","given":"Z."},{"family":"Jirák","given":"R."},{"family":"Zavázalová","given":"H."},{"family":"Sucharda","given":"P."}],"issued":{"date-parts":[["2004"]]}},"locator":"47","label":"page"}],"schema":"https://github.com/citation-style-language/schema/raw/master/csl-citation.json"} </w:instrText>
      </w:r>
      <w:r w:rsidR="00C3260F">
        <w:fldChar w:fldCharType="separate"/>
      </w:r>
      <w:r w:rsidR="00F846EE" w:rsidRPr="00F846EE">
        <w:rPr>
          <w:vertAlign w:val="superscript"/>
        </w:rPr>
        <w:t>1(p47)</w:t>
      </w:r>
      <w:r w:rsidR="00C3260F">
        <w:fldChar w:fldCharType="end"/>
      </w:r>
      <w:r w:rsidR="005267EE">
        <w:t xml:space="preserve"> (v</w:t>
      </w:r>
      <w:r w:rsidR="009F4DA6">
        <w:t> současnosti je za počátek stáří považován</w:t>
      </w:r>
      <w:r w:rsidR="00C543ED">
        <w:t>o</w:t>
      </w:r>
      <w:r w:rsidR="009F4DA6">
        <w:t xml:space="preserve"> 65 let</w:t>
      </w:r>
      <w:r w:rsidR="007A3BC2">
        <w:t xml:space="preserve"> </w:t>
      </w:r>
      <w:r w:rsidR="00C543ED">
        <w:t>věku</w:t>
      </w:r>
      <w:r w:rsidR="005267EE">
        <w:t>)</w:t>
      </w:r>
      <w:r w:rsidR="00226360">
        <w:t xml:space="preserve">. </w:t>
      </w:r>
      <w:r w:rsidR="00BF6758">
        <w:t>Kalendářní stáří lze dále</w:t>
      </w:r>
      <w:r w:rsidR="00EF1541">
        <w:t xml:space="preserve"> rozčlenit</w:t>
      </w:r>
      <w:r w:rsidR="007D41DC">
        <w:t xml:space="preserve"> na tzv. rané stáří</w:t>
      </w:r>
      <w:r w:rsidR="00B74DD8">
        <w:t>/vyšší věk</w:t>
      </w:r>
      <w:r w:rsidR="00DE5D8F">
        <w:t>/senescenc</w:t>
      </w:r>
      <w:r w:rsidR="00913FD7">
        <w:t>i</w:t>
      </w:r>
      <w:r w:rsidR="00B74DD8">
        <w:t xml:space="preserve"> (60</w:t>
      </w:r>
      <w:r w:rsidR="00AC56E7">
        <w:t>–</w:t>
      </w:r>
      <w:r w:rsidR="00B74DD8">
        <w:t>74 let)</w:t>
      </w:r>
      <w:r w:rsidR="007D41DC">
        <w:t>, vlastní stáří</w:t>
      </w:r>
      <w:r w:rsidR="00597FC3">
        <w:t>/stařecký věk/</w:t>
      </w:r>
      <w:proofErr w:type="spellStart"/>
      <w:r w:rsidR="00597FC3">
        <w:t>senium</w:t>
      </w:r>
      <w:proofErr w:type="spellEnd"/>
      <w:r w:rsidR="00597FC3">
        <w:t xml:space="preserve"> (75</w:t>
      </w:r>
      <w:r w:rsidR="00AC56E7">
        <w:t>–</w:t>
      </w:r>
      <w:r w:rsidR="00597FC3">
        <w:t>89 let)</w:t>
      </w:r>
      <w:r w:rsidR="00CF1225">
        <w:t xml:space="preserve"> a dlouhověkost</w:t>
      </w:r>
      <w:r w:rsidR="000568E5">
        <w:t>/</w:t>
      </w:r>
      <w:proofErr w:type="spellStart"/>
      <w:r w:rsidR="002B6BA7">
        <w:t>patriarchium</w:t>
      </w:r>
      <w:proofErr w:type="spellEnd"/>
      <w:r w:rsidR="0066746E">
        <w:t xml:space="preserve"> (90</w:t>
      </w:r>
      <w:r w:rsidR="00AC56E7">
        <w:t xml:space="preserve"> </w:t>
      </w:r>
      <w:r w:rsidR="006327DD">
        <w:t>a</w:t>
      </w:r>
      <w:r w:rsidR="00207E4A">
        <w:t> </w:t>
      </w:r>
      <w:r w:rsidR="006327DD">
        <w:t>více</w:t>
      </w:r>
      <w:r w:rsidR="00AC56E7">
        <w:t xml:space="preserve"> let</w:t>
      </w:r>
      <w:r w:rsidR="0066746E">
        <w:t>)</w:t>
      </w:r>
      <w:r w:rsidR="00CF1225">
        <w:t xml:space="preserve">. </w:t>
      </w:r>
      <w:r w:rsidR="00BC3ECC">
        <w:t xml:space="preserve">Z popsaného přístupu taktéž vychází i </w:t>
      </w:r>
      <w:r w:rsidR="00ED7AF0">
        <w:t>kategori</w:t>
      </w:r>
      <w:r w:rsidR="00BC3ECC">
        <w:t>zace seniorů na</w:t>
      </w:r>
      <w:r w:rsidR="00EF1541">
        <w:t xml:space="preserve"> </w:t>
      </w:r>
      <w:r w:rsidR="00ED7AF0">
        <w:t>tzv. mlad</w:t>
      </w:r>
      <w:r w:rsidR="00BC3ECC">
        <w:t>é</w:t>
      </w:r>
      <w:r w:rsidR="00B1071E">
        <w:t xml:space="preserve"> (65</w:t>
      </w:r>
      <w:r w:rsidR="000113F8">
        <w:t>–</w:t>
      </w:r>
      <w:r w:rsidR="00B1071E">
        <w:t>74 let</w:t>
      </w:r>
      <w:r w:rsidR="007663DF">
        <w:t>, ev. 60</w:t>
      </w:r>
      <w:r w:rsidR="000113F8">
        <w:t>–</w:t>
      </w:r>
      <w:r w:rsidR="007663DF">
        <w:t>74 let</w:t>
      </w:r>
      <w:r w:rsidR="00B1071E">
        <w:t>)</w:t>
      </w:r>
      <w:r w:rsidR="00ED7AF0">
        <w:t>, sta</w:t>
      </w:r>
      <w:r w:rsidR="00BC3ECC">
        <w:t>ré</w:t>
      </w:r>
      <w:r w:rsidR="00ED7AF0">
        <w:t xml:space="preserve"> </w:t>
      </w:r>
      <w:r w:rsidR="007663DF">
        <w:t>(75</w:t>
      </w:r>
      <w:r w:rsidR="000113F8">
        <w:t>–</w:t>
      </w:r>
      <w:r w:rsidR="007663DF">
        <w:t>85</w:t>
      </w:r>
      <w:r w:rsidR="000113F8">
        <w:t> </w:t>
      </w:r>
      <w:r w:rsidR="007663DF">
        <w:t xml:space="preserve">let) </w:t>
      </w:r>
      <w:r w:rsidR="00ED7AF0">
        <w:t>a velmi sta</w:t>
      </w:r>
      <w:r w:rsidR="00BC3ECC">
        <w:t>ré</w:t>
      </w:r>
      <w:r w:rsidR="007663DF">
        <w:t xml:space="preserve"> </w:t>
      </w:r>
      <w:r w:rsidR="002F1C28">
        <w:t>senio</w:t>
      </w:r>
      <w:r w:rsidR="00BC3ECC">
        <w:t>ry</w:t>
      </w:r>
      <w:r w:rsidR="002F1C28">
        <w:t xml:space="preserve"> </w:t>
      </w:r>
      <w:r w:rsidR="007663DF">
        <w:t>(</w:t>
      </w:r>
      <w:r w:rsidR="002F1C28">
        <w:t>nad 85 let</w:t>
      </w:r>
      <w:r w:rsidR="007663DF">
        <w:t>)</w:t>
      </w:r>
      <w:r w:rsidR="00ED7AF0">
        <w:t>.</w:t>
      </w:r>
      <w:r w:rsidR="00C3260F">
        <w:fldChar w:fldCharType="begin"/>
      </w:r>
      <w:r w:rsidR="002B3D48">
        <w:instrText xml:space="preserve"> ADDIN ZOTERO_ITEM CSL_CITATION {"citationID":"uHmqLCrS","properties":{"formattedCitation":"\\super 1(pp47-48),2(p24),7(p14)\\nosupersub{}","plainCitation":"1(pp47-48),2(p24),7(p14)","noteIndex":0},"citationItems":[{"id":150,"uris":["http://zotero.org/users/9426386/items/KZHM6B4S"],"itemData":{"id":150,"type":"book","event-place":"Praha","ISBN":"978-80-271-0876-3","language":"cs","publisher":"Grada","publisher-place":"Praha","title":"Psychosociální adaptace ve stáří a nemoci","author":[{"family":"Ptáček","given":"Radek"},{"family":"Ptáčková","given":"Hana"}],"issued":{"date-parts":[["2021"]]}},"locator":"14","label":"page"},{"id":133,"uris":["http://zotero.org/users/9426386/items/RW2L6RHE"],"itemData":{"id":133,"type":"book","event-place":"Praha","ISBN":"978-80-247-0548-4","language":"cze","note":"OCLC: 85137350","publisher":"Grada","publisher-place":"Praha","source":"Open WorldCat","title":"Geriatrie a gerontologie","author":[{"family":"Kalvach","given":"Zdeněk"},{"family":"Zadák","given":"Z."},{"family":"Jirák","given":"R."},{"family":"Zavázalová","given":"H."},{"family":"Sucharda","given":"P."}],"issued":{"date-parts":[["2004"]]}},"locator":"47-48","label":"page"},{"id":142,"uris":["http://zotero.org/users/9426386/items/23ZMXUSV"],"itemData":{"id":142,"type":"article-journal","abstract":"Old age and aging of individuals are phenomenons that took important place in society as early as former times. During twentieth century the question of aging got new meaning, because it newly started to overreach from individual level to all-society. As a result of improvement of some social conditions (f.e. medical care, lifestyle, hygiene, living standard etc.), that was already initiated approximately at the beginning of the nineteenth century, dying started to be moved to higher age and people live longer. In modern societies this event usually goes with decline of natality and fertility. In final effect combination of these two factors causes the process that is known as demographic aging. In general we have to distinction between two views of problems of aging. The first view is focused on individual aging, the second one on demographic aging of human population. But it is clear that both of these views relate to each other. Similarly this article offers the roundup of problems of demographic aging, but also gives a touch of questions about longevity and quality of life, that gain ground in connection with theme of individual aging.","container-title":"NAŠE SPOLEČNOST","issue":"1","language":"cs","page":"24-30","source":"Zotero","title":"Demografické souvislosti stárnutí","volume":"5","author":[{"family":"Dimitrová","given":"Michaela"}],"issued":{"date-parts":[["2007"]]}},"locator":"24","label":"page"}],"schema":"https://github.com/citation-style-language/schema/raw/master/csl-citation.json"} </w:instrText>
      </w:r>
      <w:r w:rsidR="00C3260F">
        <w:fldChar w:fldCharType="separate"/>
      </w:r>
      <w:r w:rsidR="00463868" w:rsidRPr="00463868">
        <w:rPr>
          <w:vertAlign w:val="superscript"/>
        </w:rPr>
        <w:t>1(pp47-48),2(p24),7(p14)</w:t>
      </w:r>
      <w:r w:rsidR="00C3260F">
        <w:fldChar w:fldCharType="end"/>
      </w:r>
    </w:p>
    <w:p w14:paraId="00592A73" w14:textId="54EA6858" w:rsidR="00086835" w:rsidRDefault="00CE3D80" w:rsidP="00A2639F">
      <w:pPr>
        <w:pStyle w:val="Dalodstavce"/>
      </w:pPr>
      <w:r>
        <w:t>Sociální stáří</w:t>
      </w:r>
      <w:r w:rsidR="00343670">
        <w:t xml:space="preserve"> </w:t>
      </w:r>
      <w:r w:rsidR="00273F94">
        <w:t>vyjadřuje, jak by se měl chovat člověk určité</w:t>
      </w:r>
      <w:r w:rsidR="003C7620">
        <w:t>ho</w:t>
      </w:r>
      <w:r w:rsidR="00273F94">
        <w:t xml:space="preserve"> věku dle daných společenských </w:t>
      </w:r>
      <w:r w:rsidR="00F024A8">
        <w:t>rolí</w:t>
      </w:r>
      <w:r w:rsidR="001F195E">
        <w:t>.</w:t>
      </w:r>
      <w:r w:rsidR="00356669">
        <w:t xml:space="preserve"> I zde probíhá členění</w:t>
      </w:r>
      <w:r w:rsidR="00612281">
        <w:t>, a to</w:t>
      </w:r>
      <w:r w:rsidR="00356669">
        <w:t xml:space="preserve"> do následujících etap</w:t>
      </w:r>
      <w:r w:rsidR="00BA3DA9">
        <w:t xml:space="preserve">: </w:t>
      </w:r>
      <w:r w:rsidR="00351885">
        <w:t>první/</w:t>
      </w:r>
      <w:r w:rsidR="00612281">
        <w:t>p</w:t>
      </w:r>
      <w:r w:rsidR="00BA3DA9">
        <w:t>ředproduktivní</w:t>
      </w:r>
      <w:r w:rsidR="00F10FC3">
        <w:t>/před</w:t>
      </w:r>
      <w:r w:rsidR="009624BC">
        <w:t>-</w:t>
      </w:r>
      <w:r w:rsidR="00F10FC3">
        <w:t>reprodukční</w:t>
      </w:r>
      <w:r w:rsidR="00C73F97">
        <w:t xml:space="preserve"> (</w:t>
      </w:r>
      <w:r w:rsidR="005A67B4">
        <w:t xml:space="preserve">dětství a mládí, </w:t>
      </w:r>
      <w:r w:rsidR="00C73F97">
        <w:t>0</w:t>
      </w:r>
      <w:r w:rsidR="00B94F2F">
        <w:t>–</w:t>
      </w:r>
      <w:r w:rsidR="00C73F97">
        <w:t>14 let)</w:t>
      </w:r>
      <w:r w:rsidR="00A63688">
        <w:t xml:space="preserve"> a </w:t>
      </w:r>
      <w:r w:rsidR="00A43BBD">
        <w:t>druhý/</w:t>
      </w:r>
      <w:r w:rsidR="00BA3DA9">
        <w:t>produktivní</w:t>
      </w:r>
      <w:r w:rsidR="00A66F64">
        <w:t>/reprodukční</w:t>
      </w:r>
      <w:r w:rsidR="00BA3DA9">
        <w:t xml:space="preserve"> </w:t>
      </w:r>
      <w:r w:rsidR="00BB440B">
        <w:t>věk</w:t>
      </w:r>
      <w:r w:rsidR="008F3F9D">
        <w:t xml:space="preserve"> </w:t>
      </w:r>
      <w:r w:rsidR="00312E95">
        <w:t>(</w:t>
      </w:r>
      <w:r w:rsidR="00A43BBD">
        <w:t>dospělost</w:t>
      </w:r>
      <w:r w:rsidR="00DA2921">
        <w:t>;</w:t>
      </w:r>
      <w:r w:rsidR="00A43BBD">
        <w:t xml:space="preserve"> </w:t>
      </w:r>
      <w:r w:rsidR="00312E95">
        <w:t>15</w:t>
      </w:r>
      <w:r w:rsidR="00B94F2F">
        <w:t>–</w:t>
      </w:r>
      <w:r w:rsidR="00312E95">
        <w:t>59, příp. 64 let</w:t>
      </w:r>
      <w:r w:rsidR="00DA2921">
        <w:t>;</w:t>
      </w:r>
      <w:r w:rsidR="000060F0">
        <w:t xml:space="preserve"> biologická i</w:t>
      </w:r>
      <w:r w:rsidR="00F05C55">
        <w:t> </w:t>
      </w:r>
      <w:r w:rsidR="000060F0">
        <w:t>ekonomicko-sociální produktivita</w:t>
      </w:r>
      <w:r w:rsidR="00312E95">
        <w:t>)</w:t>
      </w:r>
      <w:r w:rsidR="00A63688">
        <w:t>. V</w:t>
      </w:r>
      <w:r w:rsidR="00636BD7">
        <w:t>zhledem k</w:t>
      </w:r>
      <w:r w:rsidR="005F5F5F">
        <w:t xml:space="preserve"> charakteru textu</w:t>
      </w:r>
      <w:r w:rsidR="00BE5363">
        <w:t xml:space="preserve"> </w:t>
      </w:r>
      <w:r w:rsidR="00BE4CE5">
        <w:t>je</w:t>
      </w:r>
      <w:r w:rsidR="00A63688">
        <w:t xml:space="preserve"> </w:t>
      </w:r>
      <w:r w:rsidR="00BE5363">
        <w:t>podstatnější</w:t>
      </w:r>
      <w:r w:rsidR="00462588">
        <w:t xml:space="preserve"> životní etapa, do níž vstupuje </w:t>
      </w:r>
      <w:r w:rsidR="00DA39EA">
        <w:t>člověk</w:t>
      </w:r>
      <w:r w:rsidR="004717F5">
        <w:t xml:space="preserve"> po opuštění pracovního trhu</w:t>
      </w:r>
      <w:r w:rsidR="00BB440B">
        <w:t>, a to</w:t>
      </w:r>
      <w:r w:rsidR="005F5F5F">
        <w:t xml:space="preserve"> </w:t>
      </w:r>
      <w:r w:rsidR="000060F0">
        <w:t>třetí/</w:t>
      </w:r>
      <w:r w:rsidR="00BA3DA9">
        <w:t>postpr</w:t>
      </w:r>
      <w:r w:rsidR="00E34EDE">
        <w:t>oduktivní</w:t>
      </w:r>
      <w:r w:rsidR="00407F07">
        <w:t>/post</w:t>
      </w:r>
      <w:r w:rsidR="009624BC">
        <w:t>-</w:t>
      </w:r>
      <w:r w:rsidR="00407F07">
        <w:t>reprodukční</w:t>
      </w:r>
      <w:r w:rsidR="00E34EDE">
        <w:t xml:space="preserve"> věk</w:t>
      </w:r>
      <w:r w:rsidR="004B537B">
        <w:t xml:space="preserve"> (</w:t>
      </w:r>
      <w:r w:rsidR="00756ECE">
        <w:t>stáří</w:t>
      </w:r>
      <w:r w:rsidR="00176187">
        <w:t>;</w:t>
      </w:r>
      <w:r w:rsidR="00756ECE">
        <w:t xml:space="preserve"> </w:t>
      </w:r>
      <w:r w:rsidR="004B537B">
        <w:t>60, ev. 65</w:t>
      </w:r>
      <w:r w:rsidR="00B94F2F">
        <w:t xml:space="preserve"> </w:t>
      </w:r>
      <w:r w:rsidR="004B537B">
        <w:t>a více</w:t>
      </w:r>
      <w:r w:rsidR="00B94F2F">
        <w:t xml:space="preserve"> let</w:t>
      </w:r>
      <w:r w:rsidR="004B537B">
        <w:t>)</w:t>
      </w:r>
      <w:r w:rsidR="00F64222">
        <w:t xml:space="preserve">. </w:t>
      </w:r>
      <w:r w:rsidR="00C51EAA">
        <w:t>V dlouhodobém procesu v</w:t>
      </w:r>
      <w:r w:rsidR="00FC0F1F">
        <w:t>yú</w:t>
      </w:r>
      <w:r w:rsidR="00C51EAA">
        <w:t>sťuje stáří ve</w:t>
      </w:r>
      <w:r w:rsidR="00CB2F86">
        <w:t xml:space="preserve"> </w:t>
      </w:r>
      <w:r w:rsidR="00756ECE">
        <w:t>čtvrtý věk</w:t>
      </w:r>
      <w:r w:rsidR="009145BA">
        <w:t>, kdy dochází k</w:t>
      </w:r>
      <w:r w:rsidR="00C90C8D">
        <w:t> </w:t>
      </w:r>
      <w:r w:rsidR="00D85C7C">
        <w:t>návrat</w:t>
      </w:r>
      <w:r w:rsidR="009145BA">
        <w:t>u</w:t>
      </w:r>
      <w:r w:rsidR="00D85C7C">
        <w:t xml:space="preserve"> </w:t>
      </w:r>
      <w:r w:rsidR="009145BA">
        <w:t>do</w:t>
      </w:r>
      <w:r w:rsidR="00D85C7C">
        <w:t xml:space="preserve"> </w:t>
      </w:r>
      <w:r w:rsidR="00756ECE">
        <w:t>období závislosti</w:t>
      </w:r>
      <w:r w:rsidR="00E34EDE">
        <w:t>.</w:t>
      </w:r>
      <w:r w:rsidR="00265FB9">
        <w:t xml:space="preserve"> </w:t>
      </w:r>
      <w:r w:rsidR="00D278DB">
        <w:t>Jako počátek</w:t>
      </w:r>
      <w:r w:rsidR="004A2279">
        <w:t xml:space="preserve"> sociálního stáří bývá</w:t>
      </w:r>
      <w:r w:rsidR="00B46C35">
        <w:t xml:space="preserve"> </w:t>
      </w:r>
      <w:r w:rsidR="004A2279">
        <w:t>označován buďto vznik nároku na starobní důchod</w:t>
      </w:r>
      <w:r w:rsidR="0092262D">
        <w:t xml:space="preserve"> nebo </w:t>
      </w:r>
      <w:r w:rsidR="00D70DFD">
        <w:t xml:space="preserve">faktické penzionování. </w:t>
      </w:r>
      <w:r w:rsidR="005873C6">
        <w:t>Nevýhodou</w:t>
      </w:r>
      <w:r w:rsidR="00500363">
        <w:t xml:space="preserve"> přístupu sociálního stáří je, že pojmy jako </w:t>
      </w:r>
      <w:r w:rsidR="00A9337F">
        <w:t>postproduktivní</w:t>
      </w:r>
      <w:r w:rsidR="00515840">
        <w:t xml:space="preserve"> věk</w:t>
      </w:r>
      <w:r w:rsidR="00A9337F">
        <w:t xml:space="preserve"> či období závislosti</w:t>
      </w:r>
      <w:r w:rsidR="00E964CD">
        <w:t>,</w:t>
      </w:r>
      <w:r w:rsidR="00A9337F">
        <w:t xml:space="preserve"> nevhodně evokují</w:t>
      </w:r>
      <w:r w:rsidR="00885B82">
        <w:t xml:space="preserve"> </w:t>
      </w:r>
      <w:r w:rsidR="00FD13D2">
        <w:t xml:space="preserve">neužitečnost či nesoběstačnost </w:t>
      </w:r>
      <w:r w:rsidR="00D204E3">
        <w:t xml:space="preserve">čistě </w:t>
      </w:r>
      <w:r w:rsidR="00FD13D2">
        <w:t xml:space="preserve">jako </w:t>
      </w:r>
      <w:r w:rsidR="00277282">
        <w:t>zákonitosti</w:t>
      </w:r>
      <w:r w:rsidR="008943A7">
        <w:t xml:space="preserve"> stárnutí</w:t>
      </w:r>
      <w:r w:rsidR="003D1761">
        <w:t xml:space="preserve">, nikoliv jako </w:t>
      </w:r>
      <w:r w:rsidR="008943A7">
        <w:t xml:space="preserve">jeho </w:t>
      </w:r>
      <w:r w:rsidR="003D1761">
        <w:t>patologie</w:t>
      </w:r>
      <w:r w:rsidR="006266DC">
        <w:t>, což</w:t>
      </w:r>
      <w:r w:rsidR="002F552F">
        <w:t xml:space="preserve"> je však v rozporu s koncepty </w:t>
      </w:r>
      <w:r w:rsidR="00F03F1B">
        <w:t xml:space="preserve">zdravého a </w:t>
      </w:r>
      <w:r w:rsidR="002F552F">
        <w:t xml:space="preserve">aktivního stárnutí (viz </w:t>
      </w:r>
      <w:r w:rsidR="007F272B">
        <w:t xml:space="preserve">kapitola </w:t>
      </w:r>
      <w:r w:rsidR="00F03F1B">
        <w:t>2.3</w:t>
      </w:r>
      <w:r w:rsidR="002F552F">
        <w:t>).</w:t>
      </w:r>
      <w:r w:rsidR="007F7499">
        <w:t xml:space="preserve"> Dělení do skupin dle věku</w:t>
      </w:r>
      <w:r w:rsidR="00265FB9">
        <w:t xml:space="preserve"> tak bývá řadou autorů odmítáno.</w:t>
      </w:r>
      <w:r w:rsidR="00FC0F1F">
        <w:fldChar w:fldCharType="begin"/>
      </w:r>
      <w:r w:rsidR="002B3D48">
        <w:instrText xml:space="preserve"> ADDIN ZOTERO_ITEM CSL_CITATION {"citationID":"4ubadBO4","properties":{"formattedCitation":"\\super 1(p47),2(p24),7(p21)\\nosupersub{}","plainCitation":"1(p47),2(p24),7(p21)","noteIndex":0},"citationItems":[{"id":150,"uris":["http://zotero.org/users/9426386/items/KZHM6B4S"],"itemData":{"id":150,"type":"book","event-place":"Praha","ISBN":"978-80-271-0876-3","language":"cs","publisher":"Grada","publisher-place":"Praha","title":"Psychosociální adaptace ve stáří a nemoci","author":[{"family":"Ptáček","given":"Radek"},{"family":"Ptáčková","given":"Hana"}],"issued":{"date-parts":[["2021"]]}},"locator":"21","label":"page"},{"id":133,"uris":["http://zotero.org/users/9426386/items/RW2L6RHE"],"itemData":{"id":133,"type":"book","event-place":"Praha","ISBN":"978-80-247-0548-4","language":"cze","note":"OCLC: 85137350","publisher":"Grada","publisher-place":"Praha","source":"Open WorldCat","title":"Geriatrie a gerontologie","author":[{"family":"Kalvach","given":"Zdeněk"},{"family":"Zadák","given":"Z."},{"family":"Jirák","given":"R."},{"family":"Zavázalová","given":"H."},{"family":"Sucharda","given":"P."}],"issued":{"date-parts":[["2004"]]}},"locator":"47","label":"page"},{"id":142,"uris":["http://zotero.org/users/9426386/items/23ZMXUSV"],"itemData":{"id":142,"type":"article-journal","abstract":"Old age and aging of individuals are phenomenons that took important place in society as early as former times. During twentieth century the question of aging got new meaning, because it newly started to overreach from individual level to all-society. As a result of improvement of some social conditions (f.e. medical care, lifestyle, hygiene, living standard etc.), that was already initiated approximately at the beginning of the nineteenth century, dying started to be moved to higher age and people live longer. In modern societies this event usually goes with decline of natality and fertility. In final effect combination of these two factors causes the process that is known as demographic aging. In general we have to distinction between two views of problems of aging. The first view is focused on individual aging, the second one on demographic aging of human population. But it is clear that both of these views relate to each other. Similarly this article offers the roundup of problems of demographic aging, but also gives a touch of questions about longevity and quality of life, that gain ground in connection with theme of individual aging.","container-title":"NAŠE SPOLEČNOST","issue":"1","language":"cs","page":"24-30","source":"Zotero","title":"Demografické souvislosti stárnutí","volume":"5","author":[{"family":"Dimitrová","given":"Michaela"}],"issued":{"date-parts":[["2007"]]}},"locator":"24","label":"page"}],"schema":"https://github.com/citation-style-language/schema/raw/master/csl-citation.json"} </w:instrText>
      </w:r>
      <w:r w:rsidR="00FC0F1F">
        <w:fldChar w:fldCharType="separate"/>
      </w:r>
      <w:r w:rsidR="00463868" w:rsidRPr="00463868">
        <w:rPr>
          <w:vertAlign w:val="superscript"/>
        </w:rPr>
        <w:t>1(p47),2(p24),7(p21)</w:t>
      </w:r>
      <w:r w:rsidR="00FC0F1F">
        <w:fldChar w:fldCharType="end"/>
      </w:r>
    </w:p>
    <w:p w14:paraId="533FC6C5" w14:textId="4CFD68BE" w:rsidR="00CE3D80" w:rsidRDefault="00D120BD" w:rsidP="00A2639F">
      <w:pPr>
        <w:pStyle w:val="Dalodstavce"/>
      </w:pPr>
      <w:r>
        <w:t>Posledním přístupem ke stáří je stáří b</w:t>
      </w:r>
      <w:r w:rsidR="00CE3D80">
        <w:t>iologické</w:t>
      </w:r>
      <w:r w:rsidR="00CB6F12">
        <w:t>, které se obtížně vymezuje, neboť představuje</w:t>
      </w:r>
      <w:r w:rsidR="008D5936">
        <w:t xml:space="preserve"> biologické stárnutí organismu</w:t>
      </w:r>
      <w:r w:rsidR="00344407">
        <w:t xml:space="preserve"> daného jedince</w:t>
      </w:r>
      <w:r w:rsidR="008D5936">
        <w:t>.</w:t>
      </w:r>
      <w:r w:rsidR="003500BD">
        <w:t xml:space="preserve"> </w:t>
      </w:r>
      <w:r w:rsidR="00DA7F34">
        <w:t>Spočívá ve sledování involučních změn (</w:t>
      </w:r>
      <w:r w:rsidR="00D168F3">
        <w:t>např.</w:t>
      </w:r>
      <w:r w:rsidR="002720DA">
        <w:t xml:space="preserve"> mentální věk</w:t>
      </w:r>
      <w:r w:rsidR="008E4347">
        <w:t>, adapta</w:t>
      </w:r>
      <w:r w:rsidR="00FC6006">
        <w:t>ce</w:t>
      </w:r>
      <w:r w:rsidR="008E4347">
        <w:t xml:space="preserve"> aj.</w:t>
      </w:r>
      <w:r w:rsidR="00DA7F34">
        <w:t>)</w:t>
      </w:r>
      <w:r w:rsidR="00614535">
        <w:t xml:space="preserve"> a j</w:t>
      </w:r>
      <w:r w:rsidR="002C69A7">
        <w:t xml:space="preserve">eho </w:t>
      </w:r>
      <w:r w:rsidR="00184FF4">
        <w:t>přesné vymezení či výpovědní hodnota</w:t>
      </w:r>
      <w:r w:rsidR="00122D6C">
        <w:t xml:space="preserve"> se mezi </w:t>
      </w:r>
      <w:r w:rsidR="00614535">
        <w:t xml:space="preserve">jednotlivými </w:t>
      </w:r>
      <w:r w:rsidR="00122D6C">
        <w:t xml:space="preserve">výzkumníky značně </w:t>
      </w:r>
      <w:r w:rsidR="00791EF1">
        <w:t>liší</w:t>
      </w:r>
      <w:r w:rsidR="00122D6C">
        <w:t>.</w:t>
      </w:r>
      <w:r w:rsidR="006E38B1">
        <w:fldChar w:fldCharType="begin"/>
      </w:r>
      <w:r w:rsidR="002B3D48">
        <w:instrText xml:space="preserve"> ADDIN ZOTERO_ITEM CSL_CITATION {"citationID":"aAZ4GFUa","properties":{"formattedCitation":"\\super 1(p48),2(p24)\\nosupersub{}","plainCitation":"1(p48),2(p24)","noteIndex":0},"citationItems":[{"id":133,"uris":["http://zotero.org/users/9426386/items/RW2L6RHE"],"itemData":{"id":133,"type":"book","event-place":"Praha","ISBN":"978-80-247-0548-4","language":"cze","note":"OCLC: 85137350","publisher":"Grada","publisher-place":"Praha","source":"Open WorldCat","title":"Geriatrie a gerontologie","author":[{"family":"Kalvach","given":"Zdeněk"},{"family":"Zadák","given":"Z."},{"family":"Jirák","given":"R."},{"family":"Zavázalová","given":"H."},{"family":"Sucharda","given":"P."}],"issued":{"date-parts":[["2004"]]}},"locator":"48","label":"page"},{"id":142,"uris":["http://zotero.org/users/9426386/items/23ZMXUSV"],"itemData":{"id":142,"type":"article-journal","abstract":"Old age and aging of individuals are phenomenons that took important place in society as early as former times. During twentieth century the question of aging got new meaning, because it newly started to overreach from individual level to all-society. As a result of improvement of some social conditions (f.e. medical care, lifestyle, hygiene, living standard etc.), that was already initiated approximately at the beginning of the nineteenth century, dying started to be moved to higher age and people live longer. In modern societies this event usually goes with decline of natality and fertility. In final effect combination of these two factors causes the process that is known as demographic aging. In general we have to distinction between two views of problems of aging. The first view is focused on individual aging, the second one on demographic aging of human population. But it is clear that both of these views relate to each other. Similarly this article offers the roundup of problems of demographic aging, but also gives a touch of questions about longevity and quality of life, that gain ground in connection with theme of individual aging.","container-title":"NAŠE SPOLEČNOST","issue":"1","language":"cs","page":"24-30","source":"Zotero","title":"Demografické souvislosti stárnutí","volume":"5","author":[{"family":"Dimitrová","given":"Michaela"}],"issued":{"date-parts":[["2007"]]}},"locator":"24","label":"page"}],"schema":"https://github.com/citation-style-language/schema/raw/master/csl-citation.json"} </w:instrText>
      </w:r>
      <w:r w:rsidR="006E38B1">
        <w:fldChar w:fldCharType="separate"/>
      </w:r>
      <w:r w:rsidR="00F846EE" w:rsidRPr="00F846EE">
        <w:rPr>
          <w:vertAlign w:val="superscript"/>
        </w:rPr>
        <w:t>1(p48),2(p24)</w:t>
      </w:r>
      <w:r w:rsidR="006E38B1">
        <w:fldChar w:fldCharType="end"/>
      </w:r>
    </w:p>
    <w:p w14:paraId="65EB8424" w14:textId="1C16F31D" w:rsidR="005260EC" w:rsidRDefault="008E2436" w:rsidP="00494B41">
      <w:pPr>
        <w:pStyle w:val="Dalodstavce"/>
      </w:pPr>
      <w:r>
        <w:t xml:space="preserve">Ať již přihlédneme </w:t>
      </w:r>
      <w:r w:rsidR="00E82980">
        <w:t>k jakékoliv možnosti kategorizace</w:t>
      </w:r>
      <w:r w:rsidR="00C50D79">
        <w:t xml:space="preserve">, </w:t>
      </w:r>
      <w:r w:rsidR="0093765A">
        <w:t>j</w:t>
      </w:r>
      <w:r w:rsidR="00A429F6">
        <w:t>e zcela zřejmé, že více n</w:t>
      </w:r>
      <w:r w:rsidR="00597802">
        <w:t xml:space="preserve">ež </w:t>
      </w:r>
      <w:r w:rsidR="006E351C">
        <w:t xml:space="preserve">pouhý </w:t>
      </w:r>
      <w:r w:rsidR="00597802">
        <w:t>věk j</w:t>
      </w:r>
      <w:r w:rsidR="00B973D8">
        <w:t>sou</w:t>
      </w:r>
      <w:r w:rsidR="00597802">
        <w:t xml:space="preserve"> významným</w:t>
      </w:r>
      <w:r w:rsidR="00B973D8">
        <w:t>i</w:t>
      </w:r>
      <w:r w:rsidR="006E351C">
        <w:t xml:space="preserve"> určujícím</w:t>
      </w:r>
      <w:r w:rsidR="00B973D8">
        <w:t>i</w:t>
      </w:r>
      <w:r w:rsidR="006E351C">
        <w:t xml:space="preserve"> </w:t>
      </w:r>
      <w:r w:rsidR="00597802">
        <w:t>znak</w:t>
      </w:r>
      <w:r w:rsidR="00B973D8">
        <w:t>y</w:t>
      </w:r>
      <w:r w:rsidR="00597802">
        <w:t xml:space="preserve"> </w:t>
      </w:r>
      <w:r w:rsidR="00B973D8" w:rsidRPr="00C045C2">
        <w:rPr>
          <w:i/>
          <w:iCs/>
        </w:rPr>
        <w:t>„…</w:t>
      </w:r>
      <w:r w:rsidR="006D2448" w:rsidRPr="00C045C2">
        <w:rPr>
          <w:i/>
          <w:iCs/>
        </w:rPr>
        <w:t>celkový zdravotní stav a fyzická a psychická kondice</w:t>
      </w:r>
      <w:r w:rsidR="00AE62FB" w:rsidRPr="00C045C2">
        <w:rPr>
          <w:i/>
          <w:iCs/>
        </w:rPr>
        <w:t xml:space="preserve"> každého jednotlivého seniora</w:t>
      </w:r>
      <w:r w:rsidR="0004523B">
        <w:rPr>
          <w:i/>
          <w:iCs/>
        </w:rPr>
        <w:t>,</w:t>
      </w:r>
      <w:r w:rsidR="00B973D8">
        <w:t>“</w:t>
      </w:r>
      <w:r w:rsidR="0004523B">
        <w:t xml:space="preserve"> </w:t>
      </w:r>
      <w:r w:rsidR="00472E1E">
        <w:t xml:space="preserve">a proto je </w:t>
      </w:r>
      <w:r w:rsidR="00CA40ED" w:rsidRPr="00C045C2">
        <w:rPr>
          <w:i/>
          <w:iCs/>
        </w:rPr>
        <w:t>„…nutné k seniorům přistupovat spíše s ohledem na jejich aktuální stav než pouze z hlediska věku</w:t>
      </w:r>
      <w:r w:rsidR="0004523B">
        <w:rPr>
          <w:i/>
          <w:iCs/>
        </w:rPr>
        <w:t>.</w:t>
      </w:r>
      <w:r w:rsidR="00CA40ED">
        <w:t>“</w:t>
      </w:r>
      <w:r w:rsidR="0010060E" w:rsidRPr="00BF75DB">
        <w:fldChar w:fldCharType="begin"/>
      </w:r>
      <w:r w:rsidR="00870A2F">
        <w:instrText xml:space="preserve"> ADDIN ZOTERO_ITEM CSL_CITATION {"citationID":"PRfF7xN9","properties":{"formattedCitation":"\\super 7(p14)\\nosupersub{}","plainCitation":"7(p14)","noteIndex":0},"citationItems":[{"id":150,"uris":["http://zotero.org/users/9426386/items/KZHM6B4S"],"itemData":{"id":150,"type":"book","event-place":"Praha","ISBN":"978-80-271-0876-3","language":"cs","publisher":"Grada","publisher-place":"Praha","title":"Psychosociální adaptace ve stáří a nemoci","author":[{"family":"Ptáček","given":"Radek"},{"family":"Ptáčková","given":"Hana"}],"issued":{"date-parts":[["2021"]]}},"locator":"14","label":"page"}],"schema":"https://github.com/citation-style-language/schema/raw/master/csl-citation.json"} </w:instrText>
      </w:r>
      <w:r w:rsidR="0010060E" w:rsidRPr="00BF75DB">
        <w:fldChar w:fldCharType="separate"/>
      </w:r>
      <w:r w:rsidR="00463868" w:rsidRPr="00BF75DB">
        <w:rPr>
          <w:vertAlign w:val="superscript"/>
        </w:rPr>
        <w:t>7(p14)</w:t>
      </w:r>
      <w:r w:rsidR="0010060E" w:rsidRPr="00BF75DB">
        <w:fldChar w:fldCharType="end"/>
      </w:r>
      <w:r w:rsidR="00CC7B36" w:rsidRPr="00BF75DB">
        <w:t xml:space="preserve"> Z toho důvodu se objevuje</w:t>
      </w:r>
      <w:r w:rsidR="00EC28DA" w:rsidRPr="00BF75DB">
        <w:t xml:space="preserve"> i </w:t>
      </w:r>
      <w:r w:rsidR="00CC7B36" w:rsidRPr="00BF75DB">
        <w:t xml:space="preserve">tzv. prospektivní věk, který stanovuje hranici stáří nikoliv podle počtu odžitých let, ale </w:t>
      </w:r>
      <w:r w:rsidR="002E1A67" w:rsidRPr="00BF75DB">
        <w:t xml:space="preserve">naopak </w:t>
      </w:r>
      <w:r w:rsidR="00CC7B36" w:rsidRPr="00BF75DB">
        <w:t>dle tabulkového počtu let, které člověku zbývají na dožití</w:t>
      </w:r>
      <w:r w:rsidR="00F344A6" w:rsidRPr="00BF75DB">
        <w:t>.</w:t>
      </w:r>
      <w:r w:rsidR="00CA3CFA">
        <w:fldChar w:fldCharType="begin"/>
      </w:r>
      <w:r w:rsidR="00E87A1C">
        <w:instrText xml:space="preserve"> ADDIN ZOTERO_ITEM CSL_CITATION {"citationID":"oN4Oqs8u","properties":{"formattedCitation":"\\super 11(p156,162)\\nosupersub{}","plainCitation":"11(p156,162)","noteIndex":0},"citationItems":[{"id":210,"uris":["http://zotero.org/users/9426386/items/2H4EA6RU"],"itemData":{"id":210,"type":"article-journal","container-title":"Demografie","DOI":"10.54694/dem.0341","ISSN":"00118265, 18052991","issue":"2","journalAbbreviation":"Demografie","language":"cs","page":"154-165","source":"DOI.org (Crossref)","title":"Demografické stárnutí v Česku mezi lety 2012–2022 prostřednictvím vybraných retrospektivních a prospektivních ukazatelů","volume":"66","author":[{"family":"Čábela","given":"Filip"},{"family":"Šídlo","given":"Luděk"}],"issued":{"date-parts":[["2024",3]]}},"locator":"156,162","label":"page"}],"schema":"https://github.com/citation-style-language/schema/raw/master/csl-citation.json"} </w:instrText>
      </w:r>
      <w:r w:rsidR="00CA3CFA">
        <w:fldChar w:fldCharType="separate"/>
      </w:r>
      <w:r w:rsidR="00E87A1C" w:rsidRPr="00E87A1C">
        <w:rPr>
          <w:vertAlign w:val="superscript"/>
        </w:rPr>
        <w:t>11(p156,162)</w:t>
      </w:r>
      <w:r w:rsidR="00CA3CFA">
        <w:fldChar w:fldCharType="end"/>
      </w:r>
    </w:p>
    <w:p w14:paraId="11A6B2B3" w14:textId="2D6208A2" w:rsidR="00AE60F2" w:rsidRDefault="00912AEB" w:rsidP="002E32D6">
      <w:pPr>
        <w:pStyle w:val="Nadpis2"/>
        <w:numPr>
          <w:ilvl w:val="1"/>
          <w:numId w:val="14"/>
        </w:numPr>
      </w:pPr>
      <w:bookmarkStart w:id="14" w:name="_Toc195517106"/>
      <w:r>
        <w:lastRenderedPageBreak/>
        <w:t>Nemoci</w:t>
      </w:r>
      <w:r w:rsidR="00AE60F2">
        <w:t xml:space="preserve"> ve stáří</w:t>
      </w:r>
      <w:bookmarkEnd w:id="14"/>
    </w:p>
    <w:p w14:paraId="60070D8F" w14:textId="7E4D434E" w:rsidR="00C11F63" w:rsidRDefault="00662854" w:rsidP="00C11F63">
      <w:pPr>
        <w:pStyle w:val="Odstavec1"/>
      </w:pPr>
      <w:r>
        <w:t>Během</w:t>
      </w:r>
      <w:r w:rsidR="00C153DA">
        <w:t xml:space="preserve"> procesu stárnutí dochází u člověka k řadě</w:t>
      </w:r>
      <w:r w:rsidR="00A00435">
        <w:t xml:space="preserve"> </w:t>
      </w:r>
      <w:r w:rsidR="00C153DA">
        <w:t>fyziologických změn</w:t>
      </w:r>
      <w:r w:rsidR="00860342">
        <w:t xml:space="preserve">, jejichž výčet </w:t>
      </w:r>
      <w:r w:rsidR="0078122B">
        <w:t xml:space="preserve">by přesahoval rozsah </w:t>
      </w:r>
      <w:r w:rsidR="00CA1400">
        <w:t xml:space="preserve">samotné </w:t>
      </w:r>
      <w:r w:rsidR="0078122B">
        <w:t>diplomové práce</w:t>
      </w:r>
      <w:r w:rsidR="00A118B0">
        <w:t>. Komplexní a</w:t>
      </w:r>
      <w:r w:rsidR="00300C9A">
        <w:t> </w:t>
      </w:r>
      <w:r w:rsidR="00A118B0">
        <w:t>multifaktoriální</w:t>
      </w:r>
      <w:r w:rsidR="00722ABE">
        <w:t xml:space="preserve"> změny</w:t>
      </w:r>
      <w:r w:rsidR="00F4111B">
        <w:t xml:space="preserve"> se manifestuj</w:t>
      </w:r>
      <w:r>
        <w:t>í</w:t>
      </w:r>
      <w:r w:rsidR="002A6F2E">
        <w:t xml:space="preserve"> </w:t>
      </w:r>
      <w:r w:rsidR="000F127A">
        <w:t xml:space="preserve">všeobecným poklesem </w:t>
      </w:r>
      <w:r w:rsidR="00071FF0">
        <w:t>orgánových funkcí</w:t>
      </w:r>
      <w:r w:rsidR="00707B82">
        <w:t>, k</w:t>
      </w:r>
      <w:r w:rsidR="00300C9A">
        <w:t> </w:t>
      </w:r>
      <w:r w:rsidR="00707B82">
        <w:t>nimž dochází vlivem biochemických, imunologických</w:t>
      </w:r>
      <w:r w:rsidR="004E52B6">
        <w:t xml:space="preserve"> a </w:t>
      </w:r>
      <w:proofErr w:type="spellStart"/>
      <w:r w:rsidR="004E52B6">
        <w:t>neuroregulačních</w:t>
      </w:r>
      <w:proofErr w:type="spellEnd"/>
      <w:r w:rsidR="004E52B6">
        <w:t xml:space="preserve"> mechanismů.</w:t>
      </w:r>
      <w:r w:rsidR="00DA02A5">
        <w:t xml:space="preserve"> Za společného jmenovatele </w:t>
      </w:r>
      <w:r w:rsidR="00865FE6">
        <w:t>bývá často označován</w:t>
      </w:r>
      <w:r w:rsidR="0018288F">
        <w:t>a změna kvality kolagenu, která se projevuje ztrátou pružnosti</w:t>
      </w:r>
      <w:r w:rsidR="00300C9A">
        <w:t xml:space="preserve"> a</w:t>
      </w:r>
      <w:r w:rsidR="00EA5805">
        <w:t> </w:t>
      </w:r>
      <w:r w:rsidR="0018288F">
        <w:t>pevnosti</w:t>
      </w:r>
      <w:r w:rsidR="00300C9A">
        <w:t xml:space="preserve"> stárnoucích orgánů.</w:t>
      </w:r>
      <w:r w:rsidR="006F6B80">
        <w:t xml:space="preserve"> </w:t>
      </w:r>
      <w:r w:rsidR="00285166">
        <w:t>P</w:t>
      </w:r>
      <w:r w:rsidR="00121966">
        <w:t xml:space="preserve">ři patologických </w:t>
      </w:r>
      <w:r w:rsidR="00FD5624">
        <w:t>procesech</w:t>
      </w:r>
      <w:r w:rsidR="00121966">
        <w:t xml:space="preserve"> </w:t>
      </w:r>
      <w:r w:rsidR="00285166">
        <w:t xml:space="preserve">naopak </w:t>
      </w:r>
      <w:r w:rsidR="00121966">
        <w:t>dochází</w:t>
      </w:r>
      <w:r w:rsidR="00FD5624">
        <w:t xml:space="preserve"> ke </w:t>
      </w:r>
      <w:r w:rsidR="00A77F2A">
        <w:t>zvýraznění a zrychlení</w:t>
      </w:r>
      <w:r w:rsidR="00094336">
        <w:t xml:space="preserve"> </w:t>
      </w:r>
      <w:r w:rsidR="00A77F2A">
        <w:t>změn</w:t>
      </w:r>
      <w:r w:rsidR="00B14758">
        <w:t xml:space="preserve"> s</w:t>
      </w:r>
      <w:r w:rsidR="00831918">
        <w:t>tárnoucího lidského organismu</w:t>
      </w:r>
      <w:r w:rsidR="00A77F2A">
        <w:t>.</w:t>
      </w:r>
      <w:r w:rsidR="00E251D5">
        <w:fldChar w:fldCharType="begin"/>
      </w:r>
      <w:r w:rsidR="009B3709">
        <w:instrText xml:space="preserve"> ADDIN ZOTERO_ITEM CSL_CITATION {"citationID":"nI85WPY7","properties":{"formattedCitation":"\\super 8(p78),12(p418),13(p20)\\nosupersub{}","plainCitation":"8(p78),12(p418),13(p20)","noteIndex":0},"citationItems":[{"id":156,"uris":["http://zotero.org/users/9426386/items/YP5JRLPE"],"itemData":{"id":156,"type":"book","abstract":"Monografie predkládá komplexní obraz soucasné gerontologie. Obsahem publikace jsou ukázky vybraných gerontologických prístupu a otázek aktuálních v Ceské republice. Mnohé kapitoly jsou podloženy vlastním bádáním autoru, kniha tak prenáší poznatky získané výzkumem do praxe a teorie oboru bez velké prodlevy. Autori nove reflektují tradicní témata a doplnují je o nové oblasti zájmu, jako je napríklad environmentální gerontologie, kineziologie, výpocetní technika, uzpusobení moderních technologií potrebám senioru, neuropsychologická diagnostika. Publikace umožnuje vzájemnou komunikaci mezi jednotli","event-place":"Prague, Czech Republic","ISBN":"978-80-246-2628-4","language":"cze","note":"OCLC: 909894457","publisher":"Karolinum","publisher-place":"Prague, Czech Republic","source":"Open WorldCat","title":"Gerontologie: Současné otázky z pohledu biomedicíny a společenských věd","title-short":"Gerontologie","author":[{"family":"Štěpánková","given":"Hana"},{"family":"Höschl","given":"Cyril"},{"family":"Vidovićová","given":"Lucie"}],"contributor":[{"family":"Dragomirecká","given":"Eva"},{"family":"Muchová","given":"Ludmila"},{"family":"Serých","given":"Jan"}],"editor":[{"family":"Jindrová","given":"Jana"}],"issued":{"date-parts":[["2014"]]}},"locator":"78","label":"page"},{"id":155,"uris":["http://zotero.org/users/9426386/items/D8FB8QGE"],"itemData":{"id":155,"type":"book","edition":"2nd suppl. and updated ed.","event-place":"Praha","ISBN":"978-80-271-0596-0","language":"cze","note":"OCLC: 1078647920","number-of-pages":"492","publisher":"Grada Publishing","publisher-place":"Praha","source":"Open WorldCat","title":"Urgentní medicína v klinické praxi lékaře","author":[{"family":"Šeblová","given":"Jana"},{"family":"Knor","given":"Jiří"}],"issued":{"date-parts":[["2018"]]}},"locator":"418","label":"page"},{"id":147,"uris":["http://zotero.org/users/9426386/items/QDRTW3RT"],"itemData":{"id":147,"type":"book","event-place":"Praha","ISBN":"978-80-204-3119-6","language":"cs","number-of-pages":"206","publisher":"Mladá fronta","publisher-place":"Praha","title":"Průvodce vyšším věkem: manuál pro seniory a jejich pečovatele","issued":{"date-parts":[["2014"]]}},"locator":"20","label":"page"}],"schema":"https://github.com/citation-style-language/schema/raw/master/csl-citation.json"} </w:instrText>
      </w:r>
      <w:r w:rsidR="00E251D5">
        <w:fldChar w:fldCharType="separate"/>
      </w:r>
      <w:r w:rsidR="00E87A1C" w:rsidRPr="00E87A1C">
        <w:rPr>
          <w:vertAlign w:val="superscript"/>
        </w:rPr>
        <w:t>8(p78),12(p418),13(p20)</w:t>
      </w:r>
      <w:r w:rsidR="00E251D5">
        <w:fldChar w:fldCharType="end"/>
      </w:r>
    </w:p>
    <w:p w14:paraId="68FE82CC" w14:textId="68617C66" w:rsidR="00D1703E" w:rsidRPr="00D1703E" w:rsidRDefault="00D1703E" w:rsidP="00D1703E">
      <w:pPr>
        <w:pStyle w:val="Dalodstavce"/>
      </w:pPr>
      <w:r>
        <w:t>Mezi nejčastější choroby vyššího věku jsou řazeny</w:t>
      </w:r>
      <w:r w:rsidR="00705234">
        <w:t xml:space="preserve"> </w:t>
      </w:r>
      <w:r w:rsidR="00182899">
        <w:t xml:space="preserve">např. </w:t>
      </w:r>
      <w:r w:rsidR="00705234">
        <w:t>onemocnění oběhového</w:t>
      </w:r>
      <w:r w:rsidR="00112254">
        <w:t xml:space="preserve"> (</w:t>
      </w:r>
      <w:r w:rsidR="002B3CD6">
        <w:t>hlavně</w:t>
      </w:r>
      <w:r w:rsidR="00FF7840">
        <w:t xml:space="preserve"> </w:t>
      </w:r>
      <w:r w:rsidR="00112254">
        <w:t>arteriální hypertenze</w:t>
      </w:r>
      <w:r w:rsidR="00504FD8">
        <w:t>, ischemická choroba srdeční</w:t>
      </w:r>
      <w:r w:rsidR="00FF7840">
        <w:t xml:space="preserve"> a ischemick</w:t>
      </w:r>
      <w:r w:rsidR="007C7A1F">
        <w:t>á</w:t>
      </w:r>
      <w:r w:rsidR="00FF7840">
        <w:t xml:space="preserve"> onemocnění mozku</w:t>
      </w:r>
      <w:r w:rsidR="00112254">
        <w:t>)</w:t>
      </w:r>
      <w:r w:rsidR="00504FD8">
        <w:t xml:space="preserve">, </w:t>
      </w:r>
      <w:r w:rsidR="00E81164">
        <w:t>pohybového</w:t>
      </w:r>
      <w:r w:rsidR="00C9147F">
        <w:t>, respiračního</w:t>
      </w:r>
      <w:r w:rsidR="00BA6D76">
        <w:t xml:space="preserve">, </w:t>
      </w:r>
      <w:r w:rsidR="00D95176">
        <w:t>trávicího</w:t>
      </w:r>
      <w:r w:rsidR="00C0745A">
        <w:t xml:space="preserve"> </w:t>
      </w:r>
      <w:r w:rsidR="00BA6D76">
        <w:t>a smyslového ústrojí</w:t>
      </w:r>
      <w:r w:rsidR="00753DF2">
        <w:t xml:space="preserve"> </w:t>
      </w:r>
      <w:r w:rsidR="00F2309E">
        <w:t>či</w:t>
      </w:r>
      <w:r w:rsidR="00753DF2">
        <w:t xml:space="preserve"> </w:t>
      </w:r>
      <w:r w:rsidR="00A2372B">
        <w:t xml:space="preserve">onemocnění </w:t>
      </w:r>
      <w:r w:rsidR="00ED193D">
        <w:t>metabolická</w:t>
      </w:r>
      <w:r w:rsidR="00A445FC">
        <w:t xml:space="preserve"> (</w:t>
      </w:r>
      <w:r w:rsidR="00794736">
        <w:t xml:space="preserve">zejména </w:t>
      </w:r>
      <w:r w:rsidR="00A445FC">
        <w:t xml:space="preserve">diabetes </w:t>
      </w:r>
      <w:proofErr w:type="spellStart"/>
      <w:r w:rsidR="00A445FC">
        <w:t>mellitus</w:t>
      </w:r>
      <w:proofErr w:type="spellEnd"/>
      <w:r w:rsidR="00A445FC">
        <w:t>)</w:t>
      </w:r>
      <w:r w:rsidR="00AA2272">
        <w:t xml:space="preserve">, </w:t>
      </w:r>
      <w:r w:rsidR="009E7003">
        <w:t>neurodegenerativní</w:t>
      </w:r>
      <w:r w:rsidR="00AA2272">
        <w:t xml:space="preserve"> (</w:t>
      </w:r>
      <w:r w:rsidR="000D0184">
        <w:t>ob</w:t>
      </w:r>
      <w:r w:rsidR="00DA20BB">
        <w:t>z</w:t>
      </w:r>
      <w:r w:rsidR="000D0184">
        <w:t xml:space="preserve">vláště </w:t>
      </w:r>
      <w:r w:rsidR="00AA2272">
        <w:t>Alzheimerov</w:t>
      </w:r>
      <w:r w:rsidR="00ED7F0F">
        <w:t>a</w:t>
      </w:r>
      <w:r w:rsidR="00AA2272">
        <w:t xml:space="preserve"> chorob</w:t>
      </w:r>
      <w:r w:rsidR="00ED7F0F">
        <w:t>a</w:t>
      </w:r>
      <w:r w:rsidR="00AA2272">
        <w:t xml:space="preserve"> a jiné formy demence) </w:t>
      </w:r>
      <w:r w:rsidR="00F2309E">
        <w:t>a</w:t>
      </w:r>
      <w:r w:rsidR="00ED193D">
        <w:t xml:space="preserve"> </w:t>
      </w:r>
      <w:r w:rsidR="00753DF2">
        <w:t>nádorová</w:t>
      </w:r>
      <w:r w:rsidR="002F1751">
        <w:t>.</w:t>
      </w:r>
      <w:r w:rsidR="004F2C3C">
        <w:fldChar w:fldCharType="begin"/>
      </w:r>
      <w:r w:rsidR="009B3709">
        <w:instrText xml:space="preserve"> ADDIN ZOTERO_ITEM CSL_CITATION {"citationID":"YjTskz2h","properties":{"formattedCitation":"\\super 7(p19),13(p19),14(p19),15(pp33-34)\\nosupersub{}","plainCitation":"7(p19),13(p19),14(p19),15(pp33-34)","noteIndex":0},"citationItems":[{"id":150,"uris":["http://zotero.org/users/9426386/items/KZHM6B4S"],"itemData":{"id":150,"type":"book","event-place":"Praha","ISBN":"978-80-271-0876-3","language":"cs","publisher":"Grada","publisher-place":"Praha","title":"Psychosociální adaptace ve stáří a nemoci","author":[{"family":"Ptáček","given":"Radek"},{"family":"Ptáčková","given":"Hana"}],"issued":{"date-parts":[["2021"]]}},"locator":"19","label":"page"},{"id":147,"uris":["http://zotero.org/users/9426386/items/QDRTW3RT"],"itemData":{"id":147,"type":"book","event-place":"Praha","ISBN":"978-80-204-3119-6","language":"cs","number-of-pages":"206","publisher":"Mladá fronta","publisher-place":"Praha","title":"Průvodce vyšším věkem: manuál pro seniory a jejich pečovatele","issued":{"date-parts":[["2014"]]}},"locator":"19","label":"page"},{"id":159,"uris":["http://zotero.org/users/9426386/items/TQS4E4DX"],"itemData":{"id":159,"type":"document","language":"cs","publisher":"MZČR, MPSV ČR","title":"Národní akční plán pro Alzheimerovu nemoc a obdobná onemocnění 2020–2030","title-short":"NAPAN","URL":"https://mzd.gov.cz/wp-content/uploads/2021/04/NAPAN-2020-2030.pdf","issued":{"date-parts":[["2021"]]}},"locator":"19","label":"page"},{"id":146,"uris":["http://zotero.org/users/9426386/items/NURTKNTZ"],"itemData":{"id":146,"type":"book","ISBN":"978-80-247-2490-4","language":"cs","title":"Geriatrické syndromy a geriatrický pacient","author":[{"family":"Kalvach","given":"Zdeněk"},{"family":"Zadák","given":"Zdeněk"},{"family":"Jirák","given":"Roman"},{"family":"Zavázalová","given":"Helena"},{"family":"Holmerová","given":"Iva"},{"family":"Weber","given":"Pavel"}],"issued":{"date-parts":[["2008"]]}},"locator":"33-34","label":"page"}],"schema":"https://github.com/citation-style-language/schema/raw/master/csl-citation.json"} </w:instrText>
      </w:r>
      <w:r w:rsidR="004F2C3C">
        <w:fldChar w:fldCharType="separate"/>
      </w:r>
      <w:r w:rsidR="00E87A1C" w:rsidRPr="00E87A1C">
        <w:rPr>
          <w:vertAlign w:val="superscript"/>
        </w:rPr>
        <w:t>7(p19),13(p19),14(p19),15(pp33-34)</w:t>
      </w:r>
      <w:r w:rsidR="004F2C3C">
        <w:fldChar w:fldCharType="end"/>
      </w:r>
    </w:p>
    <w:p w14:paraId="2915A481" w14:textId="2B41D17A" w:rsidR="00A67A67" w:rsidRDefault="00435326" w:rsidP="00723447">
      <w:pPr>
        <w:pStyle w:val="Dalodstavce"/>
      </w:pPr>
      <w:r>
        <w:t>Na</w:t>
      </w:r>
      <w:r w:rsidR="00995951">
        <w:t xml:space="preserve"> vzniku onemocnění ve stáří se </w:t>
      </w:r>
      <w:r w:rsidR="00315616">
        <w:t xml:space="preserve">různou měrou </w:t>
      </w:r>
      <w:r w:rsidR="00995951">
        <w:t>podílí</w:t>
      </w:r>
      <w:r w:rsidR="00315616">
        <w:t xml:space="preserve"> řada faktorů</w:t>
      </w:r>
      <w:r w:rsidR="00A83004">
        <w:t xml:space="preserve">. Patří </w:t>
      </w:r>
      <w:r w:rsidR="00315616">
        <w:t>mezi ně</w:t>
      </w:r>
      <w:r w:rsidR="005B2175">
        <w:t xml:space="preserve"> vrozená genetická predispozice</w:t>
      </w:r>
      <w:r w:rsidR="007D434D">
        <w:t>, vnější vlivy prostředí</w:t>
      </w:r>
      <w:r w:rsidR="00796C72">
        <w:t xml:space="preserve"> (</w:t>
      </w:r>
      <w:r w:rsidR="007968A5">
        <w:t xml:space="preserve">působení </w:t>
      </w:r>
      <w:r w:rsidR="00361212">
        <w:t>voln</w:t>
      </w:r>
      <w:r w:rsidR="007968A5">
        <w:t>ých</w:t>
      </w:r>
      <w:r w:rsidR="00361212">
        <w:t xml:space="preserve"> radikál</w:t>
      </w:r>
      <w:r w:rsidR="007968A5">
        <w:t>ů</w:t>
      </w:r>
      <w:r w:rsidR="00DF7DFA">
        <w:t xml:space="preserve"> a</w:t>
      </w:r>
      <w:r w:rsidR="00DF042E">
        <w:t>pod</w:t>
      </w:r>
      <w:r w:rsidR="00DF7DFA">
        <w:t>.</w:t>
      </w:r>
      <w:r w:rsidR="00796C72">
        <w:t>)</w:t>
      </w:r>
      <w:r w:rsidR="0028708C">
        <w:t xml:space="preserve">, </w:t>
      </w:r>
      <w:r w:rsidR="004B1EDD">
        <w:t>samotné fyziologické změny (</w:t>
      </w:r>
      <w:r w:rsidR="0008479B">
        <w:t xml:space="preserve">např. </w:t>
      </w:r>
      <w:r w:rsidR="00444606">
        <w:t>úbytek sil</w:t>
      </w:r>
      <w:r w:rsidR="0008479B">
        <w:t xml:space="preserve"> vl</w:t>
      </w:r>
      <w:r w:rsidR="000D0D0A">
        <w:t>i</w:t>
      </w:r>
      <w:r w:rsidR="0008479B">
        <w:t xml:space="preserve">vem </w:t>
      </w:r>
      <w:r w:rsidR="0013178D">
        <w:t>snížení</w:t>
      </w:r>
      <w:r w:rsidR="0008479B">
        <w:t xml:space="preserve"> svalové a kostní hmoty</w:t>
      </w:r>
      <w:r w:rsidR="004B1EDD">
        <w:t xml:space="preserve">), </w:t>
      </w:r>
      <w:r w:rsidR="00A604E3">
        <w:t xml:space="preserve">vlastní přičinění (zejména </w:t>
      </w:r>
      <w:r w:rsidR="0028708C">
        <w:t>nedostatečná hydratace</w:t>
      </w:r>
      <w:r w:rsidR="00886F12">
        <w:t xml:space="preserve">, </w:t>
      </w:r>
      <w:r w:rsidR="0028708C">
        <w:t>výživa</w:t>
      </w:r>
      <w:r w:rsidR="003C47C4">
        <w:t xml:space="preserve"> či </w:t>
      </w:r>
      <w:r w:rsidR="009B71E5">
        <w:t xml:space="preserve">obecná </w:t>
      </w:r>
      <w:r w:rsidR="00D22ECC">
        <w:t xml:space="preserve">problematika </w:t>
      </w:r>
      <w:r w:rsidR="0028708C">
        <w:t>polypragmazie</w:t>
      </w:r>
      <w:r w:rsidR="00B33E05">
        <w:t xml:space="preserve">, </w:t>
      </w:r>
      <w:r w:rsidR="00D04EF2">
        <w:t>viz text dále</w:t>
      </w:r>
      <w:r w:rsidR="00AD7477">
        <w:t>)</w:t>
      </w:r>
      <w:r w:rsidR="00422948">
        <w:t xml:space="preserve">, sociální </w:t>
      </w:r>
      <w:r w:rsidR="00057E84">
        <w:t>př</w:t>
      </w:r>
      <w:r w:rsidR="00B20B29">
        <w:t>íčiny</w:t>
      </w:r>
      <w:r w:rsidR="00422948">
        <w:t xml:space="preserve"> (</w:t>
      </w:r>
      <w:r w:rsidR="00E263E6">
        <w:t xml:space="preserve">např. </w:t>
      </w:r>
      <w:r w:rsidR="008D5E57">
        <w:t xml:space="preserve">sociální či </w:t>
      </w:r>
      <w:r w:rsidR="00422948">
        <w:t>finanční</w:t>
      </w:r>
      <w:r w:rsidR="008D5E57">
        <w:t xml:space="preserve"> nejistota</w:t>
      </w:r>
      <w:r w:rsidR="00422948">
        <w:t>)</w:t>
      </w:r>
      <w:r w:rsidR="00CB629D">
        <w:t xml:space="preserve">, </w:t>
      </w:r>
      <w:r w:rsidR="00F97473">
        <w:t xml:space="preserve">psychické příčiny (ztráta </w:t>
      </w:r>
      <w:r w:rsidR="00C60D53">
        <w:t xml:space="preserve">dítěte či </w:t>
      </w:r>
      <w:r w:rsidR="00F97473">
        <w:t>celoživotního partnera</w:t>
      </w:r>
      <w:r w:rsidR="00C60D53">
        <w:t>, rodinné neshody aj.</w:t>
      </w:r>
      <w:r w:rsidR="00F97473">
        <w:t>)</w:t>
      </w:r>
      <w:r w:rsidR="00557164">
        <w:t xml:space="preserve"> a</w:t>
      </w:r>
      <w:r w:rsidR="00F8018C">
        <w:t> </w:t>
      </w:r>
      <w:r w:rsidR="00557164">
        <w:t>doposud prodělaná onemocnění</w:t>
      </w:r>
      <w:r w:rsidR="00D275B7">
        <w:t>. Jako rizikový faktor lze též označit samotné presenium</w:t>
      </w:r>
      <w:r w:rsidR="00A3117E">
        <w:t xml:space="preserve">, tedy odchod z pracovního </w:t>
      </w:r>
      <w:r w:rsidR="001673EB">
        <w:t>prostředí</w:t>
      </w:r>
      <w:r w:rsidR="00A3117E">
        <w:t xml:space="preserve"> do </w:t>
      </w:r>
      <w:r w:rsidR="00AA0178">
        <w:t xml:space="preserve">starobního </w:t>
      </w:r>
      <w:r w:rsidR="00A3117E">
        <w:t>důchodu</w:t>
      </w:r>
      <w:r w:rsidR="00DA53C5">
        <w:t xml:space="preserve">, </w:t>
      </w:r>
      <w:r w:rsidR="00C91D80">
        <w:t xml:space="preserve">viz </w:t>
      </w:r>
      <w:r w:rsidR="00C23987">
        <w:t xml:space="preserve">závěr kapitoly 2 popisující </w:t>
      </w:r>
      <w:r w:rsidR="005D57B9">
        <w:t>rozdíly ve vnímání změny sociální role.</w:t>
      </w:r>
      <w:r w:rsidR="0015579C">
        <w:fldChar w:fldCharType="begin"/>
      </w:r>
      <w:r w:rsidR="009B3709">
        <w:instrText xml:space="preserve"> ADDIN ZOTERO_ITEM CSL_CITATION {"citationID":"fVXnpAXd","properties":{"formattedCitation":"\\super 7(p18),12(p418),13(p19,26,50-51)\\nosupersub{}","plainCitation":"7(p18),12(p418),13(p19,26,50-51)","noteIndex":0},"citationItems":[{"id":150,"uris":["http://zotero.org/users/9426386/items/KZHM6B4S"],"itemData":{"id":150,"type":"book","event-place":"Praha","ISBN":"978-80-271-0876-3","language":"cs","publisher":"Grada","publisher-place":"Praha","title":"Psychosociální adaptace ve stáří a nemoci","author":[{"family":"Ptáček","given":"Radek"},{"family":"Ptáčková","given":"Hana"}],"issued":{"date-parts":[["2021"]]}},"locator":"18","label":"page"},{"id":155,"uris":["http://zotero.org/users/9426386/items/D8FB8QGE"],"itemData":{"id":155,"type":"book","edition":"2nd suppl. and updated ed.","event-place":"Praha","ISBN":"978-80-271-0596-0","language":"cze","note":"OCLC: 1078647920","number-of-pages":"492","publisher":"Grada Publishing","publisher-place":"Praha","source":"Open WorldCat","title":"Urgentní medicína v klinické praxi lékaře","author":[{"family":"Šeblová","given":"Jana"},{"family":"Knor","given":"Jiří"}],"issued":{"date-parts":[["2018"]]}},"locator":"418","label":"page"},{"id":147,"uris":["http://zotero.org/users/9426386/items/QDRTW3RT"],"itemData":{"id":147,"type":"book","event-place":"Praha","ISBN":"978-80-204-3119-6","language":"cs","number-of-pages":"206","publisher":"Mladá fronta","publisher-place":"Praha","title":"Průvodce vyšším věkem: manuál pro seniory a jejich pečovatele","issued":{"date-parts":[["2014"]]}},"locator":"19,26,50-51","label":"page"}],"schema":"https://github.com/citation-style-language/schema/raw/master/csl-citation.json"} </w:instrText>
      </w:r>
      <w:r w:rsidR="0015579C">
        <w:fldChar w:fldCharType="separate"/>
      </w:r>
      <w:r w:rsidR="00E87A1C" w:rsidRPr="00E87A1C">
        <w:rPr>
          <w:vertAlign w:val="superscript"/>
        </w:rPr>
        <w:t>7(p18),12(p418),13(p19,26,50-51)</w:t>
      </w:r>
      <w:r w:rsidR="0015579C">
        <w:fldChar w:fldCharType="end"/>
      </w:r>
    </w:p>
    <w:p w14:paraId="1D7A7924" w14:textId="39C66C1F" w:rsidR="00A11D74" w:rsidRDefault="001B6146" w:rsidP="002E32D6">
      <w:pPr>
        <w:pStyle w:val="Nadpis3"/>
        <w:numPr>
          <w:ilvl w:val="2"/>
          <w:numId w:val="14"/>
        </w:numPr>
      </w:pPr>
      <w:r>
        <w:t>Zvláštnosti chorob</w:t>
      </w:r>
      <w:r w:rsidR="00A11D74">
        <w:t xml:space="preserve"> ve stáří</w:t>
      </w:r>
    </w:p>
    <w:p w14:paraId="57B72602" w14:textId="1C74B1F6" w:rsidR="00C24AC0" w:rsidRDefault="00FB6CA9" w:rsidP="00523CA8">
      <w:pPr>
        <w:pStyle w:val="Odstavec1"/>
      </w:pPr>
      <w:r>
        <w:t xml:space="preserve">Stáří, stejně jako každý lidský věk, s sebou nese </w:t>
      </w:r>
      <w:r w:rsidR="00EE7A40">
        <w:t>jistá specifika</w:t>
      </w:r>
      <w:r w:rsidR="00133061">
        <w:t>. V</w:t>
      </w:r>
      <w:r w:rsidR="00D941FB">
        <w:t>e způsobu a časových faktorech projevů</w:t>
      </w:r>
      <w:r w:rsidR="008D3260">
        <w:t xml:space="preserve"> onemocnění se</w:t>
      </w:r>
      <w:r w:rsidR="00BB5C4B">
        <w:t xml:space="preserve"> tak</w:t>
      </w:r>
      <w:r w:rsidR="008D3260">
        <w:t xml:space="preserve"> promítá značný prvek individuality a variability.</w:t>
      </w:r>
      <w:r w:rsidR="00E0359F">
        <w:t xml:space="preserve"> </w:t>
      </w:r>
      <w:r w:rsidR="000F73FE">
        <w:t>N</w:t>
      </w:r>
      <w:r w:rsidR="00E0359F">
        <w:t>ejvýznamnější zvláštnost</w:t>
      </w:r>
      <w:r w:rsidR="000F73FE">
        <w:t>i</w:t>
      </w:r>
      <w:r w:rsidR="00E0359F">
        <w:t xml:space="preserve"> chorob ve stáří </w:t>
      </w:r>
      <w:r w:rsidR="000F73FE">
        <w:t>shrnuje</w:t>
      </w:r>
      <w:r w:rsidR="00E0359F">
        <w:t xml:space="preserve"> následující text</w:t>
      </w:r>
      <w:r w:rsidR="000F73FE">
        <w:t>.</w:t>
      </w:r>
      <w:r w:rsidR="000D0D0A">
        <w:fldChar w:fldCharType="begin"/>
      </w:r>
      <w:r w:rsidR="009B3709">
        <w:instrText xml:space="preserve"> ADDIN ZOTERO_ITEM CSL_CITATION {"citationID":"U0OH0SGG","properties":{"formattedCitation":"\\super 12(p418),13(p13)\\nosupersub{}","plainCitation":"12(p418),13(p13)","noteIndex":0},"citationItems":[{"id":155,"uris":["http://zotero.org/users/9426386/items/D8FB8QGE"],"itemData":{"id":155,"type":"book","edition":"2nd suppl. and updated ed.","event-place":"Praha","ISBN":"978-80-271-0596-0","language":"cze","note":"OCLC: 1078647920","number-of-pages":"492","publisher":"Grada Publishing","publisher-place":"Praha","source":"Open WorldCat","title":"Urgentní medicína v klinické praxi lékaře","author":[{"family":"Šeblová","given":"Jana"},{"family":"Knor","given":"Jiří"}],"issued":{"date-parts":[["2018"]]}},"locator":"418","label":"page"},{"id":147,"uris":["http://zotero.org/users/9426386/items/QDRTW3RT"],"itemData":{"id":147,"type":"book","event-place":"Praha","ISBN":"978-80-204-3119-6","language":"cs","number-of-pages":"206","publisher":"Mladá fronta","publisher-place":"Praha","title":"Průvodce vyšším věkem: manuál pro seniory a jejich pečovatele","issued":{"date-parts":[["2014"]]}},"locator":"13","label":"page"}],"schema":"https://github.com/citation-style-language/schema/raw/master/csl-citation.json"} </w:instrText>
      </w:r>
      <w:r w:rsidR="000D0D0A">
        <w:fldChar w:fldCharType="separate"/>
      </w:r>
      <w:r w:rsidR="00E87A1C" w:rsidRPr="00E87A1C">
        <w:rPr>
          <w:vertAlign w:val="superscript"/>
        </w:rPr>
        <w:t>12(p418),13(p13)</w:t>
      </w:r>
      <w:r w:rsidR="000D0D0A">
        <w:fldChar w:fldCharType="end"/>
      </w:r>
    </w:p>
    <w:p w14:paraId="2DB674DF" w14:textId="0DE84592" w:rsidR="002A26F5" w:rsidRPr="00C24AC0" w:rsidRDefault="00F8743F" w:rsidP="00105974">
      <w:pPr>
        <w:pStyle w:val="Dalodstavce"/>
      </w:pPr>
      <w:r>
        <w:t xml:space="preserve">Symptomatologie </w:t>
      </w:r>
      <w:r w:rsidR="00B72E69">
        <w:t>nemocí ve stáří</w:t>
      </w:r>
      <w:r>
        <w:t xml:space="preserve"> se</w:t>
      </w:r>
      <w:r w:rsidR="00B0096A">
        <w:t xml:space="preserve">, vlivem fyziologických změn organismu, projevuje zpravidla dříve </w:t>
      </w:r>
      <w:r w:rsidR="00B56459">
        <w:t>než u mladších nemocných</w:t>
      </w:r>
      <w:r w:rsidR="000357D5">
        <w:t>, ovšem v atypické podobě</w:t>
      </w:r>
      <w:r w:rsidR="00A354D4">
        <w:t>.</w:t>
      </w:r>
      <w:r w:rsidR="00F86ABF">
        <w:fldChar w:fldCharType="begin"/>
      </w:r>
      <w:r w:rsidR="009B3709">
        <w:instrText xml:space="preserve"> ADDIN ZOTERO_ITEM CSL_CITATION {"citationID":"c9gWTjfG","properties":{"formattedCitation":"\\super 16(p3)\\nosupersub{}","plainCitation":"16(p3)","noteIndex":0},"citationItems":[{"id":143,"uris":["http://zotero.org/users/9426386/items/95SKC5IC"],"itemData":{"id":143,"type":"book","event-place":"Praha","ISBN":"978-80-7262-620-5","language":"cs","number-of-pages":"233","publisher":"Galén","publisher-place":"Praha","title":"Akutní stavy v geriatrii","author":[{"family":"Matějovská Kubešová","given":"Hana"}],"issued":{"date-parts":[["2009"]]}},"locator":"3","label":"page"}],"schema":"https://github.com/citation-style-language/schema/raw/master/csl-citation.json"} </w:instrText>
      </w:r>
      <w:r w:rsidR="00F86ABF">
        <w:fldChar w:fldCharType="separate"/>
      </w:r>
      <w:r w:rsidR="00E87A1C" w:rsidRPr="00E87A1C">
        <w:rPr>
          <w:vertAlign w:val="superscript"/>
        </w:rPr>
        <w:t>16(p3)</w:t>
      </w:r>
      <w:r w:rsidR="00F86ABF">
        <w:fldChar w:fldCharType="end"/>
      </w:r>
      <w:r w:rsidR="00195BB6">
        <w:t xml:space="preserve"> </w:t>
      </w:r>
      <w:r w:rsidR="005D576D">
        <w:t>C</w:t>
      </w:r>
      <w:r w:rsidR="00BB729F">
        <w:t>horob</w:t>
      </w:r>
      <w:r w:rsidR="005D576D">
        <w:t>y</w:t>
      </w:r>
      <w:r w:rsidR="00BB729F">
        <w:t xml:space="preserve"> starších nemocných j</w:t>
      </w:r>
      <w:r w:rsidR="005D576D">
        <w:t>sou</w:t>
      </w:r>
      <w:r w:rsidR="004A5CB2">
        <w:t>, oproti mladší po</w:t>
      </w:r>
      <w:r w:rsidR="00C0722A">
        <w:t>p</w:t>
      </w:r>
      <w:r w:rsidR="004A5CB2">
        <w:t>ulaci,</w:t>
      </w:r>
      <w:r w:rsidR="005D576D">
        <w:t xml:space="preserve"> vyjádřeny</w:t>
      </w:r>
      <w:r w:rsidR="00533CD0">
        <w:t xml:space="preserve"> buďto</w:t>
      </w:r>
      <w:r w:rsidR="00BB729F">
        <w:t xml:space="preserve"> </w:t>
      </w:r>
      <w:r w:rsidR="00B21E3B">
        <w:t xml:space="preserve">několika málo </w:t>
      </w:r>
      <w:r w:rsidR="00AB5AB3">
        <w:t>typickými klinickými</w:t>
      </w:r>
      <w:r w:rsidR="00154A62">
        <w:t xml:space="preserve"> příznaky </w:t>
      </w:r>
      <w:r w:rsidR="00376377">
        <w:t>(</w:t>
      </w:r>
      <w:proofErr w:type="spellStart"/>
      <w:r w:rsidR="00376377">
        <w:t>oligosymptomatologie</w:t>
      </w:r>
      <w:proofErr w:type="spellEnd"/>
      <w:r w:rsidR="00376377">
        <w:t>)</w:t>
      </w:r>
      <w:r w:rsidR="00C0722A">
        <w:t>, nebo pouze jedním jediným (</w:t>
      </w:r>
      <w:proofErr w:type="spellStart"/>
      <w:r w:rsidR="0017145C">
        <w:t>monosymptomatologie</w:t>
      </w:r>
      <w:proofErr w:type="spellEnd"/>
      <w:r w:rsidR="00C0722A">
        <w:t>).</w:t>
      </w:r>
      <w:r w:rsidR="0017145C">
        <w:t xml:space="preserve"> </w:t>
      </w:r>
      <w:r w:rsidR="00EB2766">
        <w:t xml:space="preserve">Dané onemocnění se může </w:t>
      </w:r>
      <w:r w:rsidR="00DC2376">
        <w:t xml:space="preserve">taktéž </w:t>
      </w:r>
      <w:r w:rsidR="00EB2766">
        <w:t>projevovat nenápadně</w:t>
      </w:r>
      <w:r w:rsidR="00E1649B">
        <w:t xml:space="preserve"> a</w:t>
      </w:r>
      <w:r w:rsidR="00E70C55">
        <w:t> </w:t>
      </w:r>
      <w:r w:rsidR="00E1649B">
        <w:t>jeho projevy</w:t>
      </w:r>
      <w:r w:rsidR="004F43F8">
        <w:t xml:space="preserve"> mohou být</w:t>
      </w:r>
      <w:r w:rsidR="00E1649B">
        <w:t xml:space="preserve"> málo vyjádřené,</w:t>
      </w:r>
      <w:r w:rsidR="002F04A0">
        <w:t xml:space="preserve"> tedy</w:t>
      </w:r>
      <w:r w:rsidR="00DC2376">
        <w:t xml:space="preserve"> </w:t>
      </w:r>
      <w:r w:rsidR="00E1649B">
        <w:t>minimální (</w:t>
      </w:r>
      <w:proofErr w:type="spellStart"/>
      <w:r w:rsidR="00E1649B">
        <w:t>mikrosymptomatologie</w:t>
      </w:r>
      <w:proofErr w:type="spellEnd"/>
      <w:r w:rsidR="00E1649B">
        <w:t>).</w:t>
      </w:r>
      <w:r w:rsidR="00F86ABF">
        <w:fldChar w:fldCharType="begin"/>
      </w:r>
      <w:r w:rsidR="009B3709">
        <w:instrText xml:space="preserve"> ADDIN ZOTERO_ITEM CSL_CITATION {"citationID":"LfOkStOC","properties":{"formattedCitation":"\\super 13(p50),15(p135),16(p3)\\nosupersub{}","plainCitation":"13(p50),15(p135),16(p3)","noteIndex":0},"citationItems":[{"id":147,"uris":["http://zotero.org/users/9426386/items/QDRTW3RT"],"itemData":{"id":147,"type":"book","event-place":"Praha","ISBN":"978-80-204-3119-6","language":"cs","number-of-pages":"206","publisher":"Mladá fronta","publisher-place":"Praha","title":"Průvodce vyšším věkem: manuál pro seniory a jejich pečovatele","issued":{"date-parts":[["2014"]]}},"locator":"50","label":"page"},{"id":146,"uris":["http://zotero.org/users/9426386/items/NURTKNTZ"],"itemData":{"id":146,"type":"book","ISBN":"978-80-247-2490-4","language":"cs","title":"Geriatrické syndromy a geriatrický pacient","author":[{"family":"Kalvach","given":"Zdeněk"},{"family":"Zadák","given":"Zdeněk"},{"family":"Jirák","given":"Roman"},{"family":"Zavázalová","given":"Helena"},{"family":"Holmerová","given":"Iva"},{"family":"Weber","given":"Pavel"}],"issued":{"date-parts":[["2008"]]}},"locator":"135","label":"page"},{"id":143,"uris":["http://zotero.org/users/9426386/items/95SKC5IC"],"itemData":{"id":143,"type":"book","event-place":"Praha","ISBN":"978-80-7262-620-5","language":"cs","number-of-pages":"233","publisher":"Galén","publisher-place":"Praha","title":"Akutní stavy v geriatrii","author":[{"family":"Matějovská Kubešová","given":"Hana"}],"issued":{"date-parts":[["2009"]]}},"locator":"3","label":"page"}],"schema":"https://github.com/citation-style-language/schema/raw/master/csl-citation.json"} </w:instrText>
      </w:r>
      <w:r w:rsidR="00F86ABF">
        <w:fldChar w:fldCharType="separate"/>
      </w:r>
      <w:r w:rsidR="00E87A1C" w:rsidRPr="00E87A1C">
        <w:rPr>
          <w:vertAlign w:val="superscript"/>
        </w:rPr>
        <w:t>13(p50),15(p135),16(p3)</w:t>
      </w:r>
      <w:r w:rsidR="00F86ABF">
        <w:fldChar w:fldCharType="end"/>
      </w:r>
      <w:r w:rsidR="008E6B76">
        <w:t xml:space="preserve"> </w:t>
      </w:r>
      <w:r w:rsidR="00262BCE">
        <w:t>Dochází</w:t>
      </w:r>
      <w:r w:rsidR="008E6B76">
        <w:t xml:space="preserve"> k dominanci nespecifických projevů</w:t>
      </w:r>
      <w:r w:rsidR="004264A2">
        <w:t xml:space="preserve"> nem</w:t>
      </w:r>
      <w:r w:rsidR="001F2113">
        <w:t>ocnosti</w:t>
      </w:r>
      <w:r w:rsidR="001004A0">
        <w:t xml:space="preserve">, které jsou </w:t>
      </w:r>
      <w:r w:rsidR="00930648">
        <w:t>pro diferenciální diagnostiku nepřínos</w:t>
      </w:r>
      <w:r w:rsidR="00AC0BB3">
        <w:t>n</w:t>
      </w:r>
      <w:r w:rsidR="001004A0">
        <w:t>é</w:t>
      </w:r>
      <w:r w:rsidR="00AC0BB3">
        <w:t xml:space="preserve"> či dokonce z</w:t>
      </w:r>
      <w:r w:rsidR="001004A0">
        <w:t>a</w:t>
      </w:r>
      <w:r w:rsidR="00AC0BB3">
        <w:t>vádějící</w:t>
      </w:r>
      <w:r w:rsidR="001004A0">
        <w:t xml:space="preserve"> (</w:t>
      </w:r>
      <w:r w:rsidR="00222936">
        <w:t xml:space="preserve">např. </w:t>
      </w:r>
      <w:r w:rsidR="00AC6BC2">
        <w:t>neprospívání</w:t>
      </w:r>
      <w:r w:rsidR="00222936">
        <w:t xml:space="preserve"> či</w:t>
      </w:r>
      <w:r w:rsidR="00AC6BC2">
        <w:t xml:space="preserve"> únava</w:t>
      </w:r>
      <w:r w:rsidR="001004A0">
        <w:t>).</w:t>
      </w:r>
      <w:r w:rsidR="00AE573C">
        <w:fldChar w:fldCharType="begin"/>
      </w:r>
      <w:r w:rsidR="009B3709">
        <w:instrText xml:space="preserve"> ADDIN ZOTERO_ITEM CSL_CITATION {"citationID":"rr2URgF8","properties":{"formattedCitation":"\\super 15(p137)\\nosupersub{}","plainCitation":"15(p137)","noteIndex":0},"citationItems":[{"id":146,"uris":["http://zotero.org/users/9426386/items/NURTKNTZ"],"itemData":{"id":146,"type":"book","ISBN":"978-80-247-2490-4","language":"cs","title":"Geriatrické syndromy a geriatrický pacient","author":[{"family":"Kalvach","given":"Zdeněk"},{"family":"Zadák","given":"Zdeněk"},{"family":"Jirák","given":"Roman"},{"family":"Zavázalová","given":"Helena"},{"family":"Holmerová","given":"Iva"},{"family":"Weber","given":"Pavel"}],"issued":{"date-parts":[["2008"]]}},"locator":"137","label":"page"}],"schema":"https://github.com/citation-style-language/schema/raw/master/csl-citation.json"} </w:instrText>
      </w:r>
      <w:r w:rsidR="00AE573C">
        <w:fldChar w:fldCharType="separate"/>
      </w:r>
      <w:r w:rsidR="00E87A1C" w:rsidRPr="00E87A1C">
        <w:rPr>
          <w:vertAlign w:val="superscript"/>
        </w:rPr>
        <w:t>15(p137)</w:t>
      </w:r>
      <w:r w:rsidR="00AE573C">
        <w:fldChar w:fldCharType="end"/>
      </w:r>
      <w:r w:rsidR="00F812E5">
        <w:t xml:space="preserve"> </w:t>
      </w:r>
      <w:r w:rsidR="008E3E39">
        <w:t xml:space="preserve">Některé </w:t>
      </w:r>
      <w:r w:rsidR="004D3386">
        <w:t xml:space="preserve">přítomné </w:t>
      </w:r>
      <w:r w:rsidR="008E3E39">
        <w:t xml:space="preserve">příznakové soubory mohou být </w:t>
      </w:r>
      <w:r w:rsidR="00410485">
        <w:t>odvozeny od</w:t>
      </w:r>
      <w:r w:rsidR="0086316C">
        <w:t xml:space="preserve"> vícero </w:t>
      </w:r>
      <w:r w:rsidR="008F6D2D">
        <w:t>chorob</w:t>
      </w:r>
      <w:r w:rsidR="0086316C">
        <w:t>, přičemž terapeutický</w:t>
      </w:r>
      <w:r w:rsidR="00AE032D">
        <w:t>m</w:t>
      </w:r>
      <w:r w:rsidR="0086316C">
        <w:t xml:space="preserve"> zásah</w:t>
      </w:r>
      <w:r w:rsidR="00AE032D">
        <w:t>em,</w:t>
      </w:r>
      <w:r w:rsidR="0086316C">
        <w:t xml:space="preserve"> </w:t>
      </w:r>
      <w:r w:rsidR="00AE032D">
        <w:t>cíleným</w:t>
      </w:r>
      <w:r w:rsidR="0086316C">
        <w:t xml:space="preserve"> pouze na jedno z</w:t>
      </w:r>
      <w:r w:rsidR="00EA789A">
        <w:t> </w:t>
      </w:r>
      <w:r w:rsidR="0086316C">
        <w:t>těchto</w:t>
      </w:r>
      <w:r w:rsidR="00EA789A">
        <w:t xml:space="preserve"> onemocnění</w:t>
      </w:r>
      <w:r w:rsidR="00AE032D">
        <w:t>,</w:t>
      </w:r>
      <w:r w:rsidR="00EA789A">
        <w:t xml:space="preserve"> nebude docíleno podstatného zlepšení zdravotního stavu staršího pacienta.</w:t>
      </w:r>
      <w:r w:rsidR="008F6D2D">
        <w:t xml:space="preserve"> </w:t>
      </w:r>
      <w:r w:rsidR="00D52872">
        <w:t>Konkrétní</w:t>
      </w:r>
      <w:r w:rsidR="00230B33">
        <w:t xml:space="preserve"> specifika je také nutné zohlednit jak v</w:t>
      </w:r>
      <w:r w:rsidR="00D52872">
        <w:t> </w:t>
      </w:r>
      <w:r w:rsidR="00230B33">
        <w:t>klinickém</w:t>
      </w:r>
      <w:r w:rsidR="00D52872">
        <w:t>,</w:t>
      </w:r>
      <w:r w:rsidR="00230B33">
        <w:t xml:space="preserve"> </w:t>
      </w:r>
      <w:r w:rsidR="008F6102">
        <w:t>tak</w:t>
      </w:r>
      <w:r w:rsidR="00230B33">
        <w:t xml:space="preserve"> laboratorním nálezu</w:t>
      </w:r>
      <w:r w:rsidR="0030636D">
        <w:t xml:space="preserve">. </w:t>
      </w:r>
      <w:r w:rsidR="00E72412">
        <w:lastRenderedPageBreak/>
        <w:t>Standardně</w:t>
      </w:r>
      <w:r w:rsidR="0030636D">
        <w:t xml:space="preserve"> patologický nález může být</w:t>
      </w:r>
      <w:r w:rsidR="004F2C7E">
        <w:t xml:space="preserve"> u starší populace</w:t>
      </w:r>
      <w:r w:rsidR="00E7786F">
        <w:t xml:space="preserve"> f</w:t>
      </w:r>
      <w:r w:rsidR="00571A62">
        <w:t>yziologický (</w:t>
      </w:r>
      <w:r w:rsidR="00DB1C4F">
        <w:t xml:space="preserve">např. </w:t>
      </w:r>
      <w:r w:rsidR="00C65EFC">
        <w:t>bakteriurie</w:t>
      </w:r>
      <w:r w:rsidR="00DB1C4F">
        <w:t xml:space="preserve"> </w:t>
      </w:r>
      <w:r w:rsidR="00492B7F">
        <w:t>či</w:t>
      </w:r>
      <w:r w:rsidR="003B7F96">
        <w:t xml:space="preserve"> častější výskyt extrasystol</w:t>
      </w:r>
      <w:r w:rsidR="00571A62">
        <w:t>).</w:t>
      </w:r>
      <w:r w:rsidR="00522082">
        <w:fldChar w:fldCharType="begin"/>
      </w:r>
      <w:r w:rsidR="009B3709">
        <w:instrText xml:space="preserve"> ADDIN ZOTERO_ITEM CSL_CITATION {"citationID":"gSXnlvaZ","properties":{"formattedCitation":"\\super 16(p3)\\nosupersub{}","plainCitation":"16(p3)","noteIndex":0},"citationItems":[{"id":143,"uris":["http://zotero.org/users/9426386/items/95SKC5IC"],"itemData":{"id":143,"type":"book","event-place":"Praha","ISBN":"978-80-7262-620-5","language":"cs","number-of-pages":"233","publisher":"Galén","publisher-place":"Praha","title":"Akutní stavy v geriatrii","author":[{"family":"Matějovská Kubešová","given":"Hana"}],"issued":{"date-parts":[["2009"]]}},"locator":"3","label":"page"}],"schema":"https://github.com/citation-style-language/schema/raw/master/csl-citation.json"} </w:instrText>
      </w:r>
      <w:r w:rsidR="00522082">
        <w:fldChar w:fldCharType="separate"/>
      </w:r>
      <w:r w:rsidR="00E87A1C" w:rsidRPr="00E87A1C">
        <w:rPr>
          <w:vertAlign w:val="superscript"/>
        </w:rPr>
        <w:t>16(p3)</w:t>
      </w:r>
      <w:r w:rsidR="00522082">
        <w:fldChar w:fldCharType="end"/>
      </w:r>
      <w:r w:rsidR="00105974">
        <w:t xml:space="preserve"> </w:t>
      </w:r>
      <w:r w:rsidR="00DF6BD0">
        <w:t xml:space="preserve">Z diagnostického </w:t>
      </w:r>
      <w:r w:rsidR="005813AD">
        <w:t>hlediska</w:t>
      </w:r>
      <w:r w:rsidR="00176FD1">
        <w:t xml:space="preserve"> může být značně zavádějící</w:t>
      </w:r>
      <w:r w:rsidR="008A56C3">
        <w:t xml:space="preserve"> tzv. </w:t>
      </w:r>
      <w:r w:rsidR="00974ABD">
        <w:t xml:space="preserve">selhávání nejkřehčího </w:t>
      </w:r>
      <w:r w:rsidR="008A56C3">
        <w:t>orgán</w:t>
      </w:r>
      <w:r w:rsidR="00AE6179">
        <w:t>u</w:t>
      </w:r>
      <w:r w:rsidR="00974ABD">
        <w:t>.</w:t>
      </w:r>
      <w:r w:rsidR="00C639C6">
        <w:t xml:space="preserve"> </w:t>
      </w:r>
      <w:r w:rsidR="00F31BA5">
        <w:t xml:space="preserve">Jedná se o </w:t>
      </w:r>
      <w:r w:rsidR="00987934">
        <w:t xml:space="preserve">primární </w:t>
      </w:r>
      <w:r w:rsidR="00F31BA5">
        <w:t xml:space="preserve">dekompenzaci </w:t>
      </w:r>
      <w:r w:rsidR="003A02FF">
        <w:t xml:space="preserve">nejzranitelnějšího </w:t>
      </w:r>
      <w:r w:rsidR="00987934">
        <w:t xml:space="preserve">orgánu </w:t>
      </w:r>
      <w:r w:rsidR="003A02FF">
        <w:t xml:space="preserve">či </w:t>
      </w:r>
      <w:r w:rsidR="00987934">
        <w:t>systému</w:t>
      </w:r>
      <w:r w:rsidR="002D48D7">
        <w:t>, kterým</w:t>
      </w:r>
      <w:r w:rsidR="00742146">
        <w:t xml:space="preserve"> bývá nejčastěji mozek (dále pak </w:t>
      </w:r>
      <w:r w:rsidR="00CB506A">
        <w:t xml:space="preserve">také </w:t>
      </w:r>
      <w:r w:rsidR="00B81593">
        <w:t xml:space="preserve">srdce, </w:t>
      </w:r>
      <w:r w:rsidR="00742146">
        <w:t>muskuloskeletální či urogenitální aparát</w:t>
      </w:r>
      <w:r w:rsidR="00CB506A">
        <w:t>)</w:t>
      </w:r>
      <w:r w:rsidR="003A02FF">
        <w:t xml:space="preserve">. </w:t>
      </w:r>
      <w:r w:rsidR="00F213FE">
        <w:t xml:space="preserve">Jakékoliv zátěžové stavy (včetně </w:t>
      </w:r>
      <w:r w:rsidR="00457CF7">
        <w:t xml:space="preserve">banálních onemocnění) se </w:t>
      </w:r>
      <w:r w:rsidR="00E114FA">
        <w:t xml:space="preserve">posléze často prezentují </w:t>
      </w:r>
      <w:r w:rsidR="00DA5A4B">
        <w:t>příznakovými soubory</w:t>
      </w:r>
      <w:r w:rsidR="00272AD0">
        <w:t xml:space="preserve"> křehkého orgánu</w:t>
      </w:r>
      <w:r w:rsidR="00DA5A4B">
        <w:t>,</w:t>
      </w:r>
      <w:r w:rsidR="005F4A5E">
        <w:t xml:space="preserve"> které mohou být velice obdobné u řady základních onemocnění (</w:t>
      </w:r>
      <w:r w:rsidR="007D769C">
        <w:t>kardiální selhávání</w:t>
      </w:r>
      <w:r w:rsidR="00541F4A">
        <w:t>, pády,</w:t>
      </w:r>
      <w:r w:rsidR="003F6EF1">
        <w:t xml:space="preserve"> z</w:t>
      </w:r>
      <w:r w:rsidR="006C5156">
        <w:t>matenost</w:t>
      </w:r>
      <w:r w:rsidR="00541F4A">
        <w:t xml:space="preserve"> aj.</w:t>
      </w:r>
      <w:r w:rsidR="005F4A5E">
        <w:t>)</w:t>
      </w:r>
      <w:r w:rsidR="00272AD0">
        <w:t>.</w:t>
      </w:r>
      <w:r w:rsidR="00B7118D">
        <w:fldChar w:fldCharType="begin"/>
      </w:r>
      <w:r w:rsidR="009B3709">
        <w:instrText xml:space="preserve"> ADDIN ZOTERO_ITEM CSL_CITATION {"citationID":"Dn83gdan","properties":{"formattedCitation":"\\super 15(pp136-137),16(p3)\\nosupersub{}","plainCitation":"15(pp136-137),16(p3)","noteIndex":0},"citationItems":[{"id":146,"uris":["http://zotero.org/users/9426386/items/NURTKNTZ"],"itemData":{"id":146,"type":"book","ISBN":"978-80-247-2490-4","language":"cs","title":"Geriatrické syndromy a geriatrický pacient","author":[{"family":"Kalvach","given":"Zdeněk"},{"family":"Zadák","given":"Zdeněk"},{"family":"Jirák","given":"Roman"},{"family":"Zavázalová","given":"Helena"},{"family":"Holmerová","given":"Iva"},{"family":"Weber","given":"Pavel"}],"issued":{"date-parts":[["2008"]]}},"locator":"136-137","label":"page"},{"id":143,"uris":["http://zotero.org/users/9426386/items/95SKC5IC"],"itemData":{"id":143,"type":"book","event-place":"Praha","ISBN":"978-80-7262-620-5","language":"cs","number-of-pages":"233","publisher":"Galén","publisher-place":"Praha","title":"Akutní stavy v geriatrii","author":[{"family":"Matějovská Kubešová","given":"Hana"}],"issued":{"date-parts":[["2009"]]}},"locator":"3","label":"page"}],"schema":"https://github.com/citation-style-language/schema/raw/master/csl-citation.json"} </w:instrText>
      </w:r>
      <w:r w:rsidR="00B7118D">
        <w:fldChar w:fldCharType="separate"/>
      </w:r>
      <w:r w:rsidR="00E87A1C" w:rsidRPr="00E87A1C">
        <w:rPr>
          <w:vertAlign w:val="superscript"/>
        </w:rPr>
        <w:t>15(pp136-137),16(p3)</w:t>
      </w:r>
      <w:r w:rsidR="00B7118D">
        <w:fldChar w:fldCharType="end"/>
      </w:r>
      <w:r w:rsidR="00105974">
        <w:t xml:space="preserve"> </w:t>
      </w:r>
      <w:r w:rsidR="00AD7DB6">
        <w:t>Kaskádový (též dominový) efekt označuje stav</w:t>
      </w:r>
      <w:r w:rsidR="000A4E5F">
        <w:t xml:space="preserve">, při němž </w:t>
      </w:r>
      <w:r w:rsidR="0092326E">
        <w:t>choroba</w:t>
      </w:r>
      <w:r w:rsidR="004F7229">
        <w:t xml:space="preserve"> </w:t>
      </w:r>
      <w:r w:rsidR="00B728CE">
        <w:t>(obvykle akutní)</w:t>
      </w:r>
      <w:r w:rsidR="00602D4A">
        <w:t xml:space="preserve"> </w:t>
      </w:r>
      <w:r w:rsidR="004F7229">
        <w:t>dekompenzuje</w:t>
      </w:r>
      <w:r w:rsidR="00A843ED">
        <w:t xml:space="preserve"> stávající</w:t>
      </w:r>
      <w:r w:rsidR="008329ED">
        <w:t xml:space="preserve"> </w:t>
      </w:r>
      <w:r w:rsidR="00DB5597">
        <w:t>či postupně přidružen</w:t>
      </w:r>
      <w:r w:rsidR="00602D4A">
        <w:t xml:space="preserve">á </w:t>
      </w:r>
      <w:r w:rsidR="00A843ED">
        <w:t>chronická</w:t>
      </w:r>
      <w:r w:rsidR="0092326E">
        <w:t xml:space="preserve"> onemocnění</w:t>
      </w:r>
      <w:r w:rsidR="000A2C5E">
        <w:t xml:space="preserve"> a jednotlivé </w:t>
      </w:r>
      <w:r w:rsidR="00A552CB">
        <w:t>orgánové</w:t>
      </w:r>
      <w:r w:rsidR="000A2C5E">
        <w:t xml:space="preserve"> </w:t>
      </w:r>
      <w:r w:rsidR="00A30D60">
        <w:t>soustavy</w:t>
      </w:r>
      <w:r w:rsidR="003B31F9">
        <w:t>.</w:t>
      </w:r>
      <w:r w:rsidR="00446AA1">
        <w:t xml:space="preserve"> </w:t>
      </w:r>
      <w:r w:rsidR="006A3A0B">
        <w:t>J</w:t>
      </w:r>
      <w:r w:rsidR="00446AA1">
        <w:t xml:space="preserve">edna událost </w:t>
      </w:r>
      <w:r w:rsidR="006A3A0B">
        <w:t xml:space="preserve">tedy </w:t>
      </w:r>
      <w:r w:rsidR="00446AA1">
        <w:t xml:space="preserve">způsobuje </w:t>
      </w:r>
      <w:r w:rsidR="00895243">
        <w:t>řetězení dalších událostí</w:t>
      </w:r>
      <w:r w:rsidR="00434987">
        <w:t>, což může v</w:t>
      </w:r>
      <w:r w:rsidR="005D1315">
        <w:t>ytvářet nepřehledný klinický obraz.</w:t>
      </w:r>
      <w:r w:rsidR="00F7766F">
        <w:fldChar w:fldCharType="begin"/>
      </w:r>
      <w:r w:rsidR="009B3709">
        <w:instrText xml:space="preserve"> ADDIN ZOTERO_ITEM CSL_CITATION {"citationID":"ZjkTHBjF","properties":{"formattedCitation":"\\super 15(p136)\\nosupersub{}","plainCitation":"15(p136)","noteIndex":0},"citationItems":[{"id":146,"uris":["http://zotero.org/users/9426386/items/NURTKNTZ"],"itemData":{"id":146,"type":"book","ISBN":"978-80-247-2490-4","language":"cs","title":"Geriatrické syndromy a geriatrický pacient","author":[{"family":"Kalvach","given":"Zdeněk"},{"family":"Zadák","given":"Zdeněk"},{"family":"Jirák","given":"Roman"},{"family":"Zavázalová","given":"Helena"},{"family":"Holmerová","given":"Iva"},{"family":"Weber","given":"Pavel"}],"issued":{"date-parts":[["2008"]]}},"locator":"136","label":"page"}],"schema":"https://github.com/citation-style-language/schema/raw/master/csl-citation.json"} </w:instrText>
      </w:r>
      <w:r w:rsidR="00F7766F">
        <w:fldChar w:fldCharType="separate"/>
      </w:r>
      <w:r w:rsidR="00E87A1C" w:rsidRPr="00E87A1C">
        <w:rPr>
          <w:vertAlign w:val="superscript"/>
        </w:rPr>
        <w:t>15(p136)</w:t>
      </w:r>
      <w:r w:rsidR="00F7766F">
        <w:fldChar w:fldCharType="end"/>
      </w:r>
    </w:p>
    <w:p w14:paraId="2B32C7B0" w14:textId="306B793A" w:rsidR="00374037" w:rsidRDefault="001F3B03" w:rsidP="00A408A7">
      <w:pPr>
        <w:pStyle w:val="Dalodstavce"/>
      </w:pPr>
      <w:r>
        <w:t xml:space="preserve">Je možné </w:t>
      </w:r>
      <w:r w:rsidR="00146B64">
        <w:t xml:space="preserve">konstatovat, </w:t>
      </w:r>
      <w:r w:rsidR="00146B64" w:rsidRPr="003C566F">
        <w:t>že</w:t>
      </w:r>
      <w:r w:rsidR="008718A7" w:rsidRPr="003C566F">
        <w:t xml:space="preserve"> </w:t>
      </w:r>
      <w:r w:rsidR="00734787" w:rsidRPr="003C566F">
        <w:t xml:space="preserve">choroby ve stáří jsou typické </w:t>
      </w:r>
      <w:r w:rsidR="00877220" w:rsidRPr="003C566F">
        <w:t xml:space="preserve">právě </w:t>
      </w:r>
      <w:r w:rsidR="00734787" w:rsidRPr="003C566F">
        <w:t>tím, že probíhají atypicky</w:t>
      </w:r>
      <w:r w:rsidR="002F220D">
        <w:t>. I</w:t>
      </w:r>
      <w:r w:rsidR="00877220" w:rsidRPr="003C566F">
        <w:t xml:space="preserve"> </w:t>
      </w:r>
      <w:r w:rsidR="0023696D" w:rsidRPr="003C566F">
        <w:t xml:space="preserve">přesto je </w:t>
      </w:r>
      <w:r w:rsidR="00D01974" w:rsidRPr="003C566F">
        <w:t xml:space="preserve">charakter </w:t>
      </w:r>
      <w:r w:rsidR="009C07BA" w:rsidRPr="003C566F">
        <w:t>ne</w:t>
      </w:r>
      <w:r w:rsidR="00D01974" w:rsidRPr="003C566F">
        <w:t>mocnosti</w:t>
      </w:r>
      <w:r w:rsidR="009C07BA" w:rsidRPr="003C566F">
        <w:t xml:space="preserve"> ve stáří spjat</w:t>
      </w:r>
      <w:r w:rsidR="00D01974" w:rsidRPr="003C566F">
        <w:t>ý s</w:t>
      </w:r>
      <w:r w:rsidR="009C07BA" w:rsidRPr="003C566F">
        <w:t xml:space="preserve"> </w:t>
      </w:r>
      <w:r w:rsidR="00D01974" w:rsidRPr="003C566F">
        <w:t>určitými</w:t>
      </w:r>
      <w:r w:rsidR="00B74DCE" w:rsidRPr="003C566F">
        <w:t xml:space="preserve"> </w:t>
      </w:r>
      <w:r w:rsidR="009818DE" w:rsidRPr="003C566F">
        <w:t>charakteri</w:t>
      </w:r>
      <w:r w:rsidR="0049516A" w:rsidRPr="003C566F">
        <w:t>sti</w:t>
      </w:r>
      <w:r w:rsidR="00B74DCE" w:rsidRPr="003C566F">
        <w:t>ck</w:t>
      </w:r>
      <w:r w:rsidR="00D01974" w:rsidRPr="003C566F">
        <w:t>ými</w:t>
      </w:r>
      <w:r w:rsidR="00B74DCE" w:rsidRPr="003C566F">
        <w:t xml:space="preserve"> rysy</w:t>
      </w:r>
      <w:r w:rsidR="008718A7" w:rsidRPr="003C566F">
        <w:t>.</w:t>
      </w:r>
      <w:r w:rsidR="00B74DCE" w:rsidRPr="003C566F">
        <w:t xml:space="preserve"> </w:t>
      </w:r>
      <w:r w:rsidR="005D0D5C" w:rsidRPr="003C566F">
        <w:t>S narůstajícím věkem roste</w:t>
      </w:r>
      <w:r w:rsidR="00293BFD" w:rsidRPr="003C566F">
        <w:t xml:space="preserve"> častější </w:t>
      </w:r>
      <w:r w:rsidR="00293BFD">
        <w:t>výskyt chronických a</w:t>
      </w:r>
      <w:r w:rsidR="00126C86">
        <w:t xml:space="preserve"> </w:t>
      </w:r>
      <w:r w:rsidR="00293BFD" w:rsidRPr="00215ED9">
        <w:t>degen</w:t>
      </w:r>
      <w:r w:rsidR="00126C86">
        <w:t>e</w:t>
      </w:r>
      <w:r w:rsidR="00293BFD" w:rsidRPr="00215ED9">
        <w:t>rativních</w:t>
      </w:r>
      <w:r w:rsidR="00293BFD">
        <w:t xml:space="preserve"> onemocnění</w:t>
      </w:r>
      <w:r w:rsidR="007E3F26">
        <w:t xml:space="preserve">, </w:t>
      </w:r>
      <w:r w:rsidR="00A87878">
        <w:t>k</w:t>
      </w:r>
      <w:r w:rsidR="007E3F26">
        <w:t> ni</w:t>
      </w:r>
      <w:r w:rsidR="00754106">
        <w:t>m</w:t>
      </w:r>
      <w:r w:rsidR="007E3F26">
        <w:t xml:space="preserve">ž </w:t>
      </w:r>
      <w:r w:rsidR="00A87878">
        <w:t xml:space="preserve">se </w:t>
      </w:r>
      <w:r w:rsidR="007E3F26">
        <w:t xml:space="preserve">může </w:t>
      </w:r>
      <w:r w:rsidR="00423722">
        <w:t>vázat</w:t>
      </w:r>
      <w:r w:rsidR="007E3F26">
        <w:t xml:space="preserve"> z</w:t>
      </w:r>
      <w:r w:rsidR="007455EA">
        <w:t xml:space="preserve">načný </w:t>
      </w:r>
      <w:proofErr w:type="spellStart"/>
      <w:r w:rsidR="007455EA">
        <w:t>invalidizující</w:t>
      </w:r>
      <w:proofErr w:type="spellEnd"/>
      <w:r w:rsidR="007455EA">
        <w:t xml:space="preserve"> potenciál</w:t>
      </w:r>
      <w:r w:rsidR="00293BFD">
        <w:t>.</w:t>
      </w:r>
      <w:r w:rsidR="00DF4503">
        <w:t xml:space="preserve"> </w:t>
      </w:r>
      <w:r w:rsidR="005861FB">
        <w:t>Z</w:t>
      </w:r>
      <w:r w:rsidR="00BF37A4">
        <w:t xml:space="preserve">vláště </w:t>
      </w:r>
      <w:r w:rsidR="004D1380">
        <w:t>při hospitaliza</w:t>
      </w:r>
      <w:r w:rsidR="00747906">
        <w:t>čních přístupech</w:t>
      </w:r>
      <w:r w:rsidR="004D1380">
        <w:t xml:space="preserve"> nepřiměřen</w:t>
      </w:r>
      <w:r w:rsidR="00747906">
        <w:t>ých</w:t>
      </w:r>
      <w:r w:rsidR="004D1380">
        <w:t xml:space="preserve"> stavu geriatrického pacienta </w:t>
      </w:r>
      <w:r w:rsidR="005861FB">
        <w:t>(</w:t>
      </w:r>
      <w:r w:rsidR="00B004D4">
        <w:t xml:space="preserve">dále </w:t>
      </w:r>
      <w:r w:rsidR="004D1380">
        <w:t>viz kapitola 2.2.3</w:t>
      </w:r>
      <w:r w:rsidR="00D975D9">
        <w:t>)</w:t>
      </w:r>
      <w:r w:rsidR="00C278BE">
        <w:t xml:space="preserve"> </w:t>
      </w:r>
      <w:r w:rsidR="00522E34">
        <w:t xml:space="preserve">se častěji vyskytují </w:t>
      </w:r>
      <w:r w:rsidR="00C278BE">
        <w:t>léčebné komplikace</w:t>
      </w:r>
      <w:r w:rsidR="002A2860">
        <w:t>,</w:t>
      </w:r>
      <w:r w:rsidR="006C7201">
        <w:t xml:space="preserve"> </w:t>
      </w:r>
      <w:r w:rsidR="008C6830">
        <w:t>dekompenzace</w:t>
      </w:r>
      <w:r w:rsidR="0046027A">
        <w:t xml:space="preserve"> funkčního </w:t>
      </w:r>
      <w:r w:rsidR="006C7201">
        <w:t>či</w:t>
      </w:r>
      <w:r w:rsidR="0046027A">
        <w:t xml:space="preserve"> zdravotního stavu</w:t>
      </w:r>
      <w:r w:rsidR="006C7201">
        <w:t xml:space="preserve"> a</w:t>
      </w:r>
      <w:r w:rsidR="00297F21">
        <w:t> </w:t>
      </w:r>
      <w:r w:rsidR="00792EB1">
        <w:t>vznik</w:t>
      </w:r>
      <w:r w:rsidR="00F460CD">
        <w:t xml:space="preserve"> </w:t>
      </w:r>
      <w:r w:rsidR="003F0CE6">
        <w:t>po</w:t>
      </w:r>
      <w:r w:rsidR="00F460CD">
        <w:t>třeby následné lůžkové péče</w:t>
      </w:r>
      <w:r w:rsidR="00295885">
        <w:t xml:space="preserve"> (tzv. geriatrický hospitalismus)</w:t>
      </w:r>
      <w:r w:rsidR="008C6830">
        <w:t xml:space="preserve">. </w:t>
      </w:r>
      <w:r w:rsidR="00167B0D">
        <w:t>S věkem vzrůstající v</w:t>
      </w:r>
      <w:r w:rsidR="00DF4503">
        <w:t>ýskyt více</w:t>
      </w:r>
      <w:r w:rsidR="00167B0D">
        <w:t>ro</w:t>
      </w:r>
      <w:r w:rsidR="00DF4503">
        <w:t xml:space="preserve"> onemocnění současně (tzv. </w:t>
      </w:r>
      <w:proofErr w:type="spellStart"/>
      <w:r w:rsidR="00DF4503">
        <w:t>polymorbidita</w:t>
      </w:r>
      <w:proofErr w:type="spellEnd"/>
      <w:r w:rsidR="00DF4503">
        <w:t xml:space="preserve"> či </w:t>
      </w:r>
      <w:proofErr w:type="spellStart"/>
      <w:r w:rsidR="00DF4503">
        <w:t>multimorbidita</w:t>
      </w:r>
      <w:proofErr w:type="spellEnd"/>
      <w:r w:rsidR="00DF4503">
        <w:t>)</w:t>
      </w:r>
      <w:r w:rsidR="005B783C">
        <w:t xml:space="preserve">, které se </w:t>
      </w:r>
      <w:r w:rsidR="00990E02">
        <w:t xml:space="preserve">klinicky </w:t>
      </w:r>
      <w:r w:rsidR="005B783C">
        <w:t>vzájemn</w:t>
      </w:r>
      <w:r w:rsidR="00990E02">
        <w:t>ě</w:t>
      </w:r>
      <w:r w:rsidR="00167B0D">
        <w:t xml:space="preserve"> </w:t>
      </w:r>
      <w:r w:rsidR="00990E02">
        <w:t xml:space="preserve">překrývají či potencují, </w:t>
      </w:r>
      <w:r w:rsidR="00167B0D">
        <w:t xml:space="preserve">koreluje </w:t>
      </w:r>
      <w:r w:rsidR="006D25BA">
        <w:t>s nedostatečnou schopností</w:t>
      </w:r>
      <w:r w:rsidR="001A7E52">
        <w:t xml:space="preserve"> ovlivnit věkem podmíněnou nemocnost</w:t>
      </w:r>
      <w:r w:rsidR="00DF4503">
        <w:t>.</w:t>
      </w:r>
      <w:r w:rsidR="008D7C23">
        <w:t xml:space="preserve"> </w:t>
      </w:r>
      <w:r w:rsidR="00D747AC">
        <w:t xml:space="preserve">Závažnější </w:t>
      </w:r>
      <w:r w:rsidR="00CE3E60">
        <w:t>stu</w:t>
      </w:r>
      <w:r w:rsidR="006D24D5">
        <w:t xml:space="preserve">peň </w:t>
      </w:r>
      <w:proofErr w:type="spellStart"/>
      <w:r w:rsidR="00D747AC">
        <w:t>polymorbidit</w:t>
      </w:r>
      <w:r w:rsidR="006D24D5">
        <w:t>y</w:t>
      </w:r>
      <w:proofErr w:type="spellEnd"/>
      <w:r w:rsidR="00D747AC">
        <w:t xml:space="preserve"> </w:t>
      </w:r>
      <w:r w:rsidR="00907DF1">
        <w:t xml:space="preserve">je </w:t>
      </w:r>
      <w:r w:rsidR="00DE097F">
        <w:t xml:space="preserve">přitom </w:t>
      </w:r>
      <w:r w:rsidR="00907DF1">
        <w:t xml:space="preserve">spjat </w:t>
      </w:r>
      <w:r w:rsidR="00405941">
        <w:t>s vyšší potřebou zdravotního dohledu a péče</w:t>
      </w:r>
      <w:r w:rsidR="00586631">
        <w:t xml:space="preserve">, </w:t>
      </w:r>
      <w:r w:rsidR="00840064">
        <w:t>vyšší</w:t>
      </w:r>
      <w:r w:rsidR="0031496F">
        <w:t xml:space="preserve"> </w:t>
      </w:r>
      <w:r w:rsidR="00462678">
        <w:t>zranitelnost</w:t>
      </w:r>
      <w:r w:rsidR="0031496F">
        <w:t>í</w:t>
      </w:r>
      <w:r w:rsidR="0002762E">
        <w:t xml:space="preserve"> i</w:t>
      </w:r>
      <w:r w:rsidR="007F0DDE">
        <w:t> </w:t>
      </w:r>
      <w:r w:rsidR="0002762E">
        <w:t>s</w:t>
      </w:r>
      <w:r w:rsidR="007F0DDE">
        <w:t> </w:t>
      </w:r>
      <w:r w:rsidR="00462678">
        <w:t>vyšší</w:t>
      </w:r>
      <w:r w:rsidR="0002762E">
        <w:t>mi</w:t>
      </w:r>
      <w:r w:rsidR="00462678">
        <w:t xml:space="preserve"> náklad</w:t>
      </w:r>
      <w:r w:rsidR="0002762E">
        <w:t>y</w:t>
      </w:r>
      <w:r w:rsidR="00462678">
        <w:t xml:space="preserve"> na péč</w:t>
      </w:r>
      <w:r w:rsidR="00ED084F">
        <w:t xml:space="preserve">i. </w:t>
      </w:r>
      <w:r w:rsidR="00624C93">
        <w:t>A</w:t>
      </w:r>
      <w:r w:rsidR="00B42C87">
        <w:t>kutní stav</w:t>
      </w:r>
      <w:r w:rsidR="00007DDF">
        <w:t>y</w:t>
      </w:r>
      <w:r w:rsidR="00090A3F">
        <w:t xml:space="preserve"> bývají</w:t>
      </w:r>
      <w:r w:rsidR="00EC68C6">
        <w:t>, v porovnání s mladšími věkovými kategoriemi,</w:t>
      </w:r>
      <w:r w:rsidR="00D21CE7">
        <w:t xml:space="preserve"> u seniorů spjaty s vyšší úmrtností</w:t>
      </w:r>
      <w:r w:rsidR="0059182B">
        <w:t>. O</w:t>
      </w:r>
      <w:r w:rsidR="00444549">
        <w:t xml:space="preserve">všem i </w:t>
      </w:r>
      <w:r w:rsidR="00A95DA9">
        <w:t>akutní situace a stavy</w:t>
      </w:r>
      <w:r w:rsidR="00141E8C">
        <w:t xml:space="preserve"> mají </w:t>
      </w:r>
      <w:r w:rsidR="0014777D">
        <w:t>šanci na zdárný výsledek,</w:t>
      </w:r>
      <w:r w:rsidR="006924D3">
        <w:t xml:space="preserve"> </w:t>
      </w:r>
      <w:r w:rsidR="006A1A5A">
        <w:t>klidně</w:t>
      </w:r>
      <w:r w:rsidR="0014777D">
        <w:t xml:space="preserve"> i </w:t>
      </w:r>
      <w:r w:rsidR="006A1A5A">
        <w:t xml:space="preserve">u </w:t>
      </w:r>
      <w:r w:rsidR="00141E8C">
        <w:t>pacientů</w:t>
      </w:r>
      <w:r w:rsidR="006A1A5A">
        <w:t xml:space="preserve"> nad 80 let věku</w:t>
      </w:r>
      <w:r w:rsidR="00C278BE">
        <w:t>.</w:t>
      </w:r>
      <w:r w:rsidR="000E51A3">
        <w:t xml:space="preserve"> </w:t>
      </w:r>
      <w:r w:rsidR="00886C55" w:rsidRPr="00293BFD">
        <w:t xml:space="preserve">Ve stáří </w:t>
      </w:r>
      <w:r w:rsidR="00886C55">
        <w:t>také významně v</w:t>
      </w:r>
      <w:r w:rsidR="00F37E8F">
        <w:t>y</w:t>
      </w:r>
      <w:r w:rsidR="00886C55">
        <w:t xml:space="preserve">stupuje </w:t>
      </w:r>
      <w:r w:rsidR="004347DE">
        <w:t>do</w:t>
      </w:r>
      <w:r w:rsidR="00886C55">
        <w:t xml:space="preserve"> popředí </w:t>
      </w:r>
      <w:r w:rsidR="00E3687E">
        <w:t>vzájemná</w:t>
      </w:r>
      <w:r w:rsidR="00AB1F3D">
        <w:t xml:space="preserve"> </w:t>
      </w:r>
      <w:r w:rsidR="007430BB">
        <w:t>provázanost</w:t>
      </w:r>
      <w:r w:rsidR="00E3687E">
        <w:t xml:space="preserve"> mezi </w:t>
      </w:r>
      <w:r w:rsidR="007D7D63">
        <w:t>zdravím a psychickou či sociální složkou</w:t>
      </w:r>
      <w:r w:rsidR="00A27D62">
        <w:t xml:space="preserve">. </w:t>
      </w:r>
      <w:r w:rsidR="00E37962">
        <w:t xml:space="preserve">Psychický a sociální diskomfort </w:t>
      </w:r>
      <w:r w:rsidR="006904CE">
        <w:t>m</w:t>
      </w:r>
      <w:r w:rsidR="00AB1F3D">
        <w:t>ohou</w:t>
      </w:r>
      <w:r w:rsidR="006904CE">
        <w:t xml:space="preserve"> podmiňovat zhoršení zdravotního stavu a naopak</w:t>
      </w:r>
      <w:r w:rsidR="00E75EF0">
        <w:t>.</w:t>
      </w:r>
      <w:r w:rsidR="003E4467">
        <w:fldChar w:fldCharType="begin"/>
      </w:r>
      <w:r w:rsidR="009B3709">
        <w:instrText xml:space="preserve"> ADDIN ZOTERO_ITEM CSL_CITATION {"citationID":"0x4dszx4","properties":{"formattedCitation":"\\super 7(p9,18-19),12(p419),15(p25,28,118,135-136),16(p3),17(p473),18(p59)\\nosupersub{}","plainCitation":"7(p9,18-19),12(p419),15(p25,28,118,135-136),16(p3),17(p473),18(p59)","noteIndex":0},"citationItems":[{"id":150,"uris":["http://zotero.org/users/9426386/items/KZHM6B4S"],"itemData":{"id":150,"type":"book","event-place":"Praha","ISBN":"978-80-271-0876-3","language":"cs","publisher":"Grada","publisher-place":"Praha","title":"Psychosociální adaptace ve stáří a nemoci","author":[{"family":"Ptáček","given":"Radek"},{"family":"Ptáčková","given":"Hana"}],"issued":{"date-parts":[["2021"]]}},"locator":"9,18-19","label":"page"},{"id":155,"uris":["http://zotero.org/users/9426386/items/D8FB8QGE"],"itemData":{"id":155,"type":"book","edition":"2nd suppl. and updated ed.","event-place":"Praha","ISBN":"978-80-271-0596-0","language":"cze","note":"OCLC: 1078647920","number-of-pages":"492","publisher":"Grada Publishing","publisher-place":"Praha","source":"Open WorldCat","title":"Urgentní medicína v klinické praxi lékaře","author":[{"family":"Šeblová","given":"Jana"},{"family":"Knor","given":"Jiří"}],"issued":{"date-parts":[["2018"]]}},"locator":"419","label":"page"},{"id":146,"uris":["http://zotero.org/users/9426386/items/NURTKNTZ"],"itemData":{"id":146,"type":"book","ISBN":"978-80-247-2490-4","language":"cs","title":"Geriatrické syndromy a geriatrický pacient","author":[{"family":"Kalvach","given":"Zdeněk"},{"family":"Zadák","given":"Zdeněk"},{"family":"Jirák","given":"Roman"},{"family":"Zavázalová","given":"Helena"},{"family":"Holmerová","given":"Iva"},{"family":"Weber","given":"Pavel"}],"issued":{"date-parts":[["2008"]]}},"locator":"25,28,118,135-136","label":"page"},{"id":143,"uris":["http://zotero.org/users/9426386/items/95SKC5IC"],"itemData":{"id":143,"type":"book","event-place":"Praha","ISBN":"978-80-7262-620-5","language":"cs","number-of-pages":"233","publisher":"Galén","publisher-place":"Praha","title":"Akutní stavy v geriatrii","author":[{"family":"Matějovská Kubešová","given":"Hana"}],"issued":{"date-parts":[["2009"]]}},"locator":"3","label":"page"},{"id":144,"uris":["http://zotero.org/users/9426386/items/SP7IGDR4"],"itemData":{"id":144,"type":"book","event-place":"Praha","ISBN":"978-80-246-3828-7","language":"cs","number-of-pages":"511","publisher":"Karolinum","publisher-place":"Praha","title":"Člověk ve zdraví i v nemoci: podpora zdraví a prevence nemocí ve stáří","author":[{"family":"Čeledová","given":"Libuše"},{"family":"Čevela","given":"Rostislav"}],"issued":{"date-parts":[["2017"]]}},"locator":"473","label":"page"},{"id":145,"uris":["http://zotero.org/users/9426386/items/MP9PYEQL"],"itemData":{"id":145,"type":"book","event-place":"Praha","ISBN":"978-80-271-3178-5","language":"cs","number-of-pages":"406","publisher":"Grada Publishing","publisher-place":"Praha","title":"Syndrom křehkosti: indikace péče, podpora života v nemoci, komunikační dovednosti","author":[{"family":"Kabelka","given":"Ladislav"},{"family":"Chvílová-Weberová","given":"Magdalena"}],"issued":{"date-parts":[["2022"]]}},"locator":"59","label":"page"}],"schema":"https://github.com/citation-style-language/schema/raw/master/csl-citation.json"} </w:instrText>
      </w:r>
      <w:r w:rsidR="003E4467">
        <w:fldChar w:fldCharType="separate"/>
      </w:r>
      <w:r w:rsidR="00E87A1C" w:rsidRPr="00E87A1C">
        <w:rPr>
          <w:vertAlign w:val="superscript"/>
        </w:rPr>
        <w:t>7(p9,18-19),12(p419),15(p25,28,118,135-136),16(p3),17(p473),18(p59)</w:t>
      </w:r>
      <w:r w:rsidR="003E4467">
        <w:fldChar w:fldCharType="end"/>
      </w:r>
    </w:p>
    <w:p w14:paraId="256C8F09" w14:textId="1BFDB411" w:rsidR="00065D44" w:rsidRDefault="00FE4E39" w:rsidP="00A408A7">
      <w:pPr>
        <w:pStyle w:val="Dalodstavce"/>
      </w:pPr>
      <w:r>
        <w:t>J</w:t>
      </w:r>
      <w:r w:rsidR="00413D5B">
        <w:t xml:space="preserve">iž zmíněnou </w:t>
      </w:r>
      <w:proofErr w:type="spellStart"/>
      <w:r w:rsidR="00413D5B">
        <w:t>polymorbiditu</w:t>
      </w:r>
      <w:proofErr w:type="spellEnd"/>
      <w:r w:rsidR="00413D5B">
        <w:t xml:space="preserve"> často </w:t>
      </w:r>
      <w:r>
        <w:t>provází</w:t>
      </w:r>
      <w:r w:rsidR="00EB5974">
        <w:t xml:space="preserve"> současné užívání mnoha léků</w:t>
      </w:r>
      <w:r w:rsidR="00560D93">
        <w:t xml:space="preserve">, </w:t>
      </w:r>
      <w:r w:rsidR="00F80BDC">
        <w:t xml:space="preserve">s čímž souvisí </w:t>
      </w:r>
      <w:r w:rsidR="00FD4EB7">
        <w:t xml:space="preserve">pravděpodobnost </w:t>
      </w:r>
      <w:r w:rsidR="00F80BDC">
        <w:t>výskyt</w:t>
      </w:r>
      <w:r w:rsidR="00FD4EB7">
        <w:t>u</w:t>
      </w:r>
      <w:r w:rsidR="00F80BDC">
        <w:t xml:space="preserve"> nežádoucích účinků</w:t>
      </w:r>
      <w:r w:rsidR="00F01E8C">
        <w:t xml:space="preserve">, </w:t>
      </w:r>
      <w:r w:rsidR="00273C3C">
        <w:t xml:space="preserve">ta </w:t>
      </w:r>
      <w:r w:rsidR="00FD4EB7">
        <w:t>může být až trojnásobně</w:t>
      </w:r>
      <w:r w:rsidR="00D97EE6">
        <w:t xml:space="preserve"> vyšší než u mladší populace</w:t>
      </w:r>
      <w:r w:rsidR="00F7394B">
        <w:t>, větší riziko lékové interakce</w:t>
      </w:r>
      <w:r w:rsidR="00A32679">
        <w:t xml:space="preserve"> a snížení </w:t>
      </w:r>
      <w:proofErr w:type="spellStart"/>
      <w:r w:rsidR="00A32679">
        <w:t>compliance</w:t>
      </w:r>
      <w:proofErr w:type="spellEnd"/>
      <w:r w:rsidR="00A32679">
        <w:t xml:space="preserve"> </w:t>
      </w:r>
      <w:r w:rsidR="006F746A">
        <w:t xml:space="preserve">(ochoty a schopnosti dodržovat stanovenou </w:t>
      </w:r>
      <w:r w:rsidR="00A9777B">
        <w:t>farmako</w:t>
      </w:r>
      <w:r w:rsidR="006F746A">
        <w:t>terapii)</w:t>
      </w:r>
      <w:r w:rsidR="00B60EE7">
        <w:t>.</w:t>
      </w:r>
      <w:r w:rsidR="00804703">
        <w:t xml:space="preserve"> </w:t>
      </w:r>
      <w:r w:rsidR="00863A18">
        <w:t>T</w:t>
      </w:r>
      <w:r w:rsidR="00560D93">
        <w:t xml:space="preserve">zv. </w:t>
      </w:r>
      <w:r w:rsidR="00F870E4">
        <w:t>polypragmazi</w:t>
      </w:r>
      <w:r w:rsidR="00863A18">
        <w:t>í rozumíme</w:t>
      </w:r>
      <w:r w:rsidR="00EE2597">
        <w:t xml:space="preserve"> </w:t>
      </w:r>
      <w:r w:rsidR="009533F2" w:rsidRPr="001346A9">
        <w:t>„</w:t>
      </w:r>
      <w:r w:rsidR="009533F2" w:rsidRPr="001346A9">
        <w:rPr>
          <w:i/>
          <w:iCs/>
        </w:rPr>
        <w:t>…současné podávání pěti a více léčivých přípravků</w:t>
      </w:r>
      <w:r w:rsidR="008C5BFF" w:rsidRPr="001346A9">
        <w:rPr>
          <w:i/>
          <w:iCs/>
        </w:rPr>
        <w:t>, přičemž často jde o terapii zbytnou či nevhodně volenou</w:t>
      </w:r>
      <w:r w:rsidR="006C5DCA">
        <w:rPr>
          <w:i/>
          <w:iCs/>
        </w:rPr>
        <w:t>.</w:t>
      </w:r>
      <w:r w:rsidR="009533F2">
        <w:t>“</w:t>
      </w:r>
      <w:r w:rsidR="00076334">
        <w:fldChar w:fldCharType="begin"/>
      </w:r>
      <w:r w:rsidR="009B3709">
        <w:instrText xml:space="preserve"> ADDIN ZOTERO_ITEM CSL_CITATION {"citationID":"Rw5ZjJCw","properties":{"formattedCitation":"\\super 18(p69)\\nosupersub{}","plainCitation":"18(p69)","noteIndex":0},"citationItems":[{"id":145,"uris":["http://zotero.org/users/9426386/items/MP9PYEQL"],"itemData":{"id":145,"type":"book","event-place":"Praha","ISBN":"978-80-271-3178-5","language":"cs","number-of-pages":"406","publisher":"Grada Publishing","publisher-place":"Praha","title":"Syndrom křehkosti: indikace péče, podpora života v nemoci, komunikační dovednosti","author":[{"family":"Kabelka","given":"Ladislav"},{"family":"Chvílová-Weberová","given":"Magdalena"}],"issued":{"date-parts":[["2022"]]}},"locator":"69","label":"page"}],"schema":"https://github.com/citation-style-language/schema/raw/master/csl-citation.json"} </w:instrText>
      </w:r>
      <w:r w:rsidR="00076334">
        <w:fldChar w:fldCharType="separate"/>
      </w:r>
      <w:r w:rsidR="00E87A1C" w:rsidRPr="00E87A1C">
        <w:rPr>
          <w:vertAlign w:val="superscript"/>
        </w:rPr>
        <w:t>18(p69)</w:t>
      </w:r>
      <w:r w:rsidR="00076334">
        <w:fldChar w:fldCharType="end"/>
      </w:r>
      <w:r w:rsidR="007F34FF">
        <w:t xml:space="preserve"> U pacientů se syndromem geriatrické křehkosti (viz </w:t>
      </w:r>
      <w:r w:rsidR="004770DB">
        <w:t xml:space="preserve">následující </w:t>
      </w:r>
      <w:r w:rsidR="0021622B">
        <w:t>text</w:t>
      </w:r>
      <w:r w:rsidR="007F34FF">
        <w:t>)</w:t>
      </w:r>
      <w:r w:rsidR="004770DB">
        <w:t xml:space="preserve"> bývá jako polypragmazie </w:t>
      </w:r>
      <w:r w:rsidR="00F4576A">
        <w:t>označováno</w:t>
      </w:r>
      <w:r w:rsidR="004770DB">
        <w:t xml:space="preserve"> </w:t>
      </w:r>
      <w:r w:rsidR="00F4576A" w:rsidRPr="00C233D7">
        <w:t>„</w:t>
      </w:r>
      <w:r w:rsidR="00F4576A" w:rsidRPr="00C233D7">
        <w:rPr>
          <w:i/>
          <w:iCs/>
        </w:rPr>
        <w:t>…</w:t>
      </w:r>
      <w:r w:rsidR="00EE50CF">
        <w:rPr>
          <w:i/>
          <w:iCs/>
        </w:rPr>
        <w:t xml:space="preserve">podávání </w:t>
      </w:r>
      <w:r w:rsidR="00F4576A" w:rsidRPr="00C233D7">
        <w:rPr>
          <w:i/>
          <w:iCs/>
        </w:rPr>
        <w:t>byť jen jednoho</w:t>
      </w:r>
      <w:r w:rsidR="000E5CEE" w:rsidRPr="00C233D7">
        <w:rPr>
          <w:i/>
          <w:iCs/>
        </w:rPr>
        <w:t xml:space="preserve"> léku, který je nemocnému prokazatelně neužitečný, nebo</w:t>
      </w:r>
      <w:r w:rsidR="00C233D7" w:rsidRPr="00C233D7">
        <w:rPr>
          <w:i/>
          <w:iCs/>
        </w:rPr>
        <w:t xml:space="preserve"> dokonce může způsobit komplikace…</w:t>
      </w:r>
      <w:r w:rsidR="00F4576A">
        <w:t>“</w:t>
      </w:r>
      <w:r w:rsidR="008F2B52">
        <w:fldChar w:fldCharType="begin"/>
      </w:r>
      <w:r w:rsidR="009B3709">
        <w:instrText xml:space="preserve"> ADDIN ZOTERO_ITEM CSL_CITATION {"citationID":"v6cwquKe","properties":{"formattedCitation":"\\super 18(p69)\\nosupersub{}","plainCitation":"18(p69)","noteIndex":0},"citationItems":[{"id":145,"uris":["http://zotero.org/users/9426386/items/MP9PYEQL"],"itemData":{"id":145,"type":"book","event-place":"Praha","ISBN":"978-80-271-3178-5","language":"cs","number-of-pages":"406","publisher":"Grada Publishing","publisher-place":"Praha","title":"Syndrom křehkosti: indikace péče, podpora života v nemoci, komunikační dovednosti","author":[{"family":"Kabelka","given":"Ladislav"},{"family":"Chvílová-Weberová","given":"Magdalena"}],"issued":{"date-parts":[["2022"]]}},"locator":"69","label":"page"}],"schema":"https://github.com/citation-style-language/schema/raw/master/csl-citation.json"} </w:instrText>
      </w:r>
      <w:r w:rsidR="008F2B52">
        <w:fldChar w:fldCharType="separate"/>
      </w:r>
      <w:r w:rsidR="00E87A1C" w:rsidRPr="00E87A1C">
        <w:rPr>
          <w:vertAlign w:val="superscript"/>
        </w:rPr>
        <w:t>18(p69)</w:t>
      </w:r>
      <w:r w:rsidR="008F2B52">
        <w:fldChar w:fldCharType="end"/>
      </w:r>
      <w:r w:rsidR="002E618F">
        <w:t xml:space="preserve"> </w:t>
      </w:r>
      <w:r w:rsidR="00E71B32">
        <w:t>Léčba</w:t>
      </w:r>
      <w:r w:rsidR="009C7EAD">
        <w:t xml:space="preserve"> ja</w:t>
      </w:r>
      <w:r w:rsidR="00E71B32">
        <w:t>ké</w:t>
      </w:r>
      <w:r w:rsidR="009C7EAD">
        <w:t>koliv</w:t>
      </w:r>
      <w:r w:rsidR="009B534C">
        <w:t xml:space="preserve"> </w:t>
      </w:r>
      <w:r w:rsidR="009C7EAD">
        <w:t>odchylk</w:t>
      </w:r>
      <w:r w:rsidR="00E71B32">
        <w:t>y</w:t>
      </w:r>
      <w:r w:rsidR="009C7EAD">
        <w:t xml:space="preserve"> </w:t>
      </w:r>
      <w:r w:rsidR="00BD1869">
        <w:t xml:space="preserve">od </w:t>
      </w:r>
      <w:r w:rsidR="0060282E">
        <w:t>fyziologie</w:t>
      </w:r>
      <w:r w:rsidR="009B534C">
        <w:t xml:space="preserve"> </w:t>
      </w:r>
      <w:r w:rsidR="002A049A">
        <w:t xml:space="preserve">tudíž </w:t>
      </w:r>
      <w:r w:rsidR="006834BD">
        <w:t>není nezbytná, naopak může být nežádoucí</w:t>
      </w:r>
      <w:r w:rsidR="002C6027">
        <w:t>, u</w:t>
      </w:r>
      <w:r w:rsidR="00D536FB">
        <w:t xml:space="preserve"> </w:t>
      </w:r>
      <w:proofErr w:type="spellStart"/>
      <w:r w:rsidR="00D536FB">
        <w:t>polymorbidních</w:t>
      </w:r>
      <w:proofErr w:type="spellEnd"/>
      <w:r w:rsidR="00D536FB">
        <w:t xml:space="preserve"> pacientů může</w:t>
      </w:r>
      <w:r w:rsidR="002871AB">
        <w:t xml:space="preserve"> </w:t>
      </w:r>
      <w:r w:rsidR="00612C24">
        <w:t>agresivní terapi</w:t>
      </w:r>
      <w:r w:rsidR="005612C6">
        <w:t>e</w:t>
      </w:r>
      <w:r w:rsidR="00612C24">
        <w:t xml:space="preserve"> jedné choroby </w:t>
      </w:r>
      <w:r w:rsidR="005612C6">
        <w:t>vyústit v</w:t>
      </w:r>
      <w:r w:rsidR="008F6F9B">
        <w:t> závažnější dekompenzaci jiného onemocnění</w:t>
      </w:r>
      <w:r w:rsidR="003D3128">
        <w:t>, a je zapotřebí docílit spíše</w:t>
      </w:r>
      <w:r w:rsidR="00ED65CF">
        <w:t xml:space="preserve"> jakéhosi rovnovážného stavu</w:t>
      </w:r>
      <w:r w:rsidR="0059217F">
        <w:t>.</w:t>
      </w:r>
      <w:r w:rsidR="00606B73">
        <w:t xml:space="preserve"> </w:t>
      </w:r>
      <w:r w:rsidR="00CF5B9C">
        <w:t>V pr</w:t>
      </w:r>
      <w:r w:rsidR="00C4053B">
        <w:t>a</w:t>
      </w:r>
      <w:r w:rsidR="00CF5B9C">
        <w:t>xi by</w:t>
      </w:r>
      <w:r w:rsidR="00C4053B">
        <w:t xml:space="preserve"> mělo p</w:t>
      </w:r>
      <w:r w:rsidR="00493050">
        <w:t>latit</w:t>
      </w:r>
      <w:r w:rsidR="00227B0D">
        <w:t xml:space="preserve"> </w:t>
      </w:r>
      <w:r w:rsidR="00E77433">
        <w:t xml:space="preserve">obecné pravidlo </w:t>
      </w:r>
      <w:r w:rsidR="0041105B">
        <w:t xml:space="preserve">užívání co nejmenšího </w:t>
      </w:r>
      <w:r w:rsidR="0041105B">
        <w:lastRenderedPageBreak/>
        <w:t xml:space="preserve">množství léků </w:t>
      </w:r>
      <w:r w:rsidR="00884770">
        <w:t>s</w:t>
      </w:r>
      <w:r w:rsidR="0041105B">
        <w:t> nejmenší</w:t>
      </w:r>
      <w:r w:rsidR="00027059">
        <w:t>m</w:t>
      </w:r>
      <w:r w:rsidR="0041105B">
        <w:t xml:space="preserve"> možný</w:t>
      </w:r>
      <w:r w:rsidR="00884770">
        <w:t>m dávkováním</w:t>
      </w:r>
      <w:r w:rsidR="00923A14">
        <w:t>, a to po nezbytně nutnou dobu.</w:t>
      </w:r>
      <w:r w:rsidR="008F2B52">
        <w:fldChar w:fldCharType="begin"/>
      </w:r>
      <w:r w:rsidR="009B3709">
        <w:instrText xml:space="preserve"> ADDIN ZOTERO_ITEM CSL_CITATION {"citationID":"AgjyKPm8","properties":{"formattedCitation":"\\super 12(p420),13(pp42-43),15(p136),16(p4)\\nosupersub{}","plainCitation":"12(p420),13(pp42-43),15(p136),16(p4)","noteIndex":0},"citationItems":[{"id":155,"uris":["http://zotero.org/users/9426386/items/D8FB8QGE"],"itemData":{"id":155,"type":"book","edition":"2nd suppl. and updated ed.","event-place":"Praha","ISBN":"978-80-271-0596-0","language":"cze","note":"OCLC: 1078647920","number-of-pages":"492","publisher":"Grada Publishing","publisher-place":"Praha","source":"Open WorldCat","title":"Urgentní medicína v klinické praxi lékaře","author":[{"family":"Šeblová","given":"Jana"},{"family":"Knor","given":"Jiří"}],"issued":{"date-parts":[["2018"]]}},"locator":"420","label":"page"},{"id":147,"uris":["http://zotero.org/users/9426386/items/QDRTW3RT"],"itemData":{"id":147,"type":"book","event-place":"Praha","ISBN":"978-80-204-3119-6","language":"cs","number-of-pages":"206","publisher":"Mladá fronta","publisher-place":"Praha","title":"Průvodce vyšším věkem: manuál pro seniory a jejich pečovatele","issued":{"date-parts":[["2014"]]}},"locator":"42-43","label":"page"},{"id":146,"uris":["http://zotero.org/users/9426386/items/NURTKNTZ"],"itemData":{"id":146,"type":"book","ISBN":"978-80-247-2490-4","language":"cs","title":"Geriatrické syndromy a geriatrický pacient","author":[{"family":"Kalvach","given":"Zdeněk"},{"family":"Zadák","given":"Zdeněk"},{"family":"Jirák","given":"Roman"},{"family":"Zavázalová","given":"Helena"},{"family":"Holmerová","given":"Iva"},{"family":"Weber","given":"Pavel"}],"issued":{"date-parts":[["2008"]]}},"locator":"136","label":"page"},{"id":143,"uris":["http://zotero.org/users/9426386/items/95SKC5IC"],"itemData":{"id":143,"type":"book","event-place":"Praha","ISBN":"978-80-7262-620-5","language":"cs","number-of-pages":"233","publisher":"Galén","publisher-place":"Praha","title":"Akutní stavy v geriatrii","author":[{"family":"Matějovská Kubešová","given":"Hana"}],"issued":{"date-parts":[["2009"]]}},"locator":"4","label":"page"}],"schema":"https://github.com/citation-style-language/schema/raw/master/csl-citation.json"} </w:instrText>
      </w:r>
      <w:r w:rsidR="008F2B52">
        <w:fldChar w:fldCharType="separate"/>
      </w:r>
      <w:r w:rsidR="00E87A1C" w:rsidRPr="00E87A1C">
        <w:rPr>
          <w:vertAlign w:val="superscript"/>
        </w:rPr>
        <w:t>12(p420),13(pp42-43),15(p136),16(p4)</w:t>
      </w:r>
      <w:r w:rsidR="008F2B52">
        <w:fldChar w:fldCharType="end"/>
      </w:r>
    </w:p>
    <w:p w14:paraId="13124E7A" w14:textId="4A504B88" w:rsidR="0072256E" w:rsidRPr="00734787" w:rsidRDefault="004F035A" w:rsidP="00ED22AB">
      <w:pPr>
        <w:pStyle w:val="Dalodstavce"/>
      </w:pPr>
      <w:r>
        <w:t>U starších nemocných je velmi důležité m</w:t>
      </w:r>
      <w:r w:rsidR="00056EFC">
        <w:t xml:space="preserve">ít na paměti </w:t>
      </w:r>
      <w:r w:rsidR="00664A54">
        <w:t>neobvyklé souvislosti, typické i atypické rysy chorob ve stáří</w:t>
      </w:r>
      <w:r w:rsidR="00E74224">
        <w:t xml:space="preserve">, neboť platí, že </w:t>
      </w:r>
      <w:r w:rsidR="00E74224" w:rsidRPr="005857DC">
        <w:t>„</w:t>
      </w:r>
      <w:r w:rsidR="00E74224" w:rsidRPr="005857DC">
        <w:rPr>
          <w:i/>
          <w:iCs/>
        </w:rPr>
        <w:t>…</w:t>
      </w:r>
      <w:r w:rsidR="005E2B07" w:rsidRPr="005857DC">
        <w:rPr>
          <w:i/>
          <w:iCs/>
        </w:rPr>
        <w:t>rozpoznání choroby bývá snadné, pokud na ni pomyslíme</w:t>
      </w:r>
      <w:r w:rsidR="0049421E">
        <w:rPr>
          <w:i/>
          <w:iCs/>
        </w:rPr>
        <w:t>.</w:t>
      </w:r>
      <w:r w:rsidR="008555D2">
        <w:t>“</w:t>
      </w:r>
      <w:r w:rsidR="00105B1F">
        <w:fldChar w:fldCharType="begin"/>
      </w:r>
      <w:r w:rsidR="009B3709">
        <w:instrText xml:space="preserve"> ADDIN ZOTERO_ITEM CSL_CITATION {"citationID":"6beL2Yec","properties":{"formattedCitation":"\\super 15(p135)\\nosupersub{}","plainCitation":"15(p135)","noteIndex":0},"citationItems":[{"id":146,"uris":["http://zotero.org/users/9426386/items/NURTKNTZ"],"itemData":{"id":146,"type":"book","ISBN":"978-80-247-2490-4","language":"cs","title":"Geriatrické syndromy a geriatrický pacient","author":[{"family":"Kalvach","given":"Zdeněk"},{"family":"Zadák","given":"Zdeněk"},{"family":"Jirák","given":"Roman"},{"family":"Zavázalová","given":"Helena"},{"family":"Holmerová","given":"Iva"},{"family":"Weber","given":"Pavel"}],"issued":{"date-parts":[["2008"]]}},"locator":"135","label":"page"}],"schema":"https://github.com/citation-style-language/schema/raw/master/csl-citation.json"} </w:instrText>
      </w:r>
      <w:r w:rsidR="00105B1F">
        <w:fldChar w:fldCharType="separate"/>
      </w:r>
      <w:r w:rsidR="00E87A1C" w:rsidRPr="00E87A1C">
        <w:rPr>
          <w:vertAlign w:val="superscript"/>
        </w:rPr>
        <w:t>15(p135)</w:t>
      </w:r>
      <w:r w:rsidR="00105B1F">
        <w:fldChar w:fldCharType="end"/>
      </w:r>
      <w:r w:rsidR="0049421E">
        <w:t xml:space="preserve"> </w:t>
      </w:r>
      <w:r w:rsidR="00787323">
        <w:t>Preventivní či t</w:t>
      </w:r>
      <w:r w:rsidR="00CC6CD1">
        <w:t>erapeutické</w:t>
      </w:r>
      <w:r w:rsidR="001B5F58">
        <w:t xml:space="preserve"> postupy s sebou </w:t>
      </w:r>
      <w:r w:rsidR="00621932">
        <w:t>poté</w:t>
      </w:r>
      <w:r w:rsidR="001B5F58">
        <w:t xml:space="preserve"> nesou značný prvek efektivity. </w:t>
      </w:r>
      <w:r w:rsidR="00BB4327">
        <w:t>Velmi dobré znalosti a dovednosti</w:t>
      </w:r>
      <w:r w:rsidR="008A3D3E">
        <w:t xml:space="preserve"> komplexní </w:t>
      </w:r>
      <w:r w:rsidR="00081750">
        <w:t>problematiky</w:t>
      </w:r>
      <w:r w:rsidR="0000211B">
        <w:t xml:space="preserve"> zastávají značný význam např. při rozhodování</w:t>
      </w:r>
      <w:r w:rsidR="00D42616">
        <w:t xml:space="preserve">, které onemocnění </w:t>
      </w:r>
      <w:proofErr w:type="spellStart"/>
      <w:r w:rsidR="00D42616">
        <w:t>poly</w:t>
      </w:r>
      <w:r w:rsidR="00A9293E">
        <w:t>morbidního</w:t>
      </w:r>
      <w:proofErr w:type="spellEnd"/>
      <w:r w:rsidR="00A9293E">
        <w:t xml:space="preserve"> pacienta </w:t>
      </w:r>
      <w:r w:rsidR="00B26639">
        <w:t xml:space="preserve">nejvíce </w:t>
      </w:r>
      <w:r w:rsidR="00D14EC9">
        <w:t>ohrožuje</w:t>
      </w:r>
      <w:r w:rsidR="00831397">
        <w:t xml:space="preserve">, který abnormální nález je nutno </w:t>
      </w:r>
      <w:r w:rsidR="00B665BD">
        <w:t>vnímat</w:t>
      </w:r>
      <w:r w:rsidR="00100295">
        <w:t xml:space="preserve">, </w:t>
      </w:r>
      <w:r w:rsidR="0095228C">
        <w:t xml:space="preserve">na podkladě </w:t>
      </w:r>
      <w:r w:rsidR="00E45D80">
        <w:t xml:space="preserve">zdravotní </w:t>
      </w:r>
      <w:r w:rsidR="0095228C">
        <w:t>anamnéz</w:t>
      </w:r>
      <w:r w:rsidR="000249CF">
        <w:t>y</w:t>
      </w:r>
      <w:r w:rsidR="00C60B00">
        <w:t xml:space="preserve"> s přihlédnutím k biologickému stavu a </w:t>
      </w:r>
      <w:r w:rsidR="003667EF">
        <w:t>komorbiditám</w:t>
      </w:r>
      <w:r w:rsidR="00100295">
        <w:t>,</w:t>
      </w:r>
      <w:r w:rsidR="0095228C">
        <w:t xml:space="preserve"> </w:t>
      </w:r>
      <w:r w:rsidR="00B665BD">
        <w:t>jako nevýznamný</w:t>
      </w:r>
      <w:r w:rsidR="00D133DA">
        <w:t xml:space="preserve">, </w:t>
      </w:r>
      <w:r w:rsidR="00280B3A">
        <w:t>či správné nastavení farmakoterapie ve stáří</w:t>
      </w:r>
      <w:r w:rsidR="001A5AF5">
        <w:t xml:space="preserve">, </w:t>
      </w:r>
      <w:r w:rsidR="007E7B49">
        <w:t xml:space="preserve">aby </w:t>
      </w:r>
      <w:r w:rsidR="00333198">
        <w:t xml:space="preserve">tak </w:t>
      </w:r>
      <w:r w:rsidR="007E7B49">
        <w:t>užitečnost léku přev</w:t>
      </w:r>
      <w:r w:rsidR="00AF053B">
        <w:t>ažovala</w:t>
      </w:r>
      <w:r w:rsidR="007E7B49">
        <w:t xml:space="preserve"> nad </w:t>
      </w:r>
      <w:r w:rsidR="00A216CA">
        <w:t>riziky</w:t>
      </w:r>
      <w:r w:rsidR="00AF053B">
        <w:t xml:space="preserve"> a</w:t>
      </w:r>
      <w:r w:rsidR="00990881">
        <w:t xml:space="preserve"> zátěží pro nemocného</w:t>
      </w:r>
      <w:r w:rsidR="007E7B49">
        <w:t xml:space="preserve"> a</w:t>
      </w:r>
      <w:r w:rsidR="00AB3A68">
        <w:t>pod</w:t>
      </w:r>
      <w:r w:rsidR="007E7B49">
        <w:t>.</w:t>
      </w:r>
      <w:r w:rsidR="00105B1F">
        <w:fldChar w:fldCharType="begin"/>
      </w:r>
      <w:r w:rsidR="009B3709">
        <w:instrText xml:space="preserve"> ADDIN ZOTERO_ITEM CSL_CITATION {"citationID":"eYkY33oc","properties":{"formattedCitation":"\\super 12(p417),15(p135),16(p3),18(p69)\\nosupersub{}","plainCitation":"12(p417),15(p135),16(p3),18(p69)","noteIndex":0},"citationItems":[{"id":155,"uris":["http://zotero.org/users/9426386/items/D8FB8QGE"],"itemData":{"id":155,"type":"book","edition":"2nd suppl. and updated ed.","event-place":"Praha","ISBN":"978-80-271-0596-0","language":"cze","note":"OCLC: 1078647920","number-of-pages":"492","publisher":"Grada Publishing","publisher-place":"Praha","source":"Open WorldCat","title":"Urgentní medicína v klinické praxi lékaře","author":[{"family":"Šeblová","given":"Jana"},{"family":"Knor","given":"Jiří"}],"issued":{"date-parts":[["2018"]]}},"locator":"417","label":"page"},{"id":146,"uris":["http://zotero.org/users/9426386/items/NURTKNTZ"],"itemData":{"id":146,"type":"book","ISBN":"978-80-247-2490-4","language":"cs","title":"Geriatrické syndromy a geriatrický pacient","author":[{"family":"Kalvach","given":"Zdeněk"},{"family":"Zadák","given":"Zdeněk"},{"family":"Jirák","given":"Roman"},{"family":"Zavázalová","given":"Helena"},{"family":"Holmerová","given":"Iva"},{"family":"Weber","given":"Pavel"}],"issued":{"date-parts":[["2008"]]}},"locator":"135","label":"page"},{"id":143,"uris":["http://zotero.org/users/9426386/items/95SKC5IC"],"itemData":{"id":143,"type":"book","event-place":"Praha","ISBN":"978-80-7262-620-5","language":"cs","number-of-pages":"233","publisher":"Galén","publisher-place":"Praha","title":"Akutní stavy v geriatrii","author":[{"family":"Matějovská Kubešová","given":"Hana"}],"issued":{"date-parts":[["2009"]]}},"locator":"3","label":"page"},{"id":145,"uris":["http://zotero.org/users/9426386/items/MP9PYEQL"],"itemData":{"id":145,"type":"book","event-place":"Praha","ISBN":"978-80-271-3178-5","language":"cs","number-of-pages":"406","publisher":"Grada Publishing","publisher-place":"Praha","title":"Syndrom křehkosti: indikace péče, podpora života v nemoci, komunikační dovednosti","author":[{"family":"Kabelka","given":"Ladislav"},{"family":"Chvílová-Weberová","given":"Magdalena"}],"issued":{"date-parts":[["2022"]]}},"locator":"69","label":"page"}],"schema":"https://github.com/citation-style-language/schema/raw/master/csl-citation.json"} </w:instrText>
      </w:r>
      <w:r w:rsidR="00105B1F">
        <w:fldChar w:fldCharType="separate"/>
      </w:r>
      <w:r w:rsidR="00E87A1C" w:rsidRPr="00E87A1C">
        <w:rPr>
          <w:vertAlign w:val="superscript"/>
        </w:rPr>
        <w:t>12(p417),15(p135),16(p3),18(p69)</w:t>
      </w:r>
      <w:r w:rsidR="00105B1F">
        <w:fldChar w:fldCharType="end"/>
      </w:r>
    </w:p>
    <w:p w14:paraId="24F01195" w14:textId="16DE0250" w:rsidR="00A11D74" w:rsidRDefault="00A11D74" w:rsidP="002E32D6">
      <w:pPr>
        <w:pStyle w:val="Nadpis3"/>
        <w:numPr>
          <w:ilvl w:val="2"/>
          <w:numId w:val="14"/>
        </w:numPr>
      </w:pPr>
      <w:r>
        <w:t>Geriatrické syndromy</w:t>
      </w:r>
    </w:p>
    <w:p w14:paraId="1D1AA750" w14:textId="7A5DCDA9" w:rsidR="00071C7E" w:rsidRDefault="00A157FB" w:rsidP="00071C7E">
      <w:pPr>
        <w:pStyle w:val="Odstavec1"/>
      </w:pPr>
      <w:r>
        <w:t>Skupiny t</w:t>
      </w:r>
      <w:r w:rsidR="007F4044">
        <w:t>zv. zdatn</w:t>
      </w:r>
      <w:r>
        <w:t>ých</w:t>
      </w:r>
      <w:r w:rsidR="007F4044">
        <w:t>, elitní</w:t>
      </w:r>
      <w:r>
        <w:t>ch</w:t>
      </w:r>
      <w:r w:rsidR="007F4044">
        <w:t xml:space="preserve"> či nezávisl</w:t>
      </w:r>
      <w:r>
        <w:t>ých</w:t>
      </w:r>
      <w:r w:rsidR="007F4044">
        <w:t xml:space="preserve"> senio</w:t>
      </w:r>
      <w:r>
        <w:t>rů</w:t>
      </w:r>
      <w:r w:rsidR="00236416">
        <w:t>,</w:t>
      </w:r>
      <w:r w:rsidR="00BD31C1">
        <w:t xml:space="preserve"> </w:t>
      </w:r>
      <w:r w:rsidR="00B61B1C">
        <w:t>kteří</w:t>
      </w:r>
      <w:r w:rsidR="000536A2">
        <w:t xml:space="preserve"> </w:t>
      </w:r>
      <w:r w:rsidR="00664AFB">
        <w:t xml:space="preserve">se nemusí diagnosticko-terapeutickými postupy lišit od mladších věkových skupin, </w:t>
      </w:r>
      <w:r w:rsidR="00816258">
        <w:t>ošetřovatelskou nebo pečovatelskou službu</w:t>
      </w:r>
      <w:r w:rsidR="00545F33">
        <w:t xml:space="preserve"> </w:t>
      </w:r>
      <w:r w:rsidR="00DE4818">
        <w:t>nevyžadují vůbec či pouze přechodně</w:t>
      </w:r>
      <w:r w:rsidR="004D20D4">
        <w:t xml:space="preserve"> </w:t>
      </w:r>
      <w:r w:rsidR="00DB5F60">
        <w:t>(</w:t>
      </w:r>
      <w:r w:rsidR="0098337A">
        <w:t>zaslouží si však</w:t>
      </w:r>
      <w:r w:rsidR="00440AB7">
        <w:t xml:space="preserve"> pozornost z pohledu </w:t>
      </w:r>
      <w:r w:rsidR="0074155A">
        <w:t>prevenc</w:t>
      </w:r>
      <w:r w:rsidR="00440AB7">
        <w:t>e</w:t>
      </w:r>
      <w:r w:rsidR="0074155A">
        <w:t xml:space="preserve"> a edukac</w:t>
      </w:r>
      <w:r w:rsidR="00440AB7">
        <w:t>e</w:t>
      </w:r>
      <w:r w:rsidR="00DB5F60">
        <w:t>)</w:t>
      </w:r>
      <w:r w:rsidR="00236416">
        <w:t xml:space="preserve">. Vedle nich však </w:t>
      </w:r>
      <w:r w:rsidR="00BD31C1">
        <w:t>existují</w:t>
      </w:r>
      <w:r w:rsidR="00783FD3">
        <w:t xml:space="preserve"> </w:t>
      </w:r>
      <w:r w:rsidR="00BD31C1">
        <w:t>tzv. křeh</w:t>
      </w:r>
      <w:r w:rsidR="00100B9F">
        <w:t>cí</w:t>
      </w:r>
      <w:r w:rsidR="00AF37E5">
        <w:t xml:space="preserve"> a zcela závisl</w:t>
      </w:r>
      <w:r w:rsidR="00100B9F">
        <w:t>í</w:t>
      </w:r>
      <w:r w:rsidR="00AF37E5">
        <w:t xml:space="preserve"> senio</w:t>
      </w:r>
      <w:r w:rsidR="00100B9F">
        <w:t>ři</w:t>
      </w:r>
      <w:r w:rsidR="00C24714">
        <w:t xml:space="preserve">, </w:t>
      </w:r>
      <w:r w:rsidR="00295B03">
        <w:t>u</w:t>
      </w:r>
      <w:r w:rsidR="00454B64">
        <w:t> </w:t>
      </w:r>
      <w:r w:rsidR="00295B03">
        <w:t xml:space="preserve">nichž je </w:t>
      </w:r>
      <w:r w:rsidR="00EF4DE4">
        <w:t>tomu</w:t>
      </w:r>
      <w:r w:rsidR="001D1B44">
        <w:t xml:space="preserve">, </w:t>
      </w:r>
      <w:r w:rsidR="00C9503F">
        <w:t xml:space="preserve">přinejmenším </w:t>
      </w:r>
      <w:r w:rsidR="001D1B44">
        <w:t>z pohledu potřeby péče,</w:t>
      </w:r>
      <w:r w:rsidR="00295B03">
        <w:t xml:space="preserve"> </w:t>
      </w:r>
      <w:r w:rsidR="00C95D11">
        <w:t>zcela</w:t>
      </w:r>
      <w:r w:rsidR="00295B03">
        <w:t xml:space="preserve"> </w:t>
      </w:r>
      <w:r w:rsidR="009F6E03">
        <w:t>opačně</w:t>
      </w:r>
      <w:r w:rsidR="00323940">
        <w:t>.</w:t>
      </w:r>
      <w:r w:rsidR="0088672F">
        <w:t xml:space="preserve"> </w:t>
      </w:r>
      <w:r w:rsidR="00C95D11">
        <w:t>Právě</w:t>
      </w:r>
      <w:r w:rsidR="0088672F">
        <w:t xml:space="preserve"> rizikové skupiny </w:t>
      </w:r>
      <w:r w:rsidR="00580846">
        <w:t xml:space="preserve">seniorů </w:t>
      </w:r>
      <w:r w:rsidR="0088672F">
        <w:t>jsou</w:t>
      </w:r>
      <w:r w:rsidR="00826339">
        <w:t xml:space="preserve"> </w:t>
      </w:r>
      <w:r w:rsidR="00FC36D0">
        <w:t xml:space="preserve">tzv. </w:t>
      </w:r>
      <w:r w:rsidR="002D12BF">
        <w:t>geriatrickými syndromy</w:t>
      </w:r>
      <w:r>
        <w:t xml:space="preserve"> ohroženy nejvíce</w:t>
      </w:r>
      <w:r w:rsidR="002D12BF">
        <w:t>.</w:t>
      </w:r>
      <w:r w:rsidR="00597999">
        <w:fldChar w:fldCharType="begin"/>
      </w:r>
      <w:r w:rsidR="009B3709">
        <w:instrText xml:space="preserve"> ADDIN ZOTERO_ITEM CSL_CITATION {"citationID":"qjDR3tyk","properties":{"formattedCitation":"\\super 13(pp45-46)\\nosupersub{}","plainCitation":"13(pp45-46)","noteIndex":0},"citationItems":[{"id":147,"uris":["http://zotero.org/users/9426386/items/QDRTW3RT"],"itemData":{"id":147,"type":"book","event-place":"Praha","ISBN":"978-80-204-3119-6","language":"cs","number-of-pages":"206","publisher":"Mladá fronta","publisher-place":"Praha","title":"Průvodce vyšším věkem: manuál pro seniory a jejich pečovatele","issued":{"date-parts":[["2014"]]}},"locator":"45-46","label":"page"}],"schema":"https://github.com/citation-style-language/schema/raw/master/csl-citation.json"} </w:instrText>
      </w:r>
      <w:r w:rsidR="00597999">
        <w:fldChar w:fldCharType="separate"/>
      </w:r>
      <w:r w:rsidR="00E87A1C" w:rsidRPr="00E87A1C">
        <w:rPr>
          <w:vertAlign w:val="superscript"/>
        </w:rPr>
        <w:t>13(pp45-46)</w:t>
      </w:r>
      <w:r w:rsidR="00597999">
        <w:fldChar w:fldCharType="end"/>
      </w:r>
    </w:p>
    <w:p w14:paraId="136DA075" w14:textId="3F61B9A5" w:rsidR="008D43D0" w:rsidRDefault="00800945" w:rsidP="008D43D0">
      <w:pPr>
        <w:pStyle w:val="Dalodstavce"/>
      </w:pPr>
      <w:proofErr w:type="spellStart"/>
      <w:r>
        <w:t>Multikauzální</w:t>
      </w:r>
      <w:proofErr w:type="spellEnd"/>
      <w:r w:rsidR="00F60D20">
        <w:t xml:space="preserve">, věkem podmíněné změny, které se projevují a narůstají </w:t>
      </w:r>
      <w:r w:rsidR="009D7C29">
        <w:t xml:space="preserve">během procesu stárnutí a stáří, označujeme jako </w:t>
      </w:r>
      <w:r w:rsidR="001C4A66">
        <w:t xml:space="preserve">geriatrickou deterioraci. </w:t>
      </w:r>
      <w:r w:rsidR="001F55DA">
        <w:t>P</w:t>
      </w:r>
      <w:r w:rsidR="00A45050">
        <w:t xml:space="preserve">rojevy </w:t>
      </w:r>
      <w:r w:rsidR="00A34DE6">
        <w:t xml:space="preserve">těchto akumulovaných tělesných deficitů </w:t>
      </w:r>
      <w:r w:rsidR="00B2335E">
        <w:t>jsou</w:t>
      </w:r>
      <w:r w:rsidR="00A45050">
        <w:t xml:space="preserve"> geriatrické syndromy</w:t>
      </w:r>
      <w:r w:rsidR="00876949">
        <w:t xml:space="preserve">. </w:t>
      </w:r>
      <w:r w:rsidR="00422EC9">
        <w:t>G</w:t>
      </w:r>
      <w:r w:rsidR="00AD6C70">
        <w:t>eriatrické symptomy či</w:t>
      </w:r>
      <w:r w:rsidR="00EB0DFC">
        <w:t xml:space="preserve"> jejich soubory</w:t>
      </w:r>
      <w:r w:rsidR="00210F18">
        <w:t xml:space="preserve"> mají zpravidla rozmanité</w:t>
      </w:r>
      <w:r w:rsidR="008C7278">
        <w:t xml:space="preserve"> a různě propojené</w:t>
      </w:r>
      <w:r w:rsidR="00A91A96">
        <w:t xml:space="preserve"> příčiny</w:t>
      </w:r>
      <w:r w:rsidR="001F35A2">
        <w:t xml:space="preserve">, </w:t>
      </w:r>
      <w:r w:rsidR="00A91A96">
        <w:t>na rozdíl od běžné</w:t>
      </w:r>
      <w:r w:rsidR="00F4719E">
        <w:t xml:space="preserve"> </w:t>
      </w:r>
      <w:r w:rsidR="00A91A96">
        <w:t>klinické medicín</w:t>
      </w:r>
      <w:r w:rsidR="00F4719E">
        <w:t>y</w:t>
      </w:r>
      <w:r w:rsidR="00837E56">
        <w:t xml:space="preserve">, kde </w:t>
      </w:r>
      <w:r w:rsidR="00F57D72">
        <w:t xml:space="preserve">syndrom </w:t>
      </w:r>
      <w:r w:rsidR="00E87C36">
        <w:t xml:space="preserve">obvykle </w:t>
      </w:r>
      <w:r w:rsidR="00F57D72">
        <w:t>zahrnuje řadu příznaků</w:t>
      </w:r>
      <w:r w:rsidR="000A54CD">
        <w:t>, které pramení z jedné společné příčiny</w:t>
      </w:r>
      <w:r w:rsidR="00A91A96">
        <w:t xml:space="preserve">. </w:t>
      </w:r>
      <w:r w:rsidR="00536ED6">
        <w:t xml:space="preserve">Z jejich poměrně rozsáhlého výčtu zmíníme především ty </w:t>
      </w:r>
      <w:r w:rsidR="006142BD">
        <w:t xml:space="preserve">nejvýznamnější </w:t>
      </w:r>
      <w:r w:rsidR="00756313">
        <w:t xml:space="preserve">– </w:t>
      </w:r>
      <w:r w:rsidR="006142BD">
        <w:t xml:space="preserve">tzv. </w:t>
      </w:r>
      <w:r w:rsidR="00391606">
        <w:t>geriatrick</w:t>
      </w:r>
      <w:r w:rsidR="00B616BF">
        <w:t>é</w:t>
      </w:r>
      <w:r w:rsidR="00391606">
        <w:t xml:space="preserve"> obr</w:t>
      </w:r>
      <w:r w:rsidR="00FE0A8D">
        <w:t>y</w:t>
      </w:r>
      <w:r w:rsidR="008D6A1B">
        <w:t xml:space="preserve"> (</w:t>
      </w:r>
      <w:r w:rsidR="00F22E28">
        <w:t>„čtyři i“</w:t>
      </w:r>
      <w:r w:rsidR="008D6A1B">
        <w:t>)</w:t>
      </w:r>
      <w:r w:rsidR="00FE0A8D">
        <w:t xml:space="preserve">. Těmi jsou </w:t>
      </w:r>
      <w:r w:rsidR="00EE02CC">
        <w:t>instabilita</w:t>
      </w:r>
      <w:r w:rsidR="00FA5D96">
        <w:t xml:space="preserve"> s pády</w:t>
      </w:r>
      <w:r w:rsidR="00EE02CC">
        <w:t>, imobilita</w:t>
      </w:r>
      <w:r w:rsidR="00B616BF">
        <w:t>, intelektové poruchy</w:t>
      </w:r>
      <w:r w:rsidR="00FE0A8D">
        <w:t xml:space="preserve"> (delirium a demence)</w:t>
      </w:r>
      <w:r w:rsidR="002159E0">
        <w:t xml:space="preserve">, inkontinence a někdy bývá </w:t>
      </w:r>
      <w:r w:rsidR="002F5544">
        <w:t xml:space="preserve">dále </w:t>
      </w:r>
      <w:r w:rsidR="002159E0">
        <w:t>zm</w:t>
      </w:r>
      <w:r w:rsidR="00AA68A2">
        <w:t xml:space="preserve">iňováno </w:t>
      </w:r>
      <w:r w:rsidR="008307D4">
        <w:t xml:space="preserve">ještě </w:t>
      </w:r>
      <w:proofErr w:type="spellStart"/>
      <w:r w:rsidR="00AA68A2">
        <w:t>iatrogenní</w:t>
      </w:r>
      <w:proofErr w:type="spellEnd"/>
      <w:r w:rsidR="00AA68A2">
        <w:t xml:space="preserve"> poškození (</w:t>
      </w:r>
      <w:r w:rsidR="006F3514">
        <w:t>geriatrický hospitalismus</w:t>
      </w:r>
      <w:r w:rsidR="00AF54C3">
        <w:t xml:space="preserve"> či nežádoucí účinky léků, viz předchozí text</w:t>
      </w:r>
      <w:r w:rsidR="00AA68A2">
        <w:t>)</w:t>
      </w:r>
      <w:r w:rsidR="0019189F">
        <w:t xml:space="preserve">. </w:t>
      </w:r>
      <w:r w:rsidR="00B17860">
        <w:t>Nástup stejn</w:t>
      </w:r>
      <w:r w:rsidR="00243D00">
        <w:t>ě jako</w:t>
      </w:r>
      <w:r w:rsidR="00B17860">
        <w:t xml:space="preserve"> rychlost progrese</w:t>
      </w:r>
      <w:r w:rsidR="00243D00">
        <w:t xml:space="preserve"> deteriorace je značně heterogenní</w:t>
      </w:r>
      <w:r w:rsidR="005D5FFD">
        <w:t xml:space="preserve"> s výrazným genderovým aspektem</w:t>
      </w:r>
      <w:r w:rsidR="00850645">
        <w:t xml:space="preserve">, </w:t>
      </w:r>
      <w:r w:rsidR="003C65F9">
        <w:t xml:space="preserve">zpravidla </w:t>
      </w:r>
      <w:r w:rsidR="009B5C48">
        <w:t>začíná dříve a probíhá rychleji u</w:t>
      </w:r>
      <w:r w:rsidR="00827BCA">
        <w:t> </w:t>
      </w:r>
      <w:r w:rsidR="009B5C48">
        <w:t>žen než u</w:t>
      </w:r>
      <w:r w:rsidR="009D4713">
        <w:t> </w:t>
      </w:r>
      <w:r w:rsidR="009B5C48">
        <w:t>mužů</w:t>
      </w:r>
      <w:r w:rsidR="00AA50BE">
        <w:t>. Odvíjí se od genetické predispozice</w:t>
      </w:r>
      <w:r w:rsidR="00C37DB3">
        <w:t>,</w:t>
      </w:r>
      <w:r w:rsidR="0094752D">
        <w:t xml:space="preserve"> </w:t>
      </w:r>
      <w:r w:rsidR="00946186">
        <w:t>vlivu prostředí</w:t>
      </w:r>
      <w:r w:rsidR="00CE4E5F">
        <w:t>, nevhodn</w:t>
      </w:r>
      <w:r w:rsidR="00C56601">
        <w:t>é</w:t>
      </w:r>
      <w:r w:rsidR="00CE4E5F">
        <w:t xml:space="preserve"> výživ</w:t>
      </w:r>
      <w:r w:rsidR="00C56601">
        <w:t>y</w:t>
      </w:r>
      <w:r w:rsidR="00CE4E5F">
        <w:t xml:space="preserve">, </w:t>
      </w:r>
      <w:r w:rsidR="003071EC">
        <w:t xml:space="preserve">abusu návykových látek </w:t>
      </w:r>
      <w:r w:rsidR="0094752D">
        <w:t>a řady dalších faktorů.</w:t>
      </w:r>
      <w:r w:rsidR="000372BD">
        <w:fldChar w:fldCharType="begin"/>
      </w:r>
      <w:r w:rsidR="009B3709">
        <w:instrText xml:space="preserve"> ADDIN ZOTERO_ITEM CSL_CITATION {"citationID":"pr0672mo","properties":{"formattedCitation":"\\super 7(p41),15(p28,111-112,141)\\nosupersub{}","plainCitation":"7(p41),15(p28,111-112,141)","noteIndex":0},"citationItems":[{"id":150,"uris":["http://zotero.org/users/9426386/items/KZHM6B4S"],"itemData":{"id":150,"type":"book","event-place":"Praha","ISBN":"978-80-271-0876-3","language":"cs","publisher":"Grada","publisher-place":"Praha","title":"Psychosociální adaptace ve stáří a nemoci","author":[{"family":"Ptáček","given":"Radek"},{"family":"Ptáčková","given":"Hana"}],"issued":{"date-parts":[["2021"]]}},"locator":"41","label":"page"},{"id":146,"uris":["http://zotero.org/users/9426386/items/NURTKNTZ"],"itemData":{"id":146,"type":"book","ISBN":"978-80-247-2490-4","language":"cs","title":"Geriatrické syndromy a geriatrický pacient","author":[{"family":"Kalvach","given":"Zdeněk"},{"family":"Zadák","given":"Zdeněk"},{"family":"Jirák","given":"Roman"},{"family":"Zavázalová","given":"Helena"},{"family":"Holmerová","given":"Iva"},{"family":"Weber","given":"Pavel"}],"issued":{"date-parts":[["2008"]]}},"locator":"28,111-112,141","label":"page"}],"schema":"https://github.com/citation-style-language/schema/raw/master/csl-citation.json"} </w:instrText>
      </w:r>
      <w:r w:rsidR="000372BD">
        <w:fldChar w:fldCharType="separate"/>
      </w:r>
      <w:r w:rsidR="00E87A1C" w:rsidRPr="00E87A1C">
        <w:rPr>
          <w:vertAlign w:val="superscript"/>
        </w:rPr>
        <w:t>7(p41),15(p28,111-112,141)</w:t>
      </w:r>
      <w:r w:rsidR="000372BD">
        <w:fldChar w:fldCharType="end"/>
      </w:r>
    </w:p>
    <w:p w14:paraId="7A537EBA" w14:textId="284CDA74" w:rsidR="00D60FCA" w:rsidRPr="008D43D0" w:rsidRDefault="00DD528B" w:rsidP="008D43D0">
      <w:pPr>
        <w:pStyle w:val="Dalodstavce"/>
      </w:pPr>
      <w:r>
        <w:t>Důsledkem pokročilé fáze geriatrické deteriorace je n</w:t>
      </w:r>
      <w:r w:rsidR="00B01B31">
        <w:t>ejvýznamnější geriatrický syndrom</w:t>
      </w:r>
      <w:r w:rsidR="00D00E5A">
        <w:t xml:space="preserve">, </w:t>
      </w:r>
      <w:r w:rsidR="00B01B31">
        <w:t>tzv. geriatrická křehkost (</w:t>
      </w:r>
      <w:proofErr w:type="spellStart"/>
      <w:r w:rsidR="0034655F">
        <w:t>frailty</w:t>
      </w:r>
      <w:proofErr w:type="spellEnd"/>
      <w:r w:rsidR="00B01B31">
        <w:t>)</w:t>
      </w:r>
      <w:r w:rsidR="0034655F">
        <w:t>.</w:t>
      </w:r>
      <w:r w:rsidR="00D20FEB">
        <w:t xml:space="preserve"> </w:t>
      </w:r>
      <w:proofErr w:type="spellStart"/>
      <w:r w:rsidR="00510F0F">
        <w:t>Multikauzální</w:t>
      </w:r>
      <w:proofErr w:type="spellEnd"/>
      <w:r w:rsidR="00510F0F">
        <w:t xml:space="preserve"> a </w:t>
      </w:r>
      <w:proofErr w:type="spellStart"/>
      <w:r w:rsidR="00510F0F">
        <w:t>multisystémová</w:t>
      </w:r>
      <w:proofErr w:type="spellEnd"/>
      <w:r w:rsidR="00886706">
        <w:t xml:space="preserve"> k</w:t>
      </w:r>
      <w:r w:rsidR="00D20FEB">
        <w:t xml:space="preserve">řehkost je </w:t>
      </w:r>
      <w:r w:rsidR="001B5170">
        <w:t>klinickým projevem nízké úrovně potenciálu zdraví</w:t>
      </w:r>
      <w:r w:rsidR="00D07782">
        <w:t xml:space="preserve"> </w:t>
      </w:r>
      <w:r w:rsidR="005E75A2">
        <w:t>(snížených funkčních a adaptačních schopností)</w:t>
      </w:r>
      <w:r w:rsidR="009F0890">
        <w:t xml:space="preserve"> v řadě oblastí</w:t>
      </w:r>
      <w:r w:rsidR="00CB4DCD">
        <w:t xml:space="preserve">, která ohrožuje či již omezuje </w:t>
      </w:r>
      <w:r w:rsidR="00BC2E0F">
        <w:t>lidskou soběstačnost a</w:t>
      </w:r>
      <w:r w:rsidR="00FE0252">
        <w:t> </w:t>
      </w:r>
      <w:r w:rsidR="00BC2E0F">
        <w:t>nezávislost</w:t>
      </w:r>
      <w:r w:rsidR="009F0890">
        <w:t>.</w:t>
      </w:r>
      <w:r w:rsidR="00517B9B">
        <w:t xml:space="preserve"> </w:t>
      </w:r>
      <w:r w:rsidR="0005407C">
        <w:t>Vlivem</w:t>
      </w:r>
      <w:r w:rsidR="0005799A">
        <w:t xml:space="preserve"> fenotypových</w:t>
      </w:r>
      <w:r w:rsidR="00933E7F">
        <w:t xml:space="preserve"> (involučních)</w:t>
      </w:r>
      <w:r w:rsidR="0005799A">
        <w:t xml:space="preserve"> a deficitních </w:t>
      </w:r>
      <w:r w:rsidR="0066562B">
        <w:t>(</w:t>
      </w:r>
      <w:r w:rsidR="005C3F0F">
        <w:t>chronickými nemocemi ovlivněných</w:t>
      </w:r>
      <w:r w:rsidR="0066562B">
        <w:t xml:space="preserve">) </w:t>
      </w:r>
      <w:r w:rsidR="0005799A">
        <w:t>změn</w:t>
      </w:r>
      <w:r w:rsidR="002E60F6">
        <w:t xml:space="preserve"> stárnutí může dospět do </w:t>
      </w:r>
      <w:r w:rsidR="007F7D83">
        <w:t>syndromu geriatrické křehkosti (</w:t>
      </w:r>
      <w:proofErr w:type="spellStart"/>
      <w:r w:rsidR="007F7D83">
        <w:t>frailty</w:t>
      </w:r>
      <w:proofErr w:type="spellEnd"/>
      <w:r w:rsidR="007F7D83">
        <w:t xml:space="preserve"> syndrom</w:t>
      </w:r>
      <w:r w:rsidR="00933E7F">
        <w:t>u</w:t>
      </w:r>
      <w:r w:rsidR="007F7D83">
        <w:t xml:space="preserve">), </w:t>
      </w:r>
      <w:r w:rsidR="00933E7F">
        <w:t xml:space="preserve">jakožto </w:t>
      </w:r>
      <w:r w:rsidR="002E60F6">
        <w:t>pokročilé</w:t>
      </w:r>
      <w:r w:rsidR="00F61122">
        <w:t xml:space="preserve"> a symptomatické </w:t>
      </w:r>
      <w:r w:rsidR="001650E9">
        <w:t>fáze</w:t>
      </w:r>
      <w:r w:rsidR="00547944">
        <w:t>,</w:t>
      </w:r>
      <w:r w:rsidR="001650E9">
        <w:t xml:space="preserve"> </w:t>
      </w:r>
      <w:r w:rsidR="00643CAE">
        <w:t xml:space="preserve">projevující se </w:t>
      </w:r>
      <w:r w:rsidR="007278DC">
        <w:t xml:space="preserve">např. </w:t>
      </w:r>
      <w:r w:rsidR="00643CAE">
        <w:t>váhovým úbytkem</w:t>
      </w:r>
      <w:r w:rsidR="00977D28">
        <w:t xml:space="preserve">, </w:t>
      </w:r>
      <w:proofErr w:type="spellStart"/>
      <w:r w:rsidR="00977D28">
        <w:t>hypomobilit</w:t>
      </w:r>
      <w:r w:rsidR="00B5786C">
        <w:t>ou</w:t>
      </w:r>
      <w:proofErr w:type="spellEnd"/>
      <w:r w:rsidR="00164AA8">
        <w:t xml:space="preserve"> či instabilit</w:t>
      </w:r>
      <w:r w:rsidR="00B5786C">
        <w:t>ou</w:t>
      </w:r>
      <w:r w:rsidR="00164AA8">
        <w:t xml:space="preserve"> s pády</w:t>
      </w:r>
      <w:r w:rsidR="00F61122">
        <w:t>.</w:t>
      </w:r>
      <w:r w:rsidR="00AD21DC">
        <w:t xml:space="preserve"> </w:t>
      </w:r>
      <w:r w:rsidR="0034375B">
        <w:t>Dochází k p</w:t>
      </w:r>
      <w:r w:rsidR="00F54676">
        <w:t>rohlub</w:t>
      </w:r>
      <w:r w:rsidR="0034375B">
        <w:t>ování</w:t>
      </w:r>
      <w:r w:rsidR="00F54676">
        <w:t xml:space="preserve"> </w:t>
      </w:r>
      <w:r w:rsidR="00C75F5C">
        <w:lastRenderedPageBreak/>
        <w:t>zranitelnost</w:t>
      </w:r>
      <w:r w:rsidR="0034375B">
        <w:t>i</w:t>
      </w:r>
      <w:r w:rsidR="00307E1C">
        <w:t xml:space="preserve"> a </w:t>
      </w:r>
      <w:r w:rsidR="001D780C">
        <w:t>rizik</w:t>
      </w:r>
      <w:r w:rsidR="0034375B">
        <w:t>a</w:t>
      </w:r>
      <w:r w:rsidR="001D780C">
        <w:t xml:space="preserve"> opětovných hospitalizací</w:t>
      </w:r>
      <w:r w:rsidR="00A0330B">
        <w:t>, což zhoršuje prognózu pacient</w:t>
      </w:r>
      <w:r w:rsidR="00307E1C">
        <w:t>a</w:t>
      </w:r>
      <w:r w:rsidR="001A2BA2">
        <w:t xml:space="preserve"> a zvyšuje </w:t>
      </w:r>
      <w:r w:rsidR="006A3A5C">
        <w:t>vznik</w:t>
      </w:r>
      <w:r w:rsidR="001A2BA2">
        <w:t xml:space="preserve"> potřeby dlouhodobé péč</w:t>
      </w:r>
      <w:r w:rsidR="005B5DD3">
        <w:t>e</w:t>
      </w:r>
      <w:r w:rsidR="00307E1C">
        <w:t>.</w:t>
      </w:r>
      <w:r w:rsidR="003E3194">
        <w:t xml:space="preserve"> </w:t>
      </w:r>
      <w:proofErr w:type="spellStart"/>
      <w:r w:rsidR="003E3194">
        <w:t>Frailty</w:t>
      </w:r>
      <w:proofErr w:type="spellEnd"/>
      <w:r w:rsidR="003E3194">
        <w:t xml:space="preserve"> syndrom je, na rozdíl od</w:t>
      </w:r>
      <w:r w:rsidR="003464CA">
        <w:t xml:space="preserve"> </w:t>
      </w:r>
      <w:r w:rsidR="00E51B76">
        <w:t xml:space="preserve">částečně </w:t>
      </w:r>
      <w:r w:rsidR="00722597">
        <w:t>ovl</w:t>
      </w:r>
      <w:r w:rsidR="005A2345">
        <w:t xml:space="preserve">ivnitelné a reverzibilní </w:t>
      </w:r>
      <w:r w:rsidR="003464CA">
        <w:t>deteriorace</w:t>
      </w:r>
      <w:r w:rsidR="00787F6D">
        <w:t xml:space="preserve">, </w:t>
      </w:r>
      <w:r w:rsidR="005A2345">
        <w:t xml:space="preserve">stav </w:t>
      </w:r>
      <w:r w:rsidR="00787F6D">
        <w:t>nevyléčitelný</w:t>
      </w:r>
      <w:r w:rsidR="00C23055">
        <w:t xml:space="preserve">. </w:t>
      </w:r>
      <w:r w:rsidR="00CC35B9">
        <w:t>S</w:t>
      </w:r>
      <w:r w:rsidR="005F3EC9">
        <w:t>pirálou</w:t>
      </w:r>
      <w:r w:rsidR="00A22A7E">
        <w:t xml:space="preserve"> deteriorace, jejíž podstatou je</w:t>
      </w:r>
      <w:r w:rsidR="00304208">
        <w:t xml:space="preserve"> </w:t>
      </w:r>
      <w:r w:rsidR="00D82819">
        <w:t>stříd</w:t>
      </w:r>
      <w:r w:rsidR="00304208">
        <w:t>ání</w:t>
      </w:r>
      <w:r w:rsidR="00D82819">
        <w:t xml:space="preserve"> stav</w:t>
      </w:r>
      <w:r w:rsidR="00304208">
        <w:t>ů</w:t>
      </w:r>
      <w:r w:rsidR="00D82819">
        <w:t xml:space="preserve"> dekompenzace</w:t>
      </w:r>
      <w:r w:rsidR="00C20C64">
        <w:t xml:space="preserve"> a stabilizace</w:t>
      </w:r>
      <w:r w:rsidR="00D82819">
        <w:t xml:space="preserve">, </w:t>
      </w:r>
      <w:r w:rsidR="00F81BD8">
        <w:t>dochází</w:t>
      </w:r>
      <w:r w:rsidR="009E1ED0">
        <w:t xml:space="preserve"> </w:t>
      </w:r>
      <w:r w:rsidR="006C4185">
        <w:t>k přibývání deficitů</w:t>
      </w:r>
      <w:r w:rsidR="00091460">
        <w:t xml:space="preserve"> a </w:t>
      </w:r>
      <w:r w:rsidR="007C3A1C">
        <w:t xml:space="preserve">k </w:t>
      </w:r>
      <w:r w:rsidR="00091460">
        <w:t>poklesu úrovně potenciálu</w:t>
      </w:r>
      <w:r w:rsidR="004B4363">
        <w:t xml:space="preserve">. </w:t>
      </w:r>
      <w:r w:rsidR="00007AF6">
        <w:t>Každé vychýlení zvyšuje pravděpodobnost další dekompenzace s tím, že</w:t>
      </w:r>
      <w:r w:rsidR="00B80230">
        <w:t xml:space="preserve"> </w:t>
      </w:r>
      <w:r w:rsidR="009A5015">
        <w:t xml:space="preserve">úsilí vynaložené pro </w:t>
      </w:r>
      <w:r w:rsidR="00B80230">
        <w:t>následn</w:t>
      </w:r>
      <w:r w:rsidR="009A5015">
        <w:t>ou</w:t>
      </w:r>
      <w:r w:rsidR="00B80230">
        <w:t xml:space="preserve"> stabilizac</w:t>
      </w:r>
      <w:r w:rsidR="009A5015">
        <w:t>i</w:t>
      </w:r>
      <w:r w:rsidR="00B80230">
        <w:t xml:space="preserve"> bude </w:t>
      </w:r>
      <w:r w:rsidR="009A5015">
        <w:t>neustále narůstat.</w:t>
      </w:r>
      <w:r w:rsidR="000B3309">
        <w:t xml:space="preserve"> V případě neúspěšné kompenzace</w:t>
      </w:r>
      <w:r w:rsidR="00AA784F">
        <w:t xml:space="preserve"> vyústí </w:t>
      </w:r>
      <w:proofErr w:type="spellStart"/>
      <w:r w:rsidR="00AA784F">
        <w:t>frailty</w:t>
      </w:r>
      <w:proofErr w:type="spellEnd"/>
      <w:r w:rsidR="00AA784F">
        <w:t xml:space="preserve"> syndrom do </w:t>
      </w:r>
      <w:r w:rsidR="009855D7">
        <w:t>pokročilé fáze, označované jako syndrom terminální geriatrické deteriorace</w:t>
      </w:r>
      <w:r w:rsidR="006D3472">
        <w:t>, která je již spjata s</w:t>
      </w:r>
      <w:r w:rsidR="00065797">
        <w:t> indikací k přechodu do paliativní péče (viz</w:t>
      </w:r>
      <w:r w:rsidR="00E74308">
        <w:t xml:space="preserve"> </w:t>
      </w:r>
      <w:r w:rsidR="00065797">
        <w:t>text</w:t>
      </w:r>
      <w:r w:rsidR="00E74308">
        <w:t xml:space="preserve"> dále</w:t>
      </w:r>
      <w:r w:rsidR="00065797">
        <w:t>)</w:t>
      </w:r>
      <w:r w:rsidR="00507F0D">
        <w:t>.</w:t>
      </w:r>
      <w:r w:rsidR="00FA2CAE">
        <w:fldChar w:fldCharType="begin"/>
      </w:r>
      <w:r w:rsidR="009B3709">
        <w:instrText xml:space="preserve"> ADDIN ZOTERO_ITEM CSL_CITATION {"citationID":"VgUkW60W","properties":{"formattedCitation":"\\super 8(p83),15(p112,121,124-125),18(pp36-38,45,50,351),19(p31)\\nosupersub{}","plainCitation":"8(p83),15(p112,121,124-125),18(pp36-38,45,50,351),19(p31)","noteIndex":0},"citationItems":[{"id":156,"uris":["http://zotero.org/users/9426386/items/YP5JRLPE"],"itemData":{"id":156,"type":"book","abstract":"Monografie predkládá komplexní obraz soucasné gerontologie. Obsahem publikace jsou ukázky vybraných gerontologických prístupu a otázek aktuálních v Ceské republice. Mnohé kapitoly jsou podloženy vlastním bádáním autoru, kniha tak prenáší poznatky získané výzkumem do praxe a teorie oboru bez velké prodlevy. Autori nove reflektují tradicní témata a doplnují je o nové oblasti zájmu, jako je napríklad environmentální gerontologie, kineziologie, výpocetní technika, uzpusobení moderních technologií potrebám senioru, neuropsychologická diagnostika. Publikace umožnuje vzájemnou komunikaci mezi jednotli","event-place":"Prague, Czech Republic","ISBN":"978-80-246-2628-4","language":"cze","note":"OCLC: 909894457","publisher":"Karolinum","publisher-place":"Prague, Czech Republic","source":"Open WorldCat","title":"Gerontologie: Současné otázky z pohledu biomedicíny a společenských věd","title-short":"Gerontologie","author":[{"family":"Štěpánková","given":"Hana"},{"family":"Höschl","given":"Cyril"},{"family":"Vidovićová","given":"Lucie"}],"contributor":[{"family":"Dragomirecká","given":"Eva"},{"family":"Muchová","given":"Ludmila"},{"family":"Serých","given":"Jan"}],"editor":[{"family":"Jindrová","given":"Jana"}],"issued":{"date-parts":[["2014"]]}},"locator":"83","label":"page"},{"id":146,"uris":["http://zotero.org/users/9426386/items/NURTKNTZ"],"itemData":{"id":146,"type":"book","ISBN":"978-80-247-2490-4","language":"cs","title":"Geriatrické syndromy a geriatrický pacient","author":[{"family":"Kalvach","given":"Zdeněk"},{"family":"Zadák","given":"Zdeněk"},{"family":"Jirák","given":"Roman"},{"family":"Zavázalová","given":"Helena"},{"family":"Holmerová","given":"Iva"},{"family":"Weber","given":"Pavel"}],"issued":{"date-parts":[["2008"]]}},"locator":"112,121,124-125","label":"page"},{"id":145,"uris":["http://zotero.org/users/9426386/items/MP9PYEQL"],"itemData":{"id":145,"type":"book","event-place":"Praha","ISBN":"978-80-271-3178-5","language":"cs","number-of-pages":"406","publisher":"Grada Publishing","publisher-place":"Praha","title":"Syndrom křehkosti: indikace péče, podpora života v nemoci, komunikační dovednosti","author":[{"family":"Kabelka","given":"Ladislav"},{"family":"Chvílová-Weberová","given":"Magdalena"}],"issued":{"date-parts":[["2022"]]}},"locator":"36-38,45,50,351","label":"page"},{"id":157,"uris":["http://zotero.org/users/9426386/items/WRQS6UL3"],"itemData":{"id":157,"type":"book","event-place":"Praha","ISBN":"978-80-247-4544-2","language":"cze","note":"OCLC: 886604267","publisher":"Grada","publisher-place":"Praha","source":"Open WorldCat","title":"Sociální gerontologie: východiska ke zdravotní politice a podpoře zdraví ve stáří","title-short":"Sociální gerontologie","author":[{"family":"Čevela","given":"Rostislav"},{"family":"Čeledová","given":"Libuše"}],"issued":{"date-parts":[["2014"]]}},"locator":"31","label":"page"}],"schema":"https://github.com/citation-style-language/schema/raw/master/csl-citation.json"} </w:instrText>
      </w:r>
      <w:r w:rsidR="00FA2CAE">
        <w:fldChar w:fldCharType="separate"/>
      </w:r>
      <w:r w:rsidR="00E87A1C" w:rsidRPr="00E87A1C">
        <w:rPr>
          <w:vertAlign w:val="superscript"/>
        </w:rPr>
        <w:t>8(p83),15(p112,121,124-125),18(pp36-38,45,50,351),19(p31)</w:t>
      </w:r>
      <w:r w:rsidR="00FA2CAE">
        <w:fldChar w:fldCharType="end"/>
      </w:r>
    </w:p>
    <w:p w14:paraId="168C4D63" w14:textId="258BD9D9" w:rsidR="00FE5ED9" w:rsidRDefault="00FE5ED9" w:rsidP="002E32D6">
      <w:pPr>
        <w:pStyle w:val="Nadpis3"/>
        <w:numPr>
          <w:ilvl w:val="2"/>
          <w:numId w:val="14"/>
        </w:numPr>
      </w:pPr>
      <w:r>
        <w:t>Gerontologie</w:t>
      </w:r>
      <w:r w:rsidR="00BF687C">
        <w:t xml:space="preserve">, </w:t>
      </w:r>
      <w:r w:rsidR="00DE6054">
        <w:t>geriatrie</w:t>
      </w:r>
      <w:r w:rsidR="00BF687C">
        <w:t xml:space="preserve"> a paliativní </w:t>
      </w:r>
      <w:r w:rsidR="00A75BF4">
        <w:t>péče</w:t>
      </w:r>
    </w:p>
    <w:p w14:paraId="7FF23A2C" w14:textId="6B35D3AC" w:rsidR="000A0CA8" w:rsidRDefault="000C2891" w:rsidP="000A0CA8">
      <w:pPr>
        <w:pStyle w:val="Odstavec1"/>
      </w:pPr>
      <w:r>
        <w:t>V obecném kontextu je s</w:t>
      </w:r>
      <w:r w:rsidR="000A0CA8">
        <w:t>tárnoucí</w:t>
      </w:r>
      <w:r w:rsidR="00E8699F">
        <w:t xml:space="preserve"> nebo starý člověk</w:t>
      </w:r>
      <w:r w:rsidR="00FE298F">
        <w:t>,</w:t>
      </w:r>
      <w:r w:rsidR="00E8699F">
        <w:t xml:space="preserve"> ve zdraví či nemoci</w:t>
      </w:r>
      <w:r w:rsidR="00FE298F">
        <w:t>,</w:t>
      </w:r>
      <w:r w:rsidR="00E8699F">
        <w:t xml:space="preserve"> předmětem zájmu </w:t>
      </w:r>
      <w:r w:rsidR="00EF7257">
        <w:t xml:space="preserve">interdisciplinárních </w:t>
      </w:r>
      <w:r w:rsidR="00BF56EF">
        <w:t>oborů gerontologie</w:t>
      </w:r>
      <w:r w:rsidR="00DE6054">
        <w:t xml:space="preserve"> a geriatrie</w:t>
      </w:r>
      <w:r w:rsidR="00BF56EF">
        <w:t>.</w:t>
      </w:r>
      <w:r w:rsidR="00EE6752">
        <w:fldChar w:fldCharType="begin"/>
      </w:r>
      <w:r w:rsidR="00882955">
        <w:instrText xml:space="preserve"> ADDIN ZOTERO_ITEM CSL_CITATION {"citationID":"UeEzJ9KZ","properties":{"formattedCitation":"\\super 1(p48),20\\nosupersub{}","plainCitation":"1(p48),20","noteIndex":0},"citationItems":[{"id":133,"uris":["http://zotero.org/users/9426386/items/RW2L6RHE"],"itemData":{"id":133,"type":"book","event-place":"Praha","ISBN":"978-80-247-0548-4","language":"cze","note":"OCLC: 85137350","publisher":"Grada","publisher-place":"Praha","source":"Open WorldCat","title":"Geriatrie a gerontologie","author":[{"family":"Kalvach","given":"Zdeněk"},{"family":"Zadák","given":"Z."},{"family":"Jirák","given":"R."},{"family":"Zavázalová","given":"H."},{"family":"Sucharda","given":"P."}],"issued":{"date-parts":[["2004"]]}},"locator":"48","label":"page"},{"id":131,"uris":["http://zotero.org/users/9426386/items/5N6GSMJ3"],"itemData":{"id":131,"type":"webpage","language":"cs","title":"Česká gerontologická a geriatrická společnost – Společnost","URL":"https://www.cggs.cz/spolecnost","accessed":{"date-parts":[["2024",4,12]]}}}],"schema":"https://github.com/citation-style-language/schema/raw/master/csl-citation.json"} </w:instrText>
      </w:r>
      <w:r w:rsidR="00EE6752">
        <w:fldChar w:fldCharType="separate"/>
      </w:r>
      <w:r w:rsidR="00E87A1C" w:rsidRPr="00E87A1C">
        <w:rPr>
          <w:vertAlign w:val="superscript"/>
        </w:rPr>
        <w:t>1(p48),20</w:t>
      </w:r>
      <w:r w:rsidR="00EE6752">
        <w:fldChar w:fldCharType="end"/>
      </w:r>
      <w:r w:rsidR="00F95333">
        <w:t xml:space="preserve"> </w:t>
      </w:r>
      <w:r w:rsidR="00A114BF">
        <w:t>Gerontologii lze definovat jako nauku o stárnutí a stáří</w:t>
      </w:r>
      <w:r w:rsidR="002B7156">
        <w:t xml:space="preserve">, která se blíže zaměřuje na </w:t>
      </w:r>
      <w:r w:rsidR="004F759B">
        <w:t>problematiku starých lidí a</w:t>
      </w:r>
      <w:r w:rsidR="004F1A14">
        <w:t> </w:t>
      </w:r>
      <w:r w:rsidR="004F759B">
        <w:t>života ve stáří</w:t>
      </w:r>
      <w:r w:rsidR="004A55AB">
        <w:t xml:space="preserve">. </w:t>
      </w:r>
      <w:r w:rsidR="005C75E3">
        <w:t xml:space="preserve">Její cíl lze formulovat jako </w:t>
      </w:r>
      <w:r w:rsidR="00F95BB0" w:rsidRPr="00093E22">
        <w:t>„</w:t>
      </w:r>
      <w:r w:rsidR="00093E22" w:rsidRPr="00093E22">
        <w:rPr>
          <w:i/>
          <w:iCs/>
        </w:rPr>
        <w:t>…</w:t>
      </w:r>
      <w:r w:rsidR="005C75E3" w:rsidRPr="00093E22">
        <w:rPr>
          <w:i/>
          <w:iCs/>
        </w:rPr>
        <w:t>zmírnění deficitů a handicapů stáří</w:t>
      </w:r>
      <w:r w:rsidR="00F95BB0">
        <w:t>“</w:t>
      </w:r>
      <w:r w:rsidR="005C75E3">
        <w:t xml:space="preserve"> v co největší možné míře</w:t>
      </w:r>
      <w:r w:rsidR="00F95BB0">
        <w:t>,</w:t>
      </w:r>
      <w:r w:rsidR="00B0376C">
        <w:t xml:space="preserve"> a </w:t>
      </w:r>
      <w:r w:rsidR="00F95BB0" w:rsidRPr="00093E22">
        <w:t>„</w:t>
      </w:r>
      <w:r w:rsidR="00093E22" w:rsidRPr="00093E22">
        <w:rPr>
          <w:i/>
          <w:iCs/>
        </w:rPr>
        <w:t>…</w:t>
      </w:r>
      <w:r w:rsidR="00B0376C" w:rsidRPr="00093E22">
        <w:rPr>
          <w:i/>
          <w:iCs/>
        </w:rPr>
        <w:t>zkvalitňování života různých skupin starých lidí</w:t>
      </w:r>
      <w:r w:rsidR="00DE184F">
        <w:rPr>
          <w:i/>
          <w:iCs/>
        </w:rPr>
        <w:t>.</w:t>
      </w:r>
      <w:r w:rsidR="00F95BB0">
        <w:t>“</w:t>
      </w:r>
      <w:r w:rsidR="00D20B7B">
        <w:fldChar w:fldCharType="begin"/>
      </w:r>
      <w:r w:rsidR="002B3D48">
        <w:instrText xml:space="preserve"> ADDIN ZOTERO_ITEM CSL_CITATION {"citationID":"TyuweOPd","properties":{"formattedCitation":"\\super 1(p48)\\nosupersub{}","plainCitation":"1(p48)","noteIndex":0},"citationItems":[{"id":133,"uris":["http://zotero.org/users/9426386/items/RW2L6RHE"],"itemData":{"id":133,"type":"book","event-place":"Praha","ISBN":"978-80-247-0548-4","language":"cze","note":"OCLC: 85137350","publisher":"Grada","publisher-place":"Praha","source":"Open WorldCat","title":"Geriatrie a gerontologie","author":[{"family":"Kalvach","given":"Zdeněk"},{"family":"Zadák","given":"Z."},{"family":"Jirák","given":"R."},{"family":"Zavázalová","given":"H."},{"family":"Sucharda","given":"P."}],"issued":{"date-parts":[["2004"]]}},"locator":"48","label":"page"}],"schema":"https://github.com/citation-style-language/schema/raw/master/csl-citation.json"} </w:instrText>
      </w:r>
      <w:r w:rsidR="00D20B7B">
        <w:fldChar w:fldCharType="separate"/>
      </w:r>
      <w:r w:rsidR="00F846EE" w:rsidRPr="00F846EE">
        <w:rPr>
          <w:vertAlign w:val="superscript"/>
        </w:rPr>
        <w:t>1(p48)</w:t>
      </w:r>
      <w:r w:rsidR="00D20B7B">
        <w:fldChar w:fldCharType="end"/>
      </w:r>
      <w:r w:rsidR="00635715">
        <w:t xml:space="preserve"> </w:t>
      </w:r>
      <w:r w:rsidR="008315D0">
        <w:t xml:space="preserve">Nauka je dělena </w:t>
      </w:r>
      <w:r w:rsidR="000E44B5">
        <w:t>do t</w:t>
      </w:r>
      <w:r w:rsidR="00F71C6A">
        <w:t>ří hlavních proudů</w:t>
      </w:r>
      <w:r w:rsidR="005F4655">
        <w:t xml:space="preserve">: </w:t>
      </w:r>
      <w:r w:rsidR="00826EA2">
        <w:t>experimentální</w:t>
      </w:r>
      <w:r w:rsidR="00DD7856">
        <w:t xml:space="preserve"> (</w:t>
      </w:r>
      <w:r w:rsidR="00E66079">
        <w:t>důvody a průběh biologického stárnutí živých organismů</w:t>
      </w:r>
      <w:r w:rsidR="00DD7856">
        <w:t>)</w:t>
      </w:r>
      <w:r w:rsidR="005F4655">
        <w:t xml:space="preserve">, </w:t>
      </w:r>
      <w:r w:rsidR="008E73EC">
        <w:t>sociální</w:t>
      </w:r>
      <w:r w:rsidR="001718F8">
        <w:t xml:space="preserve"> (vztah</w:t>
      </w:r>
      <w:r w:rsidR="00DA22E4">
        <w:t>y</w:t>
      </w:r>
      <w:r w:rsidR="001718F8">
        <w:t xml:space="preserve"> </w:t>
      </w:r>
      <w:r w:rsidR="00DA22E4">
        <w:t xml:space="preserve">a vlivy </w:t>
      </w:r>
      <w:r w:rsidR="001718F8">
        <w:t>mezi starým člověkem a společností)</w:t>
      </w:r>
      <w:r w:rsidR="008E73EC">
        <w:t xml:space="preserve"> a klinick</w:t>
      </w:r>
      <w:r w:rsidR="00675B5F">
        <w:t>á</w:t>
      </w:r>
      <w:r w:rsidR="00826EA2">
        <w:t xml:space="preserve"> gerontologie</w:t>
      </w:r>
      <w:r w:rsidR="00FB259A">
        <w:t xml:space="preserve"> (zdravotní a funkční stav starých lidí)</w:t>
      </w:r>
      <w:r w:rsidR="005F4655">
        <w:t>.</w:t>
      </w:r>
      <w:r w:rsidR="00D20B7B">
        <w:fldChar w:fldCharType="begin"/>
      </w:r>
      <w:r w:rsidR="002B3D48">
        <w:instrText xml:space="preserve"> ADDIN ZOTERO_ITEM CSL_CITATION {"citationID":"VY3kNxf7","properties":{"formattedCitation":"\\super 1(pp48-49)\\nosupersub{}","plainCitation":"1(pp48-49)","noteIndex":0},"citationItems":[{"id":133,"uris":["http://zotero.org/users/9426386/items/RW2L6RHE"],"itemData":{"id":133,"type":"book","event-place":"Praha","ISBN":"978-80-247-0548-4","language":"cze","note":"OCLC: 85137350","publisher":"Grada","publisher-place":"Praha","source":"Open WorldCat","title":"Geriatrie a gerontologie","author":[{"family":"Kalvach","given":"Zdeněk"},{"family":"Zadák","given":"Z."},{"family":"Jirák","given":"R."},{"family":"Zavázalová","given":"H."},{"family":"Sucharda","given":"P."}],"issued":{"date-parts":[["2004"]]}},"locator":"48-49","label":"page"}],"schema":"https://github.com/citation-style-language/schema/raw/master/csl-citation.json"} </w:instrText>
      </w:r>
      <w:r w:rsidR="00D20B7B">
        <w:fldChar w:fldCharType="separate"/>
      </w:r>
      <w:r w:rsidR="00F846EE" w:rsidRPr="00F846EE">
        <w:rPr>
          <w:vertAlign w:val="superscript"/>
        </w:rPr>
        <w:t>1(pp48-49)</w:t>
      </w:r>
      <w:r w:rsidR="00D20B7B">
        <w:fldChar w:fldCharType="end"/>
      </w:r>
    </w:p>
    <w:p w14:paraId="5E52FF62" w14:textId="0BDCCAB8" w:rsidR="007C3B5E" w:rsidRDefault="00AF095C" w:rsidP="007C3B5E">
      <w:pPr>
        <w:pStyle w:val="Dalodstavce"/>
      </w:pPr>
      <w:r>
        <w:t>Geriatrie</w:t>
      </w:r>
      <w:r w:rsidR="00F231E1">
        <w:t xml:space="preserve">, </w:t>
      </w:r>
      <w:r w:rsidR="005C632C">
        <w:t>někdy označována jako medicína stáří</w:t>
      </w:r>
      <w:r w:rsidR="00F231E1">
        <w:t>,</w:t>
      </w:r>
      <w:r w:rsidR="005C632C">
        <w:t xml:space="preserve"> </w:t>
      </w:r>
      <w:r>
        <w:t xml:space="preserve">je chápána jako </w:t>
      </w:r>
      <w:r w:rsidR="00C1067A">
        <w:t>samostatný</w:t>
      </w:r>
      <w:r w:rsidR="00402F49">
        <w:t xml:space="preserve"> lékařský obor</w:t>
      </w:r>
      <w:r w:rsidR="00F3220B">
        <w:t>, který původně vychází z vnitřního lékařství</w:t>
      </w:r>
      <w:r w:rsidR="001D62E2">
        <w:t xml:space="preserve">, </w:t>
      </w:r>
      <w:r w:rsidR="004844B0">
        <w:t>je</w:t>
      </w:r>
      <w:r w:rsidR="00402F49">
        <w:t>hož</w:t>
      </w:r>
      <w:r w:rsidR="004844B0">
        <w:t xml:space="preserve"> oblastí</w:t>
      </w:r>
      <w:r w:rsidR="006B3255">
        <w:t xml:space="preserve"> zájmu jsou</w:t>
      </w:r>
      <w:r w:rsidR="001D62E2">
        <w:t xml:space="preserve"> chorob</w:t>
      </w:r>
      <w:r w:rsidR="006B3255">
        <w:t>y</w:t>
      </w:r>
      <w:r w:rsidR="001D62E2">
        <w:t xml:space="preserve"> </w:t>
      </w:r>
      <w:r w:rsidR="009949A4">
        <w:t>osob vyššího věku</w:t>
      </w:r>
      <w:r w:rsidR="00B65A34">
        <w:t xml:space="preserve"> </w:t>
      </w:r>
      <w:r w:rsidR="006B3255">
        <w:t>se všemi svými specifiky.</w:t>
      </w:r>
      <w:r w:rsidR="005129E4">
        <w:t xml:space="preserve"> </w:t>
      </w:r>
      <w:r w:rsidR="00B67A52">
        <w:t xml:space="preserve">Oproti ostatním </w:t>
      </w:r>
      <w:proofErr w:type="spellStart"/>
      <w:r w:rsidR="00B67A52">
        <w:t>superspecializacím</w:t>
      </w:r>
      <w:proofErr w:type="spellEnd"/>
      <w:r w:rsidR="00B67A52">
        <w:t xml:space="preserve"> se geriatrie na stáří </w:t>
      </w:r>
      <w:r w:rsidR="00377FAA">
        <w:t>zaměřuje komplexně, nikoliv pouze z jedno úhlu pohledu.</w:t>
      </w:r>
      <w:r w:rsidR="009B0C3F">
        <w:fldChar w:fldCharType="begin"/>
      </w:r>
      <w:r w:rsidR="00882955">
        <w:instrText xml:space="preserve"> ADDIN ZOTERO_ITEM CSL_CITATION {"citationID":"VvpZdGzw","properties":{"formattedCitation":"\\super 1(p49),13(p18),20\\nosupersub{}","plainCitation":"1(p49),13(p18),20","noteIndex":0},"citationItems":[{"id":133,"uris":["http://zotero.org/users/9426386/items/RW2L6RHE"],"itemData":{"id":133,"type":"book","event-place":"Praha","ISBN":"978-80-247-0548-4","language":"cze","note":"OCLC: 85137350","publisher":"Grada","publisher-place":"Praha","source":"Open WorldCat","title":"Geriatrie a gerontologie","author":[{"family":"Kalvach","given":"Zdeněk"},{"family":"Zadák","given":"Z."},{"family":"Jirák","given":"R."},{"family":"Zavázalová","given":"H."},{"family":"Sucharda","given":"P."}],"issued":{"date-parts":[["2004"]]}},"locator":"49","label":"page"},{"id":147,"uris":["http://zotero.org/users/9426386/items/QDRTW3RT"],"itemData":{"id":147,"type":"book","event-place":"Praha","ISBN":"978-80-204-3119-6","language":"cs","number-of-pages":"206","publisher":"Mladá fronta","publisher-place":"Praha","title":"Průvodce vyšším věkem: manuál pro seniory a jejich pečovatele","issued":{"date-parts":[["2014"]]}},"locator":"18","label":"page"},{"id":131,"uris":["http://zotero.org/users/9426386/items/5N6GSMJ3"],"itemData":{"id":131,"type":"webpage","language":"cs","title":"Česká gerontologická a geriatrická společnost – Společnost","URL":"https://www.cggs.cz/spolecnost","accessed":{"date-parts":[["2024",4,12]]}}}],"schema":"https://github.com/citation-style-language/schema/raw/master/csl-citation.json"} </w:instrText>
      </w:r>
      <w:r w:rsidR="009B0C3F">
        <w:fldChar w:fldCharType="separate"/>
      </w:r>
      <w:r w:rsidR="00E87A1C" w:rsidRPr="00E87A1C">
        <w:rPr>
          <w:vertAlign w:val="superscript"/>
        </w:rPr>
        <w:t>1(p49),13(p18),20</w:t>
      </w:r>
      <w:r w:rsidR="009B0C3F">
        <w:fldChar w:fldCharType="end"/>
      </w:r>
      <w:r w:rsidR="00864271">
        <w:t xml:space="preserve"> </w:t>
      </w:r>
      <w:r w:rsidR="003166A6">
        <w:t xml:space="preserve">Významné je pak </w:t>
      </w:r>
      <w:r w:rsidR="00CE3993" w:rsidRPr="00A527E1">
        <w:rPr>
          <w:i/>
          <w:iCs/>
        </w:rPr>
        <w:t>„…</w:t>
      </w:r>
      <w:r w:rsidR="003166A6" w:rsidRPr="00A527E1">
        <w:rPr>
          <w:i/>
          <w:iCs/>
        </w:rPr>
        <w:t>propojení</w:t>
      </w:r>
      <w:r w:rsidR="00AA5FC4" w:rsidRPr="00A527E1">
        <w:rPr>
          <w:i/>
          <w:iCs/>
        </w:rPr>
        <w:t xml:space="preserve"> </w:t>
      </w:r>
      <w:r w:rsidR="00CE3993" w:rsidRPr="00A527E1">
        <w:rPr>
          <w:i/>
          <w:iCs/>
        </w:rPr>
        <w:t>geriatrie jako klinické</w:t>
      </w:r>
      <w:r w:rsidR="00FC5599" w:rsidRPr="00A527E1">
        <w:rPr>
          <w:i/>
          <w:iCs/>
        </w:rPr>
        <w:t xml:space="preserve"> gerontologie s</w:t>
      </w:r>
      <w:r w:rsidR="00864271">
        <w:rPr>
          <w:i/>
          <w:iCs/>
        </w:rPr>
        <w:t> </w:t>
      </w:r>
      <w:r w:rsidR="00FC5599" w:rsidRPr="00A527E1">
        <w:rPr>
          <w:i/>
          <w:iCs/>
        </w:rPr>
        <w:t>gerontologií experimentální a sociální</w:t>
      </w:r>
      <w:r w:rsidR="00CE3993">
        <w:t>“</w:t>
      </w:r>
      <w:r w:rsidR="006F712A">
        <w:t>, což výrazně</w:t>
      </w:r>
      <w:r w:rsidR="00986C5D">
        <w:t xml:space="preserve"> napomáhá „</w:t>
      </w:r>
      <w:r w:rsidR="00986C5D" w:rsidRPr="00A527E1">
        <w:rPr>
          <w:i/>
          <w:iCs/>
        </w:rPr>
        <w:t>…vytváření uceleného systému zdravotních</w:t>
      </w:r>
      <w:r w:rsidR="00AA5FC4" w:rsidRPr="00A527E1">
        <w:rPr>
          <w:i/>
          <w:iCs/>
        </w:rPr>
        <w:t xml:space="preserve"> a zdravotně sociálních služeb pro seniory</w:t>
      </w:r>
      <w:r w:rsidR="00DB3293">
        <w:rPr>
          <w:i/>
          <w:iCs/>
        </w:rPr>
        <w:t>.</w:t>
      </w:r>
      <w:r w:rsidR="00986C5D">
        <w:t>“</w:t>
      </w:r>
      <w:r w:rsidR="00777E82">
        <w:fldChar w:fldCharType="begin"/>
      </w:r>
      <w:r w:rsidR="00882955">
        <w:instrText xml:space="preserve"> ADDIN ZOTERO_ITEM CSL_CITATION {"citationID":"qydNKd2m","properties":{"formattedCitation":"\\super 20\\nosupersub{}","plainCitation":"20","noteIndex":0},"citationItems":[{"id":131,"uris":["http://zotero.org/users/9426386/items/5N6GSMJ3"],"itemData":{"id":131,"type":"webpage","language":"cs","title":"Česká gerontologická a geriatrická společnost – Společnost","URL":"https://www.cggs.cz/spolecnost","accessed":{"date-parts":[["2024",4,12]]}}}],"schema":"https://github.com/citation-style-language/schema/raw/master/csl-citation.json"} </w:instrText>
      </w:r>
      <w:r w:rsidR="00777E82">
        <w:fldChar w:fldCharType="separate"/>
      </w:r>
      <w:r w:rsidR="00E87A1C" w:rsidRPr="00E87A1C">
        <w:rPr>
          <w:vertAlign w:val="superscript"/>
        </w:rPr>
        <w:t>20</w:t>
      </w:r>
      <w:r w:rsidR="00777E82">
        <w:fldChar w:fldCharType="end"/>
      </w:r>
      <w:r w:rsidR="009777E7">
        <w:t xml:space="preserve"> Koncept geriatrické péče </w:t>
      </w:r>
      <w:r w:rsidR="00847DDD">
        <w:t xml:space="preserve">nabývá podob </w:t>
      </w:r>
      <w:r w:rsidR="006B1D66">
        <w:t>slož</w:t>
      </w:r>
      <w:r w:rsidR="00785CEC">
        <w:t>ek</w:t>
      </w:r>
      <w:r w:rsidR="006B1D66">
        <w:t xml:space="preserve"> akutní i </w:t>
      </w:r>
      <w:r w:rsidR="00C756E7">
        <w:t>následné</w:t>
      </w:r>
      <w:r w:rsidR="00FA1F62">
        <w:t xml:space="preserve">, </w:t>
      </w:r>
      <w:r w:rsidR="005566A5">
        <w:t>st</w:t>
      </w:r>
      <w:r w:rsidR="005740BE">
        <w:t>e</w:t>
      </w:r>
      <w:r w:rsidR="005566A5">
        <w:t xml:space="preserve">jně tak </w:t>
      </w:r>
      <w:r w:rsidR="00C805D1">
        <w:t xml:space="preserve">ambulantní </w:t>
      </w:r>
      <w:r w:rsidR="004D34E3">
        <w:t xml:space="preserve">i </w:t>
      </w:r>
      <w:r w:rsidR="00C805D1">
        <w:t xml:space="preserve">lůžkové </w:t>
      </w:r>
      <w:r w:rsidR="00CF24B4">
        <w:t>a</w:t>
      </w:r>
      <w:r w:rsidR="005566A5">
        <w:t xml:space="preserve"> taktéž</w:t>
      </w:r>
      <w:r w:rsidR="009A3E1D">
        <w:t xml:space="preserve"> preventivní</w:t>
      </w:r>
      <w:r w:rsidR="004D34E3">
        <w:t xml:space="preserve"> i paliativní</w:t>
      </w:r>
      <w:r w:rsidR="00CF534A">
        <w:t xml:space="preserve">. </w:t>
      </w:r>
      <w:r w:rsidR="005318F0">
        <w:t>Přičemž základní pracoviště obru by mělo být</w:t>
      </w:r>
      <w:r w:rsidR="00C47063">
        <w:t xml:space="preserve"> </w:t>
      </w:r>
      <w:r w:rsidR="00963EAF">
        <w:t>ideálně soustředěn</w:t>
      </w:r>
      <w:r w:rsidR="005318F0">
        <w:t>o</w:t>
      </w:r>
      <w:r w:rsidR="00963EAF">
        <w:t xml:space="preserve"> </w:t>
      </w:r>
      <w:r w:rsidR="0029620F">
        <w:t>do prostředí</w:t>
      </w:r>
      <w:r w:rsidR="003748ED">
        <w:t xml:space="preserve"> </w:t>
      </w:r>
      <w:r w:rsidR="00824D5B">
        <w:t>geriatrických ambulancí a nemocničních geriatrických oddělení</w:t>
      </w:r>
      <w:r w:rsidR="00CB7912">
        <w:t xml:space="preserve"> s preferencí domácí a ambulantní </w:t>
      </w:r>
      <w:r w:rsidR="00FB579F">
        <w:t xml:space="preserve">formy </w:t>
      </w:r>
      <w:r w:rsidR="00CB7912">
        <w:t>péče</w:t>
      </w:r>
      <w:r w:rsidR="00824D5B">
        <w:t>.</w:t>
      </w:r>
      <w:r w:rsidR="00264C76">
        <w:fldChar w:fldCharType="begin"/>
      </w:r>
      <w:r w:rsidR="009B3709">
        <w:instrText xml:space="preserve"> ADDIN ZOTERO_ITEM CSL_CITATION {"citationID":"MWrwP4M7","properties":{"formattedCitation":"\\super 7(p10),15(p25)\\nosupersub{}","plainCitation":"7(p10),15(p25)","noteIndex":0},"citationItems":[{"id":150,"uris":["http://zotero.org/users/9426386/items/KZHM6B4S"],"itemData":{"id":150,"type":"book","event-place":"Praha","ISBN":"978-80-271-0876-3","language":"cs","publisher":"Grada","publisher-place":"Praha","title":"Psychosociální adaptace ve stáří a nemoci","author":[{"family":"Ptáček","given":"Radek"},{"family":"Ptáčková","given":"Hana"}],"issued":{"date-parts":[["2021"]]}},"locator":"10","label":"page"},{"id":146,"uris":["http://zotero.org/users/9426386/items/NURTKNTZ"],"itemData":{"id":146,"type":"book","ISBN":"978-80-247-2490-4","language":"cs","title":"Geriatrické syndromy a geriatrický pacient","author":[{"family":"Kalvach","given":"Zdeněk"},{"family":"Zadák","given":"Zdeněk"},{"family":"Jirák","given":"Roman"},{"family":"Zavázalová","given":"Helena"},{"family":"Holmerová","given":"Iva"},{"family":"Weber","given":"Pavel"}],"issued":{"date-parts":[["2008"]]}},"locator":"25","label":"page"}],"schema":"https://github.com/citation-style-language/schema/raw/master/csl-citation.json"} </w:instrText>
      </w:r>
      <w:r w:rsidR="00264C76">
        <w:fldChar w:fldCharType="separate"/>
      </w:r>
      <w:r w:rsidR="00E87A1C" w:rsidRPr="00E87A1C">
        <w:rPr>
          <w:vertAlign w:val="superscript"/>
        </w:rPr>
        <w:t>7(p10),15(p25)</w:t>
      </w:r>
      <w:r w:rsidR="00264C76">
        <w:fldChar w:fldCharType="end"/>
      </w:r>
    </w:p>
    <w:p w14:paraId="34BC63EA" w14:textId="603F4E61" w:rsidR="00947908" w:rsidRDefault="005403A4" w:rsidP="00BF3361">
      <w:pPr>
        <w:pStyle w:val="Dalodstavce"/>
      </w:pPr>
      <w:r>
        <w:t xml:space="preserve">Byť se geriatrie </w:t>
      </w:r>
      <w:r w:rsidR="00B569CB">
        <w:t>svou specializovanou zdravotní péčí zaměřuje na nemoci</w:t>
      </w:r>
      <w:r w:rsidR="00980326">
        <w:t xml:space="preserve"> </w:t>
      </w:r>
      <w:r w:rsidR="00B65A34">
        <w:t>lidského stáří</w:t>
      </w:r>
      <w:r w:rsidR="00B569CB">
        <w:t>,</w:t>
      </w:r>
      <w:r w:rsidR="00C65E1B">
        <w:t xml:space="preserve"> </w:t>
      </w:r>
      <w:r w:rsidR="00B569CB">
        <w:t>není</w:t>
      </w:r>
      <w:r w:rsidR="00C65E1B">
        <w:t xml:space="preserve"> vymeze</w:t>
      </w:r>
      <w:r w:rsidR="00252FA8">
        <w:t>ní</w:t>
      </w:r>
      <w:r w:rsidR="00C65E1B">
        <w:t xml:space="preserve"> </w:t>
      </w:r>
      <w:r w:rsidR="00B61DC6">
        <w:t xml:space="preserve">dle </w:t>
      </w:r>
      <w:r w:rsidR="00C65E1B">
        <w:t>věk</w:t>
      </w:r>
      <w:r w:rsidR="00B61DC6">
        <w:t>u</w:t>
      </w:r>
      <w:r w:rsidR="00C65E1B">
        <w:t xml:space="preserve"> nemocných</w:t>
      </w:r>
      <w:r w:rsidR="00252FA8">
        <w:t xml:space="preserve"> tak jednoznačné</w:t>
      </w:r>
      <w:r w:rsidR="009741D9">
        <w:t xml:space="preserve">. </w:t>
      </w:r>
      <w:r w:rsidR="00975A6E">
        <w:t>T</w:t>
      </w:r>
      <w:r w:rsidR="0073225C">
        <w:t>ýk</w:t>
      </w:r>
      <w:r w:rsidR="00492F8F">
        <w:t>á</w:t>
      </w:r>
      <w:r w:rsidR="00975A6E">
        <w:t xml:space="preserve"> se</w:t>
      </w:r>
      <w:r w:rsidR="00672C4C">
        <w:t xml:space="preserve"> obecně</w:t>
      </w:r>
      <w:r w:rsidR="0073225C">
        <w:t xml:space="preserve"> osob nad 65 let</w:t>
      </w:r>
      <w:r w:rsidR="006E3D86">
        <w:t xml:space="preserve"> věku</w:t>
      </w:r>
      <w:r w:rsidR="00A83CDA">
        <w:t xml:space="preserve">, </w:t>
      </w:r>
      <w:r w:rsidR="009831BA">
        <w:t>což je nejnižší věk pro zařazení pacienta do geriatrického programu</w:t>
      </w:r>
      <w:r w:rsidR="00B10899">
        <w:t>, i</w:t>
      </w:r>
      <w:r w:rsidR="00C871FD">
        <w:t> </w:t>
      </w:r>
      <w:r w:rsidR="00B10899">
        <w:t xml:space="preserve">když </w:t>
      </w:r>
      <w:r w:rsidR="0088583C">
        <w:t>takové vymezení</w:t>
      </w:r>
      <w:r w:rsidR="008734B8">
        <w:t xml:space="preserve"> mnohdy nesouhlasí s věkem biologickým</w:t>
      </w:r>
      <w:r w:rsidR="00B10899">
        <w:t>. Z</w:t>
      </w:r>
      <w:r w:rsidR="00975A6E">
        <w:t xml:space="preserve">pravidla </w:t>
      </w:r>
      <w:r w:rsidR="004D6D8F">
        <w:t xml:space="preserve">bývá </w:t>
      </w:r>
      <w:r w:rsidR="004E3E48">
        <w:t>geriatrický pacient</w:t>
      </w:r>
      <w:r w:rsidR="00A518F9">
        <w:t xml:space="preserve"> </w:t>
      </w:r>
      <w:r w:rsidR="004E3E48">
        <w:t xml:space="preserve">mnohem </w:t>
      </w:r>
      <w:r w:rsidR="006E3D86">
        <w:t>starší</w:t>
      </w:r>
      <w:r w:rsidR="00DE3086">
        <w:t xml:space="preserve">, </w:t>
      </w:r>
      <w:r w:rsidR="00C966CE">
        <w:t xml:space="preserve">často bývá zmiňována </w:t>
      </w:r>
      <w:r w:rsidR="00A31336">
        <w:t xml:space="preserve">věková </w:t>
      </w:r>
      <w:r w:rsidR="00C966CE">
        <w:t xml:space="preserve">hranice </w:t>
      </w:r>
      <w:r w:rsidR="00F02291">
        <w:t xml:space="preserve">nad </w:t>
      </w:r>
      <w:r w:rsidR="00C966CE">
        <w:t>75 či dokonce</w:t>
      </w:r>
      <w:r w:rsidR="00F02291">
        <w:t xml:space="preserve"> </w:t>
      </w:r>
      <w:r w:rsidR="00C966CE">
        <w:t>80</w:t>
      </w:r>
      <w:r w:rsidR="00DE3086">
        <w:t> </w:t>
      </w:r>
      <w:r w:rsidR="00C966CE">
        <w:t>let</w:t>
      </w:r>
      <w:r w:rsidR="004E3E48">
        <w:t xml:space="preserve">. </w:t>
      </w:r>
      <w:r w:rsidR="00EC5BF1">
        <w:t xml:space="preserve">Můžeme jej </w:t>
      </w:r>
      <w:r w:rsidR="004725AA">
        <w:t xml:space="preserve">popsat jako </w:t>
      </w:r>
      <w:r w:rsidR="00EF090B" w:rsidRPr="00AF2C80">
        <w:t>„</w:t>
      </w:r>
      <w:r w:rsidR="00EF090B" w:rsidRPr="00AF2C80">
        <w:rPr>
          <w:i/>
          <w:iCs/>
        </w:rPr>
        <w:t>…</w:t>
      </w:r>
      <w:r w:rsidR="004725AA" w:rsidRPr="00AF2C80">
        <w:rPr>
          <w:i/>
          <w:iCs/>
        </w:rPr>
        <w:t>člověka vyššího věku, u něhož</w:t>
      </w:r>
      <w:r w:rsidR="00ED3D9D" w:rsidRPr="00AF2C80">
        <w:rPr>
          <w:i/>
          <w:iCs/>
        </w:rPr>
        <w:t xml:space="preserve"> involuční a chorobné změny natolik ovlivňují funkční stav</w:t>
      </w:r>
      <w:r w:rsidR="00906D67" w:rsidRPr="00AF2C80">
        <w:rPr>
          <w:i/>
          <w:iCs/>
        </w:rPr>
        <w:t xml:space="preserve"> a schopnosti, že dochází ke zhoršení adaptability, regulačních mechanismů</w:t>
      </w:r>
      <w:r w:rsidR="006A1919" w:rsidRPr="00AF2C80">
        <w:rPr>
          <w:i/>
          <w:iCs/>
        </w:rPr>
        <w:t xml:space="preserve"> a tolerance k</w:t>
      </w:r>
      <w:r w:rsidR="0086310E">
        <w:rPr>
          <w:i/>
          <w:iCs/>
        </w:rPr>
        <w:t> </w:t>
      </w:r>
      <w:r w:rsidR="006A1919" w:rsidRPr="00AF2C80">
        <w:rPr>
          <w:i/>
          <w:iCs/>
        </w:rPr>
        <w:t>zátěži</w:t>
      </w:r>
      <w:r w:rsidR="0086310E">
        <w:rPr>
          <w:i/>
          <w:iCs/>
        </w:rPr>
        <w:t>,</w:t>
      </w:r>
      <w:r w:rsidR="006A1919">
        <w:t>“</w:t>
      </w:r>
      <w:r w:rsidR="006B007B">
        <w:t xml:space="preserve"> </w:t>
      </w:r>
      <w:r w:rsidR="006B007B">
        <w:fldChar w:fldCharType="begin"/>
      </w:r>
      <w:r w:rsidR="009B3709">
        <w:instrText xml:space="preserve"> ADDIN ZOTERO_ITEM CSL_CITATION {"citationID":"9fmjJKID","properties":{"formattedCitation":"\\super 13(p45)\\nosupersub{}","plainCitation":"13(p45)","noteIndex":0},"citationItems":[{"id":147,"uris":["http://zotero.org/users/9426386/items/QDRTW3RT"],"itemData":{"id":147,"type":"book","event-place":"Praha","ISBN":"978-80-204-3119-6","language":"cs","number-of-pages":"206","publisher":"Mladá fronta","publisher-place":"Praha","title":"Průvodce vyšším věkem: manuál pro seniory a jejich pečovatele","issued":{"date-parts":[["2014"]]}},"locator":"45","label":"page"}],"schema":"https://github.com/citation-style-language/schema/raw/master/csl-citation.json"} </w:instrText>
      </w:r>
      <w:r w:rsidR="006B007B">
        <w:fldChar w:fldCharType="separate"/>
      </w:r>
      <w:r w:rsidR="00E87A1C" w:rsidRPr="00E87A1C">
        <w:rPr>
          <w:vertAlign w:val="superscript"/>
        </w:rPr>
        <w:t>13(p45)</w:t>
      </w:r>
      <w:r w:rsidR="006B007B">
        <w:fldChar w:fldCharType="end"/>
      </w:r>
      <w:r w:rsidR="0086310E">
        <w:t xml:space="preserve"> </w:t>
      </w:r>
      <w:r w:rsidR="006019A1">
        <w:t>což jej ve výsledku znevýhodňuje a činí zranitelnějším</w:t>
      </w:r>
      <w:r w:rsidR="004725AA">
        <w:t xml:space="preserve"> </w:t>
      </w:r>
      <w:r w:rsidR="006A1919">
        <w:t xml:space="preserve">(čili </w:t>
      </w:r>
      <w:r w:rsidR="004725AA">
        <w:t>nastupují projevy křehkosti</w:t>
      </w:r>
      <w:r w:rsidR="00AF2C80">
        <w:t>).</w:t>
      </w:r>
      <w:r w:rsidR="005F2DA7">
        <w:t xml:space="preserve"> </w:t>
      </w:r>
      <w:r w:rsidR="00B51CF7">
        <w:t>Cílem geriatrie je u takového pacienta</w:t>
      </w:r>
      <w:r w:rsidR="00673AEF">
        <w:t xml:space="preserve"> </w:t>
      </w:r>
      <w:r w:rsidR="00335CB9">
        <w:t>zlepšení</w:t>
      </w:r>
      <w:r w:rsidR="00A974BC">
        <w:t xml:space="preserve"> </w:t>
      </w:r>
      <w:r w:rsidR="002B7E0D">
        <w:t xml:space="preserve">nebo </w:t>
      </w:r>
      <w:r w:rsidR="00A974BC">
        <w:t>udržení aktuálního stavu,</w:t>
      </w:r>
      <w:r w:rsidR="00F00E5F">
        <w:t xml:space="preserve"> </w:t>
      </w:r>
      <w:r w:rsidR="00673AEF">
        <w:t>zachování autonomie</w:t>
      </w:r>
      <w:r w:rsidR="00207D50">
        <w:t>,</w:t>
      </w:r>
      <w:r w:rsidR="0099713C">
        <w:t xml:space="preserve"> soběstačnosti</w:t>
      </w:r>
      <w:r w:rsidR="00CB7A3B">
        <w:t xml:space="preserve"> </w:t>
      </w:r>
      <w:r w:rsidR="00CB7A3B">
        <w:lastRenderedPageBreak/>
        <w:t>a</w:t>
      </w:r>
      <w:r w:rsidR="002B7E0D">
        <w:t> </w:t>
      </w:r>
      <w:r w:rsidR="00207D50">
        <w:t xml:space="preserve">podpora </w:t>
      </w:r>
      <w:r w:rsidR="00CB7A3B">
        <w:t>potřeb</w:t>
      </w:r>
      <w:r w:rsidR="00F809EB">
        <w:t xml:space="preserve"> člověka</w:t>
      </w:r>
      <w:r w:rsidR="001E69ED">
        <w:t xml:space="preserve"> (</w:t>
      </w:r>
      <w:r w:rsidR="006B4EC7">
        <w:t xml:space="preserve">seberealizace, </w:t>
      </w:r>
      <w:r w:rsidR="001D56C3">
        <w:t>psychosociální</w:t>
      </w:r>
      <w:r w:rsidR="006B4EC7">
        <w:t xml:space="preserve"> nebo</w:t>
      </w:r>
      <w:r w:rsidR="00862902">
        <w:t xml:space="preserve"> biologické potřeby aj.</w:t>
      </w:r>
      <w:r w:rsidR="001E69ED">
        <w:t>)</w:t>
      </w:r>
      <w:r w:rsidR="00147740">
        <w:t>, aby se</w:t>
      </w:r>
      <w:r w:rsidR="00C95FF0">
        <w:t xml:space="preserve"> </w:t>
      </w:r>
      <w:r w:rsidR="00BF09A4">
        <w:t xml:space="preserve">geriatrická </w:t>
      </w:r>
      <w:r w:rsidR="00C95FF0">
        <w:t xml:space="preserve">křehkost projevovala </w:t>
      </w:r>
      <w:r w:rsidR="008E4586">
        <w:t>v každodenním životě</w:t>
      </w:r>
      <w:r w:rsidR="003006E7">
        <w:t xml:space="preserve"> </w:t>
      </w:r>
      <w:r w:rsidR="008E4586">
        <w:t xml:space="preserve">co nejméně. </w:t>
      </w:r>
      <w:r w:rsidR="00417869">
        <w:t>Znakem m</w:t>
      </w:r>
      <w:r w:rsidR="00184AF4">
        <w:t>o</w:t>
      </w:r>
      <w:r w:rsidR="00417869">
        <w:t>derní</w:t>
      </w:r>
      <w:r w:rsidR="004204EA">
        <w:t xml:space="preserve"> geriatrie je tak</w:t>
      </w:r>
      <w:r w:rsidR="00E179CF">
        <w:t>t</w:t>
      </w:r>
      <w:r w:rsidR="004204EA">
        <w:t>éž využívání funkčního geriatrického hodnocení (</w:t>
      </w:r>
      <w:r w:rsidR="000F2C58">
        <w:t>baterie různých geriatrických testů</w:t>
      </w:r>
      <w:r w:rsidR="004204EA">
        <w:t>)</w:t>
      </w:r>
      <w:r w:rsidR="008E7730">
        <w:t>, které slouží mj. k plánování kvalitní individualizované péče</w:t>
      </w:r>
      <w:r w:rsidR="009E0E5E">
        <w:t xml:space="preserve"> a k</w:t>
      </w:r>
      <w:r w:rsidR="006A2531">
        <w:t> </w:t>
      </w:r>
      <w:r w:rsidR="009E0E5E">
        <w:t>hodnocení</w:t>
      </w:r>
      <w:r w:rsidR="006A2531">
        <w:t xml:space="preserve"> její efektivity</w:t>
      </w:r>
      <w:r w:rsidR="008E7730">
        <w:t>.</w:t>
      </w:r>
      <w:r w:rsidR="006B007B">
        <w:fldChar w:fldCharType="begin"/>
      </w:r>
      <w:r w:rsidR="009B3709">
        <w:instrText xml:space="preserve"> ADDIN ZOTERO_ITEM CSL_CITATION {"citationID":"OVI3XfF0","properties":{"formattedCitation":"\\super 13(p18,45,51),15(p25,49),18(p19),21(pp9-10)\\nosupersub{}","plainCitation":"13(p18,45,51),15(p25,49),18(p19),21(pp9-10)","noteIndex":0},"citationItems":[{"id":147,"uris":["http://zotero.org/users/9426386/items/QDRTW3RT"],"itemData":{"id":147,"type":"book","event-place":"Praha","ISBN":"978-80-204-3119-6","language":"cs","number-of-pages":"206","publisher":"Mladá fronta","publisher-place":"Praha","title":"Průvodce vyšším věkem: manuál pro seniory a jejich pečovatele","issued":{"date-parts":[["2014"]]}},"locator":"18,45,51","label":"page"},{"id":146,"uris":["http://zotero.org/users/9426386/items/NURTKNTZ"],"itemData":{"id":146,"type":"book","ISBN":"978-80-247-2490-4","language":"cs","title":"Geriatrické syndromy a geriatrický pacient","author":[{"family":"Kalvach","given":"Zdeněk"},{"family":"Zadák","given":"Zdeněk"},{"family":"Jirák","given":"Roman"},{"family":"Zavázalová","given":"Helena"},{"family":"Holmerová","given":"Iva"},{"family":"Weber","given":"Pavel"}],"issued":{"date-parts":[["2008"]]}},"locator":"25,49","label":"page"},{"id":145,"uris":["http://zotero.org/users/9426386/items/MP9PYEQL"],"itemData":{"id":145,"type":"book","event-place":"Praha","ISBN":"978-80-271-3178-5","language":"cs","number-of-pages":"406","publisher":"Grada Publishing","publisher-place":"Praha","title":"Syndrom křehkosti: indikace péče, podpora života v nemoci, komunikační dovednosti","author":[{"family":"Kabelka","given":"Ladislav"},{"family":"Chvílová-Weberová","given":"Magdalena"}],"issued":{"date-parts":[["2022"]]}},"locator":"19","label":"page"},{"id":149,"uris":["http://zotero.org/users/9426386/items/XXYADQEN"],"itemData":{"id":149,"type":"book","event-place":"Praha","ISBN":"978-80-271-0054-5","language":"cs","number-of-pages":"96","publisher":"Grada Publishing","publisher-place":"Praha","title":"Vybrané oblasti a nástroje funkčního geriatrického hodnocení","author":[{"family":"Kuckir","given":"Martina"},{"family":"Vaňková","given":"Hana"},{"family":"Holmerová","given":"Iva"}],"issued":{"date-parts":[["2017"]]}},"locator":"9-10","label":"page"}],"schema":"https://github.com/citation-style-language/schema/raw/master/csl-citation.json"} </w:instrText>
      </w:r>
      <w:r w:rsidR="006B007B">
        <w:fldChar w:fldCharType="separate"/>
      </w:r>
      <w:r w:rsidR="00E87A1C" w:rsidRPr="00E87A1C">
        <w:rPr>
          <w:vertAlign w:val="superscript"/>
        </w:rPr>
        <w:t>13(p18,45,51),15(p25,49),18(p19),21(pp9-10)</w:t>
      </w:r>
      <w:r w:rsidR="006B007B">
        <w:fldChar w:fldCharType="end"/>
      </w:r>
    </w:p>
    <w:p w14:paraId="7973C1BE" w14:textId="7323B81A" w:rsidR="003F3EA2" w:rsidRDefault="007C63D8" w:rsidP="00A11D74">
      <w:pPr>
        <w:pStyle w:val="Dalodstavce"/>
      </w:pPr>
      <w:r>
        <w:t xml:space="preserve">Ve chvíli, kdy je </w:t>
      </w:r>
      <w:r w:rsidR="00543D32">
        <w:t>progrese pacientova onemocnění nezvratná,</w:t>
      </w:r>
      <w:r w:rsidR="003D465F">
        <w:t xml:space="preserve"> přichází do popředí </w:t>
      </w:r>
      <w:r w:rsidR="00B51F77">
        <w:t xml:space="preserve">komplexní </w:t>
      </w:r>
      <w:r w:rsidR="003D465F">
        <w:t>paliativní péče</w:t>
      </w:r>
      <w:r w:rsidR="00005964">
        <w:t>. Její k</w:t>
      </w:r>
      <w:r w:rsidR="00BF3361">
        <w:t>oncept</w:t>
      </w:r>
      <w:r w:rsidR="00012EAB">
        <w:t xml:space="preserve"> v sobě </w:t>
      </w:r>
      <w:r w:rsidR="000B53D6">
        <w:t xml:space="preserve">zahrnuje </w:t>
      </w:r>
      <w:r w:rsidR="00A37C66">
        <w:t>prvky tělesné</w:t>
      </w:r>
      <w:r w:rsidR="00817062">
        <w:t xml:space="preserve"> (zmírnění bolesti</w:t>
      </w:r>
      <w:r w:rsidR="00ED6741">
        <w:t xml:space="preserve"> a dalších symptomů onemocnění</w:t>
      </w:r>
      <w:r w:rsidR="0094657C">
        <w:t xml:space="preserve">, </w:t>
      </w:r>
      <w:r w:rsidR="004734EC">
        <w:t>zajištění komfortu apod.</w:t>
      </w:r>
      <w:r w:rsidR="00817062">
        <w:t>)</w:t>
      </w:r>
      <w:r w:rsidR="00A37C66">
        <w:t>, psychické</w:t>
      </w:r>
      <w:r w:rsidR="0094657C">
        <w:t xml:space="preserve"> (</w:t>
      </w:r>
      <w:r w:rsidR="00CC3118">
        <w:t xml:space="preserve">např. </w:t>
      </w:r>
      <w:r w:rsidR="0094657C">
        <w:t>ochrana lidské důstojnosti</w:t>
      </w:r>
      <w:r w:rsidR="00CC3118">
        <w:t>, prevence strachu</w:t>
      </w:r>
      <w:r w:rsidR="005E4C8E">
        <w:t xml:space="preserve"> </w:t>
      </w:r>
      <w:r w:rsidR="00CC3118">
        <w:t>a beznaděje</w:t>
      </w:r>
      <w:r w:rsidR="0094657C">
        <w:t>)</w:t>
      </w:r>
      <w:r w:rsidR="00A37C66">
        <w:t>, sociální</w:t>
      </w:r>
      <w:r w:rsidR="006E7B01">
        <w:t xml:space="preserve"> (zprostředkovávání mezilidských vztahů</w:t>
      </w:r>
      <w:r w:rsidR="00824616">
        <w:t>, řešení pocitu osamělosti aj.</w:t>
      </w:r>
      <w:r w:rsidR="006E7B01">
        <w:t>)</w:t>
      </w:r>
      <w:r w:rsidR="00A37C66">
        <w:t xml:space="preserve"> i spirituální</w:t>
      </w:r>
      <w:r w:rsidR="00097496">
        <w:t xml:space="preserve"> (</w:t>
      </w:r>
      <w:r w:rsidR="00276867">
        <w:t xml:space="preserve">např. </w:t>
      </w:r>
      <w:r w:rsidR="00D318C0">
        <w:t>hledání smyslu života</w:t>
      </w:r>
      <w:r w:rsidR="00276867">
        <w:t xml:space="preserve"> či </w:t>
      </w:r>
      <w:r w:rsidR="00097496">
        <w:t>uspokojení náboženských potřeb)</w:t>
      </w:r>
      <w:r w:rsidR="00A37C66">
        <w:t xml:space="preserve">. </w:t>
      </w:r>
      <w:r w:rsidR="00613ECF">
        <w:t>Nej</w:t>
      </w:r>
      <w:r w:rsidR="00B3110F">
        <w:t>edná</w:t>
      </w:r>
      <w:r w:rsidR="00613ECF">
        <w:t xml:space="preserve"> se o rezignaci na </w:t>
      </w:r>
      <w:r w:rsidR="007B24A8">
        <w:t xml:space="preserve">jakoukoli </w:t>
      </w:r>
      <w:r w:rsidR="00613ECF">
        <w:t>léčb</w:t>
      </w:r>
      <w:r w:rsidR="007B24A8">
        <w:t>u</w:t>
      </w:r>
      <w:r w:rsidR="00874985">
        <w:t xml:space="preserve">. </w:t>
      </w:r>
      <w:r w:rsidR="00F55A65">
        <w:t>J</w:t>
      </w:r>
      <w:r w:rsidR="007B24A8">
        <w:t xml:space="preserve">de </w:t>
      </w:r>
      <w:r w:rsidR="003F35A5">
        <w:t>o</w:t>
      </w:r>
      <w:r w:rsidR="00F55A65">
        <w:t> </w:t>
      </w:r>
      <w:r w:rsidR="00517403">
        <w:t xml:space="preserve">upřednostnění </w:t>
      </w:r>
      <w:r w:rsidR="003F35A5">
        <w:t>terapi</w:t>
      </w:r>
      <w:r w:rsidR="00517403">
        <w:t>e</w:t>
      </w:r>
      <w:r w:rsidR="003F35A5">
        <w:t xml:space="preserve"> aktuálních symptomů</w:t>
      </w:r>
      <w:r w:rsidR="00517403">
        <w:t xml:space="preserve"> před</w:t>
      </w:r>
      <w:r w:rsidR="00D6301F">
        <w:t xml:space="preserve"> invazivní</w:t>
      </w:r>
      <w:r w:rsidR="0057219D">
        <w:t>mi</w:t>
      </w:r>
      <w:r w:rsidR="00D6301F">
        <w:t xml:space="preserve"> a agresivní</w:t>
      </w:r>
      <w:r w:rsidR="0057219D">
        <w:t>mi</w:t>
      </w:r>
      <w:r w:rsidR="00D6301F">
        <w:t xml:space="preserve"> léč</w:t>
      </w:r>
      <w:r w:rsidR="0057219D">
        <w:t xml:space="preserve">ebnými metodami, které by byly </w:t>
      </w:r>
      <w:r w:rsidR="00673C27">
        <w:t>pro pacienta naopak zatěžující.</w:t>
      </w:r>
      <w:r w:rsidR="00FB521A">
        <w:t xml:space="preserve"> Paliativní péče klade důraz </w:t>
      </w:r>
      <w:r w:rsidR="00FC2BD9">
        <w:t xml:space="preserve">i </w:t>
      </w:r>
      <w:r w:rsidR="00FB521A">
        <w:t>na aktivní komunikaci s</w:t>
      </w:r>
      <w:r w:rsidR="00C2551D">
        <w:t> pacientovou</w:t>
      </w:r>
      <w:r w:rsidR="00FB521A">
        <w:t> rodinou</w:t>
      </w:r>
      <w:r w:rsidR="00BC0F28">
        <w:t>.</w:t>
      </w:r>
      <w:r w:rsidR="00856DF8">
        <w:t xml:space="preserve"> </w:t>
      </w:r>
      <w:r w:rsidR="00E226F4">
        <w:t xml:space="preserve">Prostředím klinické praxe </w:t>
      </w:r>
      <w:r w:rsidR="00BB6B80">
        <w:t>paliativní péče jsou specializovaná zařízení (hospice)</w:t>
      </w:r>
      <w:r w:rsidR="00B61056">
        <w:t>,</w:t>
      </w:r>
      <w:r w:rsidR="001D7CDB">
        <w:t xml:space="preserve"> </w:t>
      </w:r>
      <w:r w:rsidR="00704A0E">
        <w:t>ústavní nemocniční či dlouhodobá péče</w:t>
      </w:r>
      <w:r w:rsidR="00DF79C7">
        <w:t xml:space="preserve"> (léčebny dlouhodobě nemocných, domovy pro seniory apod.)</w:t>
      </w:r>
      <w:r w:rsidR="001D7CDB">
        <w:t>,</w:t>
      </w:r>
      <w:r w:rsidR="00912F9D">
        <w:t xml:space="preserve"> </w:t>
      </w:r>
      <w:r w:rsidR="001D7CDB">
        <w:t>ale také</w:t>
      </w:r>
      <w:r w:rsidR="00B61056">
        <w:t xml:space="preserve"> domácí prostředí </w:t>
      </w:r>
      <w:r w:rsidR="00CF043B">
        <w:t>pacienta s</w:t>
      </w:r>
      <w:r w:rsidR="001D7CDB">
        <w:t> </w:t>
      </w:r>
      <w:r w:rsidR="00CF043B">
        <w:t>pod</w:t>
      </w:r>
      <w:r w:rsidR="001D7CDB">
        <w:t xml:space="preserve">porou pečující rodiny </w:t>
      </w:r>
      <w:r w:rsidR="00B61056">
        <w:t>(mobilní hospice)</w:t>
      </w:r>
      <w:r w:rsidR="00D35C66">
        <w:t>.</w:t>
      </w:r>
      <w:r w:rsidR="000A0D90">
        <w:fldChar w:fldCharType="begin"/>
      </w:r>
      <w:r w:rsidR="009B3709">
        <w:instrText xml:space="preserve"> ADDIN ZOTERO_ITEM CSL_CITATION {"citationID":"1gEulntg","properties":{"formattedCitation":"\\super 12(p417,438),15(pp302-304)\\nosupersub{}","plainCitation":"12(p417,438),15(pp302-304)","noteIndex":0},"citationItems":[{"id":155,"uris":["http://zotero.org/users/9426386/items/D8FB8QGE"],"itemData":{"id":155,"type":"book","edition":"2nd suppl. and updated ed.","event-place":"Praha","ISBN":"978-80-271-0596-0","language":"cze","note":"OCLC: 1078647920","number-of-pages":"492","publisher":"Grada Publishing","publisher-place":"Praha","source":"Open WorldCat","title":"Urgentní medicína v klinické praxi lékaře","author":[{"family":"Šeblová","given":"Jana"},{"family":"Knor","given":"Jiří"}],"issued":{"date-parts":[["2018"]]}},"locator":"417,438","label":"page"},{"id":146,"uris":["http://zotero.org/users/9426386/items/NURTKNTZ"],"itemData":{"id":146,"type":"book","ISBN":"978-80-247-2490-4","language":"cs","title":"Geriatrické syndromy a geriatrický pacient","author":[{"family":"Kalvach","given":"Zdeněk"},{"family":"Zadák","given":"Zdeněk"},{"family":"Jirák","given":"Roman"},{"family":"Zavázalová","given":"Helena"},{"family":"Holmerová","given":"Iva"},{"family":"Weber","given":"Pavel"}],"issued":{"date-parts":[["2008"]]}},"locator":"302-304","label":"page"}],"schema":"https://github.com/citation-style-language/schema/raw/master/csl-citation.json"} </w:instrText>
      </w:r>
      <w:r w:rsidR="000A0D90">
        <w:fldChar w:fldCharType="separate"/>
      </w:r>
      <w:r w:rsidR="00E87A1C" w:rsidRPr="00E87A1C">
        <w:rPr>
          <w:vertAlign w:val="superscript"/>
        </w:rPr>
        <w:t>12(p417,438),15(pp302-304)</w:t>
      </w:r>
      <w:r w:rsidR="000A0D90">
        <w:fldChar w:fldCharType="end"/>
      </w:r>
    </w:p>
    <w:p w14:paraId="6F09790E" w14:textId="647EA583" w:rsidR="007C2E2E" w:rsidRDefault="007960DA" w:rsidP="002E32D6">
      <w:pPr>
        <w:pStyle w:val="Nadpis2"/>
        <w:numPr>
          <w:ilvl w:val="1"/>
          <w:numId w:val="14"/>
        </w:numPr>
      </w:pPr>
      <w:bookmarkStart w:id="15" w:name="_Toc195517107"/>
      <w:r>
        <w:t>Z</w:t>
      </w:r>
      <w:r w:rsidR="0077075E">
        <w:t xml:space="preserve">dravé </w:t>
      </w:r>
      <w:r>
        <w:t xml:space="preserve">a aktivní </w:t>
      </w:r>
      <w:r w:rsidR="0077075E">
        <w:t>stárnutí</w:t>
      </w:r>
      <w:bookmarkEnd w:id="15"/>
    </w:p>
    <w:p w14:paraId="0E39E683" w14:textId="418E294B" w:rsidR="0077075E" w:rsidRDefault="004946BB" w:rsidP="0077075E">
      <w:pPr>
        <w:pStyle w:val="Odstavec1"/>
      </w:pPr>
      <w:r>
        <w:t>Opuštěním pracovního trhu</w:t>
      </w:r>
      <w:r w:rsidR="00FB2B7B">
        <w:t xml:space="preserve"> vstupují senioři do životní etapy</w:t>
      </w:r>
      <w:r w:rsidR="00EA1AA6">
        <w:t>, kter</w:t>
      </w:r>
      <w:r w:rsidR="008E2BE0">
        <w:t>á</w:t>
      </w:r>
      <w:r w:rsidR="00535E32">
        <w:t xml:space="preserve"> v sobě</w:t>
      </w:r>
      <w:r w:rsidR="00EA1AA6">
        <w:t xml:space="preserve"> skýtá řadu pozitiv</w:t>
      </w:r>
      <w:r w:rsidR="00C718BE">
        <w:t>ních příležitostí</w:t>
      </w:r>
      <w:r w:rsidR="006E5656">
        <w:t xml:space="preserve">, </w:t>
      </w:r>
      <w:r w:rsidR="00C718BE">
        <w:t xml:space="preserve">např. </w:t>
      </w:r>
      <w:r w:rsidR="006B7C7A">
        <w:t>prostor pro nové aktivity a seberealizaci</w:t>
      </w:r>
      <w:r w:rsidR="00891C8A">
        <w:t>. Otázkou však zůstává, zda</w:t>
      </w:r>
      <w:r w:rsidR="006403C1">
        <w:t xml:space="preserve"> je dožívání se </w:t>
      </w:r>
      <w:r w:rsidR="00BF4013">
        <w:t>vysokého</w:t>
      </w:r>
      <w:r w:rsidR="006403C1">
        <w:t xml:space="preserve"> věku </w:t>
      </w:r>
      <w:r w:rsidR="004720C5">
        <w:t xml:space="preserve">správně </w:t>
      </w:r>
      <w:r w:rsidR="006403C1">
        <w:t xml:space="preserve">vnímáno samotnými seniory </w:t>
      </w:r>
      <w:r w:rsidR="00A273B9">
        <w:t xml:space="preserve">vždy </w:t>
      </w:r>
      <w:r w:rsidR="006403C1">
        <w:t>jako pozitivní</w:t>
      </w:r>
      <w:r w:rsidR="00B852FA">
        <w:t>.</w:t>
      </w:r>
      <w:r w:rsidR="0098420D">
        <w:t xml:space="preserve"> </w:t>
      </w:r>
      <w:r w:rsidR="006D3336">
        <w:t xml:space="preserve">Závažná </w:t>
      </w:r>
      <w:r w:rsidR="007878B5">
        <w:t xml:space="preserve">funkční </w:t>
      </w:r>
      <w:r w:rsidR="006D3336">
        <w:t>omezení</w:t>
      </w:r>
      <w:r w:rsidR="00A24C0A">
        <w:t>, nízká kvalita života</w:t>
      </w:r>
      <w:r w:rsidR="00354931">
        <w:t xml:space="preserve"> </w:t>
      </w:r>
      <w:r w:rsidR="00200BE5">
        <w:t xml:space="preserve">a nesoběstačnost jsou i ve stáří stále vnímány jako patologie, </w:t>
      </w:r>
      <w:r w:rsidR="006712A4">
        <w:t>tedy</w:t>
      </w:r>
      <w:r w:rsidR="00200BE5">
        <w:t xml:space="preserve"> </w:t>
      </w:r>
      <w:r w:rsidR="006712A4">
        <w:t xml:space="preserve">důsledky neúspěšného procesu stárnutí. </w:t>
      </w:r>
      <w:r w:rsidR="0098420D">
        <w:t>V</w:t>
      </w:r>
      <w:r w:rsidR="00A56C19">
        <w:t xml:space="preserve"> popsaném </w:t>
      </w:r>
      <w:r w:rsidR="0098420D">
        <w:t>kontextu</w:t>
      </w:r>
      <w:r w:rsidR="00D1668E">
        <w:t xml:space="preserve"> </w:t>
      </w:r>
      <w:r w:rsidR="0098420D">
        <w:t>se Světová zdravotnická organizace (dále jen WHO)</w:t>
      </w:r>
      <w:r w:rsidR="007960DA">
        <w:t xml:space="preserve"> ztotožnila s koncepty </w:t>
      </w:r>
      <w:r w:rsidR="00E2227D">
        <w:t xml:space="preserve">tzv. </w:t>
      </w:r>
      <w:r w:rsidR="007960DA">
        <w:t>zdravého a aktivního stárnutí</w:t>
      </w:r>
      <w:r w:rsidR="003B5B61">
        <w:t>.</w:t>
      </w:r>
      <w:r w:rsidR="001707B3" w:rsidRPr="001707B3">
        <w:t xml:space="preserve"> Ačkoli někteří autoři upřednostňují jeden či druhý pojem, v odborných zdrojích zůstávají stále aktuální oba </w:t>
      </w:r>
      <w:r w:rsidR="00842521">
        <w:t xml:space="preserve">použité </w:t>
      </w:r>
      <w:r w:rsidR="001707B3" w:rsidRPr="001707B3">
        <w:t>termíny</w:t>
      </w:r>
      <w:r w:rsidR="008034D8">
        <w:t>.</w:t>
      </w:r>
      <w:r w:rsidR="008704B5">
        <w:fldChar w:fldCharType="begin"/>
      </w:r>
      <w:r w:rsidR="009B3709">
        <w:instrText xml:space="preserve"> ADDIN ZOTERO_ITEM CSL_CITATION {"citationID":"s5ZjpkWB","properties":{"formattedCitation":"\\super 7(p9,15,41),13(p18),17(p479)\\nosupersub{}","plainCitation":"7(p9,15,41),13(p18),17(p479)","noteIndex":0},"citationItems":[{"id":150,"uris":["http://zotero.org/users/9426386/items/KZHM6B4S"],"itemData":{"id":150,"type":"book","event-place":"Praha","ISBN":"978-80-271-0876-3","language":"cs","publisher":"Grada","publisher-place":"Praha","title":"Psychosociální adaptace ve stáří a nemoci","author":[{"family":"Ptáček","given":"Radek"},{"family":"Ptáčková","given":"Hana"}],"issued":{"date-parts":[["2021"]]}},"locator":"9,15,41","label":"page"},{"id":147,"uris":["http://zotero.org/users/9426386/items/QDRTW3RT"],"itemData":{"id":147,"type":"book","event-place":"Praha","ISBN":"978-80-204-3119-6","language":"cs","number-of-pages":"206","publisher":"Mladá fronta","publisher-place":"Praha","title":"Průvodce vyšším věkem: manuál pro seniory a jejich pečovatele","issued":{"date-parts":[["2014"]]}},"locator":"18","label":"page"},{"id":144,"uris":["http://zotero.org/users/9426386/items/SP7IGDR4"],"itemData":{"id":144,"type":"book","event-place":"Praha","ISBN":"978-80-246-3828-7","language":"cs","number-of-pages":"511","publisher":"Karolinum","publisher-place":"Praha","title":"Člověk ve zdraví i v nemoci: podpora zdraví a prevence nemocí ve stáří","author":[{"family":"Čeledová","given":"Libuše"},{"family":"Čevela","given":"Rostislav"}],"issued":{"date-parts":[["2017"]]}},"locator":"479","label":"page"}],"schema":"https://github.com/citation-style-language/schema/raw/master/csl-citation.json"} </w:instrText>
      </w:r>
      <w:r w:rsidR="008704B5">
        <w:fldChar w:fldCharType="separate"/>
      </w:r>
      <w:r w:rsidR="00E87A1C" w:rsidRPr="00E87A1C">
        <w:rPr>
          <w:vertAlign w:val="superscript"/>
        </w:rPr>
        <w:t>7(p9,15,41),13(p18),17(p479)</w:t>
      </w:r>
      <w:r w:rsidR="008704B5">
        <w:fldChar w:fldCharType="end"/>
      </w:r>
    </w:p>
    <w:p w14:paraId="2016A524" w14:textId="130722C9" w:rsidR="00166978" w:rsidRDefault="00166978" w:rsidP="00166978">
      <w:pPr>
        <w:pStyle w:val="Dalodstavce"/>
        <w:rPr>
          <w:color w:val="FF0000"/>
        </w:rPr>
      </w:pPr>
      <w:r>
        <w:t>Zásadním prvkem zdravého a aktivního stárnutí je</w:t>
      </w:r>
      <w:r w:rsidR="00D0240D">
        <w:t xml:space="preserve"> </w:t>
      </w:r>
      <w:r w:rsidR="00CE3D05">
        <w:t xml:space="preserve">funkční perspektiva a </w:t>
      </w:r>
      <w:r w:rsidR="00D0240D">
        <w:t>udržení soběstačnosti</w:t>
      </w:r>
      <w:r w:rsidR="00606F1B">
        <w:t xml:space="preserve"> v průběhu celého života</w:t>
      </w:r>
      <w:r w:rsidR="00EA318D">
        <w:t xml:space="preserve"> člověka</w:t>
      </w:r>
      <w:r w:rsidR="00183C8A">
        <w:t xml:space="preserve">, </w:t>
      </w:r>
      <w:r w:rsidR="00EA318D">
        <w:t>jejichž výsledk</w:t>
      </w:r>
      <w:r w:rsidR="005E5AF6">
        <w:t>em</w:t>
      </w:r>
      <w:r w:rsidR="00EA318D">
        <w:t xml:space="preserve"> budou </w:t>
      </w:r>
      <w:r w:rsidR="005522D5">
        <w:t>pohod</w:t>
      </w:r>
      <w:r w:rsidR="00EA318D">
        <w:t>a</w:t>
      </w:r>
      <w:r w:rsidR="005522D5">
        <w:t xml:space="preserve"> a </w:t>
      </w:r>
      <w:r w:rsidR="00183C8A">
        <w:t>k</w:t>
      </w:r>
      <w:r w:rsidR="00F517B1">
        <w:t>valitní život ve vyšším věku</w:t>
      </w:r>
      <w:r w:rsidR="00FB3AF8">
        <w:t>. S</w:t>
      </w:r>
      <w:r w:rsidR="001C50FF">
        <w:t>počívá v</w:t>
      </w:r>
      <w:r w:rsidR="002855B3">
        <w:t xml:space="preserve"> podpoře zdravého životního stylu, </w:t>
      </w:r>
      <w:r w:rsidR="0086631D">
        <w:t>fyzických a společenských aktivit</w:t>
      </w:r>
      <w:r w:rsidR="00EC3897">
        <w:t xml:space="preserve"> se snahou o</w:t>
      </w:r>
      <w:r w:rsidR="00FB3AF8">
        <w:t> </w:t>
      </w:r>
      <w:r w:rsidR="002F2A7C">
        <w:t xml:space="preserve">omezení či </w:t>
      </w:r>
      <w:r w:rsidR="00D9141F">
        <w:t xml:space="preserve">alespoň </w:t>
      </w:r>
      <w:r w:rsidR="002F2A7C">
        <w:t>oddálení</w:t>
      </w:r>
      <w:r w:rsidR="00D13944">
        <w:t xml:space="preserve"> zdravotních komplikací a</w:t>
      </w:r>
      <w:r w:rsidR="00584AE3">
        <w:t> </w:t>
      </w:r>
      <w:r w:rsidR="00D13944">
        <w:t>onemocnění</w:t>
      </w:r>
      <w:r w:rsidR="0086631D">
        <w:t>.</w:t>
      </w:r>
      <w:r w:rsidR="003A4F15">
        <w:t xml:space="preserve"> </w:t>
      </w:r>
      <w:r w:rsidR="005D25EA">
        <w:t xml:space="preserve">Zdravé a aktivní stárnutí </w:t>
      </w:r>
      <w:r w:rsidR="008617BB">
        <w:t>je více než jen pouhou absen</w:t>
      </w:r>
      <w:r w:rsidR="00751B5A">
        <w:t>cí jakéhokoli onemocnění. Jedná se o</w:t>
      </w:r>
      <w:r w:rsidR="0023054B">
        <w:t xml:space="preserve"> </w:t>
      </w:r>
      <w:r w:rsidR="002A7E0F">
        <w:t>široký</w:t>
      </w:r>
      <w:r w:rsidR="0023054B">
        <w:t xml:space="preserve"> koncept</w:t>
      </w:r>
      <w:r w:rsidR="005E25A5">
        <w:t xml:space="preserve"> napomá</w:t>
      </w:r>
      <w:r w:rsidR="008E3160">
        <w:t>hající</w:t>
      </w:r>
      <w:r w:rsidR="00796130">
        <w:t xml:space="preserve"> předcházet negativním d</w:t>
      </w:r>
      <w:r w:rsidR="005D4A08">
        <w:t>ůsledkům</w:t>
      </w:r>
      <w:r w:rsidR="00796130">
        <w:t xml:space="preserve"> stárnutí populace. </w:t>
      </w:r>
      <w:r w:rsidR="003E41F0">
        <w:t>Byť</w:t>
      </w:r>
      <w:r w:rsidR="00186BEB">
        <w:t xml:space="preserve"> je </w:t>
      </w:r>
      <w:r w:rsidR="00DE435B">
        <w:t>popsaná</w:t>
      </w:r>
      <w:r w:rsidR="0059543C">
        <w:t xml:space="preserve"> vize</w:t>
      </w:r>
      <w:r w:rsidR="00186BEB">
        <w:t xml:space="preserve"> značně závisl</w:t>
      </w:r>
      <w:r w:rsidR="0059543C">
        <w:t>á</w:t>
      </w:r>
      <w:r w:rsidR="00186BEB">
        <w:t xml:space="preserve"> na </w:t>
      </w:r>
      <w:r w:rsidR="000466FC">
        <w:t>soc</w:t>
      </w:r>
      <w:r w:rsidR="00A11C0D">
        <w:t xml:space="preserve">iokulturním a pracovním </w:t>
      </w:r>
      <w:r w:rsidR="00EF2638">
        <w:t>prostředí</w:t>
      </w:r>
      <w:r w:rsidR="00CF3CEC">
        <w:t xml:space="preserve">, </w:t>
      </w:r>
      <w:r w:rsidR="00945747">
        <w:t>j</w:t>
      </w:r>
      <w:r w:rsidR="009C7231">
        <w:t>sou</w:t>
      </w:r>
      <w:r w:rsidR="00945747">
        <w:t xml:space="preserve"> je</w:t>
      </w:r>
      <w:r w:rsidR="00B4033B">
        <w:t>jím</w:t>
      </w:r>
      <w:r w:rsidR="00945747">
        <w:t xml:space="preserve"> nejpodstatnějším článkem</w:t>
      </w:r>
      <w:r w:rsidR="005B745B">
        <w:t xml:space="preserve"> </w:t>
      </w:r>
      <w:r w:rsidR="007716D1">
        <w:t>odpovědný a aktivní přístup každého jedince</w:t>
      </w:r>
      <w:r w:rsidR="009C7231">
        <w:t>.</w:t>
      </w:r>
      <w:r w:rsidR="00FE54B5">
        <w:t xml:space="preserve"> Významnou podpůrnou roli </w:t>
      </w:r>
      <w:r w:rsidR="00715E9F">
        <w:t>může zastávat veřejná politika</w:t>
      </w:r>
      <w:r w:rsidR="009557A8">
        <w:t>, a to</w:t>
      </w:r>
      <w:r w:rsidR="00380EBC">
        <w:t xml:space="preserve"> </w:t>
      </w:r>
      <w:r w:rsidR="009557A8">
        <w:t>na národní</w:t>
      </w:r>
      <w:r w:rsidR="00AB233F">
        <w:fldChar w:fldCharType="begin"/>
      </w:r>
      <w:r w:rsidR="009B3709">
        <w:instrText xml:space="preserve"> ADDIN ZOTERO_ITEM CSL_CITATION {"citationID":"07bT0s81","properties":{"formattedCitation":"\\super 9\\nosupersub{}","plainCitation":"9","noteIndex":0},"citationItems":[{"id":154,"uris":["http://zotero.org/users/9426386/items/7WJBPSRG"],"itemData":{"id":154,"type":"document","language":"cs","publisher":"MPSV ČR","title":"Strategický rámec přípravy na stárnutí společnosti 2021–2025","URL":"https://www.mpsv.cz/strategicky-ramec-pripravy-na-starnuti-spolecnosti-2021-2025","issued":{"date-parts":[["2022",2,2]]}},"label":"page"}],"schema":"https://github.com/citation-style-language/schema/raw/master/csl-citation.json"} </w:instrText>
      </w:r>
      <w:r w:rsidR="00AB233F">
        <w:fldChar w:fldCharType="separate"/>
      </w:r>
      <w:r w:rsidR="00AC70A8" w:rsidRPr="00AC70A8">
        <w:rPr>
          <w:vertAlign w:val="superscript"/>
        </w:rPr>
        <w:t>9</w:t>
      </w:r>
      <w:r w:rsidR="00AB233F">
        <w:fldChar w:fldCharType="end"/>
      </w:r>
      <w:r w:rsidR="009557A8">
        <w:t xml:space="preserve"> </w:t>
      </w:r>
      <w:r w:rsidR="008071A4">
        <w:t>i </w:t>
      </w:r>
      <w:r w:rsidR="009557A8">
        <w:t>nadnárodní</w:t>
      </w:r>
      <w:r w:rsidR="00013002">
        <w:fldChar w:fldCharType="begin"/>
      </w:r>
      <w:r w:rsidR="009B3709">
        <w:instrText xml:space="preserve"> ADDIN ZOTERO_ITEM CSL_CITATION {"citationID":"MVmXEJ9I","properties":{"formattedCitation":"\\super 3\\nosupersub{}","plainCitation":"3","noteIndex":0},"citationItems":[{"id":161,"uris":["http://zotero.org/users/9426386/items/UI2YZEZG"],"itemData":{"id":161,"type":"document","language":"en","publisher":"World Health Organization","title":"UN Decade of Healthy Ageing: Plan of Action 2021-2030","URL":"https://www.who.int/initiatives/decade-of-healthy-ageing","issued":{"date-parts":[["2020",12,14]]}}}],"schema":"https://github.com/citation-style-language/schema/raw/master/csl-citation.json"} </w:instrText>
      </w:r>
      <w:r w:rsidR="00013002">
        <w:fldChar w:fldCharType="separate"/>
      </w:r>
      <w:r w:rsidR="00F846EE" w:rsidRPr="00F846EE">
        <w:rPr>
          <w:vertAlign w:val="superscript"/>
        </w:rPr>
        <w:t>3</w:t>
      </w:r>
      <w:r w:rsidR="00013002">
        <w:fldChar w:fldCharType="end"/>
      </w:r>
      <w:r w:rsidR="009557A8">
        <w:t xml:space="preserve"> úrovni</w:t>
      </w:r>
      <w:r w:rsidR="00715E9F">
        <w:t>.</w:t>
      </w:r>
      <w:r w:rsidR="00B5672E">
        <w:fldChar w:fldCharType="begin"/>
      </w:r>
      <w:r w:rsidR="002A3AC5">
        <w:instrText xml:space="preserve"> ADDIN ZOTERO_ITEM CSL_CITATION {"citationID":"4aNUOtOW","properties":{"formattedCitation":"\\super 4(p15,34-36),7(p14),22(p4,16,24)\\nosupersub{}","plainCitation":"4(p15,34-36),7(p14),22(p4,16,24)","noteIndex":0},"citationItems":[{"id":150,"uris":["http://zotero.org/users/9426386/items/KZHM6B4S"],"itemData":{"id":150,"type":"book","event-place":"Praha","ISBN":"978-80-271-0876-3","language":"cs","publisher":"Grada","publisher-place":"Praha","title":"Psychosociální adaptace ve stáří a nemoci","author":[{"family":"Ptáček","given":"Radek"},{"family":"Ptáčková","given":"Hana"}],"issued":{"date-parts":[["2021"]]}},"locator":"14","label":"page"},{"id":148,"uris":["http://zotero.org/users/9426386/items/9H3AY94L"],"itemData":{"id":148,"type":"book","ISBN":"978-80-204-5489-8","language":"cs","publisher":"Mladá fronta","title":"Aktivní gerontologie aneb Jak stárnout dobře","author":[{"family":"Macháčová","given":"Kateřina"},{"family":"Holmerová","given":"Iva"}],"issued":{"date-parts":[["2019"]]}},"locator":"15,34-36","label":"page"},{"id":162,"uris":["http://zotero.org/users/9426386/items/KWXZV6BA"],"itemData":{"id":162,"type":"document","language":"cs","publisher":"Evropská komise","title":"Zelená kniha o stárnutí: podpora mezigenerační solidarity a odpovědnosti","URL":"https://op.europa.eu/s/zJAO","issued":{"date-parts":[["2021",1,27]]}},"locator":"4,16,24","label":"page"}],"schema":"https://github.com/citation-style-language/schema/raw/master/csl-citation.json"} </w:instrText>
      </w:r>
      <w:r w:rsidR="00B5672E">
        <w:fldChar w:fldCharType="separate"/>
      </w:r>
      <w:r w:rsidR="00AC70A8" w:rsidRPr="00AC70A8">
        <w:rPr>
          <w:vertAlign w:val="superscript"/>
        </w:rPr>
        <w:t>4(p15,34-36),7(p14),22(p4,16,24)</w:t>
      </w:r>
      <w:r w:rsidR="00B5672E">
        <w:fldChar w:fldCharType="end"/>
      </w:r>
    </w:p>
    <w:p w14:paraId="4ADF2DAD" w14:textId="38878220" w:rsidR="008D0409" w:rsidRDefault="001F4DA5" w:rsidP="002E32D6">
      <w:pPr>
        <w:pStyle w:val="Nadpis1"/>
        <w:numPr>
          <w:ilvl w:val="0"/>
          <w:numId w:val="14"/>
        </w:numPr>
      </w:pPr>
      <w:bookmarkStart w:id="16" w:name="_Toc195517108"/>
      <w:r>
        <w:lastRenderedPageBreak/>
        <w:t>Demografické stárnutí lidských populací</w:t>
      </w:r>
      <w:bookmarkEnd w:id="16"/>
    </w:p>
    <w:p w14:paraId="63B2A398" w14:textId="72B60428" w:rsidR="004A791E" w:rsidRDefault="004A791E" w:rsidP="004A791E">
      <w:pPr>
        <w:pStyle w:val="Odstavec1"/>
      </w:pPr>
      <w:r>
        <w:t xml:space="preserve">Na </w:t>
      </w:r>
      <w:r w:rsidR="00D2118D">
        <w:t xml:space="preserve">komplexní </w:t>
      </w:r>
      <w:r w:rsidR="005E43F4">
        <w:t>tema</w:t>
      </w:r>
      <w:r>
        <w:t>tiku stárnutí</w:t>
      </w:r>
      <w:r w:rsidR="00620C9F">
        <w:t xml:space="preserve"> je zapotřebí pohlížet ze dvou základních úhlů pohledu. Prvním je tzv. individuální stárnutí</w:t>
      </w:r>
      <w:r w:rsidR="0089544D">
        <w:t>, které</w:t>
      </w:r>
      <w:r w:rsidR="00994664">
        <w:t>mu</w:t>
      </w:r>
      <w:r w:rsidR="000840F0">
        <w:t xml:space="preserve"> byl</w:t>
      </w:r>
      <w:r w:rsidR="00994664">
        <w:t xml:space="preserve"> věnován </w:t>
      </w:r>
      <w:r w:rsidR="000840F0">
        <w:t>předchozí text.</w:t>
      </w:r>
      <w:r w:rsidR="007E6A58">
        <w:t xml:space="preserve"> </w:t>
      </w:r>
      <w:r w:rsidR="005477D2">
        <w:t>Druhý</w:t>
      </w:r>
      <w:r w:rsidR="001A74C7">
        <w:t>m</w:t>
      </w:r>
      <w:r w:rsidR="005477D2">
        <w:t xml:space="preserve"> přístup</w:t>
      </w:r>
      <w:r w:rsidR="001A74C7">
        <w:t>em je tzv.</w:t>
      </w:r>
      <w:r w:rsidR="00247EF9">
        <w:t xml:space="preserve"> demografické stárnutí,</w:t>
      </w:r>
      <w:r w:rsidR="005477D2">
        <w:t xml:space="preserve"> </w:t>
      </w:r>
      <w:r w:rsidR="001D2E2D">
        <w:t>jež</w:t>
      </w:r>
      <w:r w:rsidR="001A74C7">
        <w:t xml:space="preserve"> </w:t>
      </w:r>
      <w:r w:rsidR="005477D2">
        <w:t>se</w:t>
      </w:r>
      <w:r w:rsidR="00F210E7">
        <w:t xml:space="preserve"> </w:t>
      </w:r>
      <w:r w:rsidR="005477D2">
        <w:t xml:space="preserve">zaměřuje na </w:t>
      </w:r>
      <w:r w:rsidR="009E3941">
        <w:t>celé lidské populace, nikoliv na jednotlivce</w:t>
      </w:r>
      <w:r w:rsidR="003F4AD6">
        <w:t>,</w:t>
      </w:r>
      <w:r w:rsidR="00F210E7">
        <w:t xml:space="preserve"> jako</w:t>
      </w:r>
      <w:r w:rsidR="003F4AD6">
        <w:t xml:space="preserve"> je</w:t>
      </w:r>
      <w:r w:rsidR="00F210E7">
        <w:t xml:space="preserve"> </w:t>
      </w:r>
      <w:r w:rsidR="00C57183">
        <w:t xml:space="preserve">tomu </w:t>
      </w:r>
      <w:r w:rsidR="00856946">
        <w:t xml:space="preserve">u </w:t>
      </w:r>
      <w:r w:rsidR="00F210E7">
        <w:t>stárnutí individuální</w:t>
      </w:r>
      <w:r w:rsidR="00856946">
        <w:t>ho</w:t>
      </w:r>
      <w:r w:rsidR="009E3941">
        <w:t>.</w:t>
      </w:r>
      <w:r w:rsidR="00F608FF">
        <w:t xml:space="preserve"> </w:t>
      </w:r>
      <w:r w:rsidR="00F67F1E">
        <w:t>Jako další odlišnost lze zmínit</w:t>
      </w:r>
      <w:r w:rsidR="002D5FA4">
        <w:t xml:space="preserve">, že </w:t>
      </w:r>
      <w:r w:rsidR="00264D26">
        <w:t>v případě demografického stárnutí může lidská populace omládnout</w:t>
      </w:r>
      <w:r w:rsidR="001360CE">
        <w:t xml:space="preserve"> </w:t>
      </w:r>
      <w:r w:rsidR="00463BD9">
        <w:t>(</w:t>
      </w:r>
      <w:r w:rsidR="001360CE">
        <w:t>pomocí zvýšení podílu mlad</w:t>
      </w:r>
      <w:r w:rsidR="00852EB4">
        <w:t>ých</w:t>
      </w:r>
      <w:r w:rsidR="001360CE">
        <w:t xml:space="preserve"> věkových</w:t>
      </w:r>
      <w:r w:rsidR="00852EB4">
        <w:t xml:space="preserve"> skupin</w:t>
      </w:r>
      <w:r w:rsidR="00463BD9">
        <w:t>),</w:t>
      </w:r>
      <w:r w:rsidR="00852EB4">
        <w:t xml:space="preserve"> </w:t>
      </w:r>
      <w:r w:rsidR="00463BD9">
        <w:t xml:space="preserve">což </w:t>
      </w:r>
      <w:r w:rsidR="00C2533D">
        <w:t xml:space="preserve">však </w:t>
      </w:r>
      <w:r w:rsidR="00463BD9">
        <w:t>u</w:t>
      </w:r>
      <w:r w:rsidR="002D5FA4">
        <w:t xml:space="preserve"> individuální</w:t>
      </w:r>
      <w:r w:rsidR="00463BD9">
        <w:t>ho</w:t>
      </w:r>
      <w:r w:rsidR="002D5FA4">
        <w:t xml:space="preserve"> stárnutí živého organismu</w:t>
      </w:r>
      <w:r w:rsidR="00463BD9">
        <w:t xml:space="preserve"> možné</w:t>
      </w:r>
      <w:r w:rsidR="00024505">
        <w:t xml:space="preserve"> není</w:t>
      </w:r>
      <w:r w:rsidR="00C31DD7">
        <w:t>.</w:t>
      </w:r>
      <w:r w:rsidR="00951E31">
        <w:fldChar w:fldCharType="begin"/>
      </w:r>
      <w:r w:rsidR="009B3709">
        <w:instrText xml:space="preserve"> ADDIN ZOTERO_ITEM CSL_CITATION {"citationID":"nCH8YPBC","properties":{"formattedCitation":"\\super 2(pp24-25),23\\nosupersub{}","plainCitation":"2(pp24-25),23","noteIndex":0},"citationItems":[{"id":142,"uris":["http://zotero.org/users/9426386/items/23ZMXUSV"],"itemData":{"id":142,"type":"article-journal","abstract":"Old age and aging of individuals are phenomenons that took important place in society as early as former times. During twentieth century the question of aging got new meaning, because it newly started to overreach from individual level to all-society. As a result of improvement of some social conditions (f.e. medical care, lifestyle, hygiene, living standard etc.), that was already initiated approximately at the beginning of the nineteenth century, dying started to be moved to higher age and people live longer. In modern societies this event usually goes with decline of natality and fertility. In final effect combination of these two factors causes the process that is known as demographic aging. In general we have to distinction between two views of problems of aging. The first view is focused on individual aging, the second one on demographic aging of human population. But it is clear that both of these views relate to each other. Similarly this article offers the roundup of problems of demographic aging, but also gives a touch of questions about longevity and quality of life, that gain ground in connection with theme of individual aging.","container-title":"NAŠE SPOLEČNOST","issue":"1","language":"cs","page":"24-30","source":"Zotero","title":"Demografické souvislosti stárnutí","volume":"5","author":[{"family":"Dimitrová","given":"Michaela"}],"issued":{"date-parts":[["2007"]]}},"locator":"24-25","label":"page"},{"id":163,"uris":["http://zotero.org/users/9426386/items/3SINXZXE"],"itemData":{"id":163,"type":"webpage","container-title":"Demografický informační portál","language":"cs","title":"Stárnutí","URL":"http://www.demografie.info/?cz_starnuti=","accessed":{"date-parts":[["2024",6,4]]}}}],"schema":"https://github.com/citation-style-language/schema/raw/master/csl-citation.json"} </w:instrText>
      </w:r>
      <w:r w:rsidR="00951E31">
        <w:fldChar w:fldCharType="separate"/>
      </w:r>
      <w:r w:rsidR="00AC70A8" w:rsidRPr="00AC70A8">
        <w:rPr>
          <w:vertAlign w:val="superscript"/>
        </w:rPr>
        <w:t>2(pp24-25),23</w:t>
      </w:r>
      <w:r w:rsidR="00951E31">
        <w:fldChar w:fldCharType="end"/>
      </w:r>
    </w:p>
    <w:p w14:paraId="2484B4BE" w14:textId="013AD3AF" w:rsidR="00706696" w:rsidRDefault="00DA40EF" w:rsidP="003B4D92">
      <w:pPr>
        <w:pStyle w:val="Dalodstavce"/>
      </w:pPr>
      <w:r>
        <w:t xml:space="preserve">Demografické stárnutí </w:t>
      </w:r>
      <w:r w:rsidR="00F54C66">
        <w:t xml:space="preserve">probíhá na podkladě </w:t>
      </w:r>
      <w:r w:rsidR="00D208EF">
        <w:t>změn</w:t>
      </w:r>
      <w:r w:rsidR="00803F0C">
        <w:t xml:space="preserve"> v celkovém zastoupení dětské</w:t>
      </w:r>
      <w:r w:rsidR="009E54F8">
        <w:t xml:space="preserve"> (před</w:t>
      </w:r>
      <w:r w:rsidR="00FB4840">
        <w:t>-</w:t>
      </w:r>
      <w:r w:rsidR="009E54F8">
        <w:t>reprodukční)</w:t>
      </w:r>
      <w:r w:rsidR="00803F0C">
        <w:t xml:space="preserve"> a post</w:t>
      </w:r>
      <w:r w:rsidR="00FB4840">
        <w:t>-</w:t>
      </w:r>
      <w:r w:rsidR="00803F0C">
        <w:t>reprodukční složky</w:t>
      </w:r>
      <w:r w:rsidR="0088621B">
        <w:t xml:space="preserve">, </w:t>
      </w:r>
      <w:r w:rsidR="00BC022D">
        <w:t>kdy</w:t>
      </w:r>
      <w:r w:rsidR="0088621B">
        <w:t xml:space="preserve"> dochází k absolutnímu </w:t>
      </w:r>
      <w:r w:rsidR="0032014A">
        <w:t>i relativnímu nár</w:t>
      </w:r>
      <w:r w:rsidR="00486FB2">
        <w:t>ů</w:t>
      </w:r>
      <w:r w:rsidR="0032014A">
        <w:t xml:space="preserve">stu počtu </w:t>
      </w:r>
      <w:r w:rsidR="005F349E">
        <w:t>seniorů</w:t>
      </w:r>
      <w:r w:rsidR="00F24A95">
        <w:t xml:space="preserve"> </w:t>
      </w:r>
      <w:r w:rsidR="006C0197">
        <w:t xml:space="preserve">v rámci dané populace. </w:t>
      </w:r>
      <w:r w:rsidR="00236E0A">
        <w:t>Vlivem ú</w:t>
      </w:r>
      <w:r w:rsidR="00252C95">
        <w:t>byt</w:t>
      </w:r>
      <w:r w:rsidR="00236E0A">
        <w:t>ku</w:t>
      </w:r>
      <w:r w:rsidR="00252C95">
        <w:t xml:space="preserve"> osob v</w:t>
      </w:r>
      <w:r w:rsidR="00FB4840">
        <w:t> </w:t>
      </w:r>
      <w:r w:rsidR="00252C95">
        <w:t>před</w:t>
      </w:r>
      <w:r w:rsidR="00FB4840">
        <w:t>-</w:t>
      </w:r>
      <w:r w:rsidR="00252C95">
        <w:t xml:space="preserve">reprodukční </w:t>
      </w:r>
      <w:r w:rsidR="00954F5C">
        <w:t>části</w:t>
      </w:r>
      <w:r w:rsidR="00252C95">
        <w:t>, doprovázen</w:t>
      </w:r>
      <w:r w:rsidR="0002609D">
        <w:t>ém</w:t>
      </w:r>
      <w:r w:rsidR="006A0157">
        <w:t xml:space="preserve"> n</w:t>
      </w:r>
      <w:r w:rsidR="004E1EEE">
        <w:t>arůstající post</w:t>
      </w:r>
      <w:r w:rsidR="00FB4840">
        <w:t>-</w:t>
      </w:r>
      <w:r w:rsidR="004E1EEE">
        <w:t>reprodukční</w:t>
      </w:r>
      <w:r w:rsidR="00954F5C">
        <w:t xml:space="preserve"> složkou, </w:t>
      </w:r>
      <w:r w:rsidR="0002609D">
        <w:t xml:space="preserve">tak </w:t>
      </w:r>
      <w:r w:rsidR="00B473C5">
        <w:t>není populaci umožněno dosáhno</w:t>
      </w:r>
      <w:r w:rsidR="00236E0A">
        <w:t>ut přirozené obnovy.</w:t>
      </w:r>
      <w:r w:rsidR="0002609D">
        <w:t xml:space="preserve"> </w:t>
      </w:r>
      <w:r w:rsidR="00DF671B">
        <w:t>Změny mohou být způsobeny dvěma vyvolávajícími faktory</w:t>
      </w:r>
      <w:r w:rsidR="007851BD">
        <w:t xml:space="preserve">, kdy hovoříme o tzv. </w:t>
      </w:r>
      <w:r w:rsidR="000A7EF2">
        <w:t>stárnutí v základně či na vrcholu věkové pyramidy (</w:t>
      </w:r>
      <w:r w:rsidR="00BD7B9C">
        <w:t xml:space="preserve">problematice věkové pyramidy se bude blíže věnovat kapitola </w:t>
      </w:r>
      <w:r w:rsidR="00224806">
        <w:t>3.1.4</w:t>
      </w:r>
      <w:r w:rsidR="000A7EF2">
        <w:t>).</w:t>
      </w:r>
      <w:r w:rsidR="00BD7B9C">
        <w:t xml:space="preserve"> </w:t>
      </w:r>
      <w:r w:rsidR="00613C27">
        <w:t>D</w:t>
      </w:r>
      <w:r w:rsidR="0012033E">
        <w:t>ůsled</w:t>
      </w:r>
      <w:r w:rsidR="008B4AA3">
        <w:t>ky</w:t>
      </w:r>
      <w:r w:rsidR="008976C7">
        <w:t xml:space="preserve"> </w:t>
      </w:r>
      <w:r w:rsidR="004E2867">
        <w:t xml:space="preserve">obvykle </w:t>
      </w:r>
      <w:r w:rsidR="006E1B53">
        <w:t>poklesu</w:t>
      </w:r>
      <w:r w:rsidR="00613C27">
        <w:t xml:space="preserve"> </w:t>
      </w:r>
      <w:r w:rsidR="0012033E">
        <w:t>úrovně plodnosti a porodnosti</w:t>
      </w:r>
      <w:r w:rsidR="002A5A61">
        <w:t xml:space="preserve"> </w:t>
      </w:r>
      <w:r w:rsidR="004E2867">
        <w:t xml:space="preserve">se </w:t>
      </w:r>
      <w:r w:rsidR="002A5A61">
        <w:t>projevuj</w:t>
      </w:r>
      <w:r w:rsidR="008B4AA3">
        <w:t>í</w:t>
      </w:r>
      <w:r w:rsidR="00B92B1F">
        <w:t xml:space="preserve"> relativní</w:t>
      </w:r>
      <w:r w:rsidR="00785483">
        <w:t>m</w:t>
      </w:r>
      <w:r w:rsidR="00B92B1F">
        <w:t xml:space="preserve"> zpomalení</w:t>
      </w:r>
      <w:r w:rsidR="00785483">
        <w:t>m</w:t>
      </w:r>
      <w:r w:rsidR="00B92B1F">
        <w:t xml:space="preserve"> růstu mladších věkových skupin</w:t>
      </w:r>
      <w:r w:rsidR="00785483">
        <w:t xml:space="preserve">, což je označováno jako </w:t>
      </w:r>
      <w:r w:rsidR="00310A5A">
        <w:t xml:space="preserve">stárnutí v základně věkové pyramidy. </w:t>
      </w:r>
      <w:r w:rsidR="00D071FA">
        <w:t>V případě stárnutí na vrcholu věkové pyramidy</w:t>
      </w:r>
      <w:r w:rsidR="009B2623">
        <w:t xml:space="preserve"> dochází </w:t>
      </w:r>
      <w:r w:rsidR="009B2623" w:rsidRPr="00F74108">
        <w:t>k r</w:t>
      </w:r>
      <w:r w:rsidR="00725B8A" w:rsidRPr="00F74108">
        <w:t>ychlejší</w:t>
      </w:r>
      <w:r w:rsidR="00C87141" w:rsidRPr="00F74108">
        <w:t>m</w:t>
      </w:r>
      <w:r w:rsidR="009B2623" w:rsidRPr="00F74108">
        <w:t>u</w:t>
      </w:r>
      <w:r w:rsidR="00EA3C0A" w:rsidRPr="00F74108">
        <w:t xml:space="preserve"> snižování měr úmrtnosti ve vyšší</w:t>
      </w:r>
      <w:r w:rsidR="00EB5440" w:rsidRPr="00F74108">
        <w:t>ch</w:t>
      </w:r>
      <w:r w:rsidR="00EA3C0A" w:rsidRPr="00F74108">
        <w:t xml:space="preserve"> věk</w:t>
      </w:r>
      <w:r w:rsidR="00EB5440" w:rsidRPr="00F74108">
        <w:t>ových kategoriích</w:t>
      </w:r>
      <w:r w:rsidR="009B2623" w:rsidRPr="00F74108">
        <w:t>, což vede</w:t>
      </w:r>
      <w:r w:rsidR="00196D0F" w:rsidRPr="00F74108">
        <w:t xml:space="preserve"> </w:t>
      </w:r>
      <w:r w:rsidR="00530EA5" w:rsidRPr="00F74108">
        <w:t xml:space="preserve">ke zrychlení růstu počtu </w:t>
      </w:r>
      <w:r w:rsidR="001827B6" w:rsidRPr="00F74108">
        <w:t xml:space="preserve">starších </w:t>
      </w:r>
      <w:r w:rsidR="00530EA5" w:rsidRPr="00F74108">
        <w:t>osob</w:t>
      </w:r>
      <w:r w:rsidR="00811666" w:rsidRPr="00F74108">
        <w:t xml:space="preserve">, </w:t>
      </w:r>
      <w:r w:rsidR="00D831C6" w:rsidRPr="00F74108">
        <w:t xml:space="preserve">které se </w:t>
      </w:r>
      <w:r w:rsidR="008F1113" w:rsidRPr="00F74108">
        <w:t xml:space="preserve">tak </w:t>
      </w:r>
      <w:r w:rsidR="00811666" w:rsidRPr="00F74108">
        <w:t>častěji dožívají vyššího a vysokého věku</w:t>
      </w:r>
      <w:r w:rsidR="007239AB" w:rsidRPr="00F74108">
        <w:t>.</w:t>
      </w:r>
      <w:r w:rsidR="006A0584">
        <w:t xml:space="preserve"> </w:t>
      </w:r>
      <w:r w:rsidR="00C85F24">
        <w:t>Ve výsledném obrazu stárnoucí populace se promítají oba zmíněné</w:t>
      </w:r>
      <w:r w:rsidR="007239AB">
        <w:t xml:space="preserve"> </w:t>
      </w:r>
      <w:r w:rsidR="00C85F24">
        <w:t xml:space="preserve">faktory, které </w:t>
      </w:r>
      <w:r w:rsidR="00620792">
        <w:t>zpravidla probíhají současně.</w:t>
      </w:r>
      <w:r w:rsidR="0078211B">
        <w:t xml:space="preserve"> </w:t>
      </w:r>
      <w:r w:rsidR="00617753">
        <w:t>Často ještě bývá zmiňován</w:t>
      </w:r>
      <w:r w:rsidR="009D04AA">
        <w:t xml:space="preserve">o stárnutí ve středu věkové pyramidy, jakožto třetí </w:t>
      </w:r>
      <w:r w:rsidR="00D3330A">
        <w:t>vyvolávající faktor demografického strnutí. Jedná se o</w:t>
      </w:r>
      <w:r w:rsidR="007C7F49">
        <w:t> </w:t>
      </w:r>
      <w:r w:rsidR="00D3330A">
        <w:t>sit</w:t>
      </w:r>
      <w:r w:rsidR="00BA5B9D">
        <w:t xml:space="preserve">uaci, kdy </w:t>
      </w:r>
      <w:r w:rsidR="00D3330A">
        <w:t>populačně silné ročníky vstupují</w:t>
      </w:r>
      <w:r w:rsidR="00BA5B9D">
        <w:t xml:space="preserve"> ve velkém počtu do vyššího věku.</w:t>
      </w:r>
      <w:r w:rsidR="00A82D43">
        <w:t xml:space="preserve"> Jako příklad lze uvést </w:t>
      </w:r>
      <w:r w:rsidR="00B00E2C">
        <w:t>početné poválečné generace</w:t>
      </w:r>
      <w:r w:rsidR="001379F0">
        <w:t xml:space="preserve"> v</w:t>
      </w:r>
      <w:r w:rsidR="000A61FC">
        <w:t xml:space="preserve"> tehdejší </w:t>
      </w:r>
      <w:r w:rsidR="001379F0">
        <w:t>Evropě</w:t>
      </w:r>
      <w:r w:rsidR="00B00E2C">
        <w:t xml:space="preserve">, či </w:t>
      </w:r>
      <w:r w:rsidR="00550420">
        <w:t>silné ročníky ze 70. let minulého století v</w:t>
      </w:r>
      <w:r w:rsidR="00DD3C03">
        <w:t xml:space="preserve"> současné </w:t>
      </w:r>
      <w:r w:rsidR="00550420">
        <w:t>České</w:t>
      </w:r>
      <w:r w:rsidR="007C7F49">
        <w:t xml:space="preserve"> </w:t>
      </w:r>
      <w:r w:rsidR="00DD3C03">
        <w:t>a Slovenské republice.</w:t>
      </w:r>
      <w:r w:rsidR="00627588">
        <w:fldChar w:fldCharType="begin"/>
      </w:r>
      <w:r w:rsidR="009B3709">
        <w:instrText xml:space="preserve"> ADDIN ZOTERO_ITEM CSL_CITATION {"citationID":"3Cb37nln","properties":{"formattedCitation":"\\super 2(p25),23,24(p98)\\nosupersub{}","plainCitation":"2(p25),23,24(p98)","noteIndex":0},"citationItems":[{"id":142,"uris":["http://zotero.org/users/9426386/items/23ZMXUSV"],"itemData":{"id":142,"type":"article-journal","abstract":"Old age and aging of individuals are phenomenons that took important place in society as early as former times. During twentieth century the question of aging got new meaning, because it newly started to overreach from individual level to all-society. As a result of improvement of some social conditions (f.e. medical care, lifestyle, hygiene, living standard etc.), that was already initiated approximately at the beginning of the nineteenth century, dying started to be moved to higher age and people live longer. In modern societies this event usually goes with decline of natality and fertility. In final effect combination of these two factors causes the process that is known as demographic aging. In general we have to distinction between two views of problems of aging. The first view is focused on individual aging, the second one on demographic aging of human population. But it is clear that both of these views relate to each other. Similarly this article offers the roundup of problems of demographic aging, but also gives a touch of questions about longevity and quality of life, that gain ground in connection with theme of individual aging.","container-title":"NAŠE SPOLEČNOST","issue":"1","language":"cs","page":"24-30","source":"Zotero","title":"Demografické souvislosti stárnutí","volume":"5","author":[{"family":"Dimitrová","given":"Michaela"}],"issued":{"date-parts":[["2007"]]}},"locator":"25","label":"page"},{"id":163,"uris":["http://zotero.org/users/9426386/items/3SINXZXE"],"itemData":{"id":163,"type":"webpage","container-title":"Demografický informační portál","language":"cs","title":"Stárnutí","URL":"http://www.demografie.info/?cz_starnuti=","accessed":{"date-parts":[["2024",6,4]]}}},{"id":165,"uris":["http://zotero.org/users/9426386/items/PSGAVW2B"],"itemData":{"id":165,"type":"book","event-place":"Brno","ISBN":"978-80-210-9462-8","language":"cs","note":"OCLC: 1417783767","number-of-pages":"154","publisher":"Masarykova univerzita","publisher-place":"Brno","source":"Open WorldCat","title":"(Geo)Demografie nejen pro ekonomy","author":[{"family":"Kunc","given":"Josef"},{"family":"Jaňurová","given":"Martina"},{"family":"Krajíčková","given":"Aneta"},{"family":"Tonev","given":"Petr"},{"family":"Toušek","given":"Václav"}],"issued":{"date-parts":[["2019"]]}},"locator":"98","label":"page"}],"schema":"https://github.com/citation-style-language/schema/raw/master/csl-citation.json"} </w:instrText>
      </w:r>
      <w:r w:rsidR="00627588">
        <w:fldChar w:fldCharType="separate"/>
      </w:r>
      <w:r w:rsidR="00AC70A8" w:rsidRPr="00AC70A8">
        <w:rPr>
          <w:vertAlign w:val="superscript"/>
        </w:rPr>
        <w:t>2(p25),23,24(p98)</w:t>
      </w:r>
      <w:r w:rsidR="00627588">
        <w:fldChar w:fldCharType="end"/>
      </w:r>
    </w:p>
    <w:p w14:paraId="6472A761" w14:textId="5AC11776" w:rsidR="00D92E22" w:rsidRDefault="00F7081F" w:rsidP="003B4D92">
      <w:pPr>
        <w:pStyle w:val="Dalodstavce"/>
      </w:pPr>
      <w:r>
        <w:t xml:space="preserve">Dnes již </w:t>
      </w:r>
      <w:r w:rsidR="00305210">
        <w:t xml:space="preserve">celosvětově aktuální </w:t>
      </w:r>
      <w:r w:rsidR="00865A07">
        <w:t>tematika</w:t>
      </w:r>
      <w:r w:rsidR="00305210">
        <w:t xml:space="preserve"> </w:t>
      </w:r>
      <w:r w:rsidR="00BD78D2">
        <w:t>demografické</w:t>
      </w:r>
      <w:r w:rsidR="00305210">
        <w:t>ho</w:t>
      </w:r>
      <w:r w:rsidR="00BD78D2">
        <w:t xml:space="preserve"> stárnutí </w:t>
      </w:r>
      <w:r w:rsidR="00FC2EFE">
        <w:t xml:space="preserve">si </w:t>
      </w:r>
      <w:r>
        <w:t xml:space="preserve">začala </w:t>
      </w:r>
      <w:r w:rsidR="00FC2EFE">
        <w:t>získávat pozornost</w:t>
      </w:r>
      <w:r w:rsidR="00865A07">
        <w:t xml:space="preserve"> </w:t>
      </w:r>
      <w:r w:rsidR="00BD78D2">
        <w:t>zhruba v 60. letech 2</w:t>
      </w:r>
      <w:r w:rsidR="006569F4">
        <w:t>0. století</w:t>
      </w:r>
      <w:r w:rsidR="006579E6">
        <w:t xml:space="preserve"> v oblasti severní a západní Evropy.</w:t>
      </w:r>
      <w:r w:rsidR="00DF4072">
        <w:t xml:space="preserve"> Pro </w:t>
      </w:r>
      <w:r w:rsidR="00E16891">
        <w:t xml:space="preserve">lepší </w:t>
      </w:r>
      <w:r w:rsidR="007A5030">
        <w:t>pochopení</w:t>
      </w:r>
      <w:r w:rsidR="009F3728">
        <w:t xml:space="preserve"> </w:t>
      </w:r>
      <w:r w:rsidR="009D28D3">
        <w:t>aktuálního i budoucího demografického vývoje</w:t>
      </w:r>
      <w:r w:rsidR="002C3CA4">
        <w:t xml:space="preserve"> bývají zmiňovány dva významné milníky. Prvním je</w:t>
      </w:r>
      <w:r w:rsidR="0021330C">
        <w:t xml:space="preserve"> </w:t>
      </w:r>
      <w:r w:rsidR="002C3CA4">
        <w:t>tzv. demografick</w:t>
      </w:r>
      <w:r w:rsidR="00C4226D">
        <w:t>á</w:t>
      </w:r>
      <w:r w:rsidR="006D5A8E">
        <w:t xml:space="preserve"> revoluce</w:t>
      </w:r>
      <w:r w:rsidR="002C3CA4">
        <w:t xml:space="preserve"> (</w:t>
      </w:r>
      <w:r w:rsidR="006D5A8E">
        <w:t>též demografický přechod</w:t>
      </w:r>
      <w:r w:rsidR="002C3CA4">
        <w:t>)</w:t>
      </w:r>
      <w:r w:rsidR="00AE62A2">
        <w:t xml:space="preserve">, </w:t>
      </w:r>
      <w:r w:rsidR="005F55DA">
        <w:t>kdy</w:t>
      </w:r>
      <w:r w:rsidR="00AC1122">
        <w:t xml:space="preserve"> došlo</w:t>
      </w:r>
      <w:r w:rsidR="0021330C">
        <w:t>,</w:t>
      </w:r>
      <w:r w:rsidR="004751A0">
        <w:t xml:space="preserve"> </w:t>
      </w:r>
      <w:r w:rsidR="005F55DA">
        <w:t>vlivem</w:t>
      </w:r>
      <w:r w:rsidR="004751A0">
        <w:t xml:space="preserve"> změn na úrovni úmrtnosti</w:t>
      </w:r>
      <w:r w:rsidR="0087572C">
        <w:t>, porodnosti a věkové struktury</w:t>
      </w:r>
      <w:r w:rsidR="0021330C">
        <w:t>,</w:t>
      </w:r>
      <w:r w:rsidR="00AC1122">
        <w:t xml:space="preserve"> </w:t>
      </w:r>
      <w:r w:rsidR="00DB1E7D">
        <w:t>k přeměně charakteru demografické reprodukce</w:t>
      </w:r>
      <w:r w:rsidR="006D5A8E">
        <w:t>.</w:t>
      </w:r>
      <w:r w:rsidR="00A73161">
        <w:t xml:space="preserve"> </w:t>
      </w:r>
      <w:r w:rsidR="00A44354">
        <w:t>Zmíněn</w:t>
      </w:r>
      <w:r w:rsidR="00F719E9">
        <w:t xml:space="preserve">é </w:t>
      </w:r>
      <w:r w:rsidR="00F04585">
        <w:t xml:space="preserve">přechodné </w:t>
      </w:r>
      <w:r w:rsidR="00F719E9">
        <w:t>období demografických procesů</w:t>
      </w:r>
      <w:r w:rsidR="00FD4FA3">
        <w:t xml:space="preserve"> </w:t>
      </w:r>
      <w:r w:rsidR="00656192">
        <w:t>pro</w:t>
      </w:r>
      <w:r w:rsidR="008D15B5">
        <w:t>běhlo</w:t>
      </w:r>
      <w:r w:rsidR="00656192">
        <w:t xml:space="preserve"> u jednotlivých skupin obyvatelstva postupně</w:t>
      </w:r>
      <w:r w:rsidR="00D31914">
        <w:t>.</w:t>
      </w:r>
      <w:r w:rsidR="00452F4D">
        <w:t xml:space="preserve"> Stejně tak i jednotlivé země </w:t>
      </w:r>
      <w:r w:rsidR="00E70A96">
        <w:t>procház</w:t>
      </w:r>
      <w:r w:rsidR="008D15B5">
        <w:t>ely</w:t>
      </w:r>
      <w:r w:rsidR="00E70A96">
        <w:t xml:space="preserve"> </w:t>
      </w:r>
      <w:r w:rsidR="00E56FC6">
        <w:t xml:space="preserve">procesem </w:t>
      </w:r>
      <w:r w:rsidR="00FB6FA2">
        <w:t>diferencovaně</w:t>
      </w:r>
      <w:r w:rsidR="00E56FC6">
        <w:t>, tedy různě rychle</w:t>
      </w:r>
      <w:r w:rsidR="00B44690">
        <w:t xml:space="preserve"> a v různou dobu.</w:t>
      </w:r>
      <w:r w:rsidR="00D31914">
        <w:t xml:space="preserve"> Z t</w:t>
      </w:r>
      <w:r w:rsidR="00B44690">
        <w:t>ěchto</w:t>
      </w:r>
      <w:r w:rsidR="00D31914">
        <w:t xml:space="preserve"> důvod</w:t>
      </w:r>
      <w:r w:rsidR="00B44690">
        <w:t>ů</w:t>
      </w:r>
      <w:r w:rsidR="00D31914">
        <w:t xml:space="preserve"> je počátek </w:t>
      </w:r>
      <w:r w:rsidR="00AC0322">
        <w:t xml:space="preserve">demografické revoluce </w:t>
      </w:r>
      <w:r w:rsidR="00D31914">
        <w:t>obtížněji vymezitelný</w:t>
      </w:r>
      <w:r w:rsidR="00FD6B1B">
        <w:t xml:space="preserve"> (stejně jako je t</w:t>
      </w:r>
      <w:r w:rsidR="002A0EE8">
        <w:t>o</w:t>
      </w:r>
      <w:r w:rsidR="00FD6B1B">
        <w:t>m</w:t>
      </w:r>
      <w:r w:rsidR="00A427C1">
        <w:t>u</w:t>
      </w:r>
      <w:r w:rsidR="00FD6B1B">
        <w:t xml:space="preserve"> v případě druhého demografického přechodu – viz </w:t>
      </w:r>
      <w:r w:rsidR="002A0EE8">
        <w:t>následující text</w:t>
      </w:r>
      <w:r w:rsidR="00FD6B1B">
        <w:t>)</w:t>
      </w:r>
      <w:r w:rsidR="00D31914">
        <w:t xml:space="preserve">. </w:t>
      </w:r>
      <w:r w:rsidR="000254F2">
        <w:t>J</w:t>
      </w:r>
      <w:r w:rsidR="00A427C1">
        <w:t>ako j</w:t>
      </w:r>
      <w:r w:rsidR="000254F2">
        <w:t>eho počát</w:t>
      </w:r>
      <w:r w:rsidR="002B586A">
        <w:t>ek</w:t>
      </w:r>
      <w:r w:rsidR="000254F2">
        <w:t xml:space="preserve"> bývá označován konec 18. století</w:t>
      </w:r>
      <w:r w:rsidR="007C4626">
        <w:t xml:space="preserve">, kdy se ze </w:t>
      </w:r>
      <w:r w:rsidR="000254F2">
        <w:t>zem</w:t>
      </w:r>
      <w:r w:rsidR="007C4626">
        <w:t>í</w:t>
      </w:r>
      <w:r w:rsidR="000254F2">
        <w:t xml:space="preserve"> západní Evropy</w:t>
      </w:r>
      <w:r w:rsidR="007C4626">
        <w:t xml:space="preserve"> </w:t>
      </w:r>
      <w:r w:rsidR="00F505EC">
        <w:t xml:space="preserve">začal </w:t>
      </w:r>
      <w:r w:rsidR="007C4626">
        <w:t>postupně</w:t>
      </w:r>
      <w:r w:rsidR="00F505EC">
        <w:t xml:space="preserve"> </w:t>
      </w:r>
      <w:r w:rsidR="000178DC">
        <w:t>šíř</w:t>
      </w:r>
      <w:r w:rsidR="00F505EC">
        <w:t>it</w:t>
      </w:r>
      <w:r w:rsidR="000178DC">
        <w:t xml:space="preserve"> do dalších vyspělých zemí. </w:t>
      </w:r>
      <w:r w:rsidR="005C1956">
        <w:t>Na území dnešní České republiky</w:t>
      </w:r>
      <w:r w:rsidR="00D77A53">
        <w:t xml:space="preserve"> </w:t>
      </w:r>
      <w:r w:rsidR="00B10EBF">
        <w:t>skončil</w:t>
      </w:r>
      <w:r w:rsidR="00D77A53">
        <w:t xml:space="preserve">, zhruba stoletý proces, </w:t>
      </w:r>
      <w:r w:rsidR="00C7172A">
        <w:t xml:space="preserve">v období </w:t>
      </w:r>
      <w:r w:rsidR="00D77A53">
        <w:t xml:space="preserve">před </w:t>
      </w:r>
      <w:r w:rsidR="00C7172A">
        <w:t>vypuknutím</w:t>
      </w:r>
      <w:r w:rsidR="00D77A53">
        <w:t xml:space="preserve"> druhé světové války. </w:t>
      </w:r>
      <w:r w:rsidR="009A09C1">
        <w:t xml:space="preserve">Podstatou </w:t>
      </w:r>
      <w:r w:rsidR="003F0464">
        <w:lastRenderedPageBreak/>
        <w:t xml:space="preserve">historického </w:t>
      </w:r>
      <w:r w:rsidR="009A09C1">
        <w:t>k</w:t>
      </w:r>
      <w:r w:rsidR="003415FC">
        <w:t>oncept</w:t>
      </w:r>
      <w:r w:rsidR="009A09C1">
        <w:t>u</w:t>
      </w:r>
      <w:r w:rsidR="0020020B">
        <w:t xml:space="preserve"> demografické revoluce</w:t>
      </w:r>
      <w:r w:rsidR="003415FC">
        <w:t>, snažící se zobecnit</w:t>
      </w:r>
      <w:r w:rsidR="00B414DA">
        <w:t xml:space="preserve"> změny růstu počtu obyvatel </w:t>
      </w:r>
      <w:r w:rsidR="00F60CC5">
        <w:t xml:space="preserve">daných populací </w:t>
      </w:r>
      <w:r w:rsidR="00B414DA">
        <w:t>v</w:t>
      </w:r>
      <w:r w:rsidR="00F60CC5">
        <w:t> </w:t>
      </w:r>
      <w:r w:rsidR="00B414DA">
        <w:t>čase</w:t>
      </w:r>
      <w:r w:rsidR="00F60CC5">
        <w:t>,</w:t>
      </w:r>
      <w:r w:rsidR="0020020B">
        <w:t xml:space="preserve"> je tedy pokles úmrtnosti způsobený</w:t>
      </w:r>
      <w:r w:rsidR="00D00380">
        <w:t xml:space="preserve"> pokrokem medicíny a zvyšující se životní úrovní obyvatelstva.</w:t>
      </w:r>
      <w:r w:rsidR="00612CD5">
        <w:t xml:space="preserve"> </w:t>
      </w:r>
      <w:r w:rsidR="0082609D">
        <w:t xml:space="preserve">V </w:t>
      </w:r>
      <w:r w:rsidR="00A34BD3">
        <w:t>druh</w:t>
      </w:r>
      <w:r w:rsidR="0082609D">
        <w:t>ém</w:t>
      </w:r>
      <w:r w:rsidR="00A34BD3">
        <w:t xml:space="preserve"> demografick</w:t>
      </w:r>
      <w:r w:rsidR="0082609D">
        <w:t>ém</w:t>
      </w:r>
      <w:r w:rsidR="00A34BD3">
        <w:t xml:space="preserve"> mezník</w:t>
      </w:r>
      <w:r w:rsidR="0082609D">
        <w:t>u</w:t>
      </w:r>
      <w:r w:rsidR="00A34BD3">
        <w:t>, tzv</w:t>
      </w:r>
      <w:r w:rsidR="000D6BCB">
        <w:t>.</w:t>
      </w:r>
      <w:r w:rsidR="00A34BD3">
        <w:t xml:space="preserve"> druh</w:t>
      </w:r>
      <w:r w:rsidR="00E84CDD">
        <w:t>ém</w:t>
      </w:r>
      <w:r w:rsidR="00A34BD3">
        <w:t xml:space="preserve"> demografick</w:t>
      </w:r>
      <w:r w:rsidR="00E84CDD">
        <w:t>ém</w:t>
      </w:r>
      <w:r w:rsidR="00A34BD3">
        <w:t xml:space="preserve"> přechod</w:t>
      </w:r>
      <w:r w:rsidR="00E84CDD">
        <w:t>u</w:t>
      </w:r>
      <w:r w:rsidR="00A34BD3">
        <w:t xml:space="preserve">, </w:t>
      </w:r>
      <w:r w:rsidR="00D85654">
        <w:t>se k zachované nízké hladině úmrtn</w:t>
      </w:r>
      <w:r w:rsidR="00825EF2">
        <w:t>o</w:t>
      </w:r>
      <w:r w:rsidR="00D85654">
        <w:t>sti</w:t>
      </w:r>
      <w:r w:rsidR="009A5E31">
        <w:t xml:space="preserve"> </w:t>
      </w:r>
      <w:r w:rsidR="009A538C">
        <w:t>(vč. posunu úmrtnosti do vyšších věkových kategorií)</w:t>
      </w:r>
      <w:r w:rsidR="00860FED">
        <w:t xml:space="preserve"> přidává</w:t>
      </w:r>
      <w:r w:rsidR="009A5E31">
        <w:t xml:space="preserve"> snižování porodnosti </w:t>
      </w:r>
      <w:r w:rsidR="00A730B1">
        <w:t xml:space="preserve">a </w:t>
      </w:r>
      <w:r w:rsidR="009A5E31">
        <w:t xml:space="preserve">další charakteristické prvky. </w:t>
      </w:r>
      <w:r w:rsidR="00825EF2">
        <w:t>Těmi jsou</w:t>
      </w:r>
      <w:r w:rsidR="00266351">
        <w:t xml:space="preserve"> posun v</w:t>
      </w:r>
      <w:r w:rsidR="003720B4">
        <w:t xml:space="preserve"> lidských </w:t>
      </w:r>
      <w:r w:rsidR="00266351">
        <w:t xml:space="preserve">hodnotách </w:t>
      </w:r>
      <w:r w:rsidR="003720B4">
        <w:t>s důrazem na seberealizaci jednotlivce</w:t>
      </w:r>
      <w:r w:rsidR="00266351">
        <w:t xml:space="preserve"> (</w:t>
      </w:r>
      <w:r w:rsidR="00361DBA">
        <w:t xml:space="preserve">např. </w:t>
      </w:r>
      <w:r w:rsidR="00D61FBB">
        <w:t>plánování rodičovství</w:t>
      </w:r>
      <w:r w:rsidR="00C56779">
        <w:t>, alternativní formy manželství</w:t>
      </w:r>
      <w:r w:rsidR="00361DBA">
        <w:t xml:space="preserve"> aj.</w:t>
      </w:r>
      <w:r w:rsidR="00266351">
        <w:t>)</w:t>
      </w:r>
      <w:r w:rsidR="001A246F">
        <w:t>, společně s postupným (avšak trvalým) sn</w:t>
      </w:r>
      <w:r w:rsidR="00E84D45">
        <w:t>ižováním</w:t>
      </w:r>
      <w:r w:rsidR="001A246F">
        <w:t xml:space="preserve"> kojenecké úmrtnosti</w:t>
      </w:r>
      <w:r w:rsidR="00E84D45">
        <w:t xml:space="preserve"> </w:t>
      </w:r>
      <w:r w:rsidR="00644178">
        <w:t xml:space="preserve">a </w:t>
      </w:r>
      <w:r w:rsidR="00BB40D6">
        <w:t xml:space="preserve">celosvětově </w:t>
      </w:r>
      <w:r w:rsidR="00644178">
        <w:t>pokračujícím</w:t>
      </w:r>
      <w:r w:rsidR="00801689">
        <w:t xml:space="preserve"> </w:t>
      </w:r>
      <w:r w:rsidR="00876F42">
        <w:t xml:space="preserve">navyšováním </w:t>
      </w:r>
      <w:r w:rsidR="00F777C7">
        <w:t>(nejrychleji v rozvojových zemích)</w:t>
      </w:r>
      <w:r w:rsidR="00801689">
        <w:t xml:space="preserve"> </w:t>
      </w:r>
      <w:r w:rsidR="00540741">
        <w:t>životní úrovně</w:t>
      </w:r>
      <w:r w:rsidR="00957AD1">
        <w:t xml:space="preserve"> obyvatelstva</w:t>
      </w:r>
      <w:r w:rsidR="00F777C7">
        <w:t xml:space="preserve">. </w:t>
      </w:r>
      <w:r w:rsidR="005F56C1">
        <w:t>D</w:t>
      </w:r>
      <w:r w:rsidR="00F1659A">
        <w:t>ruh</w:t>
      </w:r>
      <w:r w:rsidR="005F56C1">
        <w:t>ý</w:t>
      </w:r>
      <w:r w:rsidR="00F1659A">
        <w:t xml:space="preserve"> demografick</w:t>
      </w:r>
      <w:r w:rsidR="005F56C1">
        <w:t>ý</w:t>
      </w:r>
      <w:r w:rsidR="00F1659A">
        <w:t xml:space="preserve"> přechod</w:t>
      </w:r>
      <w:r w:rsidR="005F56C1">
        <w:t xml:space="preserve"> si získává pozornost </w:t>
      </w:r>
      <w:r w:rsidR="0043254F">
        <w:t>v druhé polovině 60. let</w:t>
      </w:r>
      <w:r w:rsidR="007506DB">
        <w:t xml:space="preserve"> a </w:t>
      </w:r>
      <w:r w:rsidR="000A4CBD">
        <w:t xml:space="preserve">na </w:t>
      </w:r>
      <w:r w:rsidR="00737393">
        <w:t xml:space="preserve">našem </w:t>
      </w:r>
      <w:r w:rsidR="000A4CBD">
        <w:t>území</w:t>
      </w:r>
      <w:r w:rsidR="007506DB">
        <w:t xml:space="preserve"> zhruba </w:t>
      </w:r>
      <w:r w:rsidR="00D83EC2">
        <w:t>mezi 80. a 90. lety</w:t>
      </w:r>
      <w:r w:rsidR="00761047">
        <w:t xml:space="preserve"> minulého století</w:t>
      </w:r>
      <w:r w:rsidR="00042905">
        <w:t>.</w:t>
      </w:r>
      <w:r w:rsidR="00AC22CB">
        <w:t xml:space="preserve"> </w:t>
      </w:r>
      <w:r w:rsidR="0062755E">
        <w:t>P</w:t>
      </w:r>
      <w:r w:rsidR="00CF0B2A">
        <w:t>ohled n</w:t>
      </w:r>
      <w:r w:rsidR="000F1A31">
        <w:t>a</w:t>
      </w:r>
      <w:r w:rsidR="00CF0B2A">
        <w:t xml:space="preserve"> </w:t>
      </w:r>
      <w:r w:rsidR="009B1206">
        <w:t>koncept</w:t>
      </w:r>
      <w:r w:rsidR="00985BC7">
        <w:t xml:space="preserve"> druhého demografického přechodu</w:t>
      </w:r>
      <w:r w:rsidR="009B1206">
        <w:t xml:space="preserve"> je však v odborn</w:t>
      </w:r>
      <w:r w:rsidR="00766F7D">
        <w:t xml:space="preserve">ých kruzích </w:t>
      </w:r>
      <w:r w:rsidR="00A51D83">
        <w:t>různorodý</w:t>
      </w:r>
      <w:r w:rsidR="00CF0B2A">
        <w:t>.</w:t>
      </w:r>
      <w:r w:rsidR="00985BC7">
        <w:fldChar w:fldCharType="begin"/>
      </w:r>
      <w:r w:rsidR="009B3709">
        <w:instrText xml:space="preserve"> ADDIN ZOTERO_ITEM CSL_CITATION {"citationID":"SkSS0JYQ","properties":{"formattedCitation":"\\super 2(p25),24(pp90-91,93-94,96)\\nosupersub{}","plainCitation":"2(p25),24(pp90-91,93-94,96)","noteIndex":0},"citationItems":[{"id":142,"uris":["http://zotero.org/users/9426386/items/23ZMXUSV"],"itemData":{"id":142,"type":"article-journal","abstract":"Old age and aging of individuals are phenomenons that took important place in society as early as former times. During twentieth century the question of aging got new meaning, because it newly started to overreach from individual level to all-society. As a result of improvement of some social conditions (f.e. medical care, lifestyle, hygiene, living standard etc.), that was already initiated approximately at the beginning of the nineteenth century, dying started to be moved to higher age and people live longer. In modern societies this event usually goes with decline of natality and fertility. In final effect combination of these two factors causes the process that is known as demographic aging. In general we have to distinction between two views of problems of aging. The first view is focused on individual aging, the second one on demographic aging of human population. But it is clear that both of these views relate to each other. Similarly this article offers the roundup of problems of demographic aging, but also gives a touch of questions about longevity and quality of life, that gain ground in connection with theme of individual aging.","container-title":"NAŠE SPOLEČNOST","issue":"1","language":"cs","page":"24-30","source":"Zotero","title":"Demografické souvislosti stárnutí","volume":"5","author":[{"family":"Dimitrová","given":"Michaela"}],"issued":{"date-parts":[["2007"]]}},"locator":"25","label":"page"},{"id":165,"uris":["http://zotero.org/users/9426386/items/PSGAVW2B"],"itemData":{"id":165,"type":"book","event-place":"Brno","ISBN":"978-80-210-9462-8","language":"cs","note":"OCLC: 1417783767","number-of-pages":"154","publisher":"Masarykova univerzita","publisher-place":"Brno","source":"Open WorldCat","title":"(Geo)Demografie nejen pro ekonomy","author":[{"family":"Kunc","given":"Josef"},{"family":"Jaňurová","given":"Martina"},{"family":"Krajíčková","given":"Aneta"},{"family":"Tonev","given":"Petr"},{"family":"Toušek","given":"Václav"}],"issued":{"date-parts":[["2019"]]}},"locator":"90-91,93-94,96","label":"page"}],"schema":"https://github.com/citation-style-language/schema/raw/master/csl-citation.json"} </w:instrText>
      </w:r>
      <w:r w:rsidR="00985BC7">
        <w:fldChar w:fldCharType="separate"/>
      </w:r>
      <w:r w:rsidR="00AC70A8" w:rsidRPr="00AC70A8">
        <w:rPr>
          <w:vertAlign w:val="superscript"/>
        </w:rPr>
        <w:t>2(p25),24(pp90-91,93-94,96)</w:t>
      </w:r>
      <w:r w:rsidR="00985BC7">
        <w:fldChar w:fldCharType="end"/>
      </w:r>
    </w:p>
    <w:p w14:paraId="5E2767F7" w14:textId="4CDEDDCA" w:rsidR="00145737" w:rsidRDefault="00DC45BC" w:rsidP="004D047A">
      <w:pPr>
        <w:pStyle w:val="Dalodstavce"/>
      </w:pPr>
      <w:r>
        <w:t>V</w:t>
      </w:r>
      <w:r w:rsidR="00780349">
        <w:t>zhledem k</w:t>
      </w:r>
      <w:r w:rsidR="005947BF">
        <w:t xml:space="preserve"> počátkům </w:t>
      </w:r>
      <w:r w:rsidR="00780349">
        <w:t>demografick</w:t>
      </w:r>
      <w:r w:rsidR="005947BF">
        <w:t>ého</w:t>
      </w:r>
      <w:r w:rsidR="00780349">
        <w:t xml:space="preserve"> přechod</w:t>
      </w:r>
      <w:r w:rsidR="005947BF">
        <w:t>u</w:t>
      </w:r>
      <w:r w:rsidR="001220D5">
        <w:t xml:space="preserve"> v</w:t>
      </w:r>
      <w:r w:rsidR="003C7749">
        <w:t> </w:t>
      </w:r>
      <w:r w:rsidR="001220D5">
        <w:t xml:space="preserve">Evropě a </w:t>
      </w:r>
      <w:r w:rsidR="00100606">
        <w:t>následně</w:t>
      </w:r>
      <w:r w:rsidR="000B7407">
        <w:t xml:space="preserve"> </w:t>
      </w:r>
      <w:r w:rsidR="004849D3">
        <w:t xml:space="preserve">v </w:t>
      </w:r>
      <w:r w:rsidR="001220D5">
        <w:t>Severní Americe</w:t>
      </w:r>
      <w:r w:rsidR="007F7FF0">
        <w:t>, je proces stárnutí obyvatelstva nejrozšířenější</w:t>
      </w:r>
      <w:r w:rsidR="00F320E4">
        <w:t xml:space="preserve"> právě v</w:t>
      </w:r>
      <w:r w:rsidR="000B7407">
        <w:t> </w:t>
      </w:r>
      <w:r w:rsidR="00F320E4">
        <w:t>zemích</w:t>
      </w:r>
      <w:r w:rsidR="000B7407">
        <w:t xml:space="preserve"> těchto kontinentů</w:t>
      </w:r>
      <w:r w:rsidR="007F7FF0">
        <w:t xml:space="preserve">. </w:t>
      </w:r>
      <w:r w:rsidR="006360D4">
        <w:t xml:space="preserve">Problematika </w:t>
      </w:r>
      <w:r w:rsidR="00755BA7">
        <w:t>se</w:t>
      </w:r>
      <w:r w:rsidR="00CD06A5">
        <w:t xml:space="preserve"> však</w:t>
      </w:r>
      <w:r w:rsidR="00755BA7">
        <w:t xml:space="preserve"> v různé míře týká</w:t>
      </w:r>
      <w:r w:rsidR="0086538E">
        <w:t>,</w:t>
      </w:r>
      <w:r w:rsidR="00755BA7">
        <w:t xml:space="preserve"> a </w:t>
      </w:r>
      <w:r w:rsidR="00523CD3">
        <w:t xml:space="preserve">nadále </w:t>
      </w:r>
      <w:r w:rsidR="00755BA7">
        <w:t>bude</w:t>
      </w:r>
      <w:r w:rsidR="0086538E">
        <w:t xml:space="preserve"> </w:t>
      </w:r>
      <w:r w:rsidR="00755BA7">
        <w:t>týkat</w:t>
      </w:r>
      <w:r w:rsidR="0086538E">
        <w:t>,</w:t>
      </w:r>
      <w:r w:rsidR="00755BA7">
        <w:t xml:space="preserve"> vše</w:t>
      </w:r>
      <w:r w:rsidR="00F403CA">
        <w:t>ch</w:t>
      </w:r>
      <w:r w:rsidR="00755BA7">
        <w:t xml:space="preserve"> zemí světa</w:t>
      </w:r>
      <w:r w:rsidR="00BC5A1E">
        <w:t>.</w:t>
      </w:r>
      <w:r w:rsidR="00523CD3">
        <w:fldChar w:fldCharType="begin"/>
      </w:r>
      <w:r w:rsidR="009B3709">
        <w:instrText xml:space="preserve"> ADDIN ZOTERO_ITEM CSL_CITATION {"citationID":"eL4UtQ51","properties":{"formattedCitation":"\\super 24(pp97-98,102)\\nosupersub{}","plainCitation":"24(pp97-98,102)","noteIndex":0},"citationItems":[{"id":165,"uris":["http://zotero.org/users/9426386/items/PSGAVW2B"],"itemData":{"id":165,"type":"book","event-place":"Brno","ISBN":"978-80-210-9462-8","language":"cs","note":"OCLC: 1417783767","number-of-pages":"154","publisher":"Masarykova univerzita","publisher-place":"Brno","source":"Open WorldCat","title":"(Geo)Demografie nejen pro ekonomy","author":[{"family":"Kunc","given":"Josef"},{"family":"Jaňurová","given":"Martina"},{"family":"Krajíčková","given":"Aneta"},{"family":"Tonev","given":"Petr"},{"family":"Toušek","given":"Václav"}],"issued":{"date-parts":[["2019"]]}},"locator":"97-98,102","label":"page"}],"schema":"https://github.com/citation-style-language/schema/raw/master/csl-citation.json"} </w:instrText>
      </w:r>
      <w:r w:rsidR="00523CD3">
        <w:fldChar w:fldCharType="separate"/>
      </w:r>
      <w:r w:rsidR="00AC70A8" w:rsidRPr="00AC70A8">
        <w:rPr>
          <w:vertAlign w:val="superscript"/>
        </w:rPr>
        <w:t>24(pp97-98,102)</w:t>
      </w:r>
      <w:r w:rsidR="00523CD3">
        <w:fldChar w:fldCharType="end"/>
      </w:r>
      <w:r w:rsidR="006B2246" w:rsidRPr="006B2246">
        <w:t xml:space="preserve"> </w:t>
      </w:r>
      <w:r w:rsidR="00B87765">
        <w:t>Dle projekce Organizace spojených národů</w:t>
      </w:r>
      <w:r w:rsidR="005509AC">
        <w:fldChar w:fldCharType="begin"/>
      </w:r>
      <w:r w:rsidR="00AC70A8">
        <w:instrText xml:space="preserve"> ADDIN ZOTERO_ITEM CSL_CITATION {"citationID":"YJCHVf9M","properties":{"formattedCitation":"\\super 25\\nosupersub{}","plainCitation":"25","noteIndex":0},"citationItems":[{"id":168,"uris":["http://zotero.org/users/9426386/items/JX4SJ7KN"],"itemData":{"id":168,"type":"webpage","container-title":"United Nations","language":"en","note":"publisher: United Nations","title":"Global Issues: Ageing","URL":"https://www.un.org/en/global-issues/ageing","accessed":{"date-parts":[["2024",6,7]]}},"label":"page"}],"schema":"https://github.com/citation-style-language/schema/raw/master/csl-citation.json"} </w:instrText>
      </w:r>
      <w:r w:rsidR="005509AC">
        <w:fldChar w:fldCharType="separate"/>
      </w:r>
      <w:r w:rsidR="00AC70A8" w:rsidRPr="00AC70A8">
        <w:rPr>
          <w:vertAlign w:val="superscript"/>
        </w:rPr>
        <w:t>25</w:t>
      </w:r>
      <w:r w:rsidR="005509AC">
        <w:fldChar w:fldCharType="end"/>
      </w:r>
      <w:r w:rsidR="004C51FA">
        <w:t xml:space="preserve"> bude</w:t>
      </w:r>
      <w:r w:rsidR="00D060FD">
        <w:t xml:space="preserve"> </w:t>
      </w:r>
      <w:r w:rsidR="008D17F6">
        <w:t xml:space="preserve">v roce 2050 </w:t>
      </w:r>
      <w:r w:rsidR="00D060FD">
        <w:t>populační skupina ve věku 65</w:t>
      </w:r>
      <w:r w:rsidR="004527F0">
        <w:t xml:space="preserve"> </w:t>
      </w:r>
      <w:r w:rsidR="00D060FD">
        <w:t xml:space="preserve">a více </w:t>
      </w:r>
      <w:r w:rsidR="004527F0">
        <w:t xml:space="preserve">let </w:t>
      </w:r>
      <w:r w:rsidR="00D060FD">
        <w:t>zastávat 16 %</w:t>
      </w:r>
      <w:r w:rsidR="00622B42">
        <w:t xml:space="preserve"> z celkového zastoupení světové populace.</w:t>
      </w:r>
      <w:r w:rsidR="00522763">
        <w:t xml:space="preserve"> </w:t>
      </w:r>
      <w:r w:rsidR="001A380C">
        <w:t>Šlo by tak o nár</w:t>
      </w:r>
      <w:r w:rsidR="00486FB2">
        <w:t>ů</w:t>
      </w:r>
      <w:r w:rsidR="001A380C">
        <w:t xml:space="preserve">st z původních 10 % v roce 2022. </w:t>
      </w:r>
      <w:r w:rsidR="001A0815">
        <w:t>V</w:t>
      </w:r>
      <w:r w:rsidR="001446B5">
        <w:t xml:space="preserve"> horizontu </w:t>
      </w:r>
      <w:r w:rsidR="00AE66D4">
        <w:t>následujících dekád</w:t>
      </w:r>
      <w:r w:rsidR="001A0815">
        <w:t xml:space="preserve"> lze očekávat</w:t>
      </w:r>
      <w:r w:rsidR="00AE66D4">
        <w:t xml:space="preserve"> </w:t>
      </w:r>
      <w:r w:rsidR="00C90547">
        <w:t>rychlejší nár</w:t>
      </w:r>
      <w:r w:rsidR="00486FB2">
        <w:t>ů</w:t>
      </w:r>
      <w:r w:rsidR="00C90547">
        <w:t xml:space="preserve">st starší populační složky </w:t>
      </w:r>
      <w:r w:rsidR="00162B45">
        <w:t>v rozvojových zemích</w:t>
      </w:r>
      <w:r w:rsidR="003820EA">
        <w:t>, v porovnání s</w:t>
      </w:r>
      <w:r w:rsidR="00AE66D4">
        <w:t>e zeměmi</w:t>
      </w:r>
      <w:r w:rsidR="003820EA">
        <w:t> rozvinutými</w:t>
      </w:r>
      <w:r w:rsidR="00D35336">
        <w:t xml:space="preserve"> (viz</w:t>
      </w:r>
      <w:r w:rsidR="00CD6491">
        <w:t xml:space="preserve"> </w:t>
      </w:r>
      <w:r w:rsidR="003648D1">
        <w:t>tabul</w:t>
      </w:r>
      <w:r w:rsidR="00CD6491">
        <w:t>ka</w:t>
      </w:r>
      <w:r w:rsidR="003648D1">
        <w:t xml:space="preserve"> č. 1</w:t>
      </w:r>
      <w:r w:rsidR="00D35336">
        <w:t>)</w:t>
      </w:r>
      <w:r w:rsidR="00162B45">
        <w:t>.</w:t>
      </w:r>
      <w:r w:rsidR="003B1ED4">
        <w:t xml:space="preserve"> Na základě současných predikcí lze </w:t>
      </w:r>
      <w:r w:rsidR="00EC2CCA">
        <w:t>nejrychlejší nár</w:t>
      </w:r>
      <w:r w:rsidR="00486FB2">
        <w:t>ů</w:t>
      </w:r>
      <w:r w:rsidR="00EC2CCA">
        <w:t xml:space="preserve">st počtu starších osob </w:t>
      </w:r>
      <w:r w:rsidR="00B544EF">
        <w:t>předpokládat</w:t>
      </w:r>
      <w:r w:rsidR="00EC2CCA">
        <w:t xml:space="preserve"> </w:t>
      </w:r>
      <w:r w:rsidR="00611A28">
        <w:t>na africkém kontinentu</w:t>
      </w:r>
      <w:r w:rsidR="00794DF2">
        <w:t xml:space="preserve"> (</w:t>
      </w:r>
      <w:r w:rsidR="00611A28">
        <w:t>dále pak v Latinské Americe a Asii</w:t>
      </w:r>
      <w:r w:rsidR="00794DF2">
        <w:t>) a naopak nejpomalej</w:t>
      </w:r>
      <w:r w:rsidR="00E6044A">
        <w:t>ší</w:t>
      </w:r>
      <w:r w:rsidR="00794DF2">
        <w:t xml:space="preserve"> v</w:t>
      </w:r>
      <w:r w:rsidR="00D33F44">
        <w:t xml:space="preserve"> již</w:t>
      </w:r>
      <w:r w:rsidR="00DF04B5">
        <w:t xml:space="preserve"> „staré“ </w:t>
      </w:r>
      <w:r w:rsidR="00794DF2">
        <w:t>Evropě</w:t>
      </w:r>
      <w:r w:rsidR="00257947">
        <w:t>.</w:t>
      </w:r>
      <w:r w:rsidR="00D33F44">
        <w:fldChar w:fldCharType="begin"/>
      </w:r>
      <w:r w:rsidR="009B3709">
        <w:instrText xml:space="preserve"> ADDIN ZOTERO_ITEM CSL_CITATION {"citationID":"HD1R6sL9","properties":{"formattedCitation":"\\super 24(p99)\\nosupersub{}","plainCitation":"24(p99)","noteIndex":0},"citationItems":[{"id":165,"uris":["http://zotero.org/users/9426386/items/PSGAVW2B"],"itemData":{"id":165,"type":"book","event-place":"Brno","ISBN":"978-80-210-9462-8","language":"cs","note":"OCLC: 1417783767","number-of-pages":"154","publisher":"Masarykova univerzita","publisher-place":"Brno","source":"Open WorldCat","title":"(Geo)Demografie nejen pro ekonomy","author":[{"family":"Kunc","given":"Josef"},{"family":"Jaňurová","given":"Martina"},{"family":"Krajíčková","given":"Aneta"},{"family":"Tonev","given":"Petr"},{"family":"Toušek","given":"Václav"}],"issued":{"date-parts":[["2019"]]}},"locator":"99","label":"page"}],"schema":"https://github.com/citation-style-language/schema/raw/master/csl-citation.json"} </w:instrText>
      </w:r>
      <w:r w:rsidR="00D33F44">
        <w:fldChar w:fldCharType="separate"/>
      </w:r>
      <w:r w:rsidR="00AC70A8" w:rsidRPr="00AC70A8">
        <w:rPr>
          <w:vertAlign w:val="superscript"/>
        </w:rPr>
        <w:t>24(p99)</w:t>
      </w:r>
      <w:r w:rsidR="00D33F44">
        <w:fldChar w:fldCharType="end"/>
      </w:r>
    </w:p>
    <w:p w14:paraId="465DAED9" w14:textId="1391837F" w:rsidR="00ED3495" w:rsidRDefault="00ED3495" w:rsidP="00ED3495">
      <w:pPr>
        <w:pStyle w:val="Titulektabulky"/>
      </w:pPr>
      <w:bookmarkStart w:id="17" w:name="_Toc195517126"/>
      <w:r>
        <w:t xml:space="preserve">Tab. </w:t>
      </w:r>
      <w:r>
        <w:rPr>
          <w:noProof/>
        </w:rPr>
        <w:fldChar w:fldCharType="begin"/>
      </w:r>
      <w:r>
        <w:rPr>
          <w:noProof/>
        </w:rPr>
        <w:instrText xml:space="preserve"> SEQ Tab. \* ARABIC </w:instrText>
      </w:r>
      <w:r>
        <w:rPr>
          <w:noProof/>
        </w:rPr>
        <w:fldChar w:fldCharType="separate"/>
      </w:r>
      <w:r>
        <w:rPr>
          <w:noProof/>
        </w:rPr>
        <w:t>1</w:t>
      </w:r>
      <w:r>
        <w:rPr>
          <w:noProof/>
        </w:rPr>
        <w:fldChar w:fldCharType="end"/>
      </w:r>
      <w:r>
        <w:t>: Zastoupení osob ve věku 65 let a více ve světových regionech dle stupně rozvoje</w:t>
      </w:r>
      <w:r>
        <w:fldChar w:fldCharType="begin"/>
      </w:r>
      <w:r w:rsidR="00AC70A8">
        <w:instrText xml:space="preserve"> ADDIN ZOTERO_ITEM CSL_CITATION {"citationID":"MIwVcUDB","properties":{"formattedCitation":"\\super 26(p24)\\nosupersub{}","plainCitation":"26(p24)","noteIndex":0},"citationItems":[{"id":166,"uris":["http://zotero.org/users/9426386/items/RL33X43Z"],"itemData":{"id":166,"type":"document","language":"en","note":"publisher: United Nations","publisher":"United Nations, Department of Economic and Social Affairs","source":"www.un-ilibrary.org","title":"World Population Ageing 2023: Challenges and Opportunities of Population Ageing in the Least Developed Countries","title-short":"World Population Ageing 2023","URL":"https://www.un-ilibrary.org/content/books/9789213586747/read","accessed":{"date-parts":[["2024",6,7]]},"issued":{"date-parts":[["2023"]]}},"locator":"24","label":"page"}],"schema":"https://github.com/citation-style-language/schema/raw/master/csl-citation.json"} </w:instrText>
      </w:r>
      <w:r>
        <w:fldChar w:fldCharType="separate"/>
      </w:r>
      <w:bookmarkEnd w:id="17"/>
      <w:r w:rsidR="00AC70A8" w:rsidRPr="00AC70A8">
        <w:rPr>
          <w:vertAlign w:val="superscript"/>
        </w:rPr>
        <w:t>26(p24)</w:t>
      </w:r>
      <w:r>
        <w:fldChar w:fldCharType="end"/>
      </w:r>
    </w:p>
    <w:tbl>
      <w:tblPr>
        <w:tblW w:w="8784" w:type="dxa"/>
        <w:tblCellMar>
          <w:left w:w="70" w:type="dxa"/>
          <w:right w:w="70" w:type="dxa"/>
        </w:tblCellMar>
        <w:tblLook w:val="04A0" w:firstRow="1" w:lastRow="0" w:firstColumn="1" w:lastColumn="0" w:noHBand="0" w:noVBand="1"/>
      </w:tblPr>
      <w:tblGrid>
        <w:gridCol w:w="3114"/>
        <w:gridCol w:w="1417"/>
        <w:gridCol w:w="1418"/>
        <w:gridCol w:w="1417"/>
        <w:gridCol w:w="1418"/>
      </w:tblGrid>
      <w:tr w:rsidR="00ED3495" w:rsidRPr="00F9036D" w14:paraId="76C7CD93" w14:textId="77777777" w:rsidTr="005941ED">
        <w:trPr>
          <w:trHeight w:val="290"/>
        </w:trPr>
        <w:tc>
          <w:tcPr>
            <w:tcW w:w="3114" w:type="dxa"/>
            <w:vMerge w:val="restar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3099892" w14:textId="77777777" w:rsidR="00ED3495" w:rsidRPr="00945FCC" w:rsidRDefault="00ED3495" w:rsidP="005941ED">
            <w:pPr>
              <w:jc w:val="center"/>
              <w:rPr>
                <w:rFonts w:ascii="Arial" w:hAnsi="Arial" w:cs="Arial"/>
                <w:b/>
                <w:bCs/>
                <w:color w:val="000000"/>
              </w:rPr>
            </w:pPr>
            <w:r w:rsidRPr="00945FCC">
              <w:rPr>
                <w:rFonts w:ascii="Arial" w:hAnsi="Arial" w:cs="Arial"/>
                <w:b/>
                <w:bCs/>
                <w:color w:val="000000"/>
              </w:rPr>
              <w:t>Region/Rok</w:t>
            </w:r>
          </w:p>
        </w:tc>
        <w:tc>
          <w:tcPr>
            <w:tcW w:w="2835" w:type="dxa"/>
            <w:gridSpan w:val="2"/>
            <w:tcBorders>
              <w:top w:val="single" w:sz="4" w:space="0" w:color="auto"/>
              <w:left w:val="nil"/>
              <w:bottom w:val="single" w:sz="4" w:space="0" w:color="auto"/>
              <w:right w:val="single" w:sz="4" w:space="0" w:color="auto"/>
            </w:tcBorders>
            <w:shd w:val="clear" w:color="000000" w:fill="DDEBF7"/>
            <w:noWrap/>
            <w:vAlign w:val="center"/>
            <w:hideMark/>
          </w:tcPr>
          <w:p w14:paraId="722ED56E" w14:textId="77777777" w:rsidR="00ED3495" w:rsidRPr="00945FCC" w:rsidRDefault="00ED3495" w:rsidP="005941ED">
            <w:pPr>
              <w:jc w:val="center"/>
              <w:rPr>
                <w:rFonts w:ascii="Arial" w:hAnsi="Arial" w:cs="Arial"/>
                <w:b/>
                <w:bCs/>
                <w:color w:val="000000"/>
              </w:rPr>
            </w:pPr>
            <w:r w:rsidRPr="00945FCC">
              <w:rPr>
                <w:rFonts w:ascii="Arial" w:hAnsi="Arial" w:cs="Arial"/>
                <w:b/>
                <w:bCs/>
                <w:color w:val="000000"/>
              </w:rPr>
              <w:t>2023</w:t>
            </w:r>
          </w:p>
        </w:tc>
        <w:tc>
          <w:tcPr>
            <w:tcW w:w="2835" w:type="dxa"/>
            <w:gridSpan w:val="2"/>
            <w:tcBorders>
              <w:top w:val="single" w:sz="4" w:space="0" w:color="auto"/>
              <w:left w:val="nil"/>
              <w:bottom w:val="single" w:sz="4" w:space="0" w:color="auto"/>
              <w:right w:val="single" w:sz="4" w:space="0" w:color="auto"/>
            </w:tcBorders>
            <w:shd w:val="clear" w:color="000000" w:fill="DDEBF7"/>
            <w:noWrap/>
            <w:vAlign w:val="center"/>
            <w:hideMark/>
          </w:tcPr>
          <w:p w14:paraId="09BEC63D" w14:textId="77777777" w:rsidR="00ED3495" w:rsidRPr="00945FCC" w:rsidRDefault="00ED3495" w:rsidP="005941ED">
            <w:pPr>
              <w:jc w:val="center"/>
              <w:rPr>
                <w:rFonts w:ascii="Arial" w:hAnsi="Arial" w:cs="Arial"/>
                <w:b/>
                <w:bCs/>
                <w:color w:val="000000"/>
              </w:rPr>
            </w:pPr>
            <w:r w:rsidRPr="00945FCC">
              <w:rPr>
                <w:rFonts w:ascii="Arial" w:hAnsi="Arial" w:cs="Arial"/>
                <w:b/>
                <w:bCs/>
                <w:color w:val="000000"/>
              </w:rPr>
              <w:t>2050</w:t>
            </w:r>
          </w:p>
        </w:tc>
      </w:tr>
      <w:tr w:rsidR="00ED3495" w:rsidRPr="00F9036D" w14:paraId="1E30558A" w14:textId="77777777" w:rsidTr="005941ED">
        <w:trPr>
          <w:trHeight w:val="29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6A26822D" w14:textId="77777777" w:rsidR="00ED3495" w:rsidRPr="00945FCC" w:rsidRDefault="00ED3495" w:rsidP="005941ED">
            <w:pPr>
              <w:jc w:val="center"/>
              <w:rPr>
                <w:rFonts w:ascii="Arial" w:hAnsi="Arial" w:cs="Arial"/>
                <w:b/>
                <w:bCs/>
                <w:color w:val="000000"/>
              </w:rPr>
            </w:pPr>
          </w:p>
        </w:tc>
        <w:tc>
          <w:tcPr>
            <w:tcW w:w="1417" w:type="dxa"/>
            <w:tcBorders>
              <w:top w:val="nil"/>
              <w:left w:val="nil"/>
              <w:bottom w:val="single" w:sz="4" w:space="0" w:color="auto"/>
              <w:right w:val="single" w:sz="4" w:space="0" w:color="auto"/>
            </w:tcBorders>
            <w:shd w:val="clear" w:color="000000" w:fill="DDEBF7"/>
            <w:noWrap/>
            <w:vAlign w:val="center"/>
            <w:hideMark/>
          </w:tcPr>
          <w:p w14:paraId="625CE943" w14:textId="77777777" w:rsidR="00ED3495" w:rsidRPr="00945FCC" w:rsidRDefault="00ED3495" w:rsidP="005941ED">
            <w:pPr>
              <w:jc w:val="center"/>
              <w:rPr>
                <w:rFonts w:ascii="Arial" w:hAnsi="Arial" w:cs="Arial"/>
                <w:b/>
                <w:bCs/>
                <w:color w:val="000000"/>
              </w:rPr>
            </w:pPr>
            <w:r w:rsidRPr="00945FCC">
              <w:rPr>
                <w:rFonts w:ascii="Arial" w:hAnsi="Arial" w:cs="Arial"/>
                <w:b/>
                <w:bCs/>
                <w:color w:val="000000"/>
              </w:rPr>
              <w:t>(n)</w:t>
            </w:r>
          </w:p>
        </w:tc>
        <w:tc>
          <w:tcPr>
            <w:tcW w:w="1418" w:type="dxa"/>
            <w:tcBorders>
              <w:top w:val="nil"/>
              <w:left w:val="nil"/>
              <w:bottom w:val="single" w:sz="4" w:space="0" w:color="auto"/>
              <w:right w:val="single" w:sz="4" w:space="0" w:color="auto"/>
            </w:tcBorders>
            <w:shd w:val="clear" w:color="000000" w:fill="DDEBF7"/>
            <w:noWrap/>
            <w:vAlign w:val="center"/>
            <w:hideMark/>
          </w:tcPr>
          <w:p w14:paraId="216DA547" w14:textId="77777777" w:rsidR="00ED3495" w:rsidRPr="00945FCC" w:rsidRDefault="00ED3495" w:rsidP="005941ED">
            <w:pPr>
              <w:jc w:val="center"/>
              <w:rPr>
                <w:rFonts w:ascii="Arial" w:hAnsi="Arial" w:cs="Arial"/>
                <w:b/>
                <w:bCs/>
                <w:color w:val="000000"/>
              </w:rPr>
            </w:pPr>
            <w:r w:rsidRPr="00945FCC">
              <w:rPr>
                <w:rFonts w:ascii="Arial" w:hAnsi="Arial" w:cs="Arial"/>
                <w:b/>
                <w:bCs/>
                <w:color w:val="000000"/>
              </w:rPr>
              <w:t>(%)</w:t>
            </w:r>
          </w:p>
        </w:tc>
        <w:tc>
          <w:tcPr>
            <w:tcW w:w="1417" w:type="dxa"/>
            <w:tcBorders>
              <w:top w:val="nil"/>
              <w:left w:val="nil"/>
              <w:bottom w:val="single" w:sz="4" w:space="0" w:color="auto"/>
              <w:right w:val="single" w:sz="4" w:space="0" w:color="auto"/>
            </w:tcBorders>
            <w:shd w:val="clear" w:color="000000" w:fill="DDEBF7"/>
            <w:noWrap/>
            <w:vAlign w:val="center"/>
            <w:hideMark/>
          </w:tcPr>
          <w:p w14:paraId="066A6AE4" w14:textId="77777777" w:rsidR="00ED3495" w:rsidRPr="00945FCC" w:rsidRDefault="00ED3495" w:rsidP="005941ED">
            <w:pPr>
              <w:jc w:val="center"/>
              <w:rPr>
                <w:rFonts w:ascii="Arial" w:hAnsi="Arial" w:cs="Arial"/>
                <w:b/>
                <w:bCs/>
                <w:color w:val="000000"/>
              </w:rPr>
            </w:pPr>
            <w:r w:rsidRPr="00945FCC">
              <w:rPr>
                <w:rFonts w:ascii="Arial" w:hAnsi="Arial" w:cs="Arial"/>
                <w:b/>
                <w:bCs/>
                <w:color w:val="000000"/>
              </w:rPr>
              <w:t>(n)</w:t>
            </w:r>
          </w:p>
        </w:tc>
        <w:tc>
          <w:tcPr>
            <w:tcW w:w="1418" w:type="dxa"/>
            <w:tcBorders>
              <w:top w:val="nil"/>
              <w:left w:val="nil"/>
              <w:bottom w:val="single" w:sz="4" w:space="0" w:color="auto"/>
              <w:right w:val="single" w:sz="4" w:space="0" w:color="auto"/>
            </w:tcBorders>
            <w:shd w:val="clear" w:color="000000" w:fill="DDEBF7"/>
            <w:noWrap/>
            <w:vAlign w:val="center"/>
            <w:hideMark/>
          </w:tcPr>
          <w:p w14:paraId="3B9354FE" w14:textId="77777777" w:rsidR="00ED3495" w:rsidRPr="00945FCC" w:rsidRDefault="00ED3495" w:rsidP="005941ED">
            <w:pPr>
              <w:jc w:val="center"/>
              <w:rPr>
                <w:rFonts w:ascii="Arial" w:hAnsi="Arial" w:cs="Arial"/>
                <w:b/>
                <w:bCs/>
                <w:color w:val="000000"/>
              </w:rPr>
            </w:pPr>
            <w:r w:rsidRPr="00945FCC">
              <w:rPr>
                <w:rFonts w:ascii="Arial" w:hAnsi="Arial" w:cs="Arial"/>
                <w:b/>
                <w:bCs/>
                <w:color w:val="000000"/>
              </w:rPr>
              <w:t>(%)</w:t>
            </w:r>
          </w:p>
        </w:tc>
      </w:tr>
      <w:tr w:rsidR="00ED3495" w:rsidRPr="00F9036D" w14:paraId="1680266B" w14:textId="77777777" w:rsidTr="005941ED">
        <w:trPr>
          <w:trHeight w:val="29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3F4E4AA0" w14:textId="77777777" w:rsidR="00ED3495" w:rsidRPr="00945FCC" w:rsidRDefault="00ED3495" w:rsidP="005941ED">
            <w:pPr>
              <w:jc w:val="center"/>
              <w:rPr>
                <w:rFonts w:ascii="Arial" w:hAnsi="Arial" w:cs="Arial"/>
                <w:color w:val="000000"/>
              </w:rPr>
            </w:pPr>
            <w:r w:rsidRPr="00945FCC">
              <w:rPr>
                <w:rFonts w:ascii="Arial" w:hAnsi="Arial" w:cs="Arial"/>
                <w:color w:val="000000"/>
              </w:rPr>
              <w:t>Rozvinuté země</w:t>
            </w:r>
          </w:p>
        </w:tc>
        <w:tc>
          <w:tcPr>
            <w:tcW w:w="1417" w:type="dxa"/>
            <w:tcBorders>
              <w:top w:val="nil"/>
              <w:left w:val="nil"/>
              <w:bottom w:val="single" w:sz="4" w:space="0" w:color="auto"/>
              <w:right w:val="single" w:sz="4" w:space="0" w:color="auto"/>
            </w:tcBorders>
            <w:shd w:val="clear" w:color="auto" w:fill="auto"/>
            <w:noWrap/>
            <w:vAlign w:val="center"/>
            <w:hideMark/>
          </w:tcPr>
          <w:p w14:paraId="3991BE82" w14:textId="77777777" w:rsidR="00ED3495" w:rsidRPr="00945FCC" w:rsidRDefault="00ED3495" w:rsidP="005941ED">
            <w:pPr>
              <w:jc w:val="center"/>
              <w:rPr>
                <w:rFonts w:ascii="Arial" w:hAnsi="Arial" w:cs="Arial"/>
                <w:color w:val="000000"/>
              </w:rPr>
            </w:pPr>
            <w:r w:rsidRPr="00945FCC">
              <w:rPr>
                <w:rFonts w:ascii="Arial" w:hAnsi="Arial" w:cs="Arial"/>
                <w:color w:val="000000"/>
              </w:rPr>
              <w:t>258 311</w:t>
            </w:r>
          </w:p>
        </w:tc>
        <w:tc>
          <w:tcPr>
            <w:tcW w:w="1418" w:type="dxa"/>
            <w:tcBorders>
              <w:top w:val="nil"/>
              <w:left w:val="nil"/>
              <w:bottom w:val="single" w:sz="4" w:space="0" w:color="auto"/>
              <w:right w:val="single" w:sz="4" w:space="0" w:color="auto"/>
            </w:tcBorders>
            <w:shd w:val="clear" w:color="auto" w:fill="auto"/>
            <w:noWrap/>
            <w:vAlign w:val="center"/>
            <w:hideMark/>
          </w:tcPr>
          <w:p w14:paraId="274647A9" w14:textId="77777777" w:rsidR="00ED3495" w:rsidRPr="00945FCC" w:rsidRDefault="00ED3495" w:rsidP="005941ED">
            <w:pPr>
              <w:jc w:val="center"/>
              <w:rPr>
                <w:rFonts w:ascii="Arial" w:hAnsi="Arial" w:cs="Arial"/>
                <w:color w:val="000000"/>
              </w:rPr>
            </w:pPr>
            <w:r w:rsidRPr="00945FCC">
              <w:rPr>
                <w:rFonts w:ascii="Arial" w:hAnsi="Arial" w:cs="Arial"/>
                <w:color w:val="000000"/>
              </w:rPr>
              <w:t>20,2</w:t>
            </w:r>
          </w:p>
        </w:tc>
        <w:tc>
          <w:tcPr>
            <w:tcW w:w="1417" w:type="dxa"/>
            <w:tcBorders>
              <w:top w:val="nil"/>
              <w:left w:val="nil"/>
              <w:bottom w:val="single" w:sz="4" w:space="0" w:color="auto"/>
              <w:right w:val="single" w:sz="4" w:space="0" w:color="auto"/>
            </w:tcBorders>
            <w:shd w:val="clear" w:color="auto" w:fill="auto"/>
            <w:noWrap/>
            <w:vAlign w:val="center"/>
            <w:hideMark/>
          </w:tcPr>
          <w:p w14:paraId="4E37EE58" w14:textId="77777777" w:rsidR="00ED3495" w:rsidRPr="00945FCC" w:rsidRDefault="00ED3495" w:rsidP="005941ED">
            <w:pPr>
              <w:jc w:val="center"/>
              <w:rPr>
                <w:rFonts w:ascii="Arial" w:hAnsi="Arial" w:cs="Arial"/>
                <w:color w:val="000000"/>
              </w:rPr>
            </w:pPr>
            <w:r w:rsidRPr="00945FCC">
              <w:rPr>
                <w:rFonts w:ascii="Arial" w:hAnsi="Arial" w:cs="Arial"/>
                <w:color w:val="000000"/>
              </w:rPr>
              <w:t>351 500</w:t>
            </w:r>
          </w:p>
        </w:tc>
        <w:tc>
          <w:tcPr>
            <w:tcW w:w="1418" w:type="dxa"/>
            <w:tcBorders>
              <w:top w:val="nil"/>
              <w:left w:val="nil"/>
              <w:bottom w:val="single" w:sz="4" w:space="0" w:color="auto"/>
              <w:right w:val="single" w:sz="4" w:space="0" w:color="auto"/>
            </w:tcBorders>
            <w:shd w:val="clear" w:color="auto" w:fill="auto"/>
            <w:noWrap/>
            <w:vAlign w:val="center"/>
            <w:hideMark/>
          </w:tcPr>
          <w:p w14:paraId="52BF788A" w14:textId="77777777" w:rsidR="00ED3495" w:rsidRPr="00945FCC" w:rsidRDefault="00ED3495" w:rsidP="005941ED">
            <w:pPr>
              <w:jc w:val="center"/>
              <w:rPr>
                <w:rFonts w:ascii="Arial" w:hAnsi="Arial" w:cs="Arial"/>
                <w:color w:val="000000"/>
              </w:rPr>
            </w:pPr>
            <w:r w:rsidRPr="00945FCC">
              <w:rPr>
                <w:rFonts w:ascii="Arial" w:hAnsi="Arial" w:cs="Arial"/>
                <w:color w:val="000000"/>
              </w:rPr>
              <w:t>27,8</w:t>
            </w:r>
          </w:p>
        </w:tc>
      </w:tr>
      <w:tr w:rsidR="00ED3495" w:rsidRPr="00F9036D" w14:paraId="59A61058" w14:textId="77777777" w:rsidTr="005941ED">
        <w:trPr>
          <w:trHeight w:val="29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4D4E9A02" w14:textId="77777777" w:rsidR="00ED3495" w:rsidRPr="00945FCC" w:rsidRDefault="00ED3495" w:rsidP="005941ED">
            <w:pPr>
              <w:jc w:val="center"/>
              <w:rPr>
                <w:rFonts w:ascii="Arial" w:hAnsi="Arial" w:cs="Arial"/>
                <w:color w:val="000000"/>
              </w:rPr>
            </w:pPr>
            <w:r w:rsidRPr="00945FCC">
              <w:rPr>
                <w:rFonts w:ascii="Arial" w:hAnsi="Arial" w:cs="Arial"/>
                <w:color w:val="000000"/>
              </w:rPr>
              <w:t>Rozvojové země</w:t>
            </w:r>
          </w:p>
        </w:tc>
        <w:tc>
          <w:tcPr>
            <w:tcW w:w="1417" w:type="dxa"/>
            <w:tcBorders>
              <w:top w:val="nil"/>
              <w:left w:val="nil"/>
              <w:bottom w:val="single" w:sz="4" w:space="0" w:color="auto"/>
              <w:right w:val="single" w:sz="4" w:space="0" w:color="auto"/>
            </w:tcBorders>
            <w:shd w:val="clear" w:color="auto" w:fill="auto"/>
            <w:noWrap/>
            <w:vAlign w:val="center"/>
            <w:hideMark/>
          </w:tcPr>
          <w:p w14:paraId="5B770EF9" w14:textId="77777777" w:rsidR="00ED3495" w:rsidRPr="00945FCC" w:rsidRDefault="00ED3495" w:rsidP="005941ED">
            <w:pPr>
              <w:jc w:val="center"/>
              <w:rPr>
                <w:rFonts w:ascii="Arial" w:hAnsi="Arial" w:cs="Arial"/>
                <w:color w:val="000000"/>
              </w:rPr>
            </w:pPr>
            <w:r w:rsidRPr="00945FCC">
              <w:rPr>
                <w:rFonts w:ascii="Arial" w:hAnsi="Arial" w:cs="Arial"/>
                <w:color w:val="000000"/>
              </w:rPr>
              <w:t>506 841</w:t>
            </w:r>
          </w:p>
        </w:tc>
        <w:tc>
          <w:tcPr>
            <w:tcW w:w="1418" w:type="dxa"/>
            <w:tcBorders>
              <w:top w:val="nil"/>
              <w:left w:val="nil"/>
              <w:bottom w:val="single" w:sz="4" w:space="0" w:color="auto"/>
              <w:right w:val="single" w:sz="4" w:space="0" w:color="auto"/>
            </w:tcBorders>
            <w:shd w:val="clear" w:color="auto" w:fill="auto"/>
            <w:noWrap/>
            <w:vAlign w:val="center"/>
            <w:hideMark/>
          </w:tcPr>
          <w:p w14:paraId="018654E8" w14:textId="77777777" w:rsidR="00ED3495" w:rsidRPr="00945FCC" w:rsidRDefault="00ED3495" w:rsidP="005941ED">
            <w:pPr>
              <w:jc w:val="center"/>
              <w:rPr>
                <w:rFonts w:ascii="Arial" w:hAnsi="Arial" w:cs="Arial"/>
                <w:color w:val="000000"/>
              </w:rPr>
            </w:pPr>
            <w:r w:rsidRPr="00945FCC">
              <w:rPr>
                <w:rFonts w:ascii="Arial" w:hAnsi="Arial" w:cs="Arial"/>
                <w:color w:val="000000"/>
              </w:rPr>
              <w:t>9,0</w:t>
            </w:r>
          </w:p>
        </w:tc>
        <w:tc>
          <w:tcPr>
            <w:tcW w:w="1417" w:type="dxa"/>
            <w:tcBorders>
              <w:top w:val="nil"/>
              <w:left w:val="nil"/>
              <w:bottom w:val="single" w:sz="4" w:space="0" w:color="auto"/>
              <w:right w:val="single" w:sz="4" w:space="0" w:color="auto"/>
            </w:tcBorders>
            <w:shd w:val="clear" w:color="auto" w:fill="auto"/>
            <w:noWrap/>
            <w:vAlign w:val="center"/>
            <w:hideMark/>
          </w:tcPr>
          <w:p w14:paraId="1973F1B8" w14:textId="77777777" w:rsidR="00ED3495" w:rsidRPr="00945FCC" w:rsidRDefault="00ED3495" w:rsidP="005941ED">
            <w:pPr>
              <w:jc w:val="center"/>
              <w:rPr>
                <w:rFonts w:ascii="Arial" w:hAnsi="Arial" w:cs="Arial"/>
                <w:color w:val="000000"/>
              </w:rPr>
            </w:pPr>
            <w:r w:rsidRPr="00945FCC">
              <w:rPr>
                <w:rFonts w:ascii="Arial" w:hAnsi="Arial" w:cs="Arial"/>
                <w:color w:val="000000"/>
              </w:rPr>
              <w:t>1 132 877</w:t>
            </w:r>
          </w:p>
        </w:tc>
        <w:tc>
          <w:tcPr>
            <w:tcW w:w="1418" w:type="dxa"/>
            <w:tcBorders>
              <w:top w:val="nil"/>
              <w:left w:val="nil"/>
              <w:bottom w:val="single" w:sz="4" w:space="0" w:color="auto"/>
              <w:right w:val="single" w:sz="4" w:space="0" w:color="auto"/>
            </w:tcBorders>
            <w:shd w:val="clear" w:color="auto" w:fill="auto"/>
            <w:noWrap/>
            <w:vAlign w:val="center"/>
            <w:hideMark/>
          </w:tcPr>
          <w:p w14:paraId="100CE47C" w14:textId="77777777" w:rsidR="00ED3495" w:rsidRPr="00945FCC" w:rsidRDefault="00ED3495" w:rsidP="005941ED">
            <w:pPr>
              <w:jc w:val="center"/>
              <w:rPr>
                <w:rFonts w:ascii="Arial" w:hAnsi="Arial" w:cs="Arial"/>
                <w:color w:val="000000"/>
              </w:rPr>
            </w:pPr>
            <w:r w:rsidRPr="00945FCC">
              <w:rPr>
                <w:rFonts w:ascii="Arial" w:hAnsi="Arial" w:cs="Arial"/>
                <w:color w:val="000000"/>
              </w:rPr>
              <w:t>17,4</w:t>
            </w:r>
          </w:p>
        </w:tc>
      </w:tr>
      <w:tr w:rsidR="00ED3495" w:rsidRPr="00F9036D" w14:paraId="59DA4C8C" w14:textId="77777777" w:rsidTr="005941ED">
        <w:trPr>
          <w:trHeight w:val="29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52CDF75E" w14:textId="77777777" w:rsidR="00ED3495" w:rsidRPr="00945FCC" w:rsidRDefault="00ED3495" w:rsidP="005941ED">
            <w:pPr>
              <w:jc w:val="center"/>
              <w:rPr>
                <w:rFonts w:ascii="Arial" w:hAnsi="Arial" w:cs="Arial"/>
                <w:color w:val="000000"/>
              </w:rPr>
            </w:pPr>
            <w:r w:rsidRPr="00945FCC">
              <w:rPr>
                <w:rFonts w:ascii="Arial" w:hAnsi="Arial" w:cs="Arial"/>
                <w:color w:val="000000"/>
              </w:rPr>
              <w:t>Nejméně rozvinuté země</w:t>
            </w:r>
          </w:p>
        </w:tc>
        <w:tc>
          <w:tcPr>
            <w:tcW w:w="1417" w:type="dxa"/>
            <w:tcBorders>
              <w:top w:val="nil"/>
              <w:left w:val="nil"/>
              <w:bottom w:val="single" w:sz="4" w:space="0" w:color="auto"/>
              <w:right w:val="single" w:sz="4" w:space="0" w:color="auto"/>
            </w:tcBorders>
            <w:shd w:val="clear" w:color="auto" w:fill="auto"/>
            <w:noWrap/>
            <w:vAlign w:val="center"/>
            <w:hideMark/>
          </w:tcPr>
          <w:p w14:paraId="4297A8D1" w14:textId="77777777" w:rsidR="00ED3495" w:rsidRPr="00945FCC" w:rsidRDefault="00ED3495" w:rsidP="005941ED">
            <w:pPr>
              <w:jc w:val="center"/>
              <w:rPr>
                <w:rFonts w:ascii="Arial" w:hAnsi="Arial" w:cs="Arial"/>
                <w:color w:val="000000"/>
              </w:rPr>
            </w:pPr>
            <w:r w:rsidRPr="00945FCC">
              <w:rPr>
                <w:rFonts w:ascii="Arial" w:hAnsi="Arial" w:cs="Arial"/>
                <w:color w:val="000000"/>
              </w:rPr>
              <w:t>42 637</w:t>
            </w:r>
          </w:p>
        </w:tc>
        <w:tc>
          <w:tcPr>
            <w:tcW w:w="1418" w:type="dxa"/>
            <w:tcBorders>
              <w:top w:val="nil"/>
              <w:left w:val="nil"/>
              <w:bottom w:val="single" w:sz="4" w:space="0" w:color="auto"/>
              <w:right w:val="single" w:sz="4" w:space="0" w:color="auto"/>
            </w:tcBorders>
            <w:shd w:val="clear" w:color="auto" w:fill="auto"/>
            <w:noWrap/>
            <w:vAlign w:val="center"/>
            <w:hideMark/>
          </w:tcPr>
          <w:p w14:paraId="4F342155" w14:textId="77777777" w:rsidR="00ED3495" w:rsidRPr="00945FCC" w:rsidRDefault="00ED3495" w:rsidP="005941ED">
            <w:pPr>
              <w:jc w:val="center"/>
              <w:rPr>
                <w:rFonts w:ascii="Arial" w:hAnsi="Arial" w:cs="Arial"/>
                <w:color w:val="000000"/>
              </w:rPr>
            </w:pPr>
            <w:r w:rsidRPr="00945FCC">
              <w:rPr>
                <w:rFonts w:ascii="Arial" w:hAnsi="Arial" w:cs="Arial"/>
                <w:color w:val="000000"/>
              </w:rPr>
              <w:t>3,7</w:t>
            </w:r>
          </w:p>
        </w:tc>
        <w:tc>
          <w:tcPr>
            <w:tcW w:w="1417" w:type="dxa"/>
            <w:tcBorders>
              <w:top w:val="nil"/>
              <w:left w:val="nil"/>
              <w:bottom w:val="single" w:sz="4" w:space="0" w:color="auto"/>
              <w:right w:val="single" w:sz="4" w:space="0" w:color="auto"/>
            </w:tcBorders>
            <w:shd w:val="clear" w:color="auto" w:fill="auto"/>
            <w:noWrap/>
            <w:vAlign w:val="center"/>
            <w:hideMark/>
          </w:tcPr>
          <w:p w14:paraId="1DEF97B1" w14:textId="77777777" w:rsidR="00ED3495" w:rsidRPr="00945FCC" w:rsidRDefault="00ED3495" w:rsidP="005941ED">
            <w:pPr>
              <w:jc w:val="center"/>
              <w:rPr>
                <w:rFonts w:ascii="Arial" w:hAnsi="Arial" w:cs="Arial"/>
                <w:color w:val="000000"/>
              </w:rPr>
            </w:pPr>
            <w:r w:rsidRPr="00945FCC">
              <w:rPr>
                <w:rFonts w:ascii="Arial" w:hAnsi="Arial" w:cs="Arial"/>
                <w:color w:val="000000"/>
              </w:rPr>
              <w:t>118 566</w:t>
            </w:r>
          </w:p>
        </w:tc>
        <w:tc>
          <w:tcPr>
            <w:tcW w:w="1418" w:type="dxa"/>
            <w:tcBorders>
              <w:top w:val="nil"/>
              <w:left w:val="nil"/>
              <w:bottom w:val="single" w:sz="4" w:space="0" w:color="auto"/>
              <w:right w:val="single" w:sz="4" w:space="0" w:color="auto"/>
            </w:tcBorders>
            <w:shd w:val="clear" w:color="auto" w:fill="auto"/>
            <w:noWrap/>
            <w:vAlign w:val="center"/>
            <w:hideMark/>
          </w:tcPr>
          <w:p w14:paraId="0B9B24AA" w14:textId="77777777" w:rsidR="00ED3495" w:rsidRPr="00945FCC" w:rsidRDefault="00ED3495" w:rsidP="005941ED">
            <w:pPr>
              <w:jc w:val="center"/>
              <w:rPr>
                <w:rFonts w:ascii="Arial" w:hAnsi="Arial" w:cs="Arial"/>
                <w:color w:val="000000"/>
              </w:rPr>
            </w:pPr>
            <w:r w:rsidRPr="00945FCC">
              <w:rPr>
                <w:rFonts w:ascii="Arial" w:hAnsi="Arial" w:cs="Arial"/>
                <w:color w:val="000000"/>
              </w:rPr>
              <w:t>6,1</w:t>
            </w:r>
          </w:p>
        </w:tc>
      </w:tr>
    </w:tbl>
    <w:p w14:paraId="2EDD8010" w14:textId="4923CE89" w:rsidR="000C1111" w:rsidRDefault="0070044F" w:rsidP="002E32D6">
      <w:pPr>
        <w:pStyle w:val="Nadpis2"/>
        <w:numPr>
          <w:ilvl w:val="1"/>
          <w:numId w:val="14"/>
        </w:numPr>
      </w:pPr>
      <w:bookmarkStart w:id="18" w:name="_Toc195517109"/>
      <w:r>
        <w:t>D</w:t>
      </w:r>
      <w:r w:rsidR="000C1111">
        <w:t>emografická situace v České republice</w:t>
      </w:r>
      <w:r w:rsidR="000A5B94">
        <w:t xml:space="preserve"> a</w:t>
      </w:r>
      <w:r w:rsidR="00213893">
        <w:t xml:space="preserve"> </w:t>
      </w:r>
      <w:r w:rsidR="001D135C">
        <w:t>její prognóz</w:t>
      </w:r>
      <w:r w:rsidR="0085223F">
        <w:t>a</w:t>
      </w:r>
      <w:bookmarkEnd w:id="18"/>
    </w:p>
    <w:p w14:paraId="1E7719ED" w14:textId="478133DA" w:rsidR="00050780" w:rsidRPr="00050780" w:rsidRDefault="00316C28" w:rsidP="00050780">
      <w:pPr>
        <w:pStyle w:val="Odstavec1"/>
      </w:pPr>
      <w:r>
        <w:t>V</w:t>
      </w:r>
      <w:r w:rsidR="000D6DA2">
        <w:t xml:space="preserve"> kontextu</w:t>
      </w:r>
      <w:r w:rsidR="000D4E95">
        <w:t xml:space="preserve"> stárnutí </w:t>
      </w:r>
      <w:r>
        <w:t xml:space="preserve">světové populace se mění i česká společnost. </w:t>
      </w:r>
      <w:r w:rsidR="00137E44">
        <w:t xml:space="preserve">Děje se tak </w:t>
      </w:r>
      <w:r w:rsidR="0069003E">
        <w:t xml:space="preserve">opět zpravidla </w:t>
      </w:r>
      <w:r w:rsidR="00137E44">
        <w:t>vl</w:t>
      </w:r>
      <w:r w:rsidR="00C275C1">
        <w:t>ivem znate</w:t>
      </w:r>
      <w:r w:rsidR="000957EB">
        <w:t xml:space="preserve">lného pokroku v oblasti zdravotní </w:t>
      </w:r>
      <w:r w:rsidR="00744C1F">
        <w:t>i</w:t>
      </w:r>
      <w:r w:rsidR="000957EB">
        <w:t xml:space="preserve"> sociální péče</w:t>
      </w:r>
      <w:r w:rsidR="00744C1F">
        <w:t xml:space="preserve"> a vyšší životní úrovni obyvatelstva. </w:t>
      </w:r>
      <w:r w:rsidR="008365F8">
        <w:t>Následující kapitoly budou</w:t>
      </w:r>
      <w:r w:rsidR="00E94BC7">
        <w:t>, vzhledem k tematickému zaměření diplomové práce,</w:t>
      </w:r>
      <w:r w:rsidR="00F24489">
        <w:t xml:space="preserve"> věnovány</w:t>
      </w:r>
      <w:r w:rsidR="00E94BC7">
        <w:t xml:space="preserve"> a</w:t>
      </w:r>
      <w:r w:rsidR="00F67A67">
        <w:t>ktuální</w:t>
      </w:r>
      <w:r w:rsidR="00895F14">
        <w:t xml:space="preserve"> </w:t>
      </w:r>
      <w:r w:rsidR="003F22CC">
        <w:t xml:space="preserve">situaci </w:t>
      </w:r>
      <w:r w:rsidR="00545F54">
        <w:t>a</w:t>
      </w:r>
      <w:r w:rsidR="00F67A67">
        <w:t xml:space="preserve"> </w:t>
      </w:r>
      <w:r w:rsidR="006D330C">
        <w:t>střední variantě</w:t>
      </w:r>
      <w:r w:rsidR="009C0242">
        <w:t xml:space="preserve"> </w:t>
      </w:r>
      <w:r w:rsidR="00D6138E">
        <w:t xml:space="preserve">demografické </w:t>
      </w:r>
      <w:r w:rsidR="009C0242">
        <w:t>prognózy</w:t>
      </w:r>
      <w:r w:rsidR="009E4A50">
        <w:fldChar w:fldCharType="begin"/>
      </w:r>
      <w:r w:rsidR="009B3709">
        <w:instrText xml:space="preserve"> ADDIN ZOTERO_ITEM CSL_CITATION {"citationID":"y06n5Xal","properties":{"formattedCitation":"\\super 27\\nosupersub{}","plainCitation":"27","noteIndex":0},"citationItems":[{"id":175,"uris":["http://zotero.org/users/9426386/items/JDSQUP42"],"itemData":{"id":175,"type":"document","language":"cs","publisher":"Český statistický úřad","title":"Projekce obyvatelstva České republiky 2023-2100","URL":"https://www.czso.cz/documents/10180/191186777/13013923.pdf","issued":{"date-parts":[["2023",11,30]]}}}],"schema":"https://github.com/citation-style-language/schema/raw/master/csl-citation.json"} </w:instrText>
      </w:r>
      <w:r w:rsidR="009E4A50">
        <w:fldChar w:fldCharType="separate"/>
      </w:r>
      <w:r w:rsidR="00AC70A8" w:rsidRPr="00AC70A8">
        <w:rPr>
          <w:vertAlign w:val="superscript"/>
        </w:rPr>
        <w:t>27</w:t>
      </w:r>
      <w:r w:rsidR="009E4A50">
        <w:fldChar w:fldCharType="end"/>
      </w:r>
      <w:r w:rsidR="00F67A67">
        <w:t xml:space="preserve"> v České republice</w:t>
      </w:r>
      <w:r w:rsidR="004F576F" w:rsidRPr="00E76D79">
        <w:t>.</w:t>
      </w:r>
      <w:r w:rsidR="009077B2" w:rsidRPr="00E76D79">
        <w:t xml:space="preserve"> </w:t>
      </w:r>
      <w:r w:rsidR="00F81FBF" w:rsidRPr="00E76D79">
        <w:t xml:space="preserve">Její popis se bude opírat </w:t>
      </w:r>
      <w:r w:rsidR="00DA1A36" w:rsidRPr="00E76D79">
        <w:t>o základní hnací síly demografických změn</w:t>
      </w:r>
      <w:r w:rsidR="00F860FF">
        <w:t xml:space="preserve"> (viz následující text)</w:t>
      </w:r>
      <w:r w:rsidR="00DA1A36" w:rsidRPr="00E76D79">
        <w:t>.</w:t>
      </w:r>
      <w:r w:rsidR="000936FB" w:rsidRPr="00E76D79">
        <w:fldChar w:fldCharType="begin"/>
      </w:r>
      <w:r w:rsidR="00C8357A">
        <w:instrText xml:space="preserve"> ADDIN ZOTERO_ITEM CSL_CITATION {"citationID":"2nlRPzLq","properties":{"formattedCitation":"\\super 9(p6),17(p473),28(p4)\\nosupersub{}","plainCitation":"9(p6),17(p473),28(p4)","noteIndex":0},"citationItems":[{"id":154,"uris":["http://zotero.org/users/9426386/items/7WJBPSRG"],"itemData":{"id":154,"type":"document","language":"cs","publisher":"MPSV ČR","title":"Strategický rámec přípravy na stárnutí společnosti 2021–2025","URL":"https://www.mpsv.cz/strategicky-ramec-pripravy-na-starnuti-spolecnosti-2021-2025","issued":{"date-parts":[["2022",2,2]]}},"locator":"6","label":"page"},{"id":144,"uris":["http://zotero.org/users/9426386/items/SP7IGDR4"],"itemData":{"id":144,"type":"book","event-place":"Praha","ISBN":"978-80-246-3828-7","language":"cs","number-of-pages":"511","publisher":"Karolinum","publisher-place":"Praha","title":"Člověk ve zdraví i v nemoci: podpora zdraví a prevence nemocí ve stáří","author":[{"family":"Čeledová","given":"Libuše"},{"family":"Čevela","given":"Rostislav"}],"issued":{"date-parts":[["2017"]]}},"locator":"473","label":"page"},{"id":185,"uris":["http://zotero.org/users/9426386/items/8JRCXAYM"],"itemData":{"id":185,"type":"document","language":"cs","publisher":"Evropská komise","title":"Zpráva Komise Evropskému parlamentu, Radě, Evropskému hospodářskému a sociálnímu výboru a Výboru regionů o dopadu demografických změn","URL":"https://eur-lex.europa.eu/legal-content/CS/TXT/PDF/?uri=CELEX:52020DC0241","issued":{"date-parts":[["2020",6,17]]}},"locator":"4","label":"page"}],"schema":"https://github.com/citation-style-language/schema/raw/master/csl-citation.json"} </w:instrText>
      </w:r>
      <w:r w:rsidR="000936FB" w:rsidRPr="00E76D79">
        <w:fldChar w:fldCharType="separate"/>
      </w:r>
      <w:r w:rsidR="000C1A01" w:rsidRPr="000C1A01">
        <w:rPr>
          <w:vertAlign w:val="superscript"/>
        </w:rPr>
        <w:t>9(p6),17(p473),28(p4)</w:t>
      </w:r>
      <w:r w:rsidR="000936FB" w:rsidRPr="00E76D79">
        <w:fldChar w:fldCharType="end"/>
      </w:r>
    </w:p>
    <w:p w14:paraId="0AE2A84E" w14:textId="01D0206C" w:rsidR="0022265F" w:rsidRDefault="002F2FF5" w:rsidP="002E32D6">
      <w:pPr>
        <w:pStyle w:val="Nadpis3"/>
        <w:numPr>
          <w:ilvl w:val="2"/>
          <w:numId w:val="14"/>
        </w:numPr>
      </w:pPr>
      <w:r>
        <w:lastRenderedPageBreak/>
        <w:t>P</w:t>
      </w:r>
      <w:r w:rsidR="00DA3954">
        <w:t>orodnost a p</w:t>
      </w:r>
      <w:r>
        <w:t>lodnost</w:t>
      </w:r>
    </w:p>
    <w:p w14:paraId="7B4EFA43" w14:textId="26609063" w:rsidR="002F4EE5" w:rsidRDefault="0007770D" w:rsidP="002F4EE5">
      <w:pPr>
        <w:pStyle w:val="Odstavec1"/>
      </w:pPr>
      <w:r>
        <w:t>Jedním</w:t>
      </w:r>
      <w:r w:rsidR="005C1AED">
        <w:t xml:space="preserve"> ze dvou klíčových</w:t>
      </w:r>
      <w:r w:rsidR="00463A7B">
        <w:t xml:space="preserve"> procesů demografické reprodukce</w:t>
      </w:r>
      <w:r w:rsidR="002C0D9D">
        <w:t xml:space="preserve"> populací je porodnost</w:t>
      </w:r>
      <w:r w:rsidR="00415068">
        <w:t xml:space="preserve"> </w:t>
      </w:r>
      <w:r w:rsidR="00904F8C">
        <w:t>(natalita).</w:t>
      </w:r>
      <w:r w:rsidR="004824A9">
        <w:t xml:space="preserve"> </w:t>
      </w:r>
      <w:r w:rsidR="00EE24C8">
        <w:t>Její ú</w:t>
      </w:r>
      <w:r w:rsidR="004824A9">
        <w:t xml:space="preserve">roveň je závislá na </w:t>
      </w:r>
      <w:r w:rsidR="00F930A6">
        <w:t xml:space="preserve">potenciální schopnosti muže a ženy </w:t>
      </w:r>
      <w:r w:rsidR="00454EBD">
        <w:t>rodit děti</w:t>
      </w:r>
      <w:r w:rsidR="00B410B2">
        <w:t>, tedy na tzv. plodivosti (</w:t>
      </w:r>
      <w:proofErr w:type="spellStart"/>
      <w:r w:rsidR="00B410B2">
        <w:t>fekunditě</w:t>
      </w:r>
      <w:proofErr w:type="spellEnd"/>
      <w:r w:rsidR="00B410B2">
        <w:t>)</w:t>
      </w:r>
      <w:r w:rsidR="00673F53">
        <w:t>, jejímž výsled</w:t>
      </w:r>
      <w:r w:rsidR="0093784F">
        <w:t>ným efektem je plodnost (fertilita)</w:t>
      </w:r>
      <w:r w:rsidR="00B410B2">
        <w:t>.</w:t>
      </w:r>
      <w:r w:rsidR="00573E50">
        <w:t xml:space="preserve"> </w:t>
      </w:r>
      <w:r w:rsidR="00F36F55">
        <w:t>Odvíjí se</w:t>
      </w:r>
      <w:r w:rsidR="00573E50">
        <w:t xml:space="preserve"> však </w:t>
      </w:r>
      <w:r w:rsidR="00F36F55">
        <w:t>dále</w:t>
      </w:r>
      <w:r w:rsidR="00573E50">
        <w:t xml:space="preserve"> </w:t>
      </w:r>
      <w:r w:rsidR="00DD1F90">
        <w:t xml:space="preserve">ještě </w:t>
      </w:r>
      <w:r w:rsidR="00573E50">
        <w:t xml:space="preserve">od </w:t>
      </w:r>
      <w:r w:rsidR="004A4898">
        <w:t>řady vnějších nebiologických faktorů</w:t>
      </w:r>
      <w:r w:rsidR="00B651C4">
        <w:t>, z nichž lze zmínit</w:t>
      </w:r>
      <w:r w:rsidR="00355F9A">
        <w:t xml:space="preserve"> </w:t>
      </w:r>
      <w:r w:rsidR="003F6B21">
        <w:t xml:space="preserve">např. </w:t>
      </w:r>
      <w:r w:rsidR="00355F9A">
        <w:t>státní populační politiku</w:t>
      </w:r>
      <w:r w:rsidR="003B7037">
        <w:t>, ekonomickou situac</w:t>
      </w:r>
      <w:r w:rsidR="003107C8">
        <w:t>i</w:t>
      </w:r>
      <w:r w:rsidR="003B7037">
        <w:t xml:space="preserve"> partnerů</w:t>
      </w:r>
      <w:r w:rsidR="00786A79">
        <w:t>,</w:t>
      </w:r>
      <w:r w:rsidR="004667EA">
        <w:t xml:space="preserve"> či životní styl odvozený </w:t>
      </w:r>
      <w:r w:rsidR="003107C8">
        <w:t>od</w:t>
      </w:r>
      <w:r w:rsidR="00786A79">
        <w:t xml:space="preserve"> aktuální</w:t>
      </w:r>
      <w:r w:rsidR="004667EA">
        <w:t xml:space="preserve"> společensko-politické situace (</w:t>
      </w:r>
      <w:r w:rsidR="00EC16C3">
        <w:t xml:space="preserve">upřednostnění </w:t>
      </w:r>
      <w:r w:rsidR="00681B76">
        <w:t>vzdělá</w:t>
      </w:r>
      <w:r w:rsidR="001B16DE">
        <w:t>ní</w:t>
      </w:r>
      <w:r w:rsidR="00681B76">
        <w:t>, seberealizace, cestování</w:t>
      </w:r>
      <w:r w:rsidR="00E15540">
        <w:t>,</w:t>
      </w:r>
      <w:r w:rsidR="007A044A">
        <w:t xml:space="preserve"> </w:t>
      </w:r>
      <w:r w:rsidR="00E15540">
        <w:t xml:space="preserve">kariéry </w:t>
      </w:r>
      <w:r w:rsidR="00786A79">
        <w:t>aj.</w:t>
      </w:r>
      <w:r w:rsidR="004667EA">
        <w:t>)</w:t>
      </w:r>
      <w:r w:rsidR="004A4898">
        <w:t>.</w:t>
      </w:r>
      <w:r w:rsidR="00A85426">
        <w:fldChar w:fldCharType="begin"/>
      </w:r>
      <w:r w:rsidR="002B3D48">
        <w:instrText xml:space="preserve"> ADDIN ZOTERO_ITEM CSL_CITATION {"citationID":"etZrAwJA","properties":{"formattedCitation":"\\super 1(p50),9(p10),24(p59)\\nosupersub{}","plainCitation":"1(p50),9(p10),24(p59)","noteIndex":0},"citationItems":[{"id":165,"uris":["http://zotero.org/users/9426386/items/PSGAVW2B"],"itemData":{"id":165,"type":"book","event-place":"Brno","ISBN":"978-80-210-9462-8","language":"cs","note":"OCLC: 1417783767","number-of-pages":"154","publisher":"Masarykova univerzita","publisher-place":"Brno","source":"Open WorldCat","title":"(Geo)Demografie nejen pro ekonomy","author":[{"family":"Kunc","given":"Josef"},{"family":"Jaňurová","given":"Martina"},{"family":"Krajíčková","given":"Aneta"},{"family":"Tonev","given":"Petr"},{"family":"Toušek","given":"Václav"}],"issued":{"date-parts":[["2019"]]}},"locator":"59","label":"page"},{"id":133,"uris":["http://zotero.org/users/9426386/items/RW2L6RHE"],"itemData":{"id":133,"type":"book","event-place":"Praha","ISBN":"978-80-247-0548-4","language":"cze","note":"OCLC: 85137350","publisher":"Grada","publisher-place":"Praha","source":"Open WorldCat","title":"Geriatrie a gerontologie","author":[{"family":"Kalvach","given":"Zdeněk"},{"family":"Zadák","given":"Z."},{"family":"Jirák","given":"R."},{"family":"Zavázalová","given":"H."},{"family":"Sucharda","given":"P."}],"issued":{"date-parts":[["2004"]]}},"locator":"50","label":"page"},{"id":154,"uris":["http://zotero.org/users/9426386/items/7WJBPSRG"],"itemData":{"id":154,"type":"document","language":"cs","publisher":"MPSV ČR","title":"Strategický rámec přípravy na stárnutí společnosti 2021–2025","URL":"https://www.mpsv.cz/strategicky-ramec-pripravy-na-starnuti-spolecnosti-2021-2025","issued":{"date-parts":[["2022",2,2]]}},"locator":"10","label":"page"}],"schema":"https://github.com/citation-style-language/schema/raw/master/csl-citation.json"} </w:instrText>
      </w:r>
      <w:r w:rsidR="00A85426">
        <w:fldChar w:fldCharType="separate"/>
      </w:r>
      <w:r w:rsidR="00AC70A8" w:rsidRPr="00AC70A8">
        <w:rPr>
          <w:vertAlign w:val="superscript"/>
        </w:rPr>
        <w:t>1(p50),9(p10),24(p59)</w:t>
      </w:r>
      <w:r w:rsidR="00A85426">
        <w:fldChar w:fldCharType="end"/>
      </w:r>
    </w:p>
    <w:p w14:paraId="37EEF76C" w14:textId="77B18000" w:rsidR="002F4EE5" w:rsidRDefault="00C14D8B" w:rsidP="00425EDC">
      <w:pPr>
        <w:pStyle w:val="Dalodstavce"/>
      </w:pPr>
      <w:r>
        <w:t>Z široké š</w:t>
      </w:r>
      <w:r w:rsidR="00883719">
        <w:t>k</w:t>
      </w:r>
      <w:r>
        <w:t xml:space="preserve">ály demografických ukazatelů </w:t>
      </w:r>
      <w:r w:rsidR="00883719">
        <w:t>porodnosti a plodnosti budeme, při popisu a</w:t>
      </w:r>
      <w:r w:rsidR="00960239">
        <w:t>ktuální</w:t>
      </w:r>
      <w:r w:rsidR="00ED54DA">
        <w:t xml:space="preserve"> demografické situace</w:t>
      </w:r>
      <w:r w:rsidR="00960239">
        <w:t xml:space="preserve"> v ČR</w:t>
      </w:r>
      <w:r w:rsidR="00ED54DA">
        <w:t xml:space="preserve"> </w:t>
      </w:r>
      <w:r w:rsidR="00960239">
        <w:t>a jejího předpokládaného vývoje</w:t>
      </w:r>
      <w:r w:rsidR="00ED54DA">
        <w:t>,</w:t>
      </w:r>
      <w:r w:rsidR="00883719">
        <w:t xml:space="preserve"> hovořit</w:t>
      </w:r>
      <w:r w:rsidR="00ED54DA">
        <w:t xml:space="preserve"> </w:t>
      </w:r>
      <w:r w:rsidR="00AF7CE4">
        <w:t>o</w:t>
      </w:r>
      <w:r w:rsidR="00C2580A">
        <w:t> </w:t>
      </w:r>
      <w:r w:rsidR="00AF7CE4">
        <w:t>jednom z</w:t>
      </w:r>
      <w:r w:rsidR="00180085">
        <w:t xml:space="preserve"> těch </w:t>
      </w:r>
      <w:r w:rsidR="00AF7CE4">
        <w:t>nejdůležitějších</w:t>
      </w:r>
      <w:r w:rsidR="002F7639">
        <w:t xml:space="preserve"> – </w:t>
      </w:r>
      <w:r w:rsidR="00ED54DA">
        <w:t>tzv. úhrnné plodnosti.</w:t>
      </w:r>
      <w:r w:rsidR="00180085">
        <w:t xml:space="preserve"> </w:t>
      </w:r>
      <w:r w:rsidR="00DC42B4">
        <w:t>Jedná se o ukazatel udávající</w:t>
      </w:r>
      <w:r w:rsidR="008E414F">
        <w:t xml:space="preserve"> </w:t>
      </w:r>
      <w:r w:rsidR="00DC42B4" w:rsidRPr="008E414F">
        <w:t xml:space="preserve">počet dětí, které by se narodily jedné ženě </w:t>
      </w:r>
      <w:r w:rsidR="006027E6" w:rsidRPr="008E414F">
        <w:t>během</w:t>
      </w:r>
      <w:r w:rsidR="00DC42B4" w:rsidRPr="008E414F">
        <w:t xml:space="preserve"> </w:t>
      </w:r>
      <w:r w:rsidR="00F3789B" w:rsidRPr="008E414F">
        <w:t>její</w:t>
      </w:r>
      <w:r w:rsidR="006027E6" w:rsidRPr="008E414F">
        <w:t>ho</w:t>
      </w:r>
      <w:r w:rsidR="00F3789B" w:rsidRPr="008E414F">
        <w:t xml:space="preserve"> fertilní</w:t>
      </w:r>
      <w:r w:rsidR="006027E6" w:rsidRPr="008E414F">
        <w:t>ho</w:t>
      </w:r>
      <w:r w:rsidR="00F3789B" w:rsidRPr="008E414F">
        <w:t xml:space="preserve"> období (tedy </w:t>
      </w:r>
      <w:r w:rsidR="009D14FE">
        <w:t xml:space="preserve">mezi </w:t>
      </w:r>
      <w:r w:rsidR="00F3789B" w:rsidRPr="008E414F">
        <w:t>15</w:t>
      </w:r>
      <w:r w:rsidR="009222C2">
        <w:t>–</w:t>
      </w:r>
      <w:r w:rsidR="00DF337E" w:rsidRPr="008E414F">
        <w:t>49 let</w:t>
      </w:r>
      <w:r w:rsidR="009D14FE">
        <w:t>y</w:t>
      </w:r>
      <w:r w:rsidR="00DF337E" w:rsidRPr="008E414F">
        <w:t xml:space="preserve"> věku</w:t>
      </w:r>
      <w:r w:rsidR="00F3789B" w:rsidRPr="008E414F">
        <w:t>)</w:t>
      </w:r>
      <w:r w:rsidR="00DC42B4" w:rsidRPr="008E414F">
        <w:t xml:space="preserve">, </w:t>
      </w:r>
      <w:r w:rsidR="00DF337E" w:rsidRPr="008E414F">
        <w:t>jestli</w:t>
      </w:r>
      <w:r w:rsidR="00DC42B4" w:rsidRPr="008E414F">
        <w:t xml:space="preserve">že by se obecná míra plodnosti </w:t>
      </w:r>
      <w:r w:rsidR="00FC0B3B" w:rsidRPr="008E414F">
        <w:t>v průběhu reprodukčního</w:t>
      </w:r>
      <w:r w:rsidR="00DC42B4" w:rsidRPr="008E414F">
        <w:t xml:space="preserve"> období nezměnila.</w:t>
      </w:r>
      <w:r w:rsidR="00EC6286">
        <w:t xml:space="preserve"> </w:t>
      </w:r>
      <w:r w:rsidR="001533CB">
        <w:t>B</w:t>
      </w:r>
      <w:r w:rsidR="009709CF">
        <w:t xml:space="preserve">yla stanovena </w:t>
      </w:r>
      <w:r w:rsidR="00A65493">
        <w:t>záchovn</w:t>
      </w:r>
      <w:r w:rsidR="000017F4">
        <w:t>á</w:t>
      </w:r>
      <w:r w:rsidR="00A65493">
        <w:t xml:space="preserve"> modelov</w:t>
      </w:r>
      <w:r w:rsidR="000017F4">
        <w:t>á</w:t>
      </w:r>
      <w:r w:rsidR="00A65493">
        <w:t xml:space="preserve"> hodnot</w:t>
      </w:r>
      <w:r w:rsidR="000017F4">
        <w:t>a</w:t>
      </w:r>
      <w:r w:rsidR="00A65493">
        <w:t>, která činí 2,1 dítěte na</w:t>
      </w:r>
      <w:r w:rsidR="005C21C5">
        <w:t xml:space="preserve"> ženu</w:t>
      </w:r>
      <w:r w:rsidR="00797800">
        <w:t>, při jejímž dosažení dochází alespoň</w:t>
      </w:r>
      <w:r w:rsidR="001533CB">
        <w:t xml:space="preserve"> k obnovení dané populace v její původní výši</w:t>
      </w:r>
      <w:r w:rsidR="005C21C5">
        <w:t>.</w:t>
      </w:r>
      <w:r w:rsidR="00372FB5">
        <w:t xml:space="preserve"> Jelikož se jedná o modelovou hodnotu</w:t>
      </w:r>
      <w:r w:rsidR="00006AC9">
        <w:t>,</w:t>
      </w:r>
      <w:r w:rsidR="002A77AF">
        <w:t xml:space="preserve"> není možné</w:t>
      </w:r>
      <w:r w:rsidR="00F921A2">
        <w:t xml:space="preserve"> j</w:t>
      </w:r>
      <w:r w:rsidR="00E54EAF">
        <w:t>i</w:t>
      </w:r>
      <w:r w:rsidR="00F921A2">
        <w:t xml:space="preserve"> vnímat jako univerzální hranici, která by platila pro jakoukoli</w:t>
      </w:r>
      <w:r w:rsidR="00ED6146">
        <w:t xml:space="preserve"> populaci v jakémkoli období.</w:t>
      </w:r>
      <w:r w:rsidR="0066457C">
        <w:t xml:space="preserve"> </w:t>
      </w:r>
      <w:r w:rsidR="00794F3D">
        <w:t xml:space="preserve">Zejména v </w:t>
      </w:r>
      <w:r w:rsidR="00524FAF">
        <w:t>současných</w:t>
      </w:r>
      <w:r w:rsidR="00A3402F">
        <w:t xml:space="preserve"> demograficky vyspělých populacích j</w:t>
      </w:r>
      <w:r w:rsidR="006D4997">
        <w:t xml:space="preserve">e však velmi </w:t>
      </w:r>
      <w:r w:rsidR="00794153">
        <w:t>přínosn</w:t>
      </w:r>
      <w:r w:rsidR="00C379BB">
        <w:t>á</w:t>
      </w:r>
      <w:r w:rsidR="00FA631B">
        <w:t>.</w:t>
      </w:r>
      <w:r w:rsidR="00524FAF">
        <w:fldChar w:fldCharType="begin"/>
      </w:r>
      <w:r w:rsidR="009B3709">
        <w:instrText xml:space="preserve"> ADDIN ZOTERO_ITEM CSL_CITATION {"citationID":"RcoPXQV7","properties":{"formattedCitation":"\\super 24(p61)\\nosupersub{}","plainCitation":"24(p61)","noteIndex":0},"citationItems":[{"id":165,"uris":["http://zotero.org/users/9426386/items/PSGAVW2B"],"itemData":{"id":165,"type":"book","event-place":"Brno","ISBN":"978-80-210-9462-8","language":"cs","note":"OCLC: 1417783767","number-of-pages":"154","publisher":"Masarykova univerzita","publisher-place":"Brno","source":"Open WorldCat","title":"(Geo)Demografie nejen pro ekonomy","author":[{"family":"Kunc","given":"Josef"},{"family":"Jaňurová","given":"Martina"},{"family":"Krajíčková","given":"Aneta"},{"family":"Tonev","given":"Petr"},{"family":"Toušek","given":"Václav"}],"issued":{"date-parts":[["2019"]]}},"locator":"61","label":"page"}],"schema":"https://github.com/citation-style-language/schema/raw/master/csl-citation.json"} </w:instrText>
      </w:r>
      <w:r w:rsidR="00524FAF">
        <w:fldChar w:fldCharType="separate"/>
      </w:r>
      <w:r w:rsidR="00AC70A8" w:rsidRPr="00AC70A8">
        <w:rPr>
          <w:vertAlign w:val="superscript"/>
        </w:rPr>
        <w:t>24(p61)</w:t>
      </w:r>
      <w:r w:rsidR="00524FAF">
        <w:fldChar w:fldCharType="end"/>
      </w:r>
    </w:p>
    <w:p w14:paraId="581F1D2E" w14:textId="5C4D8F06" w:rsidR="000B5084" w:rsidRPr="00623091" w:rsidRDefault="00797852" w:rsidP="00873324">
      <w:pPr>
        <w:pStyle w:val="Dalodstavce"/>
      </w:pPr>
      <w:r>
        <w:t>U</w:t>
      </w:r>
      <w:r w:rsidR="00BF00D1">
        <w:t>kazatel úhrnné plodnosti p</w:t>
      </w:r>
      <w:r w:rsidR="007523FB">
        <w:t>odléhá</w:t>
      </w:r>
      <w:r w:rsidR="00C34263">
        <w:t xml:space="preserve"> v čase</w:t>
      </w:r>
      <w:r w:rsidR="00BF00D1">
        <w:t xml:space="preserve"> </w:t>
      </w:r>
      <w:r w:rsidR="00196AF9">
        <w:t>řad</w:t>
      </w:r>
      <w:r w:rsidR="007523FB">
        <w:t>ě</w:t>
      </w:r>
      <w:r w:rsidR="00196AF9">
        <w:t xml:space="preserve"> výrazných výkyvů.</w:t>
      </w:r>
      <w:r w:rsidR="00724C29">
        <w:t xml:space="preserve"> </w:t>
      </w:r>
      <w:r w:rsidR="00AC4C59">
        <w:t>Úhrnná plodnost na území Č</w:t>
      </w:r>
      <w:r w:rsidR="002236B4">
        <w:t>R</w:t>
      </w:r>
      <w:r w:rsidR="00AC4C59">
        <w:t xml:space="preserve"> prošla</w:t>
      </w:r>
      <w:r w:rsidR="00460D2A">
        <w:t>, po</w:t>
      </w:r>
      <w:r w:rsidR="002236B4">
        <w:t xml:space="preserve"> dvou</w:t>
      </w:r>
      <w:r w:rsidR="00460D2A">
        <w:t xml:space="preserve"> vrcholech v letech </w:t>
      </w:r>
      <w:r w:rsidR="007E2609">
        <w:t>1964 (2,34) a 1974 (</w:t>
      </w:r>
      <w:r w:rsidR="00417FA7">
        <w:t>2,46</w:t>
      </w:r>
      <w:r w:rsidR="007E2609">
        <w:t>)</w:t>
      </w:r>
      <w:r w:rsidR="00417FA7">
        <w:t>, prudkým p</w:t>
      </w:r>
      <w:r w:rsidR="00297FE3">
        <w:t xml:space="preserve">oklesem </w:t>
      </w:r>
      <w:r w:rsidR="00507078">
        <w:t>v 90. letech 20. století</w:t>
      </w:r>
      <w:r w:rsidR="00407CAE">
        <w:t xml:space="preserve"> (až k hodnotě 1,13 v roce 1999)</w:t>
      </w:r>
      <w:r w:rsidR="00A02212">
        <w:t xml:space="preserve">, který byl v prvních dvou desetiletích 21. století </w:t>
      </w:r>
      <w:r w:rsidR="00D92322">
        <w:t xml:space="preserve">vystřídán </w:t>
      </w:r>
      <w:r w:rsidR="00B75041">
        <w:t>pozvolným nár</w:t>
      </w:r>
      <w:r w:rsidR="00486FB2">
        <w:t>ů</w:t>
      </w:r>
      <w:r w:rsidR="00B75041">
        <w:t>stem</w:t>
      </w:r>
      <w:r w:rsidR="00F52054">
        <w:t>. V</w:t>
      </w:r>
      <w:r w:rsidR="00137753">
        <w:t xml:space="preserve"> roce 2013 dosahovala hodnoty </w:t>
      </w:r>
      <w:r w:rsidR="00AD14E7">
        <w:t>1,46</w:t>
      </w:r>
      <w:r w:rsidR="001C0674">
        <w:t xml:space="preserve">; </w:t>
      </w:r>
      <w:r w:rsidR="002F3BAA">
        <w:t xml:space="preserve">kdy po </w:t>
      </w:r>
      <w:r w:rsidR="001C0674">
        <w:t xml:space="preserve">vrcholu </w:t>
      </w:r>
      <w:r w:rsidR="00C45B90">
        <w:t>1,83 v roce 2021</w:t>
      </w:r>
      <w:r w:rsidR="0085568D">
        <w:t xml:space="preserve"> </w:t>
      </w:r>
      <w:r w:rsidR="00C45B90">
        <w:t>následoval opětovný pokles</w:t>
      </w:r>
      <w:r w:rsidR="004D4242">
        <w:t xml:space="preserve"> (</w:t>
      </w:r>
      <w:r w:rsidR="0045529B">
        <w:t xml:space="preserve">za uplynulý rok 2023 </w:t>
      </w:r>
      <w:r w:rsidR="00441090">
        <w:t xml:space="preserve">činila </w:t>
      </w:r>
      <w:r w:rsidR="00137753">
        <w:t>1,45</w:t>
      </w:r>
      <w:r w:rsidR="0083117C">
        <w:t>)</w:t>
      </w:r>
      <w:r w:rsidR="00B75041">
        <w:t>.</w:t>
      </w:r>
      <w:r w:rsidR="00B83F9A">
        <w:t xml:space="preserve"> I přes mírný propad </w:t>
      </w:r>
      <w:r w:rsidR="006219D0">
        <w:t xml:space="preserve">v posledních dvou letech lze pozorovat </w:t>
      </w:r>
      <w:r w:rsidR="0076757B">
        <w:t>opětovný pomalý nár</w:t>
      </w:r>
      <w:r w:rsidR="00486FB2">
        <w:t>ů</w:t>
      </w:r>
      <w:r w:rsidR="0076757B">
        <w:t>st ú</w:t>
      </w:r>
      <w:r w:rsidR="00E46512">
        <w:t>rovně</w:t>
      </w:r>
      <w:r w:rsidR="0076757B">
        <w:t xml:space="preserve"> plodnosti </w:t>
      </w:r>
      <w:r w:rsidR="0076757B" w:rsidRPr="00677095">
        <w:t>v</w:t>
      </w:r>
      <w:r w:rsidR="0024453E" w:rsidRPr="00677095">
        <w:t> </w:t>
      </w:r>
      <w:r w:rsidR="0076757B" w:rsidRPr="00677095">
        <w:t>ČR</w:t>
      </w:r>
      <w:r w:rsidR="0024453E" w:rsidRPr="00677095">
        <w:t xml:space="preserve">, avšak </w:t>
      </w:r>
      <w:r w:rsidR="00AC5E92" w:rsidRPr="00677095">
        <w:t xml:space="preserve">výhledově se </w:t>
      </w:r>
      <w:r w:rsidR="00B01405" w:rsidRPr="00677095">
        <w:t>neočekává, že by se pravidelně zvyšoval i počet živě</w:t>
      </w:r>
      <w:r w:rsidR="00AC5E92" w:rsidRPr="00677095">
        <w:t xml:space="preserve"> </w:t>
      </w:r>
      <w:r w:rsidR="00B01405" w:rsidRPr="00677095">
        <w:t>narozených dětí.</w:t>
      </w:r>
      <w:r w:rsidR="00B20C2E">
        <w:fldChar w:fldCharType="begin"/>
      </w:r>
      <w:r w:rsidR="00CC6671">
        <w:instrText xml:space="preserve"> ADDIN ZOTERO_ITEM CSL_CITATION {"citationID":"8c8wgIiw","properties":{"formattedCitation":"\\super 9(p10),27(p2),29,30(p51),31(p9)\\nosupersub{}","plainCitation":"9(p10),27(p2),29,30(p51),31(p9)","noteIndex":0},"citationItems":[{"id":154,"uris":["http://zotero.org/users/9426386/items/7WJBPSRG"],"itemData":{"id":154,"type":"document","language":"cs","publisher":"MPSV ČR","title":"Strategický rámec přípravy na stárnutí společnosti 2021–2025","URL":"https://www.mpsv.cz/strategicky-ramec-pripravy-na-starnuti-spolecnosti-2021-2025","issued":{"date-parts":[["2022",2,2]]}},"locator":"10","label":"page"},{"id":178,"uris":["http://zotero.org/users/9426386/items/Q79RAAMU"],"itemData":{"id":178,"type":"webpage","container-title":"Český statistický úřad","language":"cs","title":"Veřejná databáze","URL":"https://vdb.czso.cz/vdbvo2/"},"label":"page"},{"id":181,"uris":["http://zotero.org/users/9426386/items/K4VK3UDJ"],"itemData":{"id":181,"type":"document","language":"cs","publisher":"MPSV ČR","title":"Zpráva o stavu důchodového systému České republiky a o jeho předpokládaném vývoji se zřetelem na demografickou situaci České republiky a na očekávaný populační a ekonomický vývoj","URL":"https://www.mpsv.cz/documents/20142/7095934/Zpráva+2024.pdf","issued":{"date-parts":[["2024"]]}},"locator":"51","label":"page"},{"id":175,"uris":["http://zotero.org/users/9426386/items/JDSQUP42"],"itemData":{"id":175,"type":"document","language":"cs","publisher":"Český statistický úřad","title":"Projekce obyvatelstva České republiky 2023-2100","URL":"https://www.czso.cz/documents/10180/191186777/13013923.pdf","issued":{"date-parts":[["2023",11,30]]}},"locator":"2","label":"page"},{"id":182,"uris":["http://zotero.org/users/9426386/items/KGZV9KNG"],"itemData":{"id":182,"type":"document","language":"cs","publisher":"Český statistický úřad","title":"Zpráva o očekávaném vývoji úmrtnosti, plodnosti a migrace v České republice 2023–2100","URL":"https://csu.gov.cz/docs/107516/7321a486-8f06-8318-8c09-7d3e53f56d67/zprava_o_ocekavanem_%20vyvoji.pdf","issued":{"date-parts":[["2023",12,22]]}},"locator":"9","label":"page"}],"schema":"https://github.com/citation-style-language/schema/raw/master/csl-citation.json"} </w:instrText>
      </w:r>
      <w:r w:rsidR="00B20C2E">
        <w:fldChar w:fldCharType="separate"/>
      </w:r>
      <w:r w:rsidR="000C1A01" w:rsidRPr="000C1A01">
        <w:rPr>
          <w:vertAlign w:val="superscript"/>
        </w:rPr>
        <w:t>9(p10),27(p2),29,30(p51),31(p9)</w:t>
      </w:r>
      <w:r w:rsidR="00B20C2E">
        <w:fldChar w:fldCharType="end"/>
      </w:r>
      <w:r w:rsidR="008815F5">
        <w:t xml:space="preserve"> </w:t>
      </w:r>
      <w:r w:rsidR="00984151" w:rsidRPr="00677095">
        <w:t>Do konce</w:t>
      </w:r>
      <w:r w:rsidR="00B82A9E">
        <w:t xml:space="preserve"> 21. století by se, dle predikce ČSÚ, měla </w:t>
      </w:r>
      <w:r w:rsidR="0021089B">
        <w:t>úhrnná plodnost držet hodnoty 1,5</w:t>
      </w:r>
      <w:r w:rsidR="008C5D06">
        <w:t>0</w:t>
      </w:r>
      <w:r w:rsidR="009E5431">
        <w:t xml:space="preserve"> </w:t>
      </w:r>
      <w:r w:rsidR="000E7937">
        <w:t xml:space="preserve">narozeného </w:t>
      </w:r>
      <w:r w:rsidR="00740816">
        <w:t>dítěte na jednu ženu</w:t>
      </w:r>
      <w:r w:rsidR="001A44AE">
        <w:t xml:space="preserve">. </w:t>
      </w:r>
      <w:r w:rsidR="00C87756">
        <w:t>Popsané demo</w:t>
      </w:r>
      <w:r w:rsidR="00BE4EA7">
        <w:t xml:space="preserve">grafické změny byly zhruba od první poloviny 90. let minulého století doprovázeny </w:t>
      </w:r>
      <w:r w:rsidR="00155E41">
        <w:t>růstem průměrného věku matky při narození dítěte</w:t>
      </w:r>
      <w:r w:rsidR="001F470D">
        <w:t xml:space="preserve">, který jen za posledních 10 let vzrostl </w:t>
      </w:r>
      <w:r w:rsidR="006E3D09">
        <w:t>o půl roku (z 29,9 let v</w:t>
      </w:r>
      <w:r w:rsidR="00FC40D5">
        <w:t> </w:t>
      </w:r>
      <w:r w:rsidR="006E3D09">
        <w:t>roc</w:t>
      </w:r>
      <w:r w:rsidR="00FC40D5">
        <w:t xml:space="preserve">e 2013 na </w:t>
      </w:r>
      <w:r w:rsidR="000D09BC">
        <w:t>3</w:t>
      </w:r>
      <w:r w:rsidR="00FC40D5">
        <w:t>0,4 let za rok 2023</w:t>
      </w:r>
      <w:r w:rsidR="006E3D09">
        <w:t>).</w:t>
      </w:r>
      <w:r w:rsidR="00687787">
        <w:t xml:space="preserve"> So</w:t>
      </w:r>
      <w:r w:rsidR="00F075C4">
        <w:t>u</w:t>
      </w:r>
      <w:r w:rsidR="00687787">
        <w:t>časně</w:t>
      </w:r>
      <w:r w:rsidR="00F075C4">
        <w:t xml:space="preserve"> </w:t>
      </w:r>
      <w:r w:rsidR="00687787">
        <w:t>narůstá i průměrný věk prvorodičky, což s sebou nese</w:t>
      </w:r>
      <w:r w:rsidR="00F075C4">
        <w:t xml:space="preserve"> vyšší pravděpodobnost</w:t>
      </w:r>
      <w:r w:rsidR="009964EB">
        <w:t>, že bude mít žena pouze toto jedno dítě.</w:t>
      </w:r>
      <w:r w:rsidR="008815F5">
        <w:fldChar w:fldCharType="begin"/>
      </w:r>
      <w:r w:rsidR="009B3709">
        <w:instrText xml:space="preserve"> ADDIN ZOTERO_ITEM CSL_CITATION {"citationID":"3U7Q6EaP","properties":{"formattedCitation":"\\super 27(p3),29\\nosupersub{}","plainCitation":"27(p3),29","noteIndex":0},"citationItems":[{"id":178,"uris":["http://zotero.org/users/9426386/items/Q79RAAMU"],"itemData":{"id":178,"type":"webpage","container-title":"Český statistický úřad","language":"cs","title":"Veřejná databáze","URL":"https://vdb.czso.cz/vdbvo2/"},"label":"page"},{"id":175,"uris":["http://zotero.org/users/9426386/items/JDSQUP42"],"itemData":{"id":175,"type":"document","language":"cs","publisher":"Český statistický úřad","title":"Projekce obyvatelstva České republiky 2023-2100","URL":"https://www.czso.cz/documents/10180/191186777/13013923.pdf","issued":{"date-parts":[["2023",11,30]]}},"locator":"3","label":"page"}],"schema":"https://github.com/citation-style-language/schema/raw/master/csl-citation.json"} </w:instrText>
      </w:r>
      <w:r w:rsidR="008815F5">
        <w:fldChar w:fldCharType="separate"/>
      </w:r>
      <w:r w:rsidR="000C1A01" w:rsidRPr="000C1A01">
        <w:rPr>
          <w:vertAlign w:val="superscript"/>
        </w:rPr>
        <w:t>27(p3),29</w:t>
      </w:r>
      <w:r w:rsidR="008815F5">
        <w:fldChar w:fldCharType="end"/>
      </w:r>
      <w:r w:rsidR="000E5BAD">
        <w:t xml:space="preserve"> </w:t>
      </w:r>
      <w:r w:rsidR="00623091">
        <w:t xml:space="preserve">Výhledově by se do roku 2050 mohl </w:t>
      </w:r>
      <w:r w:rsidR="0005132A">
        <w:t xml:space="preserve">pohybovat </w:t>
      </w:r>
      <w:r w:rsidR="00623091">
        <w:t>průměrný věk matky při narození dítěte okolo 31,3 let</w:t>
      </w:r>
      <w:r w:rsidR="009D092D">
        <w:t xml:space="preserve"> věku</w:t>
      </w:r>
      <w:r w:rsidR="00413887">
        <w:t>. N</w:t>
      </w:r>
      <w:r w:rsidR="00623091">
        <w:t xml:space="preserve">ejzřetelněji </w:t>
      </w:r>
      <w:r w:rsidR="00527F5E">
        <w:t>poroste</w:t>
      </w:r>
      <w:r w:rsidR="00623091">
        <w:t xml:space="preserve"> intenzita plodnosti </w:t>
      </w:r>
      <w:r w:rsidR="0069597E">
        <w:t xml:space="preserve">u žen </w:t>
      </w:r>
      <w:r w:rsidR="00623091">
        <w:t xml:space="preserve">ve věkové skupině </w:t>
      </w:r>
      <w:r w:rsidR="00AC2861">
        <w:t>35</w:t>
      </w:r>
      <w:r w:rsidR="00AB7B56">
        <w:t>–</w:t>
      </w:r>
      <w:r w:rsidR="00AC2861">
        <w:t>39</w:t>
      </w:r>
      <w:r w:rsidR="002A5218">
        <w:t xml:space="preserve"> </w:t>
      </w:r>
      <w:r w:rsidR="00AC2861">
        <w:t>let. Svou dominanci si však i nadále udrží</w:t>
      </w:r>
      <w:r w:rsidR="00623091">
        <w:t xml:space="preserve"> </w:t>
      </w:r>
      <w:r w:rsidR="00F72DD3">
        <w:t xml:space="preserve">věková </w:t>
      </w:r>
      <w:r w:rsidR="00623091">
        <w:t>skupina</w:t>
      </w:r>
      <w:r w:rsidR="00E11B4A">
        <w:t xml:space="preserve"> </w:t>
      </w:r>
      <w:r w:rsidR="007F2D6E">
        <w:t>30</w:t>
      </w:r>
      <w:r w:rsidR="00F25C1D">
        <w:t>–</w:t>
      </w:r>
      <w:r w:rsidR="007F2D6E">
        <w:t>34 let</w:t>
      </w:r>
      <w:r w:rsidR="00623091">
        <w:t>.</w:t>
      </w:r>
      <w:r w:rsidR="00DD3E34">
        <w:t xml:space="preserve"> </w:t>
      </w:r>
      <w:r w:rsidR="00623091">
        <w:t xml:space="preserve">Naopak </w:t>
      </w:r>
      <w:r w:rsidR="008A0768">
        <w:t>ženám ve věkových kategoriích pod 30 let</w:t>
      </w:r>
      <w:r w:rsidR="00623091">
        <w:t xml:space="preserve"> je predikován </w:t>
      </w:r>
      <w:r w:rsidR="008A0768">
        <w:t>klesající trend</w:t>
      </w:r>
      <w:r w:rsidR="00CF5D57">
        <w:t xml:space="preserve"> plodnosti</w:t>
      </w:r>
      <w:r w:rsidR="00623091">
        <w:t>.</w:t>
      </w:r>
      <w:r w:rsidR="000E5BAD">
        <w:fldChar w:fldCharType="begin"/>
      </w:r>
      <w:r w:rsidR="00CC6671">
        <w:instrText xml:space="preserve"> ADDIN ZOTERO_ITEM CSL_CITATION {"citationID":"II5MgJay","properties":{"formattedCitation":"\\super 27(p3),31(p8)\\nosupersub{}","plainCitation":"27(p3),31(p8)","noteIndex":0},"citationItems":[{"id":175,"uris":["http://zotero.org/users/9426386/items/JDSQUP42"],"itemData":{"id":175,"type":"document","language":"cs","publisher":"Český statistický úřad","title":"Projekce obyvatelstva České republiky 2023-2100","URL":"https://www.czso.cz/documents/10180/191186777/13013923.pdf","issued":{"date-parts":[["2023",11,30]]}},"locator":"3","label":"page"},{"id":182,"uris":["http://zotero.org/users/9426386/items/KGZV9KNG"],"itemData":{"id":182,"type":"document","language":"cs","publisher":"Český statistický úřad","title":"Zpráva o očekávaném vývoji úmrtnosti, plodnosti a migrace v České republice 2023–2100","URL":"https://csu.gov.cz/docs/107516/7321a486-8f06-8318-8c09-7d3e53f56d67/zprava_o_ocekavanem_%20vyvoji.pdf","issued":{"date-parts":[["2023",12,22]]}},"locator":"8","label":"page"}],"schema":"https://github.com/citation-style-language/schema/raw/master/csl-citation.json"} </w:instrText>
      </w:r>
      <w:r w:rsidR="000E5BAD">
        <w:fldChar w:fldCharType="separate"/>
      </w:r>
      <w:r w:rsidR="000C1A01" w:rsidRPr="000C1A01">
        <w:rPr>
          <w:vertAlign w:val="superscript"/>
        </w:rPr>
        <w:t>27(p3),31(p8)</w:t>
      </w:r>
      <w:r w:rsidR="000E5BAD">
        <w:fldChar w:fldCharType="end"/>
      </w:r>
    </w:p>
    <w:p w14:paraId="49F950D2" w14:textId="52897B39" w:rsidR="00D7137C" w:rsidRDefault="002F2FF5" w:rsidP="002E32D6">
      <w:pPr>
        <w:pStyle w:val="Nadpis3"/>
        <w:numPr>
          <w:ilvl w:val="2"/>
          <w:numId w:val="14"/>
        </w:numPr>
      </w:pPr>
      <w:r>
        <w:t>Úmrtnost</w:t>
      </w:r>
    </w:p>
    <w:p w14:paraId="2447D155" w14:textId="2E1F090C" w:rsidR="00471A4C" w:rsidRPr="002165A0" w:rsidRDefault="00460C8C" w:rsidP="00A25A6D">
      <w:pPr>
        <w:pStyle w:val="Odstavec1"/>
      </w:pPr>
      <w:r>
        <w:t xml:space="preserve">Druhým </w:t>
      </w:r>
      <w:r w:rsidR="0000295B">
        <w:t>klíčovým</w:t>
      </w:r>
      <w:r>
        <w:t xml:space="preserve"> procesem demografické reprodukce</w:t>
      </w:r>
      <w:r w:rsidR="00374309">
        <w:t xml:space="preserve"> </w:t>
      </w:r>
      <w:r w:rsidR="0000295B">
        <w:t xml:space="preserve">populací </w:t>
      </w:r>
      <w:r w:rsidR="00374309">
        <w:t>je úmrtnost</w:t>
      </w:r>
      <w:r w:rsidR="00B16A57">
        <w:t xml:space="preserve"> (mortalita)</w:t>
      </w:r>
      <w:r w:rsidR="00424B81">
        <w:t xml:space="preserve">, </w:t>
      </w:r>
      <w:r w:rsidR="00104707">
        <w:t>která</w:t>
      </w:r>
      <w:r w:rsidR="00424B81">
        <w:t xml:space="preserve"> </w:t>
      </w:r>
      <w:r w:rsidR="00952AA9">
        <w:t>umožň</w:t>
      </w:r>
      <w:r w:rsidR="00104707">
        <w:t>uje</w:t>
      </w:r>
      <w:r w:rsidR="00C87949">
        <w:t xml:space="preserve"> střídání </w:t>
      </w:r>
      <w:r w:rsidR="00871143">
        <w:t xml:space="preserve">jednotlivých </w:t>
      </w:r>
      <w:r w:rsidR="00C87949">
        <w:t>generací</w:t>
      </w:r>
      <w:r w:rsidR="00C9613C">
        <w:t>,</w:t>
      </w:r>
      <w:r w:rsidR="00A63EBF">
        <w:t xml:space="preserve"> a </w:t>
      </w:r>
      <w:r w:rsidR="00BD6CB3">
        <w:t>napomáhá adaptaci</w:t>
      </w:r>
      <w:r w:rsidR="00B0167A">
        <w:t xml:space="preserve"> druhu na </w:t>
      </w:r>
      <w:r w:rsidR="00B461DC">
        <w:lastRenderedPageBreak/>
        <w:t>z</w:t>
      </w:r>
      <w:r w:rsidR="00B0167A">
        <w:t>mě</w:t>
      </w:r>
      <w:r w:rsidR="00B461DC">
        <w:t>ny</w:t>
      </w:r>
      <w:r w:rsidR="00B0167A">
        <w:t xml:space="preserve"> </w:t>
      </w:r>
      <w:r w:rsidR="00BB4AB0">
        <w:t>v</w:t>
      </w:r>
      <w:r w:rsidR="00B0167A">
        <w:t xml:space="preserve"> životní</w:t>
      </w:r>
      <w:r w:rsidR="00BB4AB0">
        <w:t>ch</w:t>
      </w:r>
      <w:r w:rsidR="00B0167A">
        <w:t xml:space="preserve"> podmínk</w:t>
      </w:r>
      <w:r w:rsidR="00BB4AB0">
        <w:t>ách</w:t>
      </w:r>
      <w:r w:rsidR="00374309">
        <w:t>.</w:t>
      </w:r>
      <w:r w:rsidR="005E011B">
        <w:t xml:space="preserve"> </w:t>
      </w:r>
      <w:r w:rsidR="00ED52A3">
        <w:t>Úmrtnost má, s</w:t>
      </w:r>
      <w:r w:rsidR="005E011B">
        <w:t xml:space="preserve">tejně jako </w:t>
      </w:r>
      <w:r w:rsidR="00ED52A3">
        <w:t>již popsaná</w:t>
      </w:r>
      <w:r w:rsidR="004151CF">
        <w:t xml:space="preserve"> </w:t>
      </w:r>
      <w:r w:rsidR="005E011B">
        <w:t>porodnost a</w:t>
      </w:r>
      <w:r w:rsidR="00F51D35">
        <w:t> </w:t>
      </w:r>
      <w:r w:rsidR="005E011B">
        <w:t>plodnost</w:t>
      </w:r>
      <w:r w:rsidR="004151CF">
        <w:t>, řadu demografických ukazatelů.</w:t>
      </w:r>
      <w:r w:rsidR="00DF071E">
        <w:t xml:space="preserve"> </w:t>
      </w:r>
      <w:r w:rsidR="00A00679">
        <w:t xml:space="preserve">Úroveň úmrtnosti lze charakterizovat pomocí tzv. </w:t>
      </w:r>
      <w:r w:rsidR="00103F86">
        <w:t>naděje dožití (též střední délka života</w:t>
      </w:r>
      <w:r w:rsidR="00AB44F3">
        <w:t xml:space="preserve"> či očekávaná délka života</w:t>
      </w:r>
      <w:r w:rsidR="00103F86">
        <w:t>)</w:t>
      </w:r>
      <w:r w:rsidR="00F201A7">
        <w:t xml:space="preserve">. Jde o </w:t>
      </w:r>
      <w:r w:rsidR="006C7537">
        <w:t>nejvýstižnější ukazatel úmrtnosti</w:t>
      </w:r>
      <w:r w:rsidR="00F201A7">
        <w:t xml:space="preserve">, </w:t>
      </w:r>
      <w:r w:rsidR="001B63C8">
        <w:t>jež udává</w:t>
      </w:r>
      <w:r w:rsidR="00465F80">
        <w:t xml:space="preserve"> průměrný počet let</w:t>
      </w:r>
      <w:r w:rsidR="00434DCF">
        <w:t>, kter</w:t>
      </w:r>
      <w:r w:rsidR="0098086B">
        <w:t>é</w:t>
      </w:r>
      <w:r w:rsidR="00434DCF">
        <w:t xml:space="preserve"> ještě prožije</w:t>
      </w:r>
      <w:r w:rsidR="00395768">
        <w:t xml:space="preserve"> osoba určitého věku, jestliže </w:t>
      </w:r>
      <w:r w:rsidR="00A26471">
        <w:t>zůstanou zachovány stávající úmrtnostní po</w:t>
      </w:r>
      <w:r w:rsidR="0074654A">
        <w:t>měry</w:t>
      </w:r>
      <w:r w:rsidR="006C7537">
        <w:t>.</w:t>
      </w:r>
      <w:r w:rsidR="00AB06B4">
        <w:t xml:space="preserve"> Střední délka života se</w:t>
      </w:r>
      <w:r w:rsidR="00664617">
        <w:t xml:space="preserve">, vzhledem k odlišné úmrtnosti mužů a žen, </w:t>
      </w:r>
      <w:r w:rsidR="00AB06B4">
        <w:t xml:space="preserve">stanovuje </w:t>
      </w:r>
      <w:r w:rsidR="00664617">
        <w:t>pro obě pohlaví</w:t>
      </w:r>
      <w:r w:rsidR="005609B0">
        <w:t xml:space="preserve"> zvlášť</w:t>
      </w:r>
      <w:r w:rsidR="00664617">
        <w:t>.</w:t>
      </w:r>
      <w:r w:rsidR="009C535B">
        <w:t xml:space="preserve"> </w:t>
      </w:r>
      <w:r w:rsidR="00C31F68">
        <w:t>U</w:t>
      </w:r>
      <w:r w:rsidR="009C535B">
        <w:t xml:space="preserve"> živě narozených dětí</w:t>
      </w:r>
      <w:r w:rsidR="009E68A9">
        <w:t xml:space="preserve"> lehce převažují chlapci nad dívkami,</w:t>
      </w:r>
      <w:r w:rsidR="00C31F68">
        <w:t xml:space="preserve"> ovšem</w:t>
      </w:r>
      <w:r w:rsidR="001A3C25">
        <w:t xml:space="preserve"> kolem 55. až 60. roku života</w:t>
      </w:r>
      <w:r w:rsidR="00AF5A44">
        <w:t xml:space="preserve"> se početní zastoupení obou </w:t>
      </w:r>
      <w:r w:rsidR="00726C7F">
        <w:t>pohlaví obrací ve prospěch žen</w:t>
      </w:r>
      <w:r w:rsidR="006C3BFA">
        <w:t xml:space="preserve"> a v</w:t>
      </w:r>
      <w:r w:rsidR="00B45767">
        <w:t xml:space="preserve">e vyšších věkových kategoriích pak získávají ženy výraznější </w:t>
      </w:r>
      <w:r w:rsidR="006C3BFA">
        <w:t xml:space="preserve">převahu. </w:t>
      </w:r>
      <w:r w:rsidR="00EE6A42">
        <w:t xml:space="preserve">Muži se zpravidla dožívají nižšího věku, což je zapříčiněno </w:t>
      </w:r>
      <w:r w:rsidR="00A5570B">
        <w:t xml:space="preserve">tím, že </w:t>
      </w:r>
      <w:r w:rsidR="001759CA">
        <w:t>úmrtnost na určité choroby nastupuje dříve u</w:t>
      </w:r>
      <w:r w:rsidR="0027691F">
        <w:t> </w:t>
      </w:r>
      <w:r w:rsidR="001759CA">
        <w:t>mužů než u žen</w:t>
      </w:r>
      <w:r w:rsidR="00A5570B">
        <w:t>.</w:t>
      </w:r>
      <w:r w:rsidR="005962F3">
        <w:t xml:space="preserve"> Délku života lze stanovit pro libovolný věk</w:t>
      </w:r>
      <w:r w:rsidR="00364277">
        <w:t>. V</w:t>
      </w:r>
      <w:r w:rsidR="001F4BB5">
        <w:t xml:space="preserve">zhledem k charakteru textu </w:t>
      </w:r>
      <w:r w:rsidR="00EA71B4">
        <w:t>se bude</w:t>
      </w:r>
      <w:r w:rsidR="00D22FEF">
        <w:t>me</w:t>
      </w:r>
      <w:r w:rsidR="00EA71B4">
        <w:t xml:space="preserve"> zaměřovat na </w:t>
      </w:r>
      <w:r w:rsidR="004F183A">
        <w:t xml:space="preserve">naději dožití ve věku </w:t>
      </w:r>
      <w:r w:rsidR="004F183A" w:rsidRPr="00421E3F">
        <w:t>65</w:t>
      </w:r>
      <w:r w:rsidR="004F183A">
        <w:t xml:space="preserve"> let.</w:t>
      </w:r>
      <w:r w:rsidR="00CA1559">
        <w:fldChar w:fldCharType="begin"/>
      </w:r>
      <w:r w:rsidR="002B3D48">
        <w:instrText xml:space="preserve"> ADDIN ZOTERO_ITEM CSL_CITATION {"citationID":"5wehcy7p","properties":{"formattedCitation":"\\super 1(p50),24(p34,65,69-70),32(p13)\\nosupersub{}","plainCitation":"1(p50),24(p34,65,69-70),32(p13)","noteIndex":0},"citationItems":[{"id":133,"uris":["http://zotero.org/users/9426386/items/RW2L6RHE"],"itemData":{"id":133,"type":"book","event-place":"Praha","ISBN":"978-80-247-0548-4","language":"cze","note":"OCLC: 85137350","publisher":"Grada","publisher-place":"Praha","source":"Open WorldCat","title":"Geriatrie a gerontologie","author":[{"family":"Kalvach","given":"Zdeněk"},{"family":"Zadák","given":"Z."},{"family":"Jirák","given":"R."},{"family":"Zavázalová","given":"H."},{"family":"Sucharda","given":"P."}],"issued":{"date-parts":[["2004"]]}},"locator":"50","label":"page"},{"id":165,"uris":["http://zotero.org/users/9426386/items/PSGAVW2B"],"itemData":{"id":165,"type":"book","event-place":"Brno","ISBN":"978-80-210-9462-8","language":"cs","note":"OCLC: 1417783767","number-of-pages":"154","publisher":"Masarykova univerzita","publisher-place":"Brno","source":"Open WorldCat","title":"(Geo)Demografie nejen pro ekonomy","author":[{"family":"Kunc","given":"Josef"},{"family":"Jaňurová","given":"Martina"},{"family":"Krajíčková","given":"Aneta"},{"family":"Tonev","given":"Petr"},{"family":"Toušek","given":"Václav"}],"issued":{"date-parts":[["2019"]]}},"locator":"34,65,69-70","label":"page"},{"id":179,"uris":["http://zotero.org/users/9426386/items/6IHJSTGM"],"itemData":{"id":179,"type":"book","event-place":"Brno","ISBN":"978-80-210-7865-9","language":"cs","number-of-pages":"131","publisher":"Masarykova univerzita","publisher-place":"Brno","title":"Sociální práce se seniory v kontextu kritické gerontologie","author":[{"family":"Kubalčíková","given":"Kateřina"},{"family":"Rabušic","given":"Ladislav"},{"family":"Zlatušková","given":"Iva"},{"family":"Droběnová","given":"Radmila"},{"family":"Hanousková","given":"Michaela"},{"family":"Horáková","given":"Jana"},{"family":"Kotásek","given":"Josef"},{"family":"Krpec","given":"Oldřich"}],"issued":{"date-parts":[["2015"]]}},"locator":"13","label":"page"}],"schema":"https://github.com/citation-style-language/schema/raw/master/csl-citation.json"} </w:instrText>
      </w:r>
      <w:r w:rsidR="00CA1559">
        <w:fldChar w:fldCharType="separate"/>
      </w:r>
      <w:r w:rsidR="000C1A01" w:rsidRPr="000C1A01">
        <w:rPr>
          <w:vertAlign w:val="superscript"/>
        </w:rPr>
        <w:t>1(p50),24(p34,65,69-70),32(p13)</w:t>
      </w:r>
      <w:r w:rsidR="00CA1559">
        <w:fldChar w:fldCharType="end"/>
      </w:r>
      <w:r w:rsidR="003F0D22">
        <w:t xml:space="preserve"> </w:t>
      </w:r>
      <w:r w:rsidR="00D51CB4" w:rsidRPr="00445A8A">
        <w:t xml:space="preserve">Za posledních deset let se </w:t>
      </w:r>
      <w:r w:rsidR="00C30F4B" w:rsidRPr="00445A8A">
        <w:t xml:space="preserve">naděje dožití </w:t>
      </w:r>
      <w:r w:rsidR="00B40015" w:rsidRPr="00445A8A">
        <w:t xml:space="preserve">ve věku 65 let </w:t>
      </w:r>
      <w:r w:rsidR="00C30F4B" w:rsidRPr="00445A8A">
        <w:t>zvýšil</w:t>
      </w:r>
      <w:r w:rsidR="001F0406" w:rsidRPr="00445A8A">
        <w:t>a</w:t>
      </w:r>
      <w:r w:rsidR="00750E6E" w:rsidRPr="00445A8A">
        <w:t xml:space="preserve"> </w:t>
      </w:r>
      <w:r w:rsidR="00BF1702" w:rsidRPr="00445A8A">
        <w:t>u obou pohlaví o více než jeden rok (</w:t>
      </w:r>
      <w:r w:rsidR="0053223C" w:rsidRPr="00445A8A">
        <w:t>o 1,11 roku</w:t>
      </w:r>
      <w:r w:rsidR="00F86259" w:rsidRPr="00445A8A">
        <w:t xml:space="preserve"> u mužů a o </w:t>
      </w:r>
      <w:r w:rsidR="0053223C" w:rsidRPr="00445A8A">
        <w:t>1,31</w:t>
      </w:r>
      <w:r w:rsidR="00F86259" w:rsidRPr="00445A8A">
        <w:t xml:space="preserve"> </w:t>
      </w:r>
      <w:r w:rsidR="0053223C" w:rsidRPr="00445A8A">
        <w:t>roku</w:t>
      </w:r>
      <w:r w:rsidR="00F86259" w:rsidRPr="00445A8A">
        <w:t xml:space="preserve"> u žen</w:t>
      </w:r>
      <w:r w:rsidR="0053223C" w:rsidRPr="00445A8A">
        <w:t>)</w:t>
      </w:r>
      <w:r w:rsidR="00EE21BF" w:rsidRPr="00445A8A">
        <w:t>, z</w:t>
      </w:r>
      <w:r w:rsidR="00C30F4B" w:rsidRPr="00445A8A">
        <w:t xml:space="preserve">a uplynulý rok 2023 tak činila </w:t>
      </w:r>
      <w:r w:rsidR="00062429" w:rsidRPr="00445A8A">
        <w:t>16,7 let</w:t>
      </w:r>
      <w:r w:rsidR="00F25F2B" w:rsidRPr="00445A8A">
        <w:t xml:space="preserve"> u</w:t>
      </w:r>
      <w:r w:rsidR="0027691F">
        <w:t> </w:t>
      </w:r>
      <w:r w:rsidR="00A3139B" w:rsidRPr="00445A8A">
        <w:t>mužů</w:t>
      </w:r>
      <w:r w:rsidR="00F25F2B" w:rsidRPr="00445A8A">
        <w:t xml:space="preserve"> a </w:t>
      </w:r>
      <w:r w:rsidR="00062429" w:rsidRPr="00445A8A">
        <w:t>20,43 let</w:t>
      </w:r>
      <w:r w:rsidR="00F25F2B" w:rsidRPr="00445A8A">
        <w:t xml:space="preserve"> u </w:t>
      </w:r>
      <w:r w:rsidR="00B91FE0" w:rsidRPr="00445A8A">
        <w:t>žen</w:t>
      </w:r>
      <w:r w:rsidR="00F25F2B" w:rsidRPr="00445A8A">
        <w:t>.</w:t>
      </w:r>
      <w:r w:rsidR="0027691F">
        <w:fldChar w:fldCharType="begin"/>
      </w:r>
      <w:r w:rsidR="009B3709">
        <w:instrText xml:space="preserve"> ADDIN ZOTERO_ITEM CSL_CITATION {"citationID":"NbMynsMm","properties":{"formattedCitation":"\\super 29,33\\nosupersub{}","plainCitation":"29,33","noteIndex":0},"citationItems":[{"id":178,"uris":["http://zotero.org/users/9426386/items/Q79RAAMU"],"itemData":{"id":178,"type":"webpage","container-title":"Český statistický úřad","language":"cs","title":"Veřejná databáze","URL":"https://vdb.czso.cz/vdbvo2/"}},{"id":186,"uris":["http://zotero.org/users/9426386/items/R3GVNBPL"],"itemData":{"id":186,"type":"webpage","container-title":"Eurostat","language":"en","title":"Database","URL":"https://ec.europa.eu/eurostat/web/main/data/database"},"label":"page"}],"schema":"https://github.com/citation-style-language/schema/raw/master/csl-citation.json"} </w:instrText>
      </w:r>
      <w:r w:rsidR="0027691F">
        <w:fldChar w:fldCharType="separate"/>
      </w:r>
      <w:r w:rsidR="000C1A01" w:rsidRPr="000C1A01">
        <w:rPr>
          <w:vertAlign w:val="superscript"/>
        </w:rPr>
        <w:t>29,33</w:t>
      </w:r>
      <w:r w:rsidR="0027691F">
        <w:fldChar w:fldCharType="end"/>
      </w:r>
    </w:p>
    <w:p w14:paraId="15F42568" w14:textId="2C755F07" w:rsidR="00320AEF" w:rsidRDefault="0045793C" w:rsidP="003201FE">
      <w:pPr>
        <w:pStyle w:val="Dalodstavce"/>
      </w:pPr>
      <w:r>
        <w:t>Dále se však n</w:t>
      </w:r>
      <w:r w:rsidR="00B02547">
        <w:t>abízí otázka, jak lidé prožívají svůj prodlužující se věk</w:t>
      </w:r>
      <w:r>
        <w:t xml:space="preserve">. </w:t>
      </w:r>
      <w:r w:rsidR="00B2283B">
        <w:t>J</w:t>
      </w:r>
      <w:r w:rsidR="00A075A9">
        <w:t xml:space="preserve">e </w:t>
      </w:r>
      <w:r w:rsidR="00B2283B">
        <w:t>tedy</w:t>
      </w:r>
      <w:r w:rsidR="00A075A9">
        <w:t xml:space="preserve"> </w:t>
      </w:r>
      <w:r w:rsidR="00EE0442">
        <w:t>na místě</w:t>
      </w:r>
      <w:r w:rsidR="00A075A9">
        <w:t xml:space="preserve"> </w:t>
      </w:r>
      <w:r w:rsidR="00700B16">
        <w:t xml:space="preserve">zmínit další často používaný demografický ukazatel, kterým je naděje </w:t>
      </w:r>
      <w:r w:rsidR="00D26AB7">
        <w:t xml:space="preserve">na </w:t>
      </w:r>
      <w:r w:rsidR="00700B16">
        <w:t>dožití ve zdraví</w:t>
      </w:r>
      <w:r w:rsidR="00706E61">
        <w:t xml:space="preserve"> (též </w:t>
      </w:r>
      <w:r w:rsidR="003868CE">
        <w:t>délka života prožitá ve zdraví</w:t>
      </w:r>
      <w:r w:rsidR="0049011E">
        <w:t xml:space="preserve"> či zdravá délka života</w:t>
      </w:r>
      <w:r w:rsidR="00706E61">
        <w:t>)</w:t>
      </w:r>
      <w:r w:rsidR="00A65BBD">
        <w:t>.</w:t>
      </w:r>
      <w:r w:rsidR="003552A4">
        <w:t xml:space="preserve"> </w:t>
      </w:r>
      <w:r w:rsidR="00CF42EA">
        <w:t>Definuje</w:t>
      </w:r>
      <w:r w:rsidR="00552AC9">
        <w:t xml:space="preserve"> průměrný počet let</w:t>
      </w:r>
      <w:r w:rsidR="0098086B">
        <w:t>, které</w:t>
      </w:r>
      <w:r w:rsidR="00345A70">
        <w:t xml:space="preserve"> ještě prožije osoba určitého věku </w:t>
      </w:r>
      <w:r w:rsidR="006B284E">
        <w:t>ve zdravém stavu</w:t>
      </w:r>
      <w:r w:rsidR="007D0EFD">
        <w:t xml:space="preserve">, tedy bez </w:t>
      </w:r>
      <w:r w:rsidR="00FE1F15">
        <w:t xml:space="preserve">zdravotního postižení či </w:t>
      </w:r>
      <w:r w:rsidR="000E146D">
        <w:t>dlouhodobého omezení v běžných denních aktivitách života</w:t>
      </w:r>
      <w:r w:rsidR="00FE1F15">
        <w:t xml:space="preserve">. </w:t>
      </w:r>
      <w:r w:rsidR="00AB77C4">
        <w:t xml:space="preserve">Obdobně jako střední délka života se </w:t>
      </w:r>
      <w:r w:rsidR="00D26F75">
        <w:t xml:space="preserve">i </w:t>
      </w:r>
      <w:r w:rsidR="00A7426F">
        <w:t>délka života prožitá ve zdraví</w:t>
      </w:r>
      <w:r w:rsidR="0009554A">
        <w:t xml:space="preserve"> stanovuje </w:t>
      </w:r>
      <w:r w:rsidR="004A688B">
        <w:t>zvlášť pro obě pohlaví</w:t>
      </w:r>
      <w:r w:rsidR="005B4111">
        <w:t xml:space="preserve"> v</w:t>
      </w:r>
      <w:r w:rsidR="00200D83">
        <w:t xml:space="preserve">e stanoveném </w:t>
      </w:r>
      <w:r w:rsidR="005B4111">
        <w:t>věku (</w:t>
      </w:r>
      <w:r w:rsidR="00200D83">
        <w:t>zpravidla při narození</w:t>
      </w:r>
      <w:r w:rsidR="00384D0D">
        <w:t xml:space="preserve"> a </w:t>
      </w:r>
      <w:r w:rsidR="00200D83">
        <w:t>ve věku 50 či 65 let</w:t>
      </w:r>
      <w:r w:rsidR="005B4111">
        <w:t>).</w:t>
      </w:r>
      <w:r w:rsidR="003173A2">
        <w:t xml:space="preserve"> </w:t>
      </w:r>
      <w:r w:rsidR="001A2AEB">
        <w:t xml:space="preserve">Rozdíl v naději </w:t>
      </w:r>
      <w:r w:rsidR="0040178C">
        <w:t xml:space="preserve">na </w:t>
      </w:r>
      <w:r w:rsidR="00931BFA">
        <w:t>dožití ve zdraví</w:t>
      </w:r>
      <w:r w:rsidR="00B15191">
        <w:t xml:space="preserve"> </w:t>
      </w:r>
      <w:r w:rsidR="00931BFA">
        <w:t xml:space="preserve">mezi oběma pohlavími </w:t>
      </w:r>
      <w:r w:rsidR="003B6367">
        <w:t xml:space="preserve">je však </w:t>
      </w:r>
      <w:r w:rsidR="008A2D7C">
        <w:t xml:space="preserve">znatelně </w:t>
      </w:r>
      <w:r w:rsidR="00B15191">
        <w:t>menší</w:t>
      </w:r>
      <w:r w:rsidR="00D439FC">
        <w:t>, než je tomu u</w:t>
      </w:r>
      <w:r w:rsidR="00CF4D70">
        <w:t> </w:t>
      </w:r>
      <w:r w:rsidR="00D439FC" w:rsidRPr="002E6060">
        <w:t>naděje dožití.</w:t>
      </w:r>
      <w:r w:rsidR="00544428" w:rsidRPr="002E6060">
        <w:t xml:space="preserve"> </w:t>
      </w:r>
      <w:r w:rsidR="00EA2C32" w:rsidRPr="002E6060">
        <w:t xml:space="preserve">Ukazatel </w:t>
      </w:r>
      <w:r w:rsidR="00267AAA" w:rsidRPr="002E6060">
        <w:t>zdravé délky života navíc vykazuje</w:t>
      </w:r>
      <w:r w:rsidR="005A6D15" w:rsidRPr="002E6060">
        <w:t xml:space="preserve"> </w:t>
      </w:r>
      <w:r w:rsidR="00267AAA" w:rsidRPr="002E6060">
        <w:t>meziro</w:t>
      </w:r>
      <w:r w:rsidR="0075614E" w:rsidRPr="002E6060">
        <w:t>čně značných</w:t>
      </w:r>
      <w:r w:rsidR="00267AAA" w:rsidRPr="002E6060">
        <w:t xml:space="preserve"> výkyvů</w:t>
      </w:r>
      <w:r w:rsidR="00E571CB" w:rsidRPr="002E6060">
        <w:t xml:space="preserve">, neboť se v něm </w:t>
      </w:r>
      <w:r w:rsidR="00A944BE" w:rsidRPr="002E6060">
        <w:t xml:space="preserve">promítají </w:t>
      </w:r>
      <w:r w:rsidR="003E32FA" w:rsidRPr="002E6060">
        <w:t>různé</w:t>
      </w:r>
      <w:r w:rsidR="00A944BE" w:rsidRPr="002E6060">
        <w:t xml:space="preserve"> faktory</w:t>
      </w:r>
      <w:r w:rsidR="000D63C1" w:rsidRPr="002E6060">
        <w:t>. Je t</w:t>
      </w:r>
      <w:r w:rsidR="00FB38D0" w:rsidRPr="002E6060">
        <w:t xml:space="preserve">udíž </w:t>
      </w:r>
      <w:r w:rsidR="00C10AD2" w:rsidRPr="002E6060">
        <w:t>zcela na místě</w:t>
      </w:r>
      <w:r w:rsidR="007968C7" w:rsidRPr="002E6060">
        <w:t xml:space="preserve"> i</w:t>
      </w:r>
      <w:r w:rsidR="00C10AD2" w:rsidRPr="002E6060">
        <w:t xml:space="preserve"> jistá </w:t>
      </w:r>
      <w:r w:rsidR="00FC18FE" w:rsidRPr="002E6060">
        <w:t xml:space="preserve">míra </w:t>
      </w:r>
      <w:r w:rsidR="00C10AD2" w:rsidRPr="002E6060">
        <w:t>obezřetnost</w:t>
      </w:r>
      <w:r w:rsidR="00FC18FE" w:rsidRPr="002E6060">
        <w:t>i</w:t>
      </w:r>
      <w:r w:rsidR="00C10AD2" w:rsidRPr="002E6060">
        <w:t xml:space="preserve"> </w:t>
      </w:r>
      <w:r w:rsidR="00A944BE" w:rsidRPr="002E6060">
        <w:t>při</w:t>
      </w:r>
      <w:r w:rsidR="001D58E8" w:rsidRPr="002E6060">
        <w:t xml:space="preserve"> </w:t>
      </w:r>
      <w:r w:rsidR="00A944BE" w:rsidRPr="002E6060">
        <w:t>interpretaci</w:t>
      </w:r>
      <w:r w:rsidR="00EB2220" w:rsidRPr="002E6060">
        <w:t xml:space="preserve"> jeho výsledků</w:t>
      </w:r>
      <w:r w:rsidR="0078292F" w:rsidRPr="002E6060">
        <w:t xml:space="preserve"> </w:t>
      </w:r>
      <w:r w:rsidR="00F362AE" w:rsidRPr="002E6060">
        <w:t>či</w:t>
      </w:r>
      <w:r w:rsidR="00A944BE" w:rsidRPr="002E6060">
        <w:t xml:space="preserve"> mezinárodním srovnávání</w:t>
      </w:r>
      <w:r w:rsidR="00C7379B">
        <w:t xml:space="preserve">, </w:t>
      </w:r>
      <w:r w:rsidR="00C10AD2" w:rsidRPr="002E6060">
        <w:t>i</w:t>
      </w:r>
      <w:r w:rsidR="007968C7" w:rsidRPr="002E6060">
        <w:t xml:space="preserve"> přesto</w:t>
      </w:r>
      <w:r w:rsidR="00C10AD2" w:rsidRPr="002E6060">
        <w:t xml:space="preserve"> má </w:t>
      </w:r>
      <w:r w:rsidR="00880528" w:rsidRPr="002E6060">
        <w:t xml:space="preserve">však </w:t>
      </w:r>
      <w:r w:rsidR="00C10AD2" w:rsidRPr="002E6060">
        <w:t>zmíněný</w:t>
      </w:r>
      <w:r w:rsidR="00871523" w:rsidRPr="002E6060">
        <w:t xml:space="preserve"> demografický ukazatel v textu své opodstatněné místo</w:t>
      </w:r>
      <w:r w:rsidR="00267AAA" w:rsidRPr="002E6060">
        <w:t xml:space="preserve">. </w:t>
      </w:r>
      <w:r w:rsidR="00544428" w:rsidRPr="002E6060">
        <w:t>Jelikož</w:t>
      </w:r>
      <w:r w:rsidR="00544428">
        <w:t xml:space="preserve"> </w:t>
      </w:r>
      <w:r w:rsidR="00862989">
        <w:t xml:space="preserve">údaje o neději </w:t>
      </w:r>
      <w:r w:rsidR="009E3B00">
        <w:t xml:space="preserve">na </w:t>
      </w:r>
      <w:r w:rsidR="00862989">
        <w:t>dožití ve zdraví p</w:t>
      </w:r>
      <w:r w:rsidR="007622DC">
        <w:t xml:space="preserve">ro rok 2023 </w:t>
      </w:r>
      <w:r w:rsidR="00862989">
        <w:t xml:space="preserve">nebyly </w:t>
      </w:r>
      <w:r w:rsidR="00C951BB">
        <w:t xml:space="preserve">v době </w:t>
      </w:r>
      <w:r w:rsidR="00FC36DA">
        <w:t>tvorby diplomové</w:t>
      </w:r>
      <w:r w:rsidR="00C951BB">
        <w:t xml:space="preserve"> práce k</w:t>
      </w:r>
      <w:r w:rsidR="009E3B00">
        <w:t> </w:t>
      </w:r>
      <w:r w:rsidR="00C951BB">
        <w:t>dispozici</w:t>
      </w:r>
      <w:r w:rsidR="009E3B00">
        <w:t>,</w:t>
      </w:r>
      <w:r w:rsidR="007622DC">
        <w:t xml:space="preserve"> j</w:t>
      </w:r>
      <w:r w:rsidR="008735F6">
        <w:t>sou</w:t>
      </w:r>
      <w:r w:rsidR="007622DC">
        <w:t xml:space="preserve"> v následujícím textu uváděn</w:t>
      </w:r>
      <w:r w:rsidR="008735F6">
        <w:t>y hodnoty pro</w:t>
      </w:r>
      <w:r w:rsidR="007622DC">
        <w:t xml:space="preserve"> rok 2022, pro který byl</w:t>
      </w:r>
      <w:r w:rsidR="00CF78E8">
        <w:t>a data kompletní</w:t>
      </w:r>
      <w:r w:rsidR="00CF78E8" w:rsidRPr="008C2A34">
        <w:t xml:space="preserve">. </w:t>
      </w:r>
      <w:r w:rsidR="00203B45" w:rsidRPr="008C2A34">
        <w:t>Zatímco</w:t>
      </w:r>
      <w:r w:rsidR="00524015" w:rsidRPr="008C2A34">
        <w:t xml:space="preserve"> </w:t>
      </w:r>
      <w:r w:rsidR="003552A4" w:rsidRPr="008C2A34">
        <w:t>v</w:t>
      </w:r>
      <w:r w:rsidR="00E112CB">
        <w:t> </w:t>
      </w:r>
      <w:r w:rsidR="003552A4" w:rsidRPr="008C2A34">
        <w:t>roce 202</w:t>
      </w:r>
      <w:r w:rsidR="00881915" w:rsidRPr="008C2A34">
        <w:t>2</w:t>
      </w:r>
      <w:r w:rsidR="003552A4" w:rsidRPr="008C2A34">
        <w:t xml:space="preserve"> </w:t>
      </w:r>
      <w:r w:rsidR="00524015" w:rsidRPr="008C2A34">
        <w:t xml:space="preserve">bylo </w:t>
      </w:r>
      <w:r w:rsidR="003552A4" w:rsidRPr="008C2A34">
        <w:t>65</w:t>
      </w:r>
      <w:r w:rsidR="007052EB" w:rsidRPr="008C2A34">
        <w:t>let</w:t>
      </w:r>
      <w:r w:rsidR="00203B45" w:rsidRPr="008C2A34">
        <w:t>ému</w:t>
      </w:r>
      <w:r w:rsidR="007052EB" w:rsidRPr="008C2A34">
        <w:t xml:space="preserve"> muž</w:t>
      </w:r>
      <w:r w:rsidR="00203B45" w:rsidRPr="008C2A34">
        <w:t>i predikováno</w:t>
      </w:r>
      <w:r w:rsidR="00B30DBF" w:rsidRPr="008C2A34">
        <w:t xml:space="preserve"> </w:t>
      </w:r>
      <w:r w:rsidR="00203B45" w:rsidRPr="008C2A34">
        <w:t xml:space="preserve">dalších </w:t>
      </w:r>
      <w:r w:rsidR="00775532" w:rsidRPr="008C2A34">
        <w:t>16,05</w:t>
      </w:r>
      <w:r w:rsidR="00203B45" w:rsidRPr="008C2A34">
        <w:t xml:space="preserve"> let</w:t>
      </w:r>
      <w:r w:rsidR="00656933" w:rsidRPr="008C2A34">
        <w:t xml:space="preserve"> života</w:t>
      </w:r>
      <w:r w:rsidR="00B367A9" w:rsidRPr="008C2A34">
        <w:t xml:space="preserve"> (tj. dožil by se </w:t>
      </w:r>
      <w:r w:rsidR="00F23ACD" w:rsidRPr="008C2A34">
        <w:t>81</w:t>
      </w:r>
      <w:r w:rsidR="00E112CB">
        <w:t> </w:t>
      </w:r>
      <w:r w:rsidR="00B367A9" w:rsidRPr="008C2A34">
        <w:t>let)</w:t>
      </w:r>
      <w:r w:rsidR="009958FA" w:rsidRPr="008C2A34">
        <w:t xml:space="preserve">, tak pouze </w:t>
      </w:r>
      <w:r w:rsidR="00EA2AC2" w:rsidRPr="008C2A34">
        <w:t>7,1</w:t>
      </w:r>
      <w:r w:rsidR="009958FA" w:rsidRPr="008C2A34">
        <w:t xml:space="preserve"> let by bylo prožito ve zdraví. </w:t>
      </w:r>
      <w:r w:rsidR="006512C4" w:rsidRPr="008C2A34">
        <w:t>Naopak ž</w:t>
      </w:r>
      <w:r w:rsidR="00445E5B" w:rsidRPr="008C2A34">
        <w:t>en</w:t>
      </w:r>
      <w:r w:rsidR="001A64D8" w:rsidRPr="008C2A34">
        <w:t xml:space="preserve">a ve věku 65 let měla </w:t>
      </w:r>
      <w:r w:rsidR="00927C6A" w:rsidRPr="008C2A34">
        <w:t xml:space="preserve">v témže roce </w:t>
      </w:r>
      <w:r w:rsidR="001A64D8" w:rsidRPr="008C2A34">
        <w:t>před sebou</w:t>
      </w:r>
      <w:r w:rsidR="00CA5552" w:rsidRPr="008C2A34">
        <w:t xml:space="preserve"> </w:t>
      </w:r>
      <w:r w:rsidR="00FA1C89" w:rsidRPr="008C2A34">
        <w:t>19,81</w:t>
      </w:r>
      <w:r w:rsidR="00CA5552" w:rsidRPr="008C2A34">
        <w:t xml:space="preserve"> let</w:t>
      </w:r>
      <w:r w:rsidR="004276A7" w:rsidRPr="008C2A34">
        <w:t xml:space="preserve"> </w:t>
      </w:r>
      <w:r w:rsidR="00FE2EC0" w:rsidRPr="008C2A34">
        <w:t xml:space="preserve">života </w:t>
      </w:r>
      <w:r w:rsidR="004276A7" w:rsidRPr="008C2A34">
        <w:t>(tj.</w:t>
      </w:r>
      <w:r w:rsidR="00B367A9" w:rsidRPr="008C2A34">
        <w:t xml:space="preserve"> dožil</w:t>
      </w:r>
      <w:r w:rsidR="001719F6" w:rsidRPr="008C2A34">
        <w:t>a</w:t>
      </w:r>
      <w:r w:rsidR="00B367A9" w:rsidRPr="008C2A34">
        <w:t xml:space="preserve"> by se </w:t>
      </w:r>
      <w:r w:rsidR="00AF1604" w:rsidRPr="008C2A34">
        <w:t>téměř 85</w:t>
      </w:r>
      <w:r w:rsidR="00B367A9" w:rsidRPr="008C2A34">
        <w:t xml:space="preserve"> let</w:t>
      </w:r>
      <w:r w:rsidR="004276A7" w:rsidRPr="008C2A34">
        <w:t>)</w:t>
      </w:r>
      <w:r w:rsidR="00CA5552" w:rsidRPr="008C2A34">
        <w:t xml:space="preserve">, z toho </w:t>
      </w:r>
      <w:r w:rsidR="00435808" w:rsidRPr="008C2A34">
        <w:t xml:space="preserve">však </w:t>
      </w:r>
      <w:r w:rsidR="00FA1C89" w:rsidRPr="008C2A34">
        <w:t>7,7</w:t>
      </w:r>
      <w:r w:rsidR="00E112CB">
        <w:t> </w:t>
      </w:r>
      <w:r w:rsidR="00CA5552" w:rsidRPr="008C2A34">
        <w:t>let prožitých ve zdraví</w:t>
      </w:r>
      <w:r w:rsidR="00BA2720" w:rsidRPr="008C2A34">
        <w:t>.</w:t>
      </w:r>
      <w:r w:rsidR="00435808" w:rsidRPr="008C2A34">
        <w:t xml:space="preserve"> </w:t>
      </w:r>
      <w:r w:rsidR="00913946" w:rsidRPr="008C2A34">
        <w:t>Uvedené údaje vypovídají, že o</w:t>
      </w:r>
      <w:r w:rsidR="00DF6014" w:rsidRPr="008C2A34">
        <w:t>běma pohlavím</w:t>
      </w:r>
      <w:r w:rsidR="004902DC">
        <w:t>,</w:t>
      </w:r>
      <w:r w:rsidR="00084478" w:rsidRPr="008C2A34">
        <w:t xml:space="preserve"> </w:t>
      </w:r>
      <w:r w:rsidR="00DF6014" w:rsidRPr="008C2A34">
        <w:t>ve věku 65</w:t>
      </w:r>
      <w:r w:rsidR="005E697C">
        <w:t> </w:t>
      </w:r>
      <w:r w:rsidR="00DF6014" w:rsidRPr="008C2A34">
        <w:t>let</w:t>
      </w:r>
      <w:r w:rsidR="004902DC">
        <w:t>,</w:t>
      </w:r>
      <w:r w:rsidR="00EE6184" w:rsidRPr="008C2A34">
        <w:t xml:space="preserve"> </w:t>
      </w:r>
      <w:r w:rsidR="00AB3111" w:rsidRPr="008C2A34">
        <w:t>byl</w:t>
      </w:r>
      <w:r w:rsidR="003D553F" w:rsidRPr="008C2A34">
        <w:t>a</w:t>
      </w:r>
      <w:r w:rsidR="00AB3111" w:rsidRPr="008C2A34">
        <w:t xml:space="preserve"> v roce 2022</w:t>
      </w:r>
      <w:r w:rsidR="00EE6184" w:rsidRPr="008C2A34">
        <w:t xml:space="preserve"> predikován</w:t>
      </w:r>
      <w:r w:rsidR="00D92FD1" w:rsidRPr="008C2A34">
        <w:t>a</w:t>
      </w:r>
      <w:r w:rsidR="00EE6184" w:rsidRPr="008C2A34">
        <w:t xml:space="preserve"> více než polovin</w:t>
      </w:r>
      <w:r w:rsidR="00D92FD1" w:rsidRPr="008C2A34">
        <w:t>a</w:t>
      </w:r>
      <w:r w:rsidR="00995975" w:rsidRPr="008C2A34">
        <w:t xml:space="preserve"> </w:t>
      </w:r>
      <w:r w:rsidR="00EE6184" w:rsidRPr="008C2A34">
        <w:t>zbývajícího života prož</w:t>
      </w:r>
      <w:r w:rsidR="00D92FD1" w:rsidRPr="008C2A34">
        <w:t>itá</w:t>
      </w:r>
      <w:r w:rsidR="00995975" w:rsidRPr="008C2A34">
        <w:t xml:space="preserve"> s nějakou zdravotní indispozicí</w:t>
      </w:r>
      <w:r w:rsidR="00913946" w:rsidRPr="008C2A34">
        <w:t xml:space="preserve"> </w:t>
      </w:r>
      <w:r w:rsidR="00003C82" w:rsidRPr="008C2A34">
        <w:t xml:space="preserve">(55,76 % </w:t>
      </w:r>
      <w:r w:rsidR="00A26709" w:rsidRPr="008C2A34">
        <w:t>zbývajícího života u</w:t>
      </w:r>
      <w:r w:rsidR="00D6700A">
        <w:t> </w:t>
      </w:r>
      <w:r w:rsidR="00A26709" w:rsidRPr="008C2A34">
        <w:t xml:space="preserve">mužů </w:t>
      </w:r>
      <w:r w:rsidR="00003C82" w:rsidRPr="008C2A34">
        <w:t>a 61,13 %</w:t>
      </w:r>
      <w:r w:rsidR="00FA5F22" w:rsidRPr="008C2A34">
        <w:t xml:space="preserve"> </w:t>
      </w:r>
      <w:r w:rsidR="00A26709" w:rsidRPr="008C2A34">
        <w:t>u</w:t>
      </w:r>
      <w:r w:rsidR="00CF4D70">
        <w:t> </w:t>
      </w:r>
      <w:r w:rsidR="00A26709" w:rsidRPr="008C2A34">
        <w:t>žen</w:t>
      </w:r>
      <w:r w:rsidR="00003C82" w:rsidRPr="008C2A34">
        <w:t>).</w:t>
      </w:r>
      <w:r w:rsidR="00AB57D7">
        <w:fldChar w:fldCharType="begin"/>
      </w:r>
      <w:r w:rsidR="009B3709">
        <w:instrText xml:space="preserve"> ADDIN ZOTERO_ITEM CSL_CITATION {"citationID":"Ugex0DSU","properties":{"formattedCitation":"\\super 10(p21),24(p72),29,32(pp14-15),33\\nosupersub{}","plainCitation":"10(p21),24(p72),29,32(pp14-15),33","noteIndex":0},"citationItems":[{"id":135,"uris":["http://zotero.org/users/9426386/items/73VHECLD"],"itemData":{"id":135,"type":"document","language":"cs","publisher":"Český statistický úřad","source":"Zotero","title":"Senioři v ČR v datech – 2023","URL":"https://www.czso.cz/csu/czso/seniori-v-cr-v-datech-ajnoatmxkq","issued":{"date-parts":[["2023"]]}},"locator":"21","label":"page"},{"id":165,"uris":["http://zotero.org/users/9426386/items/PSGAVW2B"],"itemData":{"id":165,"type":"book","event-place":"Brno","ISBN":"978-80-210-9462-8","language":"cs","note":"OCLC: 1417783767","number-of-pages":"154","publisher":"Masarykova univerzita","publisher-place":"Brno","source":"Open WorldCat","title":"(Geo)Demografie nejen pro ekonomy","author":[{"family":"Kunc","given":"Josef"},{"family":"Jaňurová","given":"Martina"},{"family":"Krajíčková","given":"Aneta"},{"family":"Tonev","given":"Petr"},{"family":"Toušek","given":"Václav"}],"issued":{"date-parts":[["2019"]]}},"locator":"72","label":"page"},{"id":178,"uris":["http://zotero.org/users/9426386/items/Q79RAAMU"],"itemData":{"id":178,"type":"webpage","container-title":"Český statistický úřad","language":"cs","title":"Veřejná databáze","URL":"https://vdb.czso.cz/vdbvo2/"},"label":"page"},{"id":179,"uris":["http://zotero.org/users/9426386/items/6IHJSTGM"],"itemData":{"id":179,"type":"book","event-place":"Brno","ISBN":"978-80-210-7865-9","language":"cs","number-of-pages":"131","publisher":"Masarykova univerzita","publisher-place":"Brno","title":"Sociální práce se seniory v kontextu kritické gerontologie","author":[{"family":"Kubalčíková","given":"Kateřina"},{"family":"Rabušic","given":"Ladislav"},{"family":"Zlatušková","given":"Iva"},{"family":"Droběnová","given":"Radmila"},{"family":"Hanousková","given":"Michaela"},{"family":"Horáková","given":"Jana"},{"family":"Kotásek","given":"Josef"},{"family":"Krpec","given":"Oldřich"}],"issued":{"date-parts":[["2015"]]}},"locator":"14-15","label":"page"},{"id":186,"uris":["http://zotero.org/users/9426386/items/R3GVNBPL"],"itemData":{"id":186,"type":"webpage","container-title":"Eurostat","language":"en","title":"Database","URL":"https://ec.europa.eu/eurostat/web/main/data/database"},"label":"page"}],"schema":"https://github.com/citation-style-language/schema/raw/master/csl-citation.json"} </w:instrText>
      </w:r>
      <w:r w:rsidR="00AB57D7">
        <w:fldChar w:fldCharType="separate"/>
      </w:r>
      <w:r w:rsidR="000C1A01" w:rsidRPr="000C1A01">
        <w:rPr>
          <w:vertAlign w:val="superscript"/>
        </w:rPr>
        <w:t>10(p21),24(p72),29,32(pp14-15),33</w:t>
      </w:r>
      <w:r w:rsidR="00AB57D7">
        <w:fldChar w:fldCharType="end"/>
      </w:r>
    </w:p>
    <w:p w14:paraId="4526CCA6" w14:textId="5926022A" w:rsidR="005B7129" w:rsidRDefault="000B4819" w:rsidP="00FD7C8A">
      <w:pPr>
        <w:pStyle w:val="Dalodstavce"/>
      </w:pPr>
      <w:r>
        <w:t xml:space="preserve">Za loňský rok 2023 zemřelo </w:t>
      </w:r>
      <w:r w:rsidR="009F0A13">
        <w:t xml:space="preserve">v ČR </w:t>
      </w:r>
      <w:r>
        <w:t xml:space="preserve">celkem </w:t>
      </w:r>
      <w:r w:rsidR="009F0A13">
        <w:t xml:space="preserve">112 795 lidí, z toho 84,11 % tvořily osoby </w:t>
      </w:r>
      <w:r w:rsidR="006F071C">
        <w:t>ve věku 65</w:t>
      </w:r>
      <w:r w:rsidR="00BF42AC">
        <w:t xml:space="preserve"> </w:t>
      </w:r>
      <w:r w:rsidR="006F071C">
        <w:t>a více</w:t>
      </w:r>
      <w:r w:rsidR="00BF42AC">
        <w:t xml:space="preserve"> let</w:t>
      </w:r>
      <w:r w:rsidR="006F071C">
        <w:t xml:space="preserve">. Před deseti lety přitom stejná věková skupina </w:t>
      </w:r>
      <w:r w:rsidR="00E600A5">
        <w:t>měla 79,33% zastoupení v celkovém počtu zemřelých. V horizontu deseti let se ta</w:t>
      </w:r>
      <w:r w:rsidR="000749DC">
        <w:t>k</w:t>
      </w:r>
      <w:r w:rsidR="00193C29">
        <w:t xml:space="preserve"> jedná o téměř 5% přesun úmrtnosti</w:t>
      </w:r>
      <w:r w:rsidR="000749DC">
        <w:t xml:space="preserve"> do vyššího věku</w:t>
      </w:r>
      <w:r w:rsidR="006B091C">
        <w:t>.</w:t>
      </w:r>
      <w:r w:rsidR="00BA529B">
        <w:t xml:space="preserve"> V roce 2023</w:t>
      </w:r>
      <w:r w:rsidR="00AC148B">
        <w:t xml:space="preserve"> </w:t>
      </w:r>
      <w:r w:rsidR="00120E23">
        <w:t xml:space="preserve">náleželo nejvíce </w:t>
      </w:r>
      <w:r w:rsidR="00647A3C">
        <w:t xml:space="preserve">zemřelých seniorů do pětileté věkové skupiny </w:t>
      </w:r>
      <w:r w:rsidR="001E1F72">
        <w:t>75</w:t>
      </w:r>
      <w:r w:rsidR="00884300">
        <w:t>–</w:t>
      </w:r>
      <w:r w:rsidR="001E1F72">
        <w:t>79 let</w:t>
      </w:r>
      <w:r w:rsidR="003B6378">
        <w:t xml:space="preserve"> (</w:t>
      </w:r>
      <w:r w:rsidR="00957923">
        <w:t>16,78 %</w:t>
      </w:r>
      <w:r w:rsidR="003B6378">
        <w:t>)</w:t>
      </w:r>
      <w:r w:rsidR="00CC2115">
        <w:t>. D</w:t>
      </w:r>
      <w:r w:rsidR="001E1F72">
        <w:t>ále následova</w:t>
      </w:r>
      <w:r w:rsidR="00CC2115">
        <w:t>ly</w:t>
      </w:r>
      <w:r w:rsidR="00FA6E70">
        <w:t xml:space="preserve"> </w:t>
      </w:r>
      <w:r w:rsidR="001E1F72">
        <w:t>skupin</w:t>
      </w:r>
      <w:r w:rsidR="00CC2115">
        <w:t>y</w:t>
      </w:r>
      <w:r w:rsidR="001E1F72">
        <w:t xml:space="preserve"> 80</w:t>
      </w:r>
      <w:r w:rsidR="00884300">
        <w:t>–</w:t>
      </w:r>
      <w:r w:rsidR="001E1F72">
        <w:t>84</w:t>
      </w:r>
      <w:r w:rsidR="00FA6E70">
        <w:t xml:space="preserve"> </w:t>
      </w:r>
      <w:r w:rsidR="002D7DBF">
        <w:lastRenderedPageBreak/>
        <w:t>(</w:t>
      </w:r>
      <w:r w:rsidR="005B16F3">
        <w:t>16,20</w:t>
      </w:r>
      <w:r w:rsidR="008D686E">
        <w:t> </w:t>
      </w:r>
      <w:r w:rsidR="005B16F3">
        <w:t>%</w:t>
      </w:r>
      <w:r w:rsidR="002D7DBF">
        <w:t xml:space="preserve">) </w:t>
      </w:r>
      <w:r w:rsidR="00FA6E70">
        <w:t>a 85</w:t>
      </w:r>
      <w:r w:rsidR="00884300">
        <w:t>–</w:t>
      </w:r>
      <w:r w:rsidR="00FA6E70">
        <w:t xml:space="preserve">89 </w:t>
      </w:r>
      <w:r w:rsidR="005B16F3">
        <w:t xml:space="preserve">(14,46 %) </w:t>
      </w:r>
      <w:r w:rsidR="00FA6E70">
        <w:t>let</w:t>
      </w:r>
      <w:r w:rsidR="003B6378">
        <w:t>.</w:t>
      </w:r>
      <w:r w:rsidR="005B16F3">
        <w:t xml:space="preserve"> </w:t>
      </w:r>
      <w:r w:rsidR="000114E8">
        <w:t xml:space="preserve">V roce 2013 </w:t>
      </w:r>
      <w:r w:rsidR="00F57ECB">
        <w:t xml:space="preserve">přitom </w:t>
      </w:r>
      <w:r w:rsidR="0087245A">
        <w:t>zaujímal</w:t>
      </w:r>
      <w:r w:rsidR="00323A36">
        <w:t xml:space="preserve">i </w:t>
      </w:r>
      <w:r w:rsidR="00C01BB2">
        <w:t xml:space="preserve">pomyslné </w:t>
      </w:r>
      <w:r w:rsidR="000114E8">
        <w:t>prvenství seni</w:t>
      </w:r>
      <w:r w:rsidR="00323A36">
        <w:t>oři ve věku</w:t>
      </w:r>
      <w:r w:rsidR="000114E8">
        <w:t xml:space="preserve"> 80</w:t>
      </w:r>
      <w:r w:rsidR="00884300">
        <w:t>–</w:t>
      </w:r>
      <w:r w:rsidR="000114E8">
        <w:t>84 let</w:t>
      </w:r>
      <w:r w:rsidR="008F422E">
        <w:t xml:space="preserve"> (17,39 %), následov</w:t>
      </w:r>
      <w:r w:rsidR="00C01BB2">
        <w:t>áni</w:t>
      </w:r>
      <w:r w:rsidR="008F422E">
        <w:t xml:space="preserve"> </w:t>
      </w:r>
      <w:r w:rsidR="00C01BB2">
        <w:t>věkovými skupinami</w:t>
      </w:r>
      <w:r w:rsidR="008F422E">
        <w:t xml:space="preserve"> 85</w:t>
      </w:r>
      <w:r w:rsidR="00A379F2">
        <w:t>–</w:t>
      </w:r>
      <w:r w:rsidR="008F422E" w:rsidRPr="003201FE">
        <w:t>89 (</w:t>
      </w:r>
      <w:r w:rsidR="00891532" w:rsidRPr="003201FE">
        <w:t>16,86 %</w:t>
      </w:r>
      <w:r w:rsidR="008F422E" w:rsidRPr="003201FE">
        <w:t>) a 75</w:t>
      </w:r>
      <w:r w:rsidR="00A379F2">
        <w:t>–</w:t>
      </w:r>
      <w:r w:rsidR="008F422E" w:rsidRPr="003201FE">
        <w:t xml:space="preserve">79 </w:t>
      </w:r>
      <w:r w:rsidR="00891532" w:rsidRPr="003201FE">
        <w:t xml:space="preserve">(12,51 %) </w:t>
      </w:r>
      <w:r w:rsidR="008F422E" w:rsidRPr="003201FE">
        <w:t>let.</w:t>
      </w:r>
      <w:r w:rsidR="003201FE" w:rsidRPr="003201FE">
        <w:t xml:space="preserve"> </w:t>
      </w:r>
      <w:r w:rsidR="005C5781">
        <w:t xml:space="preserve">Počet i podíl úmrtí seniorů </w:t>
      </w:r>
      <w:r w:rsidR="006F4BFE">
        <w:t xml:space="preserve">na celkové úmrtnosti </w:t>
      </w:r>
      <w:r w:rsidR="005C5781">
        <w:t>v ČR má</w:t>
      </w:r>
      <w:r w:rsidR="009366EE">
        <w:t xml:space="preserve"> tak za poslední dobu </w:t>
      </w:r>
      <w:r w:rsidR="00023B44">
        <w:t>většinově</w:t>
      </w:r>
      <w:r w:rsidR="009366EE">
        <w:t xml:space="preserve"> rostoucí tendenci.</w:t>
      </w:r>
      <w:r w:rsidR="00535457">
        <w:fldChar w:fldCharType="begin"/>
      </w:r>
      <w:r w:rsidR="009B3709">
        <w:instrText xml:space="preserve"> ADDIN ZOTERO_ITEM CSL_CITATION {"citationID":"B8I1StMb","properties":{"formattedCitation":"\\super 10(p19),29\\nosupersub{}","plainCitation":"10(p19),29","noteIndex":0},"citationItems":[{"id":135,"uris":["http://zotero.org/users/9426386/items/73VHECLD"],"itemData":{"id":135,"type":"document","language":"cs","publisher":"Český statistický úřad","source":"Zotero","title":"Senioři v ČR v datech – 2023","URL":"https://www.czso.cz/csu/czso/seniori-v-cr-v-datech-ajnoatmxkq","issued":{"date-parts":[["2023"]]}},"locator":"19","label":"page"},{"id":178,"uris":["http://zotero.org/users/9426386/items/Q79RAAMU"],"itemData":{"id":178,"type":"webpage","container-title":"Český statistický úřad","language":"cs","title":"Veřejná databáze","URL":"https://vdb.czso.cz/vdbvo2/"},"label":"page"}],"schema":"https://github.com/citation-style-language/schema/raw/master/csl-citation.json"} </w:instrText>
      </w:r>
      <w:r w:rsidR="00535457">
        <w:fldChar w:fldCharType="separate"/>
      </w:r>
      <w:r w:rsidR="000C1A01" w:rsidRPr="000C1A01">
        <w:rPr>
          <w:vertAlign w:val="superscript"/>
        </w:rPr>
        <w:t>10(p19),29</w:t>
      </w:r>
      <w:r w:rsidR="00535457">
        <w:fldChar w:fldCharType="end"/>
      </w:r>
    </w:p>
    <w:p w14:paraId="4CA82703" w14:textId="0CBD36D4" w:rsidR="00895E76" w:rsidRDefault="00794ECB" w:rsidP="008F6FC0">
      <w:pPr>
        <w:pStyle w:val="Dalodstavce"/>
      </w:pPr>
      <w:r>
        <w:t>N</w:t>
      </w:r>
      <w:r w:rsidR="00271F84">
        <w:t>ejčastější příčin</w:t>
      </w:r>
      <w:r w:rsidR="00B456A9">
        <w:t>y</w:t>
      </w:r>
      <w:r w:rsidR="00271F84">
        <w:t xml:space="preserve"> úmrtí </w:t>
      </w:r>
      <w:r w:rsidR="00A1236A">
        <w:t>v seniorském věku</w:t>
      </w:r>
      <w:r w:rsidR="00B456A9">
        <w:t xml:space="preserve"> </w:t>
      </w:r>
      <w:r w:rsidR="00A1236A">
        <w:t>již byly</w:t>
      </w:r>
      <w:r w:rsidR="00E73DC8">
        <w:t>,</w:t>
      </w:r>
      <w:r w:rsidR="00A1236A">
        <w:t xml:space="preserve"> </w:t>
      </w:r>
      <w:r w:rsidR="0071092F">
        <w:t>v širším kontextu</w:t>
      </w:r>
      <w:r w:rsidR="00E73DC8">
        <w:t>,</w:t>
      </w:r>
      <w:r w:rsidR="0071092F">
        <w:t xml:space="preserve"> </w:t>
      </w:r>
      <w:r w:rsidR="00A1236A">
        <w:t>krátce zmíněny v kapitole 2.2</w:t>
      </w:r>
      <w:r w:rsidR="0000444A">
        <w:t>. Dle oficiálních dat ČSÚ</w:t>
      </w:r>
      <w:r w:rsidR="0019165C">
        <w:t xml:space="preserve"> j</w:t>
      </w:r>
      <w:r w:rsidR="000C4BD1">
        <w:t>sou</w:t>
      </w:r>
      <w:r w:rsidR="0019165C">
        <w:t xml:space="preserve"> nejčastější příčin</w:t>
      </w:r>
      <w:r w:rsidR="00DD1D23">
        <w:t>ou</w:t>
      </w:r>
      <w:r w:rsidR="0019165C">
        <w:t xml:space="preserve"> úmrtí českých seniorů</w:t>
      </w:r>
      <w:r w:rsidR="003E11F6">
        <w:t xml:space="preserve"> onemocnění oběhové soustavy, z nichž má </w:t>
      </w:r>
      <w:r w:rsidR="006B6E71">
        <w:t xml:space="preserve">své </w:t>
      </w:r>
      <w:r w:rsidR="003E11F6">
        <w:t>jednoznačné prvenství</w:t>
      </w:r>
      <w:r w:rsidR="00DD1D23">
        <w:t xml:space="preserve"> </w:t>
      </w:r>
      <w:r w:rsidR="00371EF7">
        <w:t>chronická ischemická choroba srdečn</w:t>
      </w:r>
      <w:r w:rsidR="008763AF">
        <w:t>í. Ze skupiny kardi</w:t>
      </w:r>
      <w:r w:rsidR="00F34D40">
        <w:t xml:space="preserve">ovaskulárních chorob </w:t>
      </w:r>
      <w:r w:rsidR="000E3A6D">
        <w:t xml:space="preserve">jsou </w:t>
      </w:r>
      <w:r w:rsidR="00F34D40">
        <w:t xml:space="preserve">dále hojně zastoupeny </w:t>
      </w:r>
      <w:r w:rsidR="00A50B14">
        <w:t>cévní nemoci mozku, srdeční selhání,</w:t>
      </w:r>
      <w:r w:rsidR="007860EB">
        <w:t xml:space="preserve"> hypertenzní nemoci a akutní infarkt myokardu</w:t>
      </w:r>
      <w:r w:rsidR="00B01644">
        <w:t>.</w:t>
      </w:r>
      <w:r w:rsidR="00612397">
        <w:t xml:space="preserve"> Druhou </w:t>
      </w:r>
      <w:r w:rsidR="00BC61F8">
        <w:t>nej</w:t>
      </w:r>
      <w:r w:rsidR="00612397">
        <w:t>početně</w:t>
      </w:r>
      <w:r w:rsidR="00BC61F8">
        <w:t>ji</w:t>
      </w:r>
      <w:r w:rsidR="00612397">
        <w:t xml:space="preserve"> zastoupenou příčinou seniorské úmrtnosti jsou </w:t>
      </w:r>
      <w:r w:rsidR="00C80D08">
        <w:t>zhoubné nádory</w:t>
      </w:r>
      <w:r w:rsidR="00C25F32">
        <w:t>, jako jsou</w:t>
      </w:r>
      <w:r w:rsidR="00C80D08">
        <w:t xml:space="preserve"> </w:t>
      </w:r>
      <w:r w:rsidR="00C70373">
        <w:t>karcinomy</w:t>
      </w:r>
      <w:r w:rsidR="009E759C">
        <w:t xml:space="preserve"> </w:t>
      </w:r>
      <w:r w:rsidR="00BA1770">
        <w:t>respiračního</w:t>
      </w:r>
      <w:r w:rsidR="001D3F9A">
        <w:t xml:space="preserve"> či</w:t>
      </w:r>
      <w:r w:rsidR="00856CD6">
        <w:t xml:space="preserve"> </w:t>
      </w:r>
      <w:r w:rsidR="007C32CD">
        <w:t>trávicího</w:t>
      </w:r>
      <w:r w:rsidR="00D60B42">
        <w:t xml:space="preserve"> </w:t>
      </w:r>
      <w:r w:rsidR="00BA1770">
        <w:t xml:space="preserve">ústrojí, </w:t>
      </w:r>
      <w:r w:rsidR="00E36DF7">
        <w:t xml:space="preserve">mužských a ženských </w:t>
      </w:r>
      <w:r w:rsidR="00102774">
        <w:t>pohlavních orgánů a u žen</w:t>
      </w:r>
      <w:r w:rsidR="009A1723">
        <w:t xml:space="preserve"> </w:t>
      </w:r>
      <w:r w:rsidR="00C70373">
        <w:t>rakovina</w:t>
      </w:r>
      <w:r w:rsidR="00102774">
        <w:t xml:space="preserve"> prsu</w:t>
      </w:r>
      <w:r w:rsidR="00C80D08">
        <w:t>.</w:t>
      </w:r>
      <w:r w:rsidR="0076095B">
        <w:t xml:space="preserve"> </w:t>
      </w:r>
      <w:r w:rsidR="00D7039C">
        <w:t>Vzestupn</w:t>
      </w:r>
      <w:r w:rsidR="00E76649">
        <w:t>ý charakter</w:t>
      </w:r>
      <w:r w:rsidR="00557382">
        <w:t xml:space="preserve"> pak</w:t>
      </w:r>
      <w:r w:rsidR="00E76649">
        <w:t xml:space="preserve"> vykazují</w:t>
      </w:r>
      <w:r w:rsidR="00557382">
        <w:t xml:space="preserve"> onemocnění jako jsou Alzheimerova nemoc, vaskulární demence či d</w:t>
      </w:r>
      <w:r w:rsidR="00A23671">
        <w:t>i</w:t>
      </w:r>
      <w:r w:rsidR="00557382">
        <w:t xml:space="preserve">abetes </w:t>
      </w:r>
      <w:proofErr w:type="spellStart"/>
      <w:r w:rsidR="00557382">
        <w:t>mellitus</w:t>
      </w:r>
      <w:proofErr w:type="spellEnd"/>
      <w:r w:rsidR="00557382">
        <w:t>.</w:t>
      </w:r>
      <w:r w:rsidR="00003E15">
        <w:t xml:space="preserve"> </w:t>
      </w:r>
      <w:r w:rsidR="005260F5">
        <w:t xml:space="preserve">Početné zastoupení v příčinách seniorské úmrtnosti </w:t>
      </w:r>
      <w:r w:rsidR="004D6195">
        <w:t>si</w:t>
      </w:r>
      <w:r w:rsidR="005260F5">
        <w:t xml:space="preserve"> během pandemie </w:t>
      </w:r>
      <w:r w:rsidR="004D6195">
        <w:t xml:space="preserve">získalo </w:t>
      </w:r>
      <w:r w:rsidR="005260F5">
        <w:t>taktéž respirační onemocnění covid</w:t>
      </w:r>
      <w:r w:rsidR="005260F5" w:rsidRPr="003467F6">
        <w:t>-19.</w:t>
      </w:r>
      <w:r w:rsidR="006A3338">
        <w:fldChar w:fldCharType="begin"/>
      </w:r>
      <w:r w:rsidR="000302D1">
        <w:instrText xml:space="preserve"> ADDIN ZOTERO_ITEM CSL_CITATION {"citationID":"CalBbb2J","properties":{"formattedCitation":"\\super 10(pp21-22)\\nosupersub{}","plainCitation":"10(pp21-22)","noteIndex":0},"citationItems":[{"id":135,"uris":["http://zotero.org/users/9426386/items/73VHECLD"],"itemData":{"id":135,"type":"document","language":"cs","publisher":"Český statistický úřad","source":"Zotero","title":"Senioři v ČR v datech – 2023","URL":"https://www.czso.cz/csu/czso/seniori-v-cr-v-datech-ajnoatmxkq","issued":{"date-parts":[["2023"]]}},"locator":"21-22","label":"page"}],"schema":"https://github.com/citation-style-language/schema/raw/master/csl-citation.json"} </w:instrText>
      </w:r>
      <w:r w:rsidR="006A3338">
        <w:fldChar w:fldCharType="separate"/>
      </w:r>
      <w:r w:rsidR="00463868" w:rsidRPr="00463868">
        <w:rPr>
          <w:vertAlign w:val="superscript"/>
        </w:rPr>
        <w:t>10(pp21-22)</w:t>
      </w:r>
      <w:r w:rsidR="006A3338">
        <w:fldChar w:fldCharType="end"/>
      </w:r>
    </w:p>
    <w:p w14:paraId="7AEF61E0" w14:textId="65A4074C" w:rsidR="00FD7C8A" w:rsidRPr="00F05072" w:rsidRDefault="004B7A54" w:rsidP="00FD7C8A">
      <w:pPr>
        <w:pStyle w:val="Dalodstavce"/>
      </w:pPr>
      <w:r>
        <w:t>Pokles pravděpo</w:t>
      </w:r>
      <w:r w:rsidR="00AF045C">
        <w:t>dobnosti úmrtí u obou pohlaví</w:t>
      </w:r>
      <w:r w:rsidR="004358DE">
        <w:t>, společně s vyšší pravděpodobností úmrtí ve vyšším věku, je</w:t>
      </w:r>
      <w:r w:rsidR="00DD1F83">
        <w:t xml:space="preserve"> nejen </w:t>
      </w:r>
      <w:r w:rsidR="00D65E97">
        <w:t xml:space="preserve">demografickou situací </w:t>
      </w:r>
      <w:r w:rsidR="002234BE">
        <w:t xml:space="preserve">v poslední době, ale </w:t>
      </w:r>
      <w:r w:rsidR="00C55CDC">
        <w:t xml:space="preserve">stává se </w:t>
      </w:r>
      <w:r w:rsidR="002234BE">
        <w:t>taktéž</w:t>
      </w:r>
      <w:r w:rsidR="00234FBD">
        <w:t xml:space="preserve"> </w:t>
      </w:r>
      <w:r w:rsidR="00C55CDC">
        <w:t xml:space="preserve">setrvalým trendem </w:t>
      </w:r>
      <w:r w:rsidR="00187689">
        <w:t>i do budoucna</w:t>
      </w:r>
      <w:r w:rsidR="001F3CC8">
        <w:t>.</w:t>
      </w:r>
      <w:r w:rsidR="006A3338">
        <w:fldChar w:fldCharType="begin"/>
      </w:r>
      <w:r w:rsidR="00217156">
        <w:instrText xml:space="preserve"> ADDIN ZOTERO_ITEM CSL_CITATION {"citationID":"UQwfsw8P","properties":{"formattedCitation":"\\super 30(pp53-54)\\nosupersub{}","plainCitation":"30(pp53-54)","noteIndex":0},"citationItems":[{"id":181,"uris":["http://zotero.org/users/9426386/items/K4VK3UDJ"],"itemData":{"id":181,"type":"document","language":"cs","publisher":"MPSV ČR","title":"Zpráva o stavu důchodového systému České republiky a o jeho předpokládaném vývoji se zřetelem na demografickou situaci České republiky a na očekávaný populační a ekonomický vývoj","URL":"https://www.mpsv.cz/documents/20142/7095934/Zpráva+2024.pdf","issued":{"date-parts":[["2024"]]}},"locator":"53-54","label":"page"}],"schema":"https://github.com/citation-style-language/schema/raw/master/csl-citation.json"} </w:instrText>
      </w:r>
      <w:r w:rsidR="006A3338">
        <w:fldChar w:fldCharType="separate"/>
      </w:r>
      <w:r w:rsidR="000C1A01" w:rsidRPr="000C1A01">
        <w:rPr>
          <w:vertAlign w:val="superscript"/>
        </w:rPr>
        <w:t>30(pp53-54)</w:t>
      </w:r>
      <w:r w:rsidR="006A3338">
        <w:fldChar w:fldCharType="end"/>
      </w:r>
      <w:r w:rsidR="00622AF5">
        <w:t xml:space="preserve"> </w:t>
      </w:r>
      <w:r w:rsidR="0085389A" w:rsidRPr="00B85989">
        <w:t>Výhledově lze očekávat další pokračování ve vyrovnávání rozdíl</w:t>
      </w:r>
      <w:r w:rsidR="00DD6C1D" w:rsidRPr="00B85989">
        <w:t>u v naději dožití mezi jednotlivými pohlavími,</w:t>
      </w:r>
      <w:r w:rsidR="003A3979" w:rsidRPr="00B85989">
        <w:t xml:space="preserve"> především vlivem zlepšení úmrtnostních poměrů u mužské části populace.</w:t>
      </w:r>
      <w:r w:rsidR="00323FD9" w:rsidRPr="00B85989">
        <w:t xml:space="preserve"> </w:t>
      </w:r>
      <w:r w:rsidR="00C502E8" w:rsidRPr="00B85989">
        <w:t>Pravdou však zůstává, že ob</w:t>
      </w:r>
      <w:r w:rsidR="00892031" w:rsidRPr="00B85989">
        <w:t>a</w:t>
      </w:r>
      <w:r w:rsidR="00C502E8" w:rsidRPr="00B85989">
        <w:t xml:space="preserve"> demografické </w:t>
      </w:r>
      <w:r w:rsidR="00892031" w:rsidRPr="00B85989">
        <w:t>ukazatele</w:t>
      </w:r>
      <w:r w:rsidR="00560416">
        <w:t xml:space="preserve">, </w:t>
      </w:r>
      <w:r w:rsidR="00323FD9" w:rsidRPr="00B85989">
        <w:t xml:space="preserve">tedy </w:t>
      </w:r>
      <w:r w:rsidR="006F547A" w:rsidRPr="00B85989">
        <w:t>střední délka života a</w:t>
      </w:r>
      <w:r w:rsidR="005862BF" w:rsidRPr="00B85989">
        <w:t xml:space="preserve"> délka života </w:t>
      </w:r>
      <w:r w:rsidR="00545AB0">
        <w:t xml:space="preserve">prožitá </w:t>
      </w:r>
      <w:r w:rsidR="005862BF" w:rsidRPr="00B85989">
        <w:t>ve zdraví</w:t>
      </w:r>
      <w:r w:rsidR="00560416">
        <w:t>,</w:t>
      </w:r>
      <w:r w:rsidR="005862BF" w:rsidRPr="00B85989">
        <w:t xml:space="preserve"> výhledově </w:t>
      </w:r>
      <w:r w:rsidR="00892031" w:rsidRPr="00B85989">
        <w:t>ne</w:t>
      </w:r>
      <w:r w:rsidR="005862BF" w:rsidRPr="00B85989">
        <w:t>po</w:t>
      </w:r>
      <w:r w:rsidR="00892031" w:rsidRPr="00B85989">
        <w:t>rostou stejnou měrou</w:t>
      </w:r>
      <w:r w:rsidR="005B538A" w:rsidRPr="00B85989">
        <w:t>.</w:t>
      </w:r>
      <w:r w:rsidR="001B76B5" w:rsidRPr="00B85989">
        <w:t xml:space="preserve"> </w:t>
      </w:r>
      <w:r w:rsidR="00E11557" w:rsidRPr="00B85989">
        <w:t>Střední délka života</w:t>
      </w:r>
      <w:r w:rsidR="00B4116E" w:rsidRPr="005F4126">
        <w:t xml:space="preserve"> </w:t>
      </w:r>
      <w:r w:rsidR="00940806" w:rsidRPr="005F4126">
        <w:t xml:space="preserve">se </w:t>
      </w:r>
      <w:r w:rsidR="00B4116E" w:rsidRPr="005F4126">
        <w:t>rok od roku pozvolna</w:t>
      </w:r>
      <w:r w:rsidR="00E11557" w:rsidRPr="005F4126">
        <w:t>,</w:t>
      </w:r>
      <w:r w:rsidR="00B4116E" w:rsidRPr="005F4126">
        <w:t xml:space="preserve"> </w:t>
      </w:r>
      <w:r w:rsidR="00940806" w:rsidRPr="005F4126">
        <w:t>a</w:t>
      </w:r>
      <w:r w:rsidR="00E11557" w:rsidRPr="005F4126">
        <w:t>však</w:t>
      </w:r>
      <w:r w:rsidR="00940806" w:rsidRPr="005F4126">
        <w:t xml:space="preserve"> trvale zvyšuje</w:t>
      </w:r>
      <w:r w:rsidR="003C30CD">
        <w:t xml:space="preserve">, byť by se </w:t>
      </w:r>
      <w:r w:rsidR="00821E47">
        <w:t>její meziroční nár</w:t>
      </w:r>
      <w:r w:rsidR="00486FB2">
        <w:t>ů</w:t>
      </w:r>
      <w:r w:rsidR="00821E47">
        <w:t>st</w:t>
      </w:r>
      <w:r w:rsidR="003C30CD">
        <w:t xml:space="preserve"> </w:t>
      </w:r>
      <w:r w:rsidR="00821E47">
        <w:t>měl</w:t>
      </w:r>
      <w:r w:rsidR="003C30CD">
        <w:t xml:space="preserve"> s</w:t>
      </w:r>
      <w:r w:rsidR="00821E47">
        <w:t xml:space="preserve"> </w:t>
      </w:r>
      <w:r w:rsidR="002B46B4">
        <w:t xml:space="preserve">postupem času </w:t>
      </w:r>
      <w:r w:rsidR="00353B05">
        <w:t xml:space="preserve">mírně </w:t>
      </w:r>
      <w:r w:rsidR="002B46B4">
        <w:t>zpomalovat</w:t>
      </w:r>
      <w:r w:rsidR="00601329" w:rsidRPr="005F4126">
        <w:t>.</w:t>
      </w:r>
      <w:r w:rsidR="007C38D2" w:rsidRPr="005F4126">
        <w:t xml:space="preserve"> Obdobnou lineárně vzestupnou tendenci však </w:t>
      </w:r>
      <w:r w:rsidR="00DE5B75" w:rsidRPr="005F4126">
        <w:t xml:space="preserve">nevykazuje ukazatel délky života </w:t>
      </w:r>
      <w:r w:rsidR="00D96E97" w:rsidRPr="005F4126">
        <w:t>prožit</w:t>
      </w:r>
      <w:r w:rsidR="00A07BC6">
        <w:t>é</w:t>
      </w:r>
      <w:r w:rsidR="00D96E97" w:rsidRPr="005F4126">
        <w:t xml:space="preserve"> </w:t>
      </w:r>
      <w:r w:rsidR="00DE5B75" w:rsidRPr="005F4126">
        <w:t>ve zdraví</w:t>
      </w:r>
      <w:r w:rsidR="00D96E97" w:rsidRPr="005F4126">
        <w:t>, která</w:t>
      </w:r>
      <w:r w:rsidR="007C5D80" w:rsidRPr="005F4126">
        <w:t xml:space="preserve"> nejenže neroste stejným tempem, ale taktéž může docházet k jejímu </w:t>
      </w:r>
      <w:r w:rsidR="00FB0EC8" w:rsidRPr="005F4126">
        <w:t>dočasnému či trvalému snížení.</w:t>
      </w:r>
      <w:r w:rsidR="007844F3" w:rsidRPr="005F4126">
        <w:t xml:space="preserve"> Ne</w:t>
      </w:r>
      <w:r w:rsidR="00994127">
        <w:t xml:space="preserve">ní </w:t>
      </w:r>
      <w:r w:rsidR="007844F3" w:rsidRPr="005F4126">
        <w:t>tedy</w:t>
      </w:r>
      <w:r w:rsidR="00994127">
        <w:t xml:space="preserve"> možné</w:t>
      </w:r>
      <w:r w:rsidR="007844F3" w:rsidRPr="005F4126">
        <w:t xml:space="preserve"> počítat </w:t>
      </w:r>
      <w:r w:rsidR="00EC09BA">
        <w:t xml:space="preserve">automaticky </w:t>
      </w:r>
      <w:r w:rsidR="007844F3" w:rsidRPr="005F4126">
        <w:t>s tím, že déle žijící lidé budou</w:t>
      </w:r>
      <w:r w:rsidR="008E74EC" w:rsidRPr="005F4126">
        <w:t xml:space="preserve"> </w:t>
      </w:r>
      <w:r w:rsidR="00E70C94" w:rsidRPr="005F4126">
        <w:t xml:space="preserve">svůj delší život </w:t>
      </w:r>
      <w:r w:rsidR="008E74EC" w:rsidRPr="005F4126">
        <w:t xml:space="preserve">současně </w:t>
      </w:r>
      <w:r w:rsidR="00E70C94" w:rsidRPr="005F4126">
        <w:t>prožívat</w:t>
      </w:r>
      <w:r w:rsidR="003F3C2E" w:rsidRPr="005F4126">
        <w:t xml:space="preserve"> i déle ve zdraví</w:t>
      </w:r>
      <w:r w:rsidR="003F3C2E">
        <w:t>.</w:t>
      </w:r>
      <w:r w:rsidR="002472C6">
        <w:fldChar w:fldCharType="begin"/>
      </w:r>
      <w:r w:rsidR="00CC6671">
        <w:instrText xml:space="preserve"> ADDIN ZOTERO_ITEM CSL_CITATION {"citationID":"ROQtBzhq","properties":{"formattedCitation":"\\super 24(p72),31(p3),32(pp14-15)\\nosupersub{}","plainCitation":"24(p72),31(p3),32(pp14-15)","noteIndex":0},"citationItems":[{"id":165,"uris":["http://zotero.org/users/9426386/items/PSGAVW2B"],"itemData":{"id":165,"type":"book","event-place":"Brno","ISBN":"978-80-210-9462-8","language":"cs","note":"OCLC: 1417783767","number-of-pages":"154","publisher":"Masarykova univerzita","publisher-place":"Brno","source":"Open WorldCat","title":"(Geo)Demografie nejen pro ekonomy","author":[{"family":"Kunc","given":"Josef"},{"family":"Jaňurová","given":"Martina"},{"family":"Krajíčková","given":"Aneta"},{"family":"Tonev","given":"Petr"},{"family":"Toušek","given":"Václav"}],"issued":{"date-parts":[["2019"]]}},"locator":"72","label":"page"},{"id":182,"uris":["http://zotero.org/users/9426386/items/KGZV9KNG"],"itemData":{"id":182,"type":"document","language":"cs","publisher":"Český statistický úřad","title":"Zpráva o očekávaném vývoji úmrtnosti, plodnosti a migrace v České republice 2023–2100","URL":"https://csu.gov.cz/docs/107516/7321a486-8f06-8318-8c09-7d3e53f56d67/zprava_o_ocekavanem_%20vyvoji.pdf","issued":{"date-parts":[["2023",12,22]]}},"locator":"3","label":"page"},{"id":179,"uris":["http://zotero.org/users/9426386/items/6IHJSTGM"],"itemData":{"id":179,"type":"book","event-place":"Brno","ISBN":"978-80-210-7865-9","language":"cs","number-of-pages":"131","publisher":"Masarykova univerzita","publisher-place":"Brno","title":"Sociální práce se seniory v kontextu kritické gerontologie","author":[{"family":"Kubalčíková","given":"Kateřina"},{"family":"Rabušic","given":"Ladislav"},{"family":"Zlatušková","given":"Iva"},{"family":"Droběnová","given":"Radmila"},{"family":"Hanousková","given":"Michaela"},{"family":"Horáková","given":"Jana"},{"family":"Kotásek","given":"Josef"},{"family":"Krpec","given":"Oldřich"}],"issued":{"date-parts":[["2015"]]}},"locator":"14-15","label":"page"}],"schema":"https://github.com/citation-style-language/schema/raw/master/csl-citation.json"} </w:instrText>
      </w:r>
      <w:r w:rsidR="002472C6">
        <w:fldChar w:fldCharType="separate"/>
      </w:r>
      <w:r w:rsidR="000C1A01" w:rsidRPr="000C1A01">
        <w:rPr>
          <w:vertAlign w:val="superscript"/>
        </w:rPr>
        <w:t>24(p72),31(p3),32(pp14-15)</w:t>
      </w:r>
      <w:r w:rsidR="002472C6">
        <w:fldChar w:fldCharType="end"/>
      </w:r>
    </w:p>
    <w:p w14:paraId="7542F53B" w14:textId="17F0CE65" w:rsidR="00D7137C" w:rsidRDefault="002F2FF5" w:rsidP="002E32D6">
      <w:pPr>
        <w:pStyle w:val="Nadpis3"/>
        <w:numPr>
          <w:ilvl w:val="2"/>
          <w:numId w:val="14"/>
        </w:numPr>
      </w:pPr>
      <w:r>
        <w:t>Migrace</w:t>
      </w:r>
    </w:p>
    <w:p w14:paraId="0F938323" w14:textId="50774B4F" w:rsidR="00C43B1B" w:rsidRDefault="00C43B1B" w:rsidP="00DC515B">
      <w:pPr>
        <w:pStyle w:val="Odstavec1"/>
      </w:pPr>
      <w:r>
        <w:t xml:space="preserve">Další významnou hnací silou demografických změn </w:t>
      </w:r>
      <w:r w:rsidR="00DC515B">
        <w:t xml:space="preserve">a nejvýznamnější složkou územních pohybů </w:t>
      </w:r>
      <w:r>
        <w:t xml:space="preserve">je migrace. </w:t>
      </w:r>
      <w:r w:rsidR="00DC515B">
        <w:t xml:space="preserve">Pod pojmem migrace máme na mysli </w:t>
      </w:r>
      <w:r w:rsidR="00DC515B" w:rsidRPr="00DC515B">
        <w:rPr>
          <w:i/>
          <w:iCs/>
        </w:rPr>
        <w:t>„…prostorové přemisťování osob přes libovolné hranice (většinou administrativní) spojené se změnou místa bydliště na dobu kratší či delší, případně natrvalo</w:t>
      </w:r>
      <w:r w:rsidR="00DC515B">
        <w:t>“.</w:t>
      </w:r>
      <w:r w:rsidR="002F783D">
        <w:fldChar w:fldCharType="begin"/>
      </w:r>
      <w:r w:rsidR="009B3709">
        <w:instrText xml:space="preserve"> ADDIN ZOTERO_ITEM CSL_CITATION {"citationID":"DUjOVHds","properties":{"formattedCitation":"\\super 24(p87)\\nosupersub{}","plainCitation":"24(p87)","noteIndex":0},"citationItems":[{"id":165,"uris":["http://zotero.org/users/9426386/items/PSGAVW2B"],"itemData":{"id":165,"type":"book","event-place":"Brno","ISBN":"978-80-210-9462-8","language":"cs","note":"OCLC: 1417783767","number-of-pages":"154","publisher":"Masarykova univerzita","publisher-place":"Brno","source":"Open WorldCat","title":"(Geo)Demografie nejen pro ekonomy","author":[{"family":"Kunc","given":"Josef"},{"family":"Jaňurová","given":"Martina"},{"family":"Krajíčková","given":"Aneta"},{"family":"Tonev","given":"Petr"},{"family":"Toušek","given":"Václav"}],"issued":{"date-parts":[["2019"]]}},"locator":"87","label":"page"}],"schema":"https://github.com/citation-style-language/schema/raw/master/csl-citation.json"} </w:instrText>
      </w:r>
      <w:r w:rsidR="002F783D">
        <w:fldChar w:fldCharType="separate"/>
      </w:r>
      <w:r w:rsidR="00AC70A8" w:rsidRPr="00AC70A8">
        <w:rPr>
          <w:vertAlign w:val="superscript"/>
        </w:rPr>
        <w:t>24(p87)</w:t>
      </w:r>
      <w:r w:rsidR="002F783D">
        <w:fldChar w:fldCharType="end"/>
      </w:r>
      <w:r w:rsidR="002F783D">
        <w:t xml:space="preserve"> </w:t>
      </w:r>
      <w:r w:rsidR="0002104E">
        <w:t>Skrze změny v prostorovém rozmístění obyvatelstva má vliv nejen na celkové množství obyvatel, ale taktéž na řadu dalších ekonomických, demografických a sociálních struktur.</w:t>
      </w:r>
      <w:r w:rsidR="00854190">
        <w:fldChar w:fldCharType="begin"/>
      </w:r>
      <w:r w:rsidR="00C8357A">
        <w:instrText xml:space="preserve"> ADDIN ZOTERO_ITEM CSL_CITATION {"citationID":"MhxpoS3X","properties":{"formattedCitation":"\\super 24(p86),28(p11)\\nosupersub{}","plainCitation":"24(p86),28(p11)","noteIndex":0},"citationItems":[{"id":165,"uris":["http://zotero.org/users/9426386/items/PSGAVW2B"],"itemData":{"id":165,"type":"book","event-place":"Brno","ISBN":"978-80-210-9462-8","language":"cs","note":"OCLC: 1417783767","number-of-pages":"154","publisher":"Masarykova univerzita","publisher-place":"Brno","source":"Open WorldCat","title":"(Geo)Demografie nejen pro ekonomy","author":[{"family":"Kunc","given":"Josef"},{"family":"Jaňurová","given":"Martina"},{"family":"Krajíčková","given":"Aneta"},{"family":"Tonev","given":"Petr"},{"family":"Toušek","given":"Václav"}],"issued":{"date-parts":[["2019"]]}},"locator":"86","label":"page"},{"id":185,"uris":["http://zotero.org/users/9426386/items/8JRCXAYM"],"itemData":{"id":185,"type":"document","language":"cs","publisher":"Evropská komise","title":"Zpráva Komise Evropskému parlamentu, Radě, Evropskému hospodářskému a sociálnímu výboru a Výboru regionů o dopadu demografických změn","URL":"https://eur-lex.europa.eu/legal-content/CS/TXT/PDF/?uri=CELEX:52020DC0241","issued":{"date-parts":[["2020",6,17]]}},"locator":"11","label":"page"}],"schema":"https://github.com/citation-style-language/schema/raw/master/csl-citation.json"} </w:instrText>
      </w:r>
      <w:r w:rsidR="00854190">
        <w:fldChar w:fldCharType="separate"/>
      </w:r>
      <w:r w:rsidR="000C1A01" w:rsidRPr="000C1A01">
        <w:rPr>
          <w:vertAlign w:val="superscript"/>
        </w:rPr>
        <w:t>24(p86),28(p11)</w:t>
      </w:r>
      <w:r w:rsidR="00854190">
        <w:fldChar w:fldCharType="end"/>
      </w:r>
    </w:p>
    <w:p w14:paraId="3C4276E1" w14:textId="65F7F496" w:rsidR="0002104E" w:rsidRDefault="00D928BF" w:rsidP="0002104E">
      <w:pPr>
        <w:pStyle w:val="Dalodstavce"/>
      </w:pPr>
      <w:r>
        <w:t xml:space="preserve">V případě </w:t>
      </w:r>
      <w:r w:rsidR="00995828">
        <w:t>m</w:t>
      </w:r>
      <w:r w:rsidR="00076811">
        <w:t>ezinárodní</w:t>
      </w:r>
      <w:r w:rsidR="00A549F2">
        <w:t xml:space="preserve"> </w:t>
      </w:r>
      <w:r w:rsidR="00995828">
        <w:t xml:space="preserve">migrace </w:t>
      </w:r>
      <w:r w:rsidR="00A52C72">
        <w:t>je p</w:t>
      </w:r>
      <w:r w:rsidR="00402F1A">
        <w:t xml:space="preserve">očet lidí, kteří se stěhují do České republiky dlouhodobě vyšší než počet lidí, kteří ze země odcházejí do zahraničí. V takovém případě hovoříme o tzv. pozitivním saldu zahraničního stěhování. Za období, během něhož jsme členským státem Evropské unie (tedy od roku 2004), dosáhla ČR záporné </w:t>
      </w:r>
      <w:r w:rsidR="00402F1A">
        <w:lastRenderedPageBreak/>
        <w:t>bilance stěhování pouze jedenkrát, a to v roce 2013.</w:t>
      </w:r>
      <w:r w:rsidR="002F3B73">
        <w:t xml:space="preserve"> Od roku 2015 je pak na našem území zaznamenáván rostoucí trend v zisku obyvatel zahraničním stěhováním.</w:t>
      </w:r>
      <w:r w:rsidR="006A7A92">
        <w:t xml:space="preserve"> Objem zahraniční migrace, stejně jako samotná struktura migrantů z hlediska jejich věku a</w:t>
      </w:r>
      <w:r w:rsidR="00AF5BFE">
        <w:t> </w:t>
      </w:r>
      <w:r w:rsidR="006A7A92">
        <w:t xml:space="preserve">pohlaví, může vcelku rychle reagovat na řadu vnějších faktorů (např. </w:t>
      </w:r>
      <w:r w:rsidR="00C42BC6">
        <w:t>aktuální situace na trhu práce, legislativní opatření, bezpečnostní situace a řada dalších</w:t>
      </w:r>
      <w:r w:rsidR="006A7A92">
        <w:t>).</w:t>
      </w:r>
      <w:r w:rsidR="00C42BC6">
        <w:t xml:space="preserve"> Příkladem může být stále aktuální situace v souvislosti s válečným konfliktem na Ukrajině. Zatímco</w:t>
      </w:r>
      <w:r w:rsidR="00A302A7">
        <w:t xml:space="preserve"> </w:t>
      </w:r>
      <w:r w:rsidR="00C42BC6">
        <w:t xml:space="preserve">migrační saldo </w:t>
      </w:r>
      <w:r w:rsidR="00A302A7">
        <w:t>dosáhlo v letech 2017</w:t>
      </w:r>
      <w:r w:rsidR="005779EE">
        <w:t>–</w:t>
      </w:r>
      <w:r w:rsidR="00A302A7">
        <w:t>2021 v průměru necelých 38</w:t>
      </w:r>
      <w:r w:rsidR="00C42BC6">
        <w:t xml:space="preserve"> tisíc osob</w:t>
      </w:r>
      <w:r w:rsidR="006C437B">
        <w:t xml:space="preserve"> ročně</w:t>
      </w:r>
      <w:r w:rsidR="00C42BC6">
        <w:t>, došlo v následujícím roce 2022 k jeho nár</w:t>
      </w:r>
      <w:r w:rsidR="001C14C4">
        <w:t>ů</w:t>
      </w:r>
      <w:r w:rsidR="00C42BC6">
        <w:t>stu na téměř 330 tisíc osob vlivem početné skupiny ukrajinských uprchlíků.</w:t>
      </w:r>
      <w:r w:rsidR="0043424F">
        <w:t xml:space="preserve"> Co se týče věkově-pohlavní skladby migrantů, ta zůstává poměrně stabilní. Nejpočetnější je zpravidla skupina migrantů ve věku 25</w:t>
      </w:r>
      <w:r w:rsidR="00DE1702">
        <w:t>–</w:t>
      </w:r>
      <w:r w:rsidR="0043424F">
        <w:t>29 let, kteří zaujímají pětinu až čtvrtinu celkového salda.</w:t>
      </w:r>
      <w:r w:rsidR="0017096B">
        <w:t xml:space="preserve"> Ve výsledném souboru mají mírnou převahu muži (s výjimkou roku 2020, či již zmíněného roku 2022).</w:t>
      </w:r>
      <w:r w:rsidR="009C48EF" w:rsidRPr="009C48EF">
        <w:t xml:space="preserve"> </w:t>
      </w:r>
      <w:r w:rsidR="00B774BD">
        <w:t>V</w:t>
      </w:r>
      <w:r w:rsidR="009C48EF">
        <w:t>nitrostátní migrace</w:t>
      </w:r>
      <w:r w:rsidR="00CD7C79">
        <w:t xml:space="preserve"> </w:t>
      </w:r>
      <w:r w:rsidR="00EB0BFF">
        <w:t>je z</w:t>
      </w:r>
      <w:r w:rsidR="00774245">
        <w:t>ahrnuta</w:t>
      </w:r>
      <w:r w:rsidR="00593174">
        <w:t xml:space="preserve"> v kapitole 3.1.5, v níž jsou popisovány </w:t>
      </w:r>
      <w:r w:rsidR="009C48EF">
        <w:t>regionální rozdíl</w:t>
      </w:r>
      <w:r w:rsidR="00593174">
        <w:t>y</w:t>
      </w:r>
      <w:r w:rsidR="009C48EF">
        <w:t xml:space="preserve"> ve stárnutí české populace.</w:t>
      </w:r>
      <w:r w:rsidR="00006293">
        <w:fldChar w:fldCharType="begin"/>
      </w:r>
      <w:r w:rsidR="00CC6671">
        <w:instrText xml:space="preserve"> ADDIN ZOTERO_ITEM CSL_CITATION {"citationID":"PdhtcBgc","properties":{"formattedCitation":"\\super 27(pp7-8),28(p11),31(p10)\\nosupersub{}","plainCitation":"27(pp7-8),28(p11),31(p10)","noteIndex":0},"citationItems":[{"id":175,"uris":["http://zotero.org/users/9426386/items/JDSQUP42"],"itemData":{"id":175,"type":"document","language":"cs","publisher":"Český statistický úřad","title":"Projekce obyvatelstva České republiky 2023-2100","URL":"https://www.czso.cz/documents/10180/191186777/13013923.pdf","issued":{"date-parts":[["2023",11,30]]}},"locator":"7-8","label":"page"},{"id":185,"uris":["http://zotero.org/users/9426386/items/8JRCXAYM"],"itemData":{"id":185,"type":"document","language":"cs","publisher":"Evropská komise","title":"Zpráva Komise Evropskému parlamentu, Radě, Evropskému hospodářskému a sociálnímu výboru a Výboru regionů o dopadu demografických změn","URL":"https://eur-lex.europa.eu/legal-content/CS/TXT/PDF/?uri=CELEX:52020DC0241","issued":{"date-parts":[["2020",6,17]]}},"locator":"11","label":"page"},{"id":182,"uris":["http://zotero.org/users/9426386/items/KGZV9KNG"],"itemData":{"id":182,"type":"document","language":"cs","publisher":"Český statistický úřad","title":"Zpráva o očekávaném vývoji úmrtnosti, plodnosti a migrace v České republice 2023–2100","URL":"https://csu.gov.cz/docs/107516/7321a486-8f06-8318-8c09-7d3e53f56d67/zprava_o_ocekavanem_%20vyvoji.pdf","issued":{"date-parts":[["2023",12,22]]}},"locator":"10","label":"page"}],"schema":"https://github.com/citation-style-language/schema/raw/master/csl-citation.json"} </w:instrText>
      </w:r>
      <w:r w:rsidR="00006293">
        <w:fldChar w:fldCharType="separate"/>
      </w:r>
      <w:r w:rsidR="000C1A01" w:rsidRPr="000C1A01">
        <w:rPr>
          <w:vertAlign w:val="superscript"/>
        </w:rPr>
        <w:t>27(pp7-8),28(p11),31(p10)</w:t>
      </w:r>
      <w:r w:rsidR="00006293">
        <w:fldChar w:fldCharType="end"/>
      </w:r>
    </w:p>
    <w:p w14:paraId="3C6DFDB0" w14:textId="78DB5D04" w:rsidR="0002104E" w:rsidRPr="0002104E" w:rsidRDefault="00A302A7" w:rsidP="0002104E">
      <w:pPr>
        <w:pStyle w:val="Dalodstavce"/>
      </w:pPr>
      <w:r>
        <w:t>Střední varianta projekce ČSÚ počítá v letech 2028</w:t>
      </w:r>
      <w:r w:rsidR="00DE1702">
        <w:t>–</w:t>
      </w:r>
      <w:r>
        <w:t>2100 s každoročním saldem zahraniční migrace čítající 35 tisíc osob, jejichž věková skladba by měla zůstat obdobná, jako tomu bylo ve většině předešlých let (</w:t>
      </w:r>
      <w:r w:rsidRPr="00A302A7">
        <w:t>do konce roku 2027 je brán v potaz stále zvýšený objem zahraniční migrace na podkladě válečného konfliktu na Ukrajině</w:t>
      </w:r>
      <w:r>
        <w:t xml:space="preserve">). </w:t>
      </w:r>
      <w:r w:rsidR="00735BFE">
        <w:t>Odhad budoucího vývoje migrace zůstává značně problematic</w:t>
      </w:r>
      <w:r w:rsidR="00E43B56">
        <w:t>kou</w:t>
      </w:r>
      <w:r w:rsidR="00735BFE">
        <w:t>, avšak velmi významnou součástí demografických projekcí.</w:t>
      </w:r>
      <w:r w:rsidR="002F783D">
        <w:fldChar w:fldCharType="begin"/>
      </w:r>
      <w:r w:rsidR="00CC6671">
        <w:instrText xml:space="preserve"> ADDIN ZOTERO_ITEM CSL_CITATION {"citationID":"T8c6C1nV","properties":{"formattedCitation":"\\super 27(p9),31(p10)\\nosupersub{}","plainCitation":"27(p9),31(p10)","noteIndex":0},"citationItems":[{"id":175,"uris":["http://zotero.org/users/9426386/items/JDSQUP42"],"itemData":{"id":175,"type":"document","language":"cs","publisher":"Český statistický úřad","title":"Projekce obyvatelstva České republiky 2023-2100","URL":"https://www.czso.cz/documents/10180/191186777/13013923.pdf","issued":{"date-parts":[["2023",11,30]]}},"locator":"9","label":"page"},{"id":182,"uris":["http://zotero.org/users/9426386/items/KGZV9KNG"],"itemData":{"id":182,"type":"document","language":"cs","publisher":"Český statistický úřad","title":"Zpráva o očekávaném vývoji úmrtnosti, plodnosti a migrace v České republice 2023–2100","URL":"https://csu.gov.cz/docs/107516/7321a486-8f06-8318-8c09-7d3e53f56d67/zprava_o_ocekavanem_%20vyvoji.pdf","issued":{"date-parts":[["2023",12,22]]}},"locator":"10","label":"page"}],"schema":"https://github.com/citation-style-language/schema/raw/master/csl-citation.json"} </w:instrText>
      </w:r>
      <w:r w:rsidR="002F783D">
        <w:fldChar w:fldCharType="separate"/>
      </w:r>
      <w:r w:rsidR="000C1A01" w:rsidRPr="000C1A01">
        <w:rPr>
          <w:vertAlign w:val="superscript"/>
        </w:rPr>
        <w:t>27(p9),31(p10)</w:t>
      </w:r>
      <w:r w:rsidR="002F783D">
        <w:fldChar w:fldCharType="end"/>
      </w:r>
    </w:p>
    <w:p w14:paraId="13DCAE7A" w14:textId="17CB81FA" w:rsidR="00D7137C" w:rsidRDefault="000C317F" w:rsidP="002E32D6">
      <w:pPr>
        <w:pStyle w:val="Nadpis3"/>
        <w:numPr>
          <w:ilvl w:val="2"/>
          <w:numId w:val="14"/>
        </w:numPr>
      </w:pPr>
      <w:r>
        <w:t>Věková struktura</w:t>
      </w:r>
    </w:p>
    <w:p w14:paraId="1AEE7B0A" w14:textId="11051241" w:rsidR="00B168AE" w:rsidRDefault="00E82726" w:rsidP="005000F5">
      <w:pPr>
        <w:pStyle w:val="Dalodstavce"/>
        <w:ind w:firstLine="0"/>
      </w:pPr>
      <w:r>
        <w:t>Jedním z</w:t>
      </w:r>
      <w:r w:rsidR="00BA15F0">
        <w:t xml:space="preserve"> dalších </w:t>
      </w:r>
      <w:r>
        <w:t>základních znaků stárn</w:t>
      </w:r>
      <w:r w:rsidR="00DA0F40">
        <w:t>oucí</w:t>
      </w:r>
      <w:r>
        <w:t xml:space="preserve"> české populace je</w:t>
      </w:r>
      <w:r w:rsidR="00DC1663">
        <w:t xml:space="preserve"> dlouhodobý </w:t>
      </w:r>
      <w:r w:rsidR="00C832FD">
        <w:t>nár</w:t>
      </w:r>
      <w:r w:rsidR="001C14C4">
        <w:t>ů</w:t>
      </w:r>
      <w:r w:rsidR="00C832FD">
        <w:t>st seniorů (pod pojmem senior se v rámci textu má na mysli osoba ve věku 65 a více</w:t>
      </w:r>
      <w:r w:rsidR="00771AFE">
        <w:t xml:space="preserve"> let</w:t>
      </w:r>
      <w:r w:rsidR="00C832FD">
        <w:t>). Jedná se jak o nár</w:t>
      </w:r>
      <w:r w:rsidR="001C14C4">
        <w:t>ů</w:t>
      </w:r>
      <w:r w:rsidR="00C832FD">
        <w:t xml:space="preserve">st </w:t>
      </w:r>
      <w:r w:rsidR="00DC1663">
        <w:t>absolutní</w:t>
      </w:r>
      <w:r w:rsidR="009874D5">
        <w:t xml:space="preserve"> (</w:t>
      </w:r>
      <w:r w:rsidR="00026C0F">
        <w:t xml:space="preserve">zvyšuje se </w:t>
      </w:r>
      <w:r w:rsidR="008A7980">
        <w:t>počet osob vyššího věku</w:t>
      </w:r>
      <w:r w:rsidR="009874D5">
        <w:t>)</w:t>
      </w:r>
      <w:r w:rsidR="00C832FD">
        <w:t>, tak</w:t>
      </w:r>
      <w:r w:rsidR="00DC1663">
        <w:t xml:space="preserve"> </w:t>
      </w:r>
      <w:r w:rsidR="00421822">
        <w:t xml:space="preserve">i </w:t>
      </w:r>
      <w:r w:rsidR="00DC1663">
        <w:t xml:space="preserve">relativní </w:t>
      </w:r>
      <w:r w:rsidR="008A7980">
        <w:t>(</w:t>
      </w:r>
      <w:r w:rsidR="00026C0F">
        <w:t xml:space="preserve">zvyšuje se </w:t>
      </w:r>
      <w:r w:rsidR="008A7980">
        <w:t>podíl osob vyššího věku</w:t>
      </w:r>
      <w:r w:rsidR="00773429">
        <w:t xml:space="preserve"> v</w:t>
      </w:r>
      <w:r w:rsidR="007950F0">
        <w:t> </w:t>
      </w:r>
      <w:r w:rsidR="00773429">
        <w:t>obyvatelstvu</w:t>
      </w:r>
      <w:r w:rsidR="008A7980">
        <w:t>)</w:t>
      </w:r>
      <w:r w:rsidR="009874D5">
        <w:t>.</w:t>
      </w:r>
      <w:r w:rsidR="003D73EF">
        <w:t xml:space="preserve"> </w:t>
      </w:r>
      <w:r w:rsidR="003F111B">
        <w:t xml:space="preserve">Změny </w:t>
      </w:r>
      <w:r w:rsidR="00992C58">
        <w:t>v </w:t>
      </w:r>
      <w:r w:rsidR="0091067D">
        <w:t>počtu</w:t>
      </w:r>
      <w:r w:rsidR="00992C58">
        <w:t xml:space="preserve"> i procentuálním zastoupení seniorů v</w:t>
      </w:r>
      <w:r w:rsidR="00104009">
        <w:t> </w:t>
      </w:r>
      <w:r w:rsidR="00992C58">
        <w:t>populaci</w:t>
      </w:r>
      <w:r w:rsidR="00104009">
        <w:t xml:space="preserve"> zaznamenává</w:t>
      </w:r>
      <w:r w:rsidR="009F5FF4">
        <w:t xml:space="preserve"> </w:t>
      </w:r>
      <w:r w:rsidR="00104009">
        <w:t>Česk</w:t>
      </w:r>
      <w:r w:rsidR="009F5FF4">
        <w:t>á</w:t>
      </w:r>
      <w:r w:rsidR="00B873C4">
        <w:t xml:space="preserve"> republi</w:t>
      </w:r>
      <w:r w:rsidR="009F5FF4">
        <w:t>ka</w:t>
      </w:r>
      <w:r w:rsidR="00B873C4">
        <w:t xml:space="preserve"> od poloviny 80. let </w:t>
      </w:r>
      <w:r w:rsidR="00276185">
        <w:t xml:space="preserve">minulého </w:t>
      </w:r>
      <w:r w:rsidR="00B873C4">
        <w:t>století.</w:t>
      </w:r>
      <w:r w:rsidR="004D15DE">
        <w:t xml:space="preserve"> Výraznější zrychlení absolutního i relativního nár</w:t>
      </w:r>
      <w:r w:rsidR="001C14C4">
        <w:t>ů</w:t>
      </w:r>
      <w:r w:rsidR="004D15DE">
        <w:t xml:space="preserve">stu seniorů bylo patrné </w:t>
      </w:r>
      <w:r w:rsidR="00EE2E4D">
        <w:t>na</w:t>
      </w:r>
      <w:r w:rsidR="004D15DE">
        <w:t xml:space="preserve"> konci prvního desetiletí 21. století</w:t>
      </w:r>
      <w:r w:rsidR="00A452C0">
        <w:t xml:space="preserve"> vlivem</w:t>
      </w:r>
      <w:r w:rsidR="00AB4A4D">
        <w:t xml:space="preserve"> </w:t>
      </w:r>
      <w:r w:rsidR="00A452C0">
        <w:t>početných</w:t>
      </w:r>
      <w:r w:rsidR="00842A23">
        <w:t xml:space="preserve"> </w:t>
      </w:r>
      <w:r w:rsidR="0054063D">
        <w:t xml:space="preserve">populačních </w:t>
      </w:r>
      <w:r w:rsidR="00842A23">
        <w:t>ročníků</w:t>
      </w:r>
      <w:r w:rsidR="00AB4A4D">
        <w:t xml:space="preserve">, které překročily </w:t>
      </w:r>
      <w:r w:rsidR="00276185">
        <w:t>pomyslnou hranici 65 let věku</w:t>
      </w:r>
      <w:r w:rsidR="004D15DE">
        <w:t>. K dalšímu nár</w:t>
      </w:r>
      <w:r w:rsidR="001C14C4">
        <w:t>ů</w:t>
      </w:r>
      <w:r w:rsidR="004D15DE">
        <w:t>stu docházelo pozvolna i</w:t>
      </w:r>
      <w:r w:rsidR="00B9056E">
        <w:t> </w:t>
      </w:r>
      <w:r w:rsidR="004D15DE">
        <w:t>v dalších letech, v</w:t>
      </w:r>
      <w:r w:rsidR="00C2339D">
        <w:t>yjma roky 2020 a 202</w:t>
      </w:r>
      <w:r w:rsidR="004E6EDB">
        <w:t>1</w:t>
      </w:r>
      <w:r w:rsidR="004D15DE">
        <w:t xml:space="preserve"> </w:t>
      </w:r>
      <w:r w:rsidR="004E6EDB">
        <w:t>(méně početné ročníky</w:t>
      </w:r>
      <w:r w:rsidR="007F4FB0">
        <w:t xml:space="preserve"> překračující 65 let věku a </w:t>
      </w:r>
      <w:r w:rsidR="00E90479">
        <w:t xml:space="preserve">taktéž </w:t>
      </w:r>
      <w:r w:rsidR="004D15DE">
        <w:t>zhoršení úmrtnostních podmínek v souvislosti s pandemií onemocnění covid</w:t>
      </w:r>
      <w:r w:rsidR="00DA23AE">
        <w:t>-</w:t>
      </w:r>
      <w:r w:rsidR="004D15DE">
        <w:t>19</w:t>
      </w:r>
      <w:r w:rsidR="007F4FB0">
        <w:t>)</w:t>
      </w:r>
      <w:r w:rsidR="004D15DE">
        <w:t>.</w:t>
      </w:r>
      <w:r w:rsidR="005948FE">
        <w:fldChar w:fldCharType="begin"/>
      </w:r>
      <w:r w:rsidR="00E87A1C">
        <w:instrText xml:space="preserve"> ADDIN ZOTERO_ITEM CSL_CITATION {"citationID":"7EU6ow5z","properties":{"formattedCitation":"\\super 10(pp8-9),17(p472)\\nosupersub{}","plainCitation":"10(pp8-9),17(p472)","noteIndex":0},"citationItems":[{"id":144,"uris":["http://zotero.org/users/9426386/items/SP7IGDR4"],"itemData":{"id":144,"type":"book","event-place":"Praha","ISBN":"978-80-246-3828-7","language":"cs","number-of-pages":"511","publisher":"Karolinum","publisher-place":"Praha","title":"Člověk ve zdraví i v nemoci: podpora zdraví a prevence nemocí ve stáří","author":[{"family":"Čeledová","given":"Libuše"},{"family":"Čevela","given":"Rostislav"}],"issued":{"date-parts":[["2017"]]}},"locator":"472","label":"page"},{"id":135,"uris":["http://zotero.org/users/9426386/items/73VHECLD"],"itemData":{"id":135,"type":"document","language":"cs","publisher":"Český statistický úřad","source":"Zotero","title":"Senioři v ČR v datech – 2023","URL":"https://www.czso.cz/csu/czso/seniori-v-cr-v-datech-ajnoatmxkq","issued":{"date-parts":[["2023"]]}},"locator":"8-9","label":"page"}],"schema":"https://github.com/citation-style-language/schema/raw/master/csl-citation.json"} </w:instrText>
      </w:r>
      <w:r w:rsidR="005948FE">
        <w:fldChar w:fldCharType="separate"/>
      </w:r>
      <w:r w:rsidR="00E87A1C" w:rsidRPr="00E87A1C">
        <w:rPr>
          <w:vertAlign w:val="superscript"/>
        </w:rPr>
        <w:t>10(pp8-9),17(p472)</w:t>
      </w:r>
      <w:r w:rsidR="005948FE">
        <w:fldChar w:fldCharType="end"/>
      </w:r>
      <w:r w:rsidR="00DB08F0">
        <w:t xml:space="preserve"> Pro lepší představu lze uvést, že v roce 2013</w:t>
      </w:r>
      <w:r w:rsidR="001C6264">
        <w:t xml:space="preserve"> tvořili </w:t>
      </w:r>
      <w:r w:rsidR="003648AE">
        <w:t>lidé</w:t>
      </w:r>
      <w:r w:rsidR="001C6264">
        <w:t xml:space="preserve"> ve věkové kategorii 65</w:t>
      </w:r>
      <w:r w:rsidR="0029748B">
        <w:t xml:space="preserve"> </w:t>
      </w:r>
      <w:r w:rsidR="001C6264">
        <w:t>a více</w:t>
      </w:r>
      <w:r w:rsidR="0029748B">
        <w:t xml:space="preserve"> let</w:t>
      </w:r>
      <w:r w:rsidR="001C6264">
        <w:t xml:space="preserve"> </w:t>
      </w:r>
      <w:r w:rsidR="002226B5">
        <w:t>17,4</w:t>
      </w:r>
      <w:r w:rsidR="001C6264">
        <w:t xml:space="preserve"> %</w:t>
      </w:r>
      <w:r w:rsidR="000E0834">
        <w:t xml:space="preserve"> z celkového zastoupení obyvatel </w:t>
      </w:r>
      <w:r w:rsidR="001A692B">
        <w:t>České republiky</w:t>
      </w:r>
      <w:r w:rsidR="000E0834">
        <w:t>.</w:t>
      </w:r>
      <w:r w:rsidR="003648AE">
        <w:t xml:space="preserve"> </w:t>
      </w:r>
      <w:r w:rsidR="004D1749">
        <w:t>Do</w:t>
      </w:r>
      <w:r w:rsidR="00CA4321">
        <w:t xml:space="preserve"> konce roku 2023 vzrostlo zastoupení této věkové složky obyvatel na </w:t>
      </w:r>
      <w:r w:rsidR="00017FCE">
        <w:t>20,5</w:t>
      </w:r>
      <w:r w:rsidR="00CA4321">
        <w:t xml:space="preserve"> %</w:t>
      </w:r>
      <w:r w:rsidR="004E4309">
        <w:t xml:space="preserve">. V horizontu deseti let se tak </w:t>
      </w:r>
      <w:r w:rsidR="00CA4321">
        <w:t>jedná o</w:t>
      </w:r>
      <w:r w:rsidR="004E4309">
        <w:t xml:space="preserve"> </w:t>
      </w:r>
      <w:r w:rsidR="00464F36">
        <w:t xml:space="preserve">absolutní </w:t>
      </w:r>
      <w:r w:rsidR="004E4309">
        <w:t>nár</w:t>
      </w:r>
      <w:r w:rsidR="001C14C4">
        <w:t>ů</w:t>
      </w:r>
      <w:r w:rsidR="004E4309">
        <w:t>st</w:t>
      </w:r>
      <w:r w:rsidR="0056245F">
        <w:t xml:space="preserve"> </w:t>
      </w:r>
      <w:r w:rsidR="006A6A52">
        <w:t>411</w:t>
      </w:r>
      <w:r w:rsidR="00F40D46">
        <w:t> </w:t>
      </w:r>
      <w:r w:rsidR="006A6A52">
        <w:t>778</w:t>
      </w:r>
      <w:r w:rsidR="00F40D46">
        <w:t xml:space="preserve"> seniorů</w:t>
      </w:r>
      <w:r w:rsidR="00D062E5">
        <w:t>.</w:t>
      </w:r>
      <w:r w:rsidR="00B57DD2">
        <w:fldChar w:fldCharType="begin"/>
      </w:r>
      <w:r w:rsidR="009B3709">
        <w:instrText xml:space="preserve"> ADDIN ZOTERO_ITEM CSL_CITATION {"citationID":"5Xbp0sNF","properties":{"formattedCitation":"\\super 29\\nosupersub{}","plainCitation":"29","noteIndex":0},"citationItems":[{"id":178,"uris":["http://zotero.org/users/9426386/items/Q79RAAMU"],"itemData":{"id":178,"type":"webpage","container-title":"Český statistický úřad","language":"cs","title":"Veřejná databáze","URL":"https://vdb.czso.cz/vdbvo2/"},"label":"page"}],"schema":"https://github.com/citation-style-language/schema/raw/master/csl-citation.json"} </w:instrText>
      </w:r>
      <w:r w:rsidR="00B57DD2">
        <w:fldChar w:fldCharType="separate"/>
      </w:r>
      <w:r w:rsidR="000C1A01" w:rsidRPr="000C1A01">
        <w:rPr>
          <w:vertAlign w:val="superscript"/>
        </w:rPr>
        <w:t>29</w:t>
      </w:r>
      <w:r w:rsidR="00B57DD2">
        <w:fldChar w:fldCharType="end"/>
      </w:r>
      <w:r w:rsidR="004D059A">
        <w:t xml:space="preserve"> </w:t>
      </w:r>
      <w:r w:rsidR="004377C5">
        <w:t xml:space="preserve">V rámci seniorské populace má největší </w:t>
      </w:r>
      <w:r w:rsidR="00152133">
        <w:t xml:space="preserve">početní </w:t>
      </w:r>
      <w:r w:rsidR="002007BE">
        <w:t xml:space="preserve">zastoupení </w:t>
      </w:r>
      <w:r w:rsidR="003B14C1">
        <w:t xml:space="preserve">její </w:t>
      </w:r>
      <w:r w:rsidR="00301A37">
        <w:t xml:space="preserve">nejmladší </w:t>
      </w:r>
      <w:r w:rsidR="002007BE">
        <w:t xml:space="preserve">pětiletá </w:t>
      </w:r>
      <w:r w:rsidR="009D7FEE">
        <w:t xml:space="preserve">věková </w:t>
      </w:r>
      <w:r w:rsidR="002007BE">
        <w:t>skupina</w:t>
      </w:r>
      <w:r w:rsidR="00301A37">
        <w:t xml:space="preserve">, </w:t>
      </w:r>
      <w:r w:rsidR="0059255D">
        <w:t xml:space="preserve">tedy </w:t>
      </w:r>
      <w:r w:rsidR="003B14C1">
        <w:t xml:space="preserve">lidé </w:t>
      </w:r>
      <w:r w:rsidR="0059255D">
        <w:t xml:space="preserve">ve věku </w:t>
      </w:r>
      <w:r w:rsidR="002007BE">
        <w:t>65</w:t>
      </w:r>
      <w:r w:rsidR="00CA0637">
        <w:t>–</w:t>
      </w:r>
      <w:r w:rsidR="002007BE">
        <w:t>69</w:t>
      </w:r>
      <w:r w:rsidR="0059255D">
        <w:t xml:space="preserve"> let</w:t>
      </w:r>
      <w:r w:rsidR="00040DBB">
        <w:t>. K</w:t>
      </w:r>
      <w:r w:rsidR="001B2F9D">
        <w:t xml:space="preserve">aždá další </w:t>
      </w:r>
      <w:r w:rsidR="008E69A4">
        <w:t xml:space="preserve">starší </w:t>
      </w:r>
      <w:r w:rsidR="001B2F9D">
        <w:t xml:space="preserve">věková skupina je o něco </w:t>
      </w:r>
      <w:r w:rsidR="002154E2">
        <w:t>méně početná</w:t>
      </w:r>
      <w:r w:rsidR="0059255D">
        <w:t>.</w:t>
      </w:r>
      <w:r w:rsidR="006D7FD2">
        <w:fldChar w:fldCharType="begin"/>
      </w:r>
      <w:r w:rsidR="000302D1">
        <w:instrText xml:space="preserve"> ADDIN ZOTERO_ITEM CSL_CITATION {"citationID":"An0VJj02","properties":{"formattedCitation":"\\super 10(p11)\\nosupersub{}","plainCitation":"10(p11)","noteIndex":0},"citationItems":[{"id":135,"uris":["http://zotero.org/users/9426386/items/73VHECLD"],"itemData":{"id":135,"type":"document","language":"cs","publisher":"Český statistický úřad","source":"Zotero","title":"Senioři v ČR v datech – 2023","URL":"https://www.czso.cz/csu/czso/seniori-v-cr-v-datech-ajnoatmxkq","issued":{"date-parts":[["2023"]]}},"locator":"11","label":"page"}],"schema":"https://github.com/citation-style-language/schema/raw/master/csl-citation.json"} </w:instrText>
      </w:r>
      <w:r w:rsidR="006D7FD2">
        <w:fldChar w:fldCharType="separate"/>
      </w:r>
      <w:r w:rsidR="00463868" w:rsidRPr="00463868">
        <w:rPr>
          <w:vertAlign w:val="superscript"/>
        </w:rPr>
        <w:t>10(p11)</w:t>
      </w:r>
      <w:r w:rsidR="006D7FD2">
        <w:fldChar w:fldCharType="end"/>
      </w:r>
    </w:p>
    <w:p w14:paraId="5A53FFC2" w14:textId="7CE9A39B" w:rsidR="009D175C" w:rsidRDefault="00CD70A7" w:rsidP="00BB3A65">
      <w:pPr>
        <w:pStyle w:val="Dalodstavce"/>
      </w:pPr>
      <w:r>
        <w:t xml:space="preserve">Věková struktura obyvatelstva bývá nejčastěji interpretována pomocí tzv. věkové pyramidy. </w:t>
      </w:r>
      <w:r w:rsidR="00FC6585">
        <w:t xml:space="preserve">Grafické znázornění v podobě věkové pyramidy je v podstatě dvojitým </w:t>
      </w:r>
      <w:r w:rsidR="00FC6585">
        <w:lastRenderedPageBreak/>
        <w:t>histogramem</w:t>
      </w:r>
      <w:r w:rsidR="003124CD">
        <w:t>, který znázorňuje věkové složení</w:t>
      </w:r>
      <w:r w:rsidR="000B5D62">
        <w:t xml:space="preserve"> </w:t>
      </w:r>
      <w:r w:rsidR="00067EEB">
        <w:t xml:space="preserve">v jedné části </w:t>
      </w:r>
      <w:r w:rsidR="000B5D62">
        <w:t xml:space="preserve">pro muže a v části druhé pak pro ženy. </w:t>
      </w:r>
      <w:r w:rsidR="00FA2CB8">
        <w:t xml:space="preserve">Vodorovná osa zachycuje údaje </w:t>
      </w:r>
      <w:r w:rsidR="00895A70">
        <w:t>o počtu lidí v</w:t>
      </w:r>
      <w:r w:rsidR="00B61A8A">
        <w:t>e vytvořených</w:t>
      </w:r>
      <w:r w:rsidR="0021693C">
        <w:t xml:space="preserve">, </w:t>
      </w:r>
      <w:r w:rsidR="00C97BE0">
        <w:t>zpravidla jednoletých či pětiletých</w:t>
      </w:r>
      <w:r w:rsidR="0021693C">
        <w:t>,</w:t>
      </w:r>
      <w:r w:rsidR="00895A70">
        <w:t xml:space="preserve"> věkových skupinách</w:t>
      </w:r>
      <w:r w:rsidR="00230201">
        <w:t xml:space="preserve">. </w:t>
      </w:r>
      <w:r w:rsidR="00861F50">
        <w:t>Údaje o p</w:t>
      </w:r>
      <w:r w:rsidR="00230201">
        <w:t>očetní</w:t>
      </w:r>
      <w:r w:rsidR="00861F50">
        <w:t>m</w:t>
      </w:r>
      <w:r w:rsidR="00230201">
        <w:t xml:space="preserve"> zastoupení jednotlivých věkových skupin j</w:t>
      </w:r>
      <w:r w:rsidR="00861F50">
        <w:t xml:space="preserve">sou na ose </w:t>
      </w:r>
      <w:r w:rsidR="00E9277B">
        <w:t>svislé.</w:t>
      </w:r>
      <w:r w:rsidR="00230201">
        <w:t xml:space="preserve"> </w:t>
      </w:r>
      <w:r w:rsidR="00C32BDA">
        <w:t xml:space="preserve">Věková pyramida </w:t>
      </w:r>
      <w:r w:rsidR="00C84113">
        <w:t>sestává</w:t>
      </w:r>
      <w:r w:rsidR="00B165B2">
        <w:t xml:space="preserve"> ze třech základních věkových s</w:t>
      </w:r>
      <w:r w:rsidR="00E41501">
        <w:t>ložek</w:t>
      </w:r>
      <w:r w:rsidR="00B165B2">
        <w:t xml:space="preserve">, a to </w:t>
      </w:r>
      <w:r w:rsidR="00E41501">
        <w:t>dětské</w:t>
      </w:r>
      <w:r w:rsidR="00721DB8">
        <w:t xml:space="preserve"> – základna</w:t>
      </w:r>
      <w:r w:rsidR="009624BC">
        <w:t xml:space="preserve"> (0</w:t>
      </w:r>
      <w:r w:rsidR="00654D06">
        <w:t>–</w:t>
      </w:r>
      <w:r w:rsidR="009624BC">
        <w:t>14 let)</w:t>
      </w:r>
      <w:r w:rsidR="006A3AC5">
        <w:t xml:space="preserve">, reprodukční </w:t>
      </w:r>
      <w:r w:rsidR="001D0835">
        <w:t xml:space="preserve">– střed </w:t>
      </w:r>
      <w:r w:rsidR="009324BD">
        <w:t>(15</w:t>
      </w:r>
      <w:r w:rsidR="00654D06">
        <w:t>–</w:t>
      </w:r>
      <w:r w:rsidR="009324BD">
        <w:t xml:space="preserve">49 let) </w:t>
      </w:r>
      <w:r w:rsidR="006A3AC5">
        <w:t>a</w:t>
      </w:r>
      <w:r w:rsidR="00E92A98">
        <w:t> </w:t>
      </w:r>
      <w:r w:rsidR="006A3AC5">
        <w:t>post-reprodukční</w:t>
      </w:r>
      <w:r w:rsidR="00FC2A6B">
        <w:t xml:space="preserve"> </w:t>
      </w:r>
      <w:r w:rsidR="001D0835">
        <w:t xml:space="preserve">– vrchol pyramidy </w:t>
      </w:r>
      <w:r w:rsidR="009324BD">
        <w:t>(50</w:t>
      </w:r>
      <w:r w:rsidR="00654D06">
        <w:t xml:space="preserve"> </w:t>
      </w:r>
      <w:r w:rsidR="009324BD">
        <w:t>a více</w:t>
      </w:r>
      <w:r w:rsidR="00654D06">
        <w:t xml:space="preserve"> let</w:t>
      </w:r>
      <w:r w:rsidR="009324BD">
        <w:t>).</w:t>
      </w:r>
      <w:r w:rsidR="00B331E6">
        <w:t xml:space="preserve"> S </w:t>
      </w:r>
      <w:r w:rsidR="00FB605D">
        <w:t>proměnou</w:t>
      </w:r>
      <w:r w:rsidR="00AE619D">
        <w:t xml:space="preserve"> </w:t>
      </w:r>
      <w:r w:rsidR="00B331E6">
        <w:t>věkov</w:t>
      </w:r>
      <w:r w:rsidR="00FB605D">
        <w:t>é</w:t>
      </w:r>
      <w:r w:rsidR="00B331E6">
        <w:t xml:space="preserve"> struktu</w:t>
      </w:r>
      <w:r w:rsidR="007219EE">
        <w:t>ry</w:t>
      </w:r>
      <w:r w:rsidR="005C3FD9">
        <w:t xml:space="preserve">, </w:t>
      </w:r>
      <w:r w:rsidR="0086372A">
        <w:t>tedy změn</w:t>
      </w:r>
      <w:r w:rsidR="001C07E0">
        <w:t>ami</w:t>
      </w:r>
      <w:r w:rsidR="0086372A">
        <w:t xml:space="preserve"> </w:t>
      </w:r>
      <w:r w:rsidR="001C07E0">
        <w:t>v zastoupení dětské a post-reprodukční složky</w:t>
      </w:r>
      <w:r w:rsidR="005C3FD9">
        <w:t>,</w:t>
      </w:r>
      <w:r w:rsidR="00FB605D">
        <w:t xml:space="preserve"> dochází ke změně tvaru věkové pyramidy.</w:t>
      </w:r>
      <w:r w:rsidR="00411EEE">
        <w:t xml:space="preserve"> </w:t>
      </w:r>
      <w:r w:rsidR="008E026B">
        <w:t>Dle tvaru pyramidy</w:t>
      </w:r>
      <w:r w:rsidR="00411EEE">
        <w:t xml:space="preserve"> </w:t>
      </w:r>
      <w:r w:rsidR="008E026B">
        <w:t xml:space="preserve">bývají </w:t>
      </w:r>
      <w:r w:rsidR="00411EEE">
        <w:t xml:space="preserve">rozlišovány tři </w:t>
      </w:r>
      <w:r w:rsidR="0053020C">
        <w:t xml:space="preserve">populační </w:t>
      </w:r>
      <w:r w:rsidR="00411EEE">
        <w:t>t</w:t>
      </w:r>
      <w:r w:rsidR="008E026B">
        <w:t>ypy</w:t>
      </w:r>
      <w:r w:rsidR="00C62248">
        <w:t> </w:t>
      </w:r>
      <w:r w:rsidR="0053020C">
        <w:t>–</w:t>
      </w:r>
      <w:r w:rsidR="00C62248">
        <w:t> </w:t>
      </w:r>
      <w:r w:rsidR="0053020C">
        <w:t>progresivní</w:t>
      </w:r>
      <w:r w:rsidR="009C6089">
        <w:t xml:space="preserve"> (</w:t>
      </w:r>
      <w:r w:rsidR="002E2892">
        <w:t xml:space="preserve">převaha dětské složky, </w:t>
      </w:r>
      <w:r w:rsidR="002C3137">
        <w:t>vysoká úroveň plodnosti často doprovázena vysokou mírou úmrtn</w:t>
      </w:r>
      <w:r w:rsidR="00E22E46">
        <w:t>o</w:t>
      </w:r>
      <w:r w:rsidR="002C3137">
        <w:t>sti</w:t>
      </w:r>
      <w:r w:rsidR="009C6089">
        <w:t>)</w:t>
      </w:r>
      <w:r w:rsidR="0053020C">
        <w:t xml:space="preserve">, stacionární </w:t>
      </w:r>
      <w:r w:rsidR="004F5C8C">
        <w:t>(</w:t>
      </w:r>
      <w:r w:rsidR="000E7FBC">
        <w:t>téměř vyrovnané zastoupení dětské a</w:t>
      </w:r>
      <w:r w:rsidR="00C62248">
        <w:t> </w:t>
      </w:r>
      <w:r w:rsidR="000E7FBC">
        <w:t>post-reprodukční složky</w:t>
      </w:r>
      <w:r w:rsidR="0063791B">
        <w:t xml:space="preserve"> vlivem dlouhodobějšího poklesu plodnosti</w:t>
      </w:r>
      <w:r w:rsidR="00137D00">
        <w:t>, početní stav dané populace</w:t>
      </w:r>
      <w:r w:rsidR="0053446B">
        <w:t xml:space="preserve"> </w:t>
      </w:r>
      <w:r w:rsidR="00BD4A9D">
        <w:t xml:space="preserve">lze považovat za </w:t>
      </w:r>
      <w:r w:rsidR="00137D00">
        <w:t>neměnný</w:t>
      </w:r>
      <w:r w:rsidR="004F5C8C">
        <w:t xml:space="preserve">) </w:t>
      </w:r>
      <w:r w:rsidR="0053020C">
        <w:t>a regresivní</w:t>
      </w:r>
      <w:r w:rsidR="00BD4A9D">
        <w:t xml:space="preserve"> </w:t>
      </w:r>
      <w:r w:rsidR="00BD4A9D" w:rsidRPr="006729DE">
        <w:t>(</w:t>
      </w:r>
      <w:r w:rsidR="00F2674A" w:rsidRPr="006729DE">
        <w:t>převaha post-reprodukční složky</w:t>
      </w:r>
      <w:r w:rsidR="00BF36C9">
        <w:t>;</w:t>
      </w:r>
      <w:r w:rsidR="009259EE" w:rsidRPr="006729DE">
        <w:t xml:space="preserve"> </w:t>
      </w:r>
      <w:r w:rsidR="00482FA5" w:rsidRPr="006729DE">
        <w:t xml:space="preserve">počet </w:t>
      </w:r>
      <w:r w:rsidR="009259EE" w:rsidRPr="006729DE">
        <w:t>narozen</w:t>
      </w:r>
      <w:r w:rsidR="00482FA5" w:rsidRPr="006729DE">
        <w:t>ých</w:t>
      </w:r>
      <w:r w:rsidR="009259EE" w:rsidRPr="006729DE">
        <w:t xml:space="preserve"> dět</w:t>
      </w:r>
      <w:r w:rsidR="00482FA5" w:rsidRPr="006729DE">
        <w:t>í</w:t>
      </w:r>
      <w:r w:rsidR="009259EE" w:rsidRPr="006729DE">
        <w:t xml:space="preserve"> </w:t>
      </w:r>
      <w:r w:rsidR="00482FA5" w:rsidRPr="006729DE">
        <w:t>nestíhá nahrazovat množství zemřelých</w:t>
      </w:r>
      <w:r w:rsidR="00C44771" w:rsidRPr="006729DE">
        <w:t xml:space="preserve">, v důsledku čehož </w:t>
      </w:r>
      <w:r w:rsidR="00C771DE" w:rsidRPr="006729DE">
        <w:t xml:space="preserve">se </w:t>
      </w:r>
      <w:r w:rsidR="00C44771" w:rsidRPr="006729DE">
        <w:t>daná populace</w:t>
      </w:r>
      <w:r w:rsidR="00C771DE" w:rsidRPr="006729DE">
        <w:t xml:space="preserve"> postupně početně snižuje</w:t>
      </w:r>
      <w:r w:rsidR="00BD4A9D" w:rsidRPr="006729DE">
        <w:t>)</w:t>
      </w:r>
      <w:r w:rsidR="006D2E73">
        <w:t xml:space="preserve">. </w:t>
      </w:r>
      <w:r w:rsidR="00CB6C88">
        <w:t>Nejméně přízniv</w:t>
      </w:r>
      <w:r w:rsidR="00DD2673">
        <w:t>ým</w:t>
      </w:r>
      <w:r w:rsidR="00CB6C88">
        <w:t xml:space="preserve"> je tedy</w:t>
      </w:r>
      <w:r w:rsidR="00455945">
        <w:t xml:space="preserve"> </w:t>
      </w:r>
      <w:r w:rsidR="00CB6C88">
        <w:t>regresivní</w:t>
      </w:r>
      <w:r w:rsidR="00455945">
        <w:t xml:space="preserve"> typ věkové pyramidy</w:t>
      </w:r>
      <w:r w:rsidR="00CB6C88">
        <w:t xml:space="preserve">, který </w:t>
      </w:r>
      <w:r w:rsidR="008A1937">
        <w:t xml:space="preserve">se stává znakem stárnoucí populace. </w:t>
      </w:r>
      <w:r w:rsidR="00EB27F5">
        <w:t xml:space="preserve">Popsané typy věkových pyramid jsou graficky znázorněny na </w:t>
      </w:r>
      <w:r w:rsidR="007B585C">
        <w:t>o</w:t>
      </w:r>
      <w:r w:rsidR="00EB27F5">
        <w:t xml:space="preserve">brázku </w:t>
      </w:r>
      <w:r w:rsidR="00943044">
        <w:t xml:space="preserve">číslo </w:t>
      </w:r>
      <w:r w:rsidR="00EB27F5">
        <w:t>1.</w:t>
      </w:r>
      <w:r w:rsidR="00B2542A">
        <w:fldChar w:fldCharType="begin"/>
      </w:r>
      <w:r w:rsidR="002B3D48">
        <w:instrText xml:space="preserve"> ADDIN ZOTERO_ITEM CSL_CITATION {"citationID":"De9mTqiE","properties":{"formattedCitation":"\\super 1(p52),24(pp35-36)\\nosupersub{}","plainCitation":"1(p52),24(pp35-36)","noteIndex":0},"citationItems":[{"id":133,"uris":["http://zotero.org/users/9426386/items/RW2L6RHE"],"itemData":{"id":133,"type":"book","event-place":"Praha","ISBN":"978-80-247-0548-4","language":"cze","note":"OCLC: 85137350","publisher":"Grada","publisher-place":"Praha","source":"Open WorldCat","title":"Geriatrie a gerontologie","author":[{"family":"Kalvach","given":"Zdeněk"},{"family":"Zadák","given":"Z."},{"family":"Jirák","given":"R."},{"family":"Zavázalová","given":"H."},{"family":"Sucharda","given":"P."}],"issued":{"date-parts":[["2004"]]}},"locator":"52","label":"page"},{"id":165,"uris":["http://zotero.org/users/9426386/items/PSGAVW2B"],"itemData":{"id":165,"type":"book","event-place":"Brno","ISBN":"978-80-210-9462-8","language":"cs","note":"OCLC: 1417783767","number-of-pages":"154","publisher":"Masarykova univerzita","publisher-place":"Brno","source":"Open WorldCat","title":"(Geo)Demografie nejen pro ekonomy","author":[{"family":"Kunc","given":"Josef"},{"family":"Jaňurová","given":"Martina"},{"family":"Krajíčková","given":"Aneta"},{"family":"Tonev","given":"Petr"},{"family":"Toušek","given":"Václav"}],"issued":{"date-parts":[["2019"]]}},"locator":"35-36","label":"page"}],"schema":"https://github.com/citation-style-language/schema/raw/master/csl-citation.json"} </w:instrText>
      </w:r>
      <w:r w:rsidR="00B2542A">
        <w:fldChar w:fldCharType="separate"/>
      </w:r>
      <w:r w:rsidR="00AC70A8" w:rsidRPr="00AC70A8">
        <w:rPr>
          <w:vertAlign w:val="superscript"/>
        </w:rPr>
        <w:t>1(p52),24(pp35-36)</w:t>
      </w:r>
      <w:r w:rsidR="00B2542A">
        <w:fldChar w:fldCharType="end"/>
      </w:r>
    </w:p>
    <w:p w14:paraId="6F8D25A5" w14:textId="6EFB18AD" w:rsidR="00414691" w:rsidRDefault="00414691" w:rsidP="00414691">
      <w:pPr>
        <w:pStyle w:val="Obrzek"/>
      </w:pPr>
      <w:r>
        <w:rPr>
          <w:noProof/>
        </w:rPr>
        <w:drawing>
          <wp:inline distT="0" distB="0" distL="0" distR="0" wp14:anchorId="71B1F3CC" wp14:editId="3698866A">
            <wp:extent cx="5078089" cy="1647825"/>
            <wp:effectExtent l="0" t="0" r="8890" b="0"/>
            <wp:docPr id="1263787442"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787442" name="obrázek 8"/>
                    <pic:cNvPicPr>
                      <a:picLocks noChangeAspect="1" noChangeArrowheads="1"/>
                    </pic:cNvPicPr>
                  </pic:nvPicPr>
                  <pic:blipFill>
                    <a:blip r:embed="rId29"/>
                    <a:stretch>
                      <a:fillRect/>
                    </a:stretch>
                  </pic:blipFill>
                  <pic:spPr bwMode="auto">
                    <a:xfrm>
                      <a:off x="0" y="0"/>
                      <a:ext cx="5221913" cy="1694495"/>
                    </a:xfrm>
                    <a:prstGeom prst="rect">
                      <a:avLst/>
                    </a:prstGeom>
                    <a:noFill/>
                    <a:ln>
                      <a:noFill/>
                    </a:ln>
                  </pic:spPr>
                </pic:pic>
              </a:graphicData>
            </a:graphic>
          </wp:inline>
        </w:drawing>
      </w:r>
    </w:p>
    <w:p w14:paraId="14EA0AED" w14:textId="381EE711" w:rsidR="00414691" w:rsidRDefault="00414691" w:rsidP="00414691">
      <w:pPr>
        <w:pStyle w:val="Titulek"/>
      </w:pPr>
      <w:bookmarkStart w:id="19" w:name="_Toc468090444"/>
      <w:bookmarkStart w:id="20" w:name="_Toc195517124"/>
      <w:r>
        <w:t xml:space="preserve">Obr. </w:t>
      </w:r>
      <w:r>
        <w:rPr>
          <w:noProof/>
        </w:rPr>
        <w:fldChar w:fldCharType="begin"/>
      </w:r>
      <w:r>
        <w:rPr>
          <w:noProof/>
        </w:rPr>
        <w:instrText xml:space="preserve"> SEQ Obr. \* ARABIC </w:instrText>
      </w:r>
      <w:r>
        <w:rPr>
          <w:noProof/>
        </w:rPr>
        <w:fldChar w:fldCharType="separate"/>
      </w:r>
      <w:r w:rsidR="00FD5F1A">
        <w:rPr>
          <w:noProof/>
        </w:rPr>
        <w:t>1</w:t>
      </w:r>
      <w:r>
        <w:rPr>
          <w:noProof/>
        </w:rPr>
        <w:fldChar w:fldCharType="end"/>
      </w:r>
      <w:r>
        <w:t xml:space="preserve">: </w:t>
      </w:r>
      <w:bookmarkEnd w:id="19"/>
      <w:r w:rsidR="00F04E6D">
        <w:t>Modelové typy věkových pyramid dle věkového rozložení populace</w:t>
      </w:r>
      <w:r w:rsidR="00DD5841">
        <w:fldChar w:fldCharType="begin"/>
      </w:r>
      <w:r w:rsidR="009B3709">
        <w:instrText xml:space="preserve"> ADDIN ZOTERO_ITEM CSL_CITATION {"citationID":"fhSQNaB2","properties":{"formattedCitation":"\\super 24(p36)\\nosupersub{}","plainCitation":"24(p36)","noteIndex":0},"citationItems":[{"id":165,"uris":["http://zotero.org/users/9426386/items/PSGAVW2B"],"itemData":{"id":165,"type":"book","event-place":"Brno","ISBN":"978-80-210-9462-8","language":"cs","note":"OCLC: 1417783767","number-of-pages":"154","publisher":"Masarykova univerzita","publisher-place":"Brno","source":"Open WorldCat","title":"(Geo)Demografie nejen pro ekonomy","author":[{"family":"Kunc","given":"Josef"},{"family":"Jaňurová","given":"Martina"},{"family":"Krajíčková","given":"Aneta"},{"family":"Tonev","given":"Petr"},{"family":"Toušek","given":"Václav"}],"issued":{"date-parts":[["2019"]]}},"locator":"36","label":"page"}],"schema":"https://github.com/citation-style-language/schema/raw/master/csl-citation.json"} </w:instrText>
      </w:r>
      <w:r w:rsidR="00DD5841">
        <w:fldChar w:fldCharType="separate"/>
      </w:r>
      <w:bookmarkEnd w:id="20"/>
      <w:r w:rsidR="00AC70A8" w:rsidRPr="00AC70A8">
        <w:rPr>
          <w:vertAlign w:val="superscript"/>
        </w:rPr>
        <w:t>24(p36)</w:t>
      </w:r>
      <w:r w:rsidR="00DD5841">
        <w:fldChar w:fldCharType="end"/>
      </w:r>
    </w:p>
    <w:p w14:paraId="60B69F0D" w14:textId="510CE819" w:rsidR="00B168AE" w:rsidRDefault="00AF7223" w:rsidP="009D175C">
      <w:pPr>
        <w:pStyle w:val="Dalodstavce"/>
        <w:ind w:firstLine="0"/>
      </w:pPr>
      <w:r>
        <w:t xml:space="preserve">Demografické </w:t>
      </w:r>
      <w:r w:rsidR="00E30FF1">
        <w:t>pro</w:t>
      </w:r>
      <w:r w:rsidR="00C12B43">
        <w:t>gnózy</w:t>
      </w:r>
      <w:r w:rsidR="00E30FF1">
        <w:t xml:space="preserve"> </w:t>
      </w:r>
      <w:r w:rsidR="00C12B43">
        <w:t xml:space="preserve">ČSÚ </w:t>
      </w:r>
      <w:r w:rsidR="00E30FF1">
        <w:t xml:space="preserve">do </w:t>
      </w:r>
      <w:r w:rsidR="001F3E42">
        <w:t>budoucna počít</w:t>
      </w:r>
      <w:r w:rsidR="00AF21DF">
        <w:t>ají</w:t>
      </w:r>
      <w:r w:rsidR="001F3E42">
        <w:t xml:space="preserve"> s</w:t>
      </w:r>
      <w:r w:rsidR="00DD57EA">
        <w:t xml:space="preserve"> další progresí </w:t>
      </w:r>
      <w:r w:rsidR="00AF1BEF">
        <w:t>stárnutí české populace</w:t>
      </w:r>
      <w:r w:rsidR="009C3658">
        <w:t>,</w:t>
      </w:r>
      <w:r w:rsidR="00C84073">
        <w:t xml:space="preserve"> a to</w:t>
      </w:r>
      <w:r w:rsidR="00FB1327">
        <w:t xml:space="preserve"> </w:t>
      </w:r>
      <w:r w:rsidR="009C3658">
        <w:t xml:space="preserve">absolutně </w:t>
      </w:r>
      <w:r w:rsidR="00E378DC">
        <w:t>(důsledkem prodlužování střední délky života)</w:t>
      </w:r>
      <w:r w:rsidR="00C84073">
        <w:t xml:space="preserve"> </w:t>
      </w:r>
      <w:r w:rsidR="00FB1327">
        <w:t xml:space="preserve">i </w:t>
      </w:r>
      <w:r w:rsidR="00A82C2E">
        <w:t>relativně (jako výsledek stagnace, ev. snižování porodnosti)</w:t>
      </w:r>
      <w:r w:rsidR="00570226">
        <w:t>.</w:t>
      </w:r>
      <w:r w:rsidR="00867A2D">
        <w:fldChar w:fldCharType="begin"/>
      </w:r>
      <w:r w:rsidR="009B3709">
        <w:instrText xml:space="preserve"> ADDIN ZOTERO_ITEM CSL_CITATION {"citationID":"uk2JyfPw","properties":{"formattedCitation":"\\super 32(p14)\\nosupersub{}","plainCitation":"32(p14)","noteIndex":0},"citationItems":[{"id":179,"uris":["http://zotero.org/users/9426386/items/6IHJSTGM"],"itemData":{"id":179,"type":"book","event-place":"Brno","ISBN":"978-80-210-7865-9","language":"cs","number-of-pages":"131","publisher":"Masarykova univerzita","publisher-place":"Brno","title":"Sociální práce se seniory v kontextu kritické gerontologie","author":[{"family":"Kubalčíková","given":"Kateřina"},{"family":"Rabušic","given":"Ladislav"},{"family":"Zlatušková","given":"Iva"},{"family":"Droběnová","given":"Radmila"},{"family":"Hanousková","given":"Michaela"},{"family":"Horáková","given":"Jana"},{"family":"Kotásek","given":"Josef"},{"family":"Krpec","given":"Oldřich"}],"issued":{"date-parts":[["2015"]]}},"locator":"14","label":"page"}],"schema":"https://github.com/citation-style-language/schema/raw/master/csl-citation.json"} </w:instrText>
      </w:r>
      <w:r w:rsidR="00867A2D">
        <w:fldChar w:fldCharType="separate"/>
      </w:r>
      <w:r w:rsidR="000C1A01" w:rsidRPr="000C1A01">
        <w:rPr>
          <w:vertAlign w:val="superscript"/>
        </w:rPr>
        <w:t>32(p14)</w:t>
      </w:r>
      <w:r w:rsidR="00867A2D">
        <w:fldChar w:fldCharType="end"/>
      </w:r>
      <w:r w:rsidR="00AB5220" w:rsidRPr="00384F7C">
        <w:t xml:space="preserve"> </w:t>
      </w:r>
      <w:r w:rsidR="00DF2F27" w:rsidRPr="00384F7C">
        <w:t xml:space="preserve">Česká republika </w:t>
      </w:r>
      <w:r w:rsidR="009E0074" w:rsidRPr="00384F7C">
        <w:t xml:space="preserve">stále patří </w:t>
      </w:r>
      <w:r w:rsidR="00DF2F27" w:rsidRPr="00384F7C">
        <w:t>mezi země s </w:t>
      </w:r>
      <w:r w:rsidR="00AB2497" w:rsidRPr="00384F7C">
        <w:t>regresivním</w:t>
      </w:r>
      <w:r w:rsidR="00DF2F27" w:rsidRPr="00384F7C">
        <w:t xml:space="preserve"> typem věkové pyramidy</w:t>
      </w:r>
      <w:r w:rsidR="000307F1">
        <w:t xml:space="preserve">, </w:t>
      </w:r>
      <w:r w:rsidR="004B08B6">
        <w:t xml:space="preserve">a to </w:t>
      </w:r>
      <w:r w:rsidR="00695534" w:rsidRPr="00384F7C">
        <w:t>již od 80. let minulého století</w:t>
      </w:r>
      <w:r w:rsidR="000307F1">
        <w:t>,</w:t>
      </w:r>
      <w:r w:rsidR="00AB2497" w:rsidRPr="00384F7C">
        <w:t xml:space="preserve"> </w:t>
      </w:r>
      <w:r w:rsidR="00624D44" w:rsidRPr="00384F7C">
        <w:t>a tento trend neopo</w:t>
      </w:r>
      <w:r w:rsidR="003C2273" w:rsidRPr="00384F7C">
        <w:t>u</w:t>
      </w:r>
      <w:r w:rsidR="00624D44" w:rsidRPr="00384F7C">
        <w:t xml:space="preserve">ští naši zemi ani </w:t>
      </w:r>
      <w:r w:rsidR="003C2273" w:rsidRPr="00384F7C">
        <w:t>v dlouhodobých vyhlídkách</w:t>
      </w:r>
      <w:r w:rsidR="00C47309" w:rsidRPr="00384F7C">
        <w:t xml:space="preserve"> (viz </w:t>
      </w:r>
      <w:r w:rsidR="00D7726F">
        <w:t>o</w:t>
      </w:r>
      <w:r w:rsidR="00C47309" w:rsidRPr="00384F7C">
        <w:t xml:space="preserve">brázek </w:t>
      </w:r>
      <w:r w:rsidR="00A41FC7">
        <w:t xml:space="preserve">číslo </w:t>
      </w:r>
      <w:r w:rsidR="00C47309" w:rsidRPr="00384F7C">
        <w:t>2)</w:t>
      </w:r>
      <w:r w:rsidR="003C2273" w:rsidRPr="00384F7C">
        <w:t>, neboť</w:t>
      </w:r>
      <w:r w:rsidR="002D5192" w:rsidRPr="00384F7C">
        <w:t xml:space="preserve"> </w:t>
      </w:r>
      <w:r w:rsidR="000537B4" w:rsidRPr="00384F7C">
        <w:t>k 1.</w:t>
      </w:r>
      <w:r w:rsidR="00E4159E">
        <w:t> </w:t>
      </w:r>
      <w:r w:rsidR="000537B4" w:rsidRPr="00384F7C">
        <w:t>1.</w:t>
      </w:r>
      <w:r w:rsidR="002E76A2">
        <w:t> </w:t>
      </w:r>
      <w:r w:rsidR="002D5192" w:rsidRPr="00384F7C">
        <w:t>205</w:t>
      </w:r>
      <w:r w:rsidR="00226D95">
        <w:t>1</w:t>
      </w:r>
      <w:r w:rsidR="002D5192" w:rsidRPr="00384F7C">
        <w:t xml:space="preserve"> </w:t>
      </w:r>
      <w:r w:rsidR="00B07545" w:rsidRPr="00384F7C">
        <w:t>bude téměř každý třetí obyvatel České republiky ve vě</w:t>
      </w:r>
      <w:r w:rsidR="009C2570" w:rsidRPr="00384F7C">
        <w:t>ku 65</w:t>
      </w:r>
      <w:r w:rsidR="00FA6954">
        <w:t xml:space="preserve"> </w:t>
      </w:r>
      <w:r w:rsidR="009C2570" w:rsidRPr="00384F7C">
        <w:t>a</w:t>
      </w:r>
      <w:r w:rsidR="00E4159E">
        <w:t> </w:t>
      </w:r>
      <w:r w:rsidR="009C2570" w:rsidRPr="00384F7C">
        <w:t>více</w:t>
      </w:r>
      <w:r w:rsidR="00FA6954">
        <w:t xml:space="preserve"> let</w:t>
      </w:r>
      <w:r w:rsidR="0071499E" w:rsidRPr="00384F7C">
        <w:t>.</w:t>
      </w:r>
      <w:r w:rsidR="009671EE">
        <w:fldChar w:fldCharType="begin"/>
      </w:r>
      <w:r w:rsidR="009B3709">
        <w:instrText xml:space="preserve"> ADDIN ZOTERO_ITEM CSL_CITATION {"citationID":"Mscvc39t","properties":{"formattedCitation":"\\super 9(p4,6),24(p37)\\nosupersub{}","plainCitation":"9(p4,6),24(p37)","noteIndex":0},"citationItems":[{"id":154,"uris":["http://zotero.org/users/9426386/items/7WJBPSRG"],"itemData":{"id":154,"type":"document","language":"cs","publisher":"MPSV ČR","title":"Strategický rámec přípravy na stárnutí společnosti 2021–2025","URL":"https://www.mpsv.cz/strategicky-ramec-pripravy-na-starnuti-spolecnosti-2021-2025","issued":{"date-parts":[["2022",2,2]]}},"locator":"4,6","label":"page"},{"id":165,"uris":["http://zotero.org/users/9426386/items/PSGAVW2B"],"itemData":{"id":165,"type":"book","event-place":"Brno","ISBN":"978-80-210-9462-8","language":"cs","note":"OCLC: 1417783767","number-of-pages":"154","publisher":"Masarykova univerzita","publisher-place":"Brno","source":"Open WorldCat","title":"(Geo)Demografie nejen pro ekonomy","author":[{"family":"Kunc","given":"Josef"},{"family":"Jaňurová","given":"Martina"},{"family":"Krajíčková","given":"Aneta"},{"family":"Tonev","given":"Petr"},{"family":"Toušek","given":"Václav"}],"issued":{"date-parts":[["2019"]]}},"locator":"37","label":"page"}],"schema":"https://github.com/citation-style-language/schema/raw/master/csl-citation.json"} </w:instrText>
      </w:r>
      <w:r w:rsidR="009671EE">
        <w:fldChar w:fldCharType="separate"/>
      </w:r>
      <w:r w:rsidR="001300F0" w:rsidRPr="001300F0">
        <w:rPr>
          <w:vertAlign w:val="superscript"/>
        </w:rPr>
        <w:t>9(p4,6),24(p37)</w:t>
      </w:r>
      <w:r w:rsidR="009671EE">
        <w:fldChar w:fldCharType="end"/>
      </w:r>
      <w:r w:rsidR="0071499E" w:rsidRPr="00384F7C">
        <w:t xml:space="preserve"> B</w:t>
      </w:r>
      <w:r w:rsidR="009C2570" w:rsidRPr="00384F7C">
        <w:t xml:space="preserve">ude se tak jednat o </w:t>
      </w:r>
      <w:r w:rsidR="00B4592A" w:rsidRPr="00384F7C">
        <w:t>cca</w:t>
      </w:r>
      <w:r w:rsidR="00D3137F" w:rsidRPr="00384F7C">
        <w:t xml:space="preserve"> 3</w:t>
      </w:r>
      <w:r w:rsidR="00BA0278" w:rsidRPr="00384F7C">
        <w:t>,</w:t>
      </w:r>
      <w:r w:rsidR="00F9338B">
        <w:t>1</w:t>
      </w:r>
      <w:r w:rsidR="00D3137F" w:rsidRPr="00384F7C">
        <w:t xml:space="preserve"> milion</w:t>
      </w:r>
      <w:r w:rsidR="002341FC" w:rsidRPr="00384F7C">
        <w:t>u</w:t>
      </w:r>
      <w:r w:rsidR="00D3137F" w:rsidRPr="00384F7C">
        <w:t xml:space="preserve"> lidí</w:t>
      </w:r>
      <w:r w:rsidR="00D87194" w:rsidRPr="00384F7C">
        <w:t xml:space="preserve"> (</w:t>
      </w:r>
      <w:r w:rsidR="00814DDC" w:rsidRPr="00384F7C">
        <w:t>2</w:t>
      </w:r>
      <w:r w:rsidR="00E26AC9">
        <w:t>9</w:t>
      </w:r>
      <w:r w:rsidR="00814DDC" w:rsidRPr="00384F7C">
        <w:t xml:space="preserve">% </w:t>
      </w:r>
      <w:r w:rsidR="00E26AC9">
        <w:t>podíl</w:t>
      </w:r>
      <w:r w:rsidR="00686BE2">
        <w:t xml:space="preserve"> </w:t>
      </w:r>
      <w:r w:rsidR="003B3421" w:rsidRPr="00384F7C">
        <w:t>populac</w:t>
      </w:r>
      <w:r w:rsidR="00D87194" w:rsidRPr="00384F7C">
        <w:t>e</w:t>
      </w:r>
      <w:r w:rsidR="00AC6791">
        <w:t xml:space="preserve"> ČR</w:t>
      </w:r>
      <w:r w:rsidR="00D87194" w:rsidRPr="00384F7C">
        <w:t>)</w:t>
      </w:r>
      <w:r w:rsidR="009C2570" w:rsidRPr="00384F7C">
        <w:t>.</w:t>
      </w:r>
      <w:r w:rsidR="00440B9D" w:rsidRPr="00384F7C">
        <w:t xml:space="preserve"> K 1.</w:t>
      </w:r>
      <w:r w:rsidR="00DD35FB">
        <w:t> </w:t>
      </w:r>
      <w:r w:rsidR="00440B9D" w:rsidRPr="00384F7C">
        <w:t>1.</w:t>
      </w:r>
      <w:r w:rsidR="00DD35FB">
        <w:t> </w:t>
      </w:r>
      <w:r w:rsidR="00440B9D" w:rsidRPr="00384F7C">
        <w:t>210</w:t>
      </w:r>
      <w:r w:rsidR="00686BE2">
        <w:t>1</w:t>
      </w:r>
      <w:r w:rsidR="00376BA2" w:rsidRPr="00384F7C">
        <w:t xml:space="preserve"> se počítá s nár</w:t>
      </w:r>
      <w:r w:rsidR="001C14C4">
        <w:t>ů</w:t>
      </w:r>
      <w:r w:rsidR="00376BA2" w:rsidRPr="00384F7C">
        <w:t xml:space="preserve">stem věkové složky 65+ o téměř </w:t>
      </w:r>
      <w:r w:rsidR="00F42E66" w:rsidRPr="00384F7C">
        <w:t>380 tisíc lidí (</w:t>
      </w:r>
      <w:r w:rsidR="009F561B" w:rsidRPr="00384F7C">
        <w:t>34,1</w:t>
      </w:r>
      <w:r w:rsidR="00F42E66" w:rsidRPr="00384F7C">
        <w:t xml:space="preserve"> % celkové </w:t>
      </w:r>
      <w:r w:rsidR="00AC6791">
        <w:t xml:space="preserve">české </w:t>
      </w:r>
      <w:r w:rsidR="00F42E66" w:rsidRPr="00384F7C">
        <w:t>populace)</w:t>
      </w:r>
      <w:r w:rsidR="009F561B" w:rsidRPr="00384F7C">
        <w:t>.</w:t>
      </w:r>
      <w:r w:rsidR="002E76A2">
        <w:fldChar w:fldCharType="begin"/>
      </w:r>
      <w:r w:rsidR="009B3709">
        <w:instrText xml:space="preserve"> ADDIN ZOTERO_ITEM CSL_CITATION {"citationID":"si0Iaz5P","properties":{"formattedCitation":"\\super 27(p95,103)\\nosupersub{}","plainCitation":"27(p95,103)","noteIndex":0},"citationItems":[{"id":175,"uris":["http://zotero.org/users/9426386/items/JDSQUP42"],"itemData":{"id":175,"type":"document","language":"cs","publisher":"Český statistický úřad","title":"Projekce obyvatelstva České republiky 2023-2100","URL":"https://www.czso.cz/documents/10180/191186777/13013923.pdf","issued":{"date-parts":[["2023",11,30]]}},"locator":"95,103","label":"page"}],"schema":"https://github.com/citation-style-language/schema/raw/master/csl-citation.json"} </w:instrText>
      </w:r>
      <w:r w:rsidR="002E76A2">
        <w:fldChar w:fldCharType="separate"/>
      </w:r>
      <w:r w:rsidR="00AC70A8" w:rsidRPr="00AC70A8">
        <w:rPr>
          <w:vertAlign w:val="superscript"/>
        </w:rPr>
        <w:t>27(p95,103)</w:t>
      </w:r>
      <w:r w:rsidR="002E76A2">
        <w:fldChar w:fldCharType="end"/>
      </w:r>
      <w:r w:rsidR="0094377E">
        <w:t xml:space="preserve"> </w:t>
      </w:r>
      <w:r w:rsidR="003129C6">
        <w:t>Dále se u</w:t>
      </w:r>
      <w:r w:rsidR="00B20F6B">
        <w:t>kazuje, že</w:t>
      </w:r>
      <w:r w:rsidR="00680DDF">
        <w:t xml:space="preserve"> </w:t>
      </w:r>
      <w:r w:rsidR="00DA7B91">
        <w:t xml:space="preserve">stárnout </w:t>
      </w:r>
      <w:r w:rsidR="00102F31">
        <w:t xml:space="preserve">bude </w:t>
      </w:r>
      <w:r w:rsidR="002C7940">
        <w:t>nejen česká populace jako taková, ale</w:t>
      </w:r>
      <w:r w:rsidR="00102F31">
        <w:t xml:space="preserve"> </w:t>
      </w:r>
      <w:r w:rsidR="00DA7B91">
        <w:t>i</w:t>
      </w:r>
      <w:r w:rsidR="00680DDF">
        <w:t xml:space="preserve"> samotná populace</w:t>
      </w:r>
      <w:r w:rsidR="003129C6">
        <w:t xml:space="preserve"> seniorů</w:t>
      </w:r>
      <w:r w:rsidR="00B20F6B">
        <w:t>.</w:t>
      </w:r>
      <w:r w:rsidR="006123E5">
        <w:fldChar w:fldCharType="begin"/>
      </w:r>
      <w:r w:rsidR="009B3709">
        <w:instrText xml:space="preserve"> ADDIN ZOTERO_ITEM CSL_CITATION {"citationID":"oTyu9ujU","properties":{"formattedCitation":"\\super 9(p6)\\nosupersub{}","plainCitation":"9(p6)","noteIndex":0},"citationItems":[{"id":154,"uris":["http://zotero.org/users/9426386/items/7WJBPSRG"],"itemData":{"id":154,"type":"document","language":"cs","publisher":"MPSV ČR","title":"Strategický rámec přípravy na stárnutí společnosti 2021–2025","URL":"https://www.mpsv.cz/strategicky-ramec-pripravy-na-starnuti-spolecnosti-2021-2025","issued":{"date-parts":[["2022",2,2]]}},"locator":"6","label":"page"}],"schema":"https://github.com/citation-style-language/schema/raw/master/csl-citation.json"} </w:instrText>
      </w:r>
      <w:r w:rsidR="006123E5">
        <w:fldChar w:fldCharType="separate"/>
      </w:r>
      <w:r w:rsidR="007969E0" w:rsidRPr="007969E0">
        <w:rPr>
          <w:vertAlign w:val="superscript"/>
        </w:rPr>
        <w:t>9(p6)</w:t>
      </w:r>
      <w:r w:rsidR="006123E5">
        <w:fldChar w:fldCharType="end"/>
      </w:r>
      <w:r w:rsidR="00EA021C">
        <w:t xml:space="preserve"> </w:t>
      </w:r>
      <w:r w:rsidR="007E49FE">
        <w:t>V uplynulém roce 2023</w:t>
      </w:r>
      <w:r w:rsidR="00EA21E0">
        <w:t xml:space="preserve"> </w:t>
      </w:r>
      <w:r w:rsidR="00EA021C">
        <w:t>osob</w:t>
      </w:r>
      <w:r w:rsidR="00EF54D4">
        <w:t>y</w:t>
      </w:r>
      <w:r w:rsidR="00EA021C">
        <w:t xml:space="preserve"> ve věk</w:t>
      </w:r>
      <w:r w:rsidR="008679AF">
        <w:t>ové kategorii</w:t>
      </w:r>
      <w:r w:rsidR="00EA021C">
        <w:t xml:space="preserve"> 80</w:t>
      </w:r>
      <w:r w:rsidR="008679AF">
        <w:t>+</w:t>
      </w:r>
      <w:r w:rsidR="00EA21E0">
        <w:t xml:space="preserve"> </w:t>
      </w:r>
      <w:r w:rsidR="0043290E">
        <w:t xml:space="preserve">tvořily </w:t>
      </w:r>
      <w:r w:rsidR="00F10C90">
        <w:t>4,3 %</w:t>
      </w:r>
      <w:r w:rsidR="00143067">
        <w:t xml:space="preserve"> </w:t>
      </w:r>
      <w:r w:rsidR="00AD683C">
        <w:t>populace ČR.</w:t>
      </w:r>
      <w:r w:rsidR="0003313D">
        <w:t xml:space="preserve"> V polovině století </w:t>
      </w:r>
      <w:r w:rsidR="0071385B">
        <w:t>se</w:t>
      </w:r>
      <w:r w:rsidR="00354D8A">
        <w:t xml:space="preserve"> jejich počet </w:t>
      </w:r>
      <w:r w:rsidR="0071385B">
        <w:t>z</w:t>
      </w:r>
      <w:r w:rsidR="00354D8A">
        <w:t>dvojnásob</w:t>
      </w:r>
      <w:r w:rsidR="0071385B">
        <w:t>í</w:t>
      </w:r>
      <w:r w:rsidR="009B01FD">
        <w:t xml:space="preserve"> přibližně na </w:t>
      </w:r>
      <w:r w:rsidR="00961780">
        <w:t xml:space="preserve">8,9 % a do konce století </w:t>
      </w:r>
      <w:r w:rsidR="0094637A">
        <w:t xml:space="preserve">budou tvořit </w:t>
      </w:r>
      <w:r w:rsidR="00AE75E9">
        <w:t>téměř</w:t>
      </w:r>
      <w:r w:rsidR="0094637A">
        <w:t xml:space="preserve"> čtyřnásobek </w:t>
      </w:r>
      <w:r w:rsidR="00CD0A1B">
        <w:t>oproti roku 2023 (tedy cca</w:t>
      </w:r>
      <w:r w:rsidR="0004509E">
        <w:t xml:space="preserve"> 16,5 %</w:t>
      </w:r>
      <w:r w:rsidR="008C3ADC">
        <w:t xml:space="preserve"> obyvatel ČR</w:t>
      </w:r>
      <w:r w:rsidR="00CD0A1B">
        <w:t>).</w:t>
      </w:r>
      <w:r w:rsidR="00E768C9">
        <w:fldChar w:fldCharType="begin"/>
      </w:r>
      <w:r w:rsidR="009B3709">
        <w:instrText xml:space="preserve"> ADDIN ZOTERO_ITEM CSL_CITATION {"citationID":"wjHrkyrO","properties":{"formattedCitation":"\\super 27(p27,42)\\nosupersub{}","plainCitation":"27(p27,42)","noteIndex":0},"citationItems":[{"id":175,"uris":["http://zotero.org/users/9426386/items/JDSQUP42"],"itemData":{"id":175,"type":"document","language":"cs","publisher":"Český statistický úřad","title":"Projekce obyvatelstva České republiky 2023-2100","URL":"https://www.czso.cz/documents/10180/191186777/13013923.pdf","issued":{"date-parts":[["2023",11,30]]}},"locator":"27,42","label":"page"}],"schema":"https://github.com/citation-style-language/schema/raw/master/csl-citation.json"} </w:instrText>
      </w:r>
      <w:r w:rsidR="00E768C9">
        <w:fldChar w:fldCharType="separate"/>
      </w:r>
      <w:r w:rsidR="00AC70A8" w:rsidRPr="00AC70A8">
        <w:rPr>
          <w:vertAlign w:val="superscript"/>
        </w:rPr>
        <w:t>27(p27,42)</w:t>
      </w:r>
      <w:r w:rsidR="00E768C9">
        <w:fldChar w:fldCharType="end"/>
      </w:r>
    </w:p>
    <w:p w14:paraId="186A4CBE" w14:textId="0B9C56FC" w:rsidR="00B26741" w:rsidRDefault="00B26741" w:rsidP="00B26741">
      <w:pPr>
        <w:pStyle w:val="Obrzek"/>
      </w:pPr>
      <w:r>
        <w:rPr>
          <w:noProof/>
        </w:rPr>
        <w:lastRenderedPageBreak/>
        <w:drawing>
          <wp:inline distT="0" distB="0" distL="0" distR="0" wp14:anchorId="71BB2AD0" wp14:editId="0A1FC661">
            <wp:extent cx="3946190" cy="3562350"/>
            <wp:effectExtent l="0" t="0" r="0" b="0"/>
            <wp:docPr id="211827844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278448" name="obrázek 8"/>
                    <pic:cNvPicPr>
                      <a:picLocks noChangeAspect="1" noChangeArrowheads="1"/>
                    </pic:cNvPicPr>
                  </pic:nvPicPr>
                  <pic:blipFill>
                    <a:blip r:embed="rId30"/>
                    <a:stretch>
                      <a:fillRect/>
                    </a:stretch>
                  </pic:blipFill>
                  <pic:spPr bwMode="auto">
                    <a:xfrm>
                      <a:off x="0" y="0"/>
                      <a:ext cx="4019133" cy="3628198"/>
                    </a:xfrm>
                    <a:prstGeom prst="rect">
                      <a:avLst/>
                    </a:prstGeom>
                    <a:noFill/>
                    <a:ln>
                      <a:noFill/>
                    </a:ln>
                  </pic:spPr>
                </pic:pic>
              </a:graphicData>
            </a:graphic>
          </wp:inline>
        </w:drawing>
      </w:r>
    </w:p>
    <w:p w14:paraId="4CB950BB" w14:textId="1F6F4EAE" w:rsidR="00F840D5" w:rsidRPr="00D70E4D" w:rsidRDefault="00B26741" w:rsidP="00B26741">
      <w:pPr>
        <w:pStyle w:val="Titulek"/>
      </w:pPr>
      <w:bookmarkStart w:id="21" w:name="_Toc195517125"/>
      <w:r>
        <w:t xml:space="preserve">Obr. </w:t>
      </w:r>
      <w:r>
        <w:rPr>
          <w:noProof/>
        </w:rPr>
        <w:fldChar w:fldCharType="begin"/>
      </w:r>
      <w:r>
        <w:rPr>
          <w:noProof/>
        </w:rPr>
        <w:instrText xml:space="preserve"> SEQ Obr. \* ARABIC </w:instrText>
      </w:r>
      <w:r>
        <w:rPr>
          <w:noProof/>
        </w:rPr>
        <w:fldChar w:fldCharType="separate"/>
      </w:r>
      <w:r w:rsidR="000038B6">
        <w:rPr>
          <w:noProof/>
        </w:rPr>
        <w:t>2</w:t>
      </w:r>
      <w:r>
        <w:rPr>
          <w:noProof/>
        </w:rPr>
        <w:fldChar w:fldCharType="end"/>
      </w:r>
      <w:r>
        <w:t xml:space="preserve">: </w:t>
      </w:r>
      <w:r w:rsidR="00F47B9A">
        <w:t>Reálné a projektované složení obyvatelstva</w:t>
      </w:r>
      <w:r w:rsidR="00A71743">
        <w:t xml:space="preserve"> Č</w:t>
      </w:r>
      <w:r w:rsidR="00E6663C">
        <w:t xml:space="preserve">eské republiky </w:t>
      </w:r>
      <w:r w:rsidR="00F47B9A">
        <w:t>dle pohlaví a věku</w:t>
      </w:r>
      <w:r w:rsidR="005E3C0B">
        <w:t xml:space="preserve"> (</w:t>
      </w:r>
      <w:r w:rsidR="00A833F6">
        <w:t xml:space="preserve">stav </w:t>
      </w:r>
      <w:r w:rsidR="005E3C0B">
        <w:t>k</w:t>
      </w:r>
      <w:r w:rsidR="00E6663C">
        <w:t> </w:t>
      </w:r>
      <w:r w:rsidR="005E3C0B">
        <w:t>1.</w:t>
      </w:r>
      <w:r w:rsidR="00E6663C">
        <w:t> </w:t>
      </w:r>
      <w:r w:rsidR="005E3C0B">
        <w:t>1.</w:t>
      </w:r>
      <w:r w:rsidR="00717B72">
        <w:t xml:space="preserve"> daného roku</w:t>
      </w:r>
      <w:r w:rsidR="005E3C0B">
        <w:t>), střední varianta projekce</w:t>
      </w:r>
      <w:r w:rsidR="00A833F6">
        <w:t xml:space="preserve"> Č</w:t>
      </w:r>
      <w:r w:rsidR="00E6663C">
        <w:t>eského statistického úřadu</w:t>
      </w:r>
      <w:r w:rsidR="002C4FC2">
        <w:fldChar w:fldCharType="begin"/>
      </w:r>
      <w:r w:rsidR="009B3709">
        <w:instrText xml:space="preserve"> ADDIN ZOTERO_ITEM CSL_CITATION {"citationID":"Y8b4XVqo","properties":{"formattedCitation":"\\super 27(p12)\\nosupersub{}","plainCitation":"27(p12)","noteIndex":0},"citationItems":[{"id":175,"uris":["http://zotero.org/users/9426386/items/JDSQUP42"],"itemData":{"id":175,"type":"document","language":"cs","publisher":"Český statistický úřad","title":"Projekce obyvatelstva České republiky 2023-2100","URL":"https://www.czso.cz/documents/10180/191186777/13013923.pdf","issued":{"date-parts":[["2023",11,30]]}},"locator":"12","label":"page"}],"schema":"https://github.com/citation-style-language/schema/raw/master/csl-citation.json"} </w:instrText>
      </w:r>
      <w:r w:rsidR="002C4FC2">
        <w:fldChar w:fldCharType="separate"/>
      </w:r>
      <w:bookmarkEnd w:id="21"/>
      <w:r w:rsidR="00AC70A8" w:rsidRPr="00AC70A8">
        <w:rPr>
          <w:vertAlign w:val="superscript"/>
        </w:rPr>
        <w:t>27(p12)</w:t>
      </w:r>
      <w:r w:rsidR="002C4FC2">
        <w:fldChar w:fldCharType="end"/>
      </w:r>
    </w:p>
    <w:p w14:paraId="6B944A0C" w14:textId="2B801604" w:rsidR="00EC4290" w:rsidRDefault="00EC4290" w:rsidP="002E32D6">
      <w:pPr>
        <w:pStyle w:val="Nadpis3"/>
        <w:numPr>
          <w:ilvl w:val="2"/>
          <w:numId w:val="14"/>
        </w:numPr>
      </w:pPr>
      <w:r>
        <w:t>Regionální rozdíly</w:t>
      </w:r>
      <w:r w:rsidR="00FD2AA8">
        <w:t xml:space="preserve"> ve stárnutí </w:t>
      </w:r>
      <w:r w:rsidR="00657D83">
        <w:t xml:space="preserve">české </w:t>
      </w:r>
      <w:r w:rsidR="00FD2AA8">
        <w:t>populace</w:t>
      </w:r>
    </w:p>
    <w:p w14:paraId="372F1CAD" w14:textId="085D564C" w:rsidR="002C6947" w:rsidRPr="002C6947" w:rsidRDefault="00544A6A" w:rsidP="002C6947">
      <w:pPr>
        <w:pStyle w:val="Odstavec1"/>
      </w:pPr>
      <w:r>
        <w:t>Rozdílná situace demografického stárnutí</w:t>
      </w:r>
      <w:r w:rsidR="00371ACB">
        <w:t xml:space="preserve"> mezi jednotlivými zeměmi</w:t>
      </w:r>
      <w:r>
        <w:t xml:space="preserve"> již byla zmíněna v úvodním textu třetí kapitoly. Značnou rozdílnost ovšem zpravidla vykazují i </w:t>
      </w:r>
      <w:r w:rsidR="00624DEB">
        <w:t>samotné</w:t>
      </w:r>
      <w:r>
        <w:t xml:space="preserve"> regiony </w:t>
      </w:r>
      <w:r w:rsidR="0054162D">
        <w:t xml:space="preserve">v rámci </w:t>
      </w:r>
      <w:r>
        <w:t>daného státu, které mohou být demografickými změnami dotčeny různou měrou. Na demografick</w:t>
      </w:r>
      <w:r w:rsidR="00371ACB">
        <w:t>ý</w:t>
      </w:r>
      <w:r>
        <w:t xml:space="preserve"> profil regionální úrovně má významný vliv stěhování obyvatelstva. Vlivem migrace</w:t>
      </w:r>
      <w:r w:rsidR="00A91984">
        <w:t>,</w:t>
      </w:r>
      <w:r>
        <w:t xml:space="preserve"> zpravidla mladší </w:t>
      </w:r>
      <w:r w:rsidR="00A91984">
        <w:t xml:space="preserve">části </w:t>
      </w:r>
      <w:r>
        <w:t>populace</w:t>
      </w:r>
      <w:r w:rsidR="00A91984">
        <w:t>,</w:t>
      </w:r>
      <w:r>
        <w:t xml:space="preserve"> dochází ke změně</w:t>
      </w:r>
      <w:r w:rsidR="007A432D">
        <w:t xml:space="preserve"> </w:t>
      </w:r>
      <w:r>
        <w:t>celkové</w:t>
      </w:r>
      <w:r w:rsidR="007A432D">
        <w:t>ho</w:t>
      </w:r>
      <w:r>
        <w:t xml:space="preserve"> počtu </w:t>
      </w:r>
      <w:r w:rsidR="007A432D">
        <w:t xml:space="preserve">a struktury </w:t>
      </w:r>
      <w:r>
        <w:t>obyvatel region</w:t>
      </w:r>
      <w:r w:rsidR="007A432D">
        <w:t>ů</w:t>
      </w:r>
      <w:r>
        <w:t>.</w:t>
      </w:r>
      <w:r w:rsidR="001C3E67">
        <w:t xml:space="preserve"> Demografické změny se v jednotlivých regionech vzájemně liší dle toho, zda jsou převážně městské, vesnické či smíšené povahy.</w:t>
      </w:r>
      <w:r w:rsidR="00731880">
        <w:t xml:space="preserve"> Počet a</w:t>
      </w:r>
      <w:r w:rsidR="00371ACB">
        <w:t> </w:t>
      </w:r>
      <w:r w:rsidR="00731880">
        <w:t xml:space="preserve">hustota obyvatel bývá nejvyšší v regionech městského </w:t>
      </w:r>
      <w:r w:rsidR="00371ACB">
        <w:t>charakteru</w:t>
      </w:r>
      <w:r w:rsidR="00731880">
        <w:t xml:space="preserve">, menší ve smíšených </w:t>
      </w:r>
      <w:r w:rsidR="00371ACB">
        <w:t xml:space="preserve">regionech </w:t>
      </w:r>
      <w:r w:rsidR="00731880">
        <w:t>a</w:t>
      </w:r>
      <w:r w:rsidR="00371ACB">
        <w:t> </w:t>
      </w:r>
      <w:r w:rsidR="00731880">
        <w:t xml:space="preserve">nejnižší v regionech vesnického </w:t>
      </w:r>
      <w:r w:rsidR="00371ACB">
        <w:t>typu</w:t>
      </w:r>
      <w:r w:rsidR="00731880" w:rsidRPr="003946BD">
        <w:t xml:space="preserve">. </w:t>
      </w:r>
      <w:r w:rsidR="003946BD" w:rsidRPr="003946BD">
        <w:t>Popsaný trend</w:t>
      </w:r>
      <w:r w:rsidR="00731880" w:rsidRPr="003946BD">
        <w:t xml:space="preserve"> je platn</w:t>
      </w:r>
      <w:r w:rsidR="003946BD" w:rsidRPr="003946BD">
        <w:t>ý</w:t>
      </w:r>
      <w:r w:rsidR="00731880" w:rsidRPr="003946BD">
        <w:t xml:space="preserve"> i</w:t>
      </w:r>
      <w:r w:rsidR="0009595D">
        <w:t> </w:t>
      </w:r>
      <w:r w:rsidR="005D4EB9">
        <w:t>na</w:t>
      </w:r>
      <w:r w:rsidR="00731880" w:rsidRPr="003946BD">
        <w:t xml:space="preserve"> území Č</w:t>
      </w:r>
      <w:r w:rsidR="003946BD">
        <w:t>eské republiky</w:t>
      </w:r>
      <w:r w:rsidR="00731880" w:rsidRPr="003946BD">
        <w:t>.</w:t>
      </w:r>
      <w:r w:rsidR="004B5690">
        <w:fldChar w:fldCharType="begin"/>
      </w:r>
      <w:r w:rsidR="00C8357A">
        <w:instrText xml:space="preserve"> ADDIN ZOTERO_ITEM CSL_CITATION {"citationID":"lJUliBxs","properties":{"formattedCitation":"\\super 28(p23,25),29\\nosupersub{}","plainCitation":"28(p23,25),29","noteIndex":0},"citationItems":[{"id":185,"uris":["http://zotero.org/users/9426386/items/8JRCXAYM"],"itemData":{"id":185,"type":"document","language":"cs","publisher":"Evropská komise","title":"Zpráva Komise Evropskému parlamentu, Radě, Evropskému hospodářskému a sociálnímu výboru a Výboru regionů o dopadu demografických změn","URL":"https://eur-lex.europa.eu/legal-content/CS/TXT/PDF/?uri=CELEX:52020DC0241","issued":{"date-parts":[["2020",6,17]]}},"locator":"23,25","label":"page"},{"id":178,"uris":["http://zotero.org/users/9426386/items/Q79RAAMU"],"itemData":{"id":178,"type":"webpage","container-title":"Český statistický úřad","language":"cs","title":"Veřejná databáze","URL":"https://vdb.czso.cz/vdbvo2/"},"label":"page"}],"schema":"https://github.com/citation-style-language/schema/raw/master/csl-citation.json"} </w:instrText>
      </w:r>
      <w:r w:rsidR="004B5690">
        <w:fldChar w:fldCharType="separate"/>
      </w:r>
      <w:r w:rsidR="000C1A01" w:rsidRPr="000C1A01">
        <w:rPr>
          <w:vertAlign w:val="superscript"/>
        </w:rPr>
        <w:t>28(p23,25),29</w:t>
      </w:r>
      <w:r w:rsidR="004B5690">
        <w:fldChar w:fldCharType="end"/>
      </w:r>
    </w:p>
    <w:p w14:paraId="04360D3D" w14:textId="470C5633" w:rsidR="00B347E0" w:rsidRDefault="003946BD" w:rsidP="00AE52C2">
      <w:pPr>
        <w:pStyle w:val="Dalodstavce"/>
      </w:pPr>
      <w:r>
        <w:t>Rozdílnost ve stárnutí populace v jednotlivých krajích ČR bude demonstrována pomocí třech demografických ukazatelů, a to průměrného věku obyvatel, podílu obyvatel ve věku 65</w:t>
      </w:r>
      <w:r w:rsidR="00A80730">
        <w:t xml:space="preserve"> </w:t>
      </w:r>
      <w:r>
        <w:t>a více</w:t>
      </w:r>
      <w:r w:rsidR="00A80730">
        <w:t xml:space="preserve"> let</w:t>
      </w:r>
      <w:r>
        <w:t xml:space="preserve"> a tzv. indexu stáří (viz tabulka č</w:t>
      </w:r>
      <w:r w:rsidR="00D7726F">
        <w:t>íslo</w:t>
      </w:r>
      <w:r>
        <w:t xml:space="preserve"> 2). </w:t>
      </w:r>
      <w:r w:rsidRPr="005A0BC8">
        <w:t>Index stáří j</w:t>
      </w:r>
      <w:r w:rsidR="005A0BC8" w:rsidRPr="005A0BC8">
        <w:t>e</w:t>
      </w:r>
      <w:r w:rsidR="005A0BC8">
        <w:t xml:space="preserve"> jedním z možných ukazatelů věkové struktury obyvatelstva, který vyjadřuje počet seniorů (obyvatel ve věku 65</w:t>
      </w:r>
      <w:r w:rsidR="00F9081E">
        <w:t xml:space="preserve"> </w:t>
      </w:r>
      <w:r w:rsidR="005A0BC8">
        <w:t>a více</w:t>
      </w:r>
      <w:r w:rsidR="00F9081E">
        <w:t xml:space="preserve"> let</w:t>
      </w:r>
      <w:r w:rsidR="005A0BC8">
        <w:t xml:space="preserve">) připadajících na 100 dětí do 15 let věku. </w:t>
      </w:r>
      <w:r w:rsidR="00E93654">
        <w:t>Jestliže překračuje výsledná velikost indexu stáří hodnotu 100, je počet seniorů ve sledované populaci vyšší než počet dětí do 15 let věku</w:t>
      </w:r>
      <w:r w:rsidR="00AE52C2">
        <w:t xml:space="preserve"> </w:t>
      </w:r>
      <w:r w:rsidR="00E93654">
        <w:t>a naopak. Stanovená hodnota indexu stáří byla na území ČR poprvé překročena již v roce 2006 a dlouhodobě lze pozorovat je</w:t>
      </w:r>
      <w:r w:rsidR="00A364FC">
        <w:t>jí</w:t>
      </w:r>
      <w:r w:rsidR="00E93654">
        <w:t xml:space="preserve"> </w:t>
      </w:r>
      <w:r w:rsidR="00E93654">
        <w:lastRenderedPageBreak/>
        <w:t xml:space="preserve">rostoucí trend (vyjma období </w:t>
      </w:r>
      <w:r w:rsidR="00FD2AA8">
        <w:t xml:space="preserve">silné </w:t>
      </w:r>
      <w:r w:rsidR="00E93654">
        <w:t xml:space="preserve">migrační vlny uprchlíků z Ukrajiny, viz kapitola 3.1.3). </w:t>
      </w:r>
      <w:r w:rsidR="00FD2AA8">
        <w:t>Zbylé</w:t>
      </w:r>
      <w:r>
        <w:t xml:space="preserve"> dva ukazatele jsou již </w:t>
      </w:r>
      <w:r w:rsidR="005A0BC8">
        <w:t>v</w:t>
      </w:r>
      <w:r>
        <w:t>e své</w:t>
      </w:r>
      <w:r w:rsidR="005A0BC8">
        <w:t>m</w:t>
      </w:r>
      <w:r>
        <w:t xml:space="preserve"> označení dosti výstižné, a není tak nutné </w:t>
      </w:r>
      <w:r w:rsidR="005A0BC8">
        <w:t>je dále blíže rozvádět</w:t>
      </w:r>
      <w:r>
        <w:t>.</w:t>
      </w:r>
      <w:r w:rsidR="00645BB5">
        <w:fldChar w:fldCharType="begin"/>
      </w:r>
      <w:r w:rsidR="009B3709">
        <w:instrText xml:space="preserve"> ADDIN ZOTERO_ITEM CSL_CITATION {"citationID":"10HYJCAc","properties":{"formattedCitation":"\\super 10(p10),24(p38)\\nosupersub{}","plainCitation":"10(p10),24(p38)","noteIndex":0},"citationItems":[{"id":135,"uris":["http://zotero.org/users/9426386/items/73VHECLD"],"itemData":{"id":135,"type":"document","language":"cs","publisher":"Český statistický úřad","source":"Zotero","title":"Senioři v ČR v datech – 2023","URL":"https://www.czso.cz/csu/czso/seniori-v-cr-v-datech-ajnoatmxkq","issued":{"date-parts":[["2023"]]}},"locator":"10","label":"page"},{"id":165,"uris":["http://zotero.org/users/9426386/items/PSGAVW2B"],"itemData":{"id":165,"type":"book","event-place":"Brno","ISBN":"978-80-210-9462-8","language":"cs","note":"OCLC: 1417783767","number-of-pages":"154","publisher":"Masarykova univerzita","publisher-place":"Brno","source":"Open WorldCat","title":"(Geo)Demografie nejen pro ekonomy","author":[{"family":"Kunc","given":"Josef"},{"family":"Jaňurová","given":"Martina"},{"family":"Krajíčková","given":"Aneta"},{"family":"Tonev","given":"Petr"},{"family":"Toušek","given":"Václav"}],"issued":{"date-parts":[["2019"]]}},"locator":"38","label":"page"}],"schema":"https://github.com/citation-style-language/schema/raw/master/csl-citation.json"} </w:instrText>
      </w:r>
      <w:r w:rsidR="00645BB5">
        <w:fldChar w:fldCharType="separate"/>
      </w:r>
      <w:r w:rsidR="00AC70A8" w:rsidRPr="00AC70A8">
        <w:rPr>
          <w:vertAlign w:val="superscript"/>
        </w:rPr>
        <w:t>10(p10),24(p38)</w:t>
      </w:r>
      <w:r w:rsidR="00645BB5">
        <w:fldChar w:fldCharType="end"/>
      </w:r>
    </w:p>
    <w:p w14:paraId="1FC45D76" w14:textId="4F786D15" w:rsidR="008D4E67" w:rsidRDefault="002C2AD4" w:rsidP="008D4E67">
      <w:pPr>
        <w:pStyle w:val="Dalodstavce"/>
      </w:pPr>
      <w:r>
        <w:t>Následující tabulka</w:t>
      </w:r>
      <w:r w:rsidR="00402F3F">
        <w:t xml:space="preserve"> </w:t>
      </w:r>
      <w:r>
        <w:t>zachycuje průměrný věk obyvatel, podíl obyvatel ve věku 65</w:t>
      </w:r>
      <w:r w:rsidR="00CA7B4A">
        <w:t xml:space="preserve"> </w:t>
      </w:r>
      <w:r>
        <w:t xml:space="preserve">a více </w:t>
      </w:r>
      <w:r w:rsidR="00CA7B4A">
        <w:t xml:space="preserve">let </w:t>
      </w:r>
      <w:r>
        <w:t>a index stáří v jednotlivých krajích ČR v letech 2013 a 2023. V tabulce jsou, ve vztahu k danému demografickému ukazateli, zeleně zvýrazněny první tři nejmladší a</w:t>
      </w:r>
      <w:r w:rsidR="00AA05C9">
        <w:t> </w:t>
      </w:r>
      <w:r>
        <w:t>červeně naopak první tři nejstarší kraje</w:t>
      </w:r>
      <w:r w:rsidR="00BE3F35">
        <w:t xml:space="preserve"> </w:t>
      </w:r>
      <w:r w:rsidR="00CA23E4">
        <w:t>za</w:t>
      </w:r>
      <w:r w:rsidR="00BE3F35">
        <w:t> dan</w:t>
      </w:r>
      <w:r w:rsidR="00CA23E4">
        <w:t>ý</w:t>
      </w:r>
      <w:r w:rsidR="00BE3F35">
        <w:t xml:space="preserve"> kalendářní ro</w:t>
      </w:r>
      <w:r w:rsidR="00CA23E4">
        <w:t>k</w:t>
      </w:r>
      <w:r>
        <w:t>. Z uvedených údajů vyplývá, že se na území České republiky, v horizontu deseti let, zvýšily všechny tři zmíněné ukazatele (průměrný věk obyvatel o 1,3 roku; podíl obyvatel ve věku 65</w:t>
      </w:r>
      <w:r w:rsidR="00142B35">
        <w:t xml:space="preserve"> </w:t>
      </w:r>
      <w:r>
        <w:t xml:space="preserve">a více </w:t>
      </w:r>
      <w:r w:rsidR="00142B35">
        <w:t xml:space="preserve">let </w:t>
      </w:r>
      <w:r>
        <w:t>o 3,1 %; index stáří o 13,8). Mezi lety 2013</w:t>
      </w:r>
      <w:r w:rsidR="00142B35">
        <w:t>–</w:t>
      </w:r>
      <w:r>
        <w:t>2023</w:t>
      </w:r>
      <w:r w:rsidR="00943FAB">
        <w:t xml:space="preserve"> se</w:t>
      </w:r>
      <w:r>
        <w:t xml:space="preserve"> stárnutí obyvatelstva </w:t>
      </w:r>
      <w:r w:rsidR="00943FAB">
        <w:t>v</w:t>
      </w:r>
      <w:r>
        <w:t xml:space="preserve"> jednotlivý</w:t>
      </w:r>
      <w:r w:rsidR="00943FAB">
        <w:t>ch</w:t>
      </w:r>
      <w:r>
        <w:t xml:space="preserve"> kraj</w:t>
      </w:r>
      <w:r w:rsidR="00943FAB">
        <w:t>ích</w:t>
      </w:r>
      <w:r w:rsidR="00BF288E">
        <w:t xml:space="preserve"> ČR</w:t>
      </w:r>
      <w:r>
        <w:t xml:space="preserve"> dynamicky vyvíjelo. Vůbec nejvýrazněj</w:t>
      </w:r>
      <w:r w:rsidR="00FF69BA">
        <w:t>ší</w:t>
      </w:r>
      <w:r w:rsidR="00715A82">
        <w:t xml:space="preserve"> </w:t>
      </w:r>
      <w:r>
        <w:t>proměn</w:t>
      </w:r>
      <w:r w:rsidR="00002879">
        <w:t>u</w:t>
      </w:r>
      <w:r>
        <w:t> demografické s</w:t>
      </w:r>
      <w:r w:rsidR="00715A82">
        <w:t>ituace</w:t>
      </w:r>
      <w:r>
        <w:t xml:space="preserve"> </w:t>
      </w:r>
      <w:r w:rsidR="00002879">
        <w:t xml:space="preserve">bylo možné zaregistrovat v </w:t>
      </w:r>
      <w:r>
        <w:t>Hlavní</w:t>
      </w:r>
      <w:r w:rsidR="00002879">
        <w:t>m</w:t>
      </w:r>
      <w:r>
        <w:t xml:space="preserve"> měst</w:t>
      </w:r>
      <w:r w:rsidR="00002879">
        <w:t>ě</w:t>
      </w:r>
      <w:r>
        <w:t xml:space="preserve"> Pra</w:t>
      </w:r>
      <w:r w:rsidR="00D3076F">
        <w:t>ze</w:t>
      </w:r>
      <w:r>
        <w:t>.</w:t>
      </w:r>
      <w:r w:rsidR="000D2FF0">
        <w:fldChar w:fldCharType="begin"/>
      </w:r>
      <w:r w:rsidR="009B3709">
        <w:instrText xml:space="preserve"> ADDIN ZOTERO_ITEM CSL_CITATION {"citationID":"pj4Sg2cP","properties":{"formattedCitation":"\\super 29\\nosupersub{}","plainCitation":"29","noteIndex":0},"citationItems":[{"id":178,"uris":["http://zotero.org/users/9426386/items/Q79RAAMU"],"itemData":{"id":178,"type":"webpage","container-title":"Český statistický úřad","language":"cs","title":"Veřejná databáze","URL":"https://vdb.czso.cz/vdbvo2/"},"label":"page"}],"schema":"https://github.com/citation-style-language/schema/raw/master/csl-citation.json"} </w:instrText>
      </w:r>
      <w:r w:rsidR="000D2FF0">
        <w:fldChar w:fldCharType="separate"/>
      </w:r>
      <w:r w:rsidR="000C1A01" w:rsidRPr="000C1A01">
        <w:rPr>
          <w:vertAlign w:val="superscript"/>
        </w:rPr>
        <w:t>29</w:t>
      </w:r>
      <w:r w:rsidR="000D2FF0">
        <w:fldChar w:fldCharType="end"/>
      </w:r>
      <w:r w:rsidR="000D2FF0">
        <w:t xml:space="preserve"> </w:t>
      </w:r>
      <w:r>
        <w:t xml:space="preserve">Nastalou situaci </w:t>
      </w:r>
      <w:r w:rsidRPr="002C2AD4">
        <w:rPr>
          <w:i/>
          <w:iCs/>
        </w:rPr>
        <w:t xml:space="preserve">…je možné vysvětlit (podobně jako v případě Středočeského kraje) zejména větším počtem narozených dětí mladým lidem stěhujícím se do okrajových částí či do vnitřních </w:t>
      </w:r>
      <w:proofErr w:type="spellStart"/>
      <w:r w:rsidRPr="002C2AD4">
        <w:rPr>
          <w:i/>
          <w:iCs/>
        </w:rPr>
        <w:t>suburbií</w:t>
      </w:r>
      <w:proofErr w:type="spellEnd"/>
      <w:r w:rsidRPr="002C2AD4">
        <w:rPr>
          <w:i/>
          <w:iCs/>
        </w:rPr>
        <w:t xml:space="preserve"> Prahy</w:t>
      </w:r>
      <w:r>
        <w:t>.</w:t>
      </w:r>
      <w:r w:rsidR="000D2FF0">
        <w:fldChar w:fldCharType="begin"/>
      </w:r>
      <w:r w:rsidR="009B3709">
        <w:instrText xml:space="preserve"> ADDIN ZOTERO_ITEM CSL_CITATION {"citationID":"i17vrFwV","properties":{"formattedCitation":"\\super 24(p40)\\nosupersub{}","plainCitation":"24(p40)","noteIndex":0},"citationItems":[{"id":165,"uris":["http://zotero.org/users/9426386/items/PSGAVW2B"],"itemData":{"id":165,"type":"book","event-place":"Brno","ISBN":"978-80-210-9462-8","language":"cs","note":"OCLC: 1417783767","number-of-pages":"154","publisher":"Masarykova univerzita","publisher-place":"Brno","source":"Open WorldCat","title":"(Geo)Demografie nejen pro ekonomy","author":[{"family":"Kunc","given":"Josef"},{"family":"Jaňurová","given":"Martina"},{"family":"Krajíčková","given":"Aneta"},{"family":"Tonev","given":"Petr"},{"family":"Toušek","given":"Václav"}],"issued":{"date-parts":[["2019"]]}},"locator":"40","label":"page"}],"schema":"https://github.com/citation-style-language/schema/raw/master/csl-citation.json"} </w:instrText>
      </w:r>
      <w:r w:rsidR="000D2FF0">
        <w:fldChar w:fldCharType="separate"/>
      </w:r>
      <w:r w:rsidR="00AC70A8" w:rsidRPr="00AC70A8">
        <w:rPr>
          <w:vertAlign w:val="superscript"/>
        </w:rPr>
        <w:t>24(p40)</w:t>
      </w:r>
      <w:r w:rsidR="000D2FF0">
        <w:fldChar w:fldCharType="end"/>
      </w:r>
      <w:r w:rsidR="008B3249">
        <w:t xml:space="preserve"> Lze tedy </w:t>
      </w:r>
      <w:r w:rsidR="001B5A5F">
        <w:t>konstatovat</w:t>
      </w:r>
      <w:r w:rsidR="008B3249">
        <w:t xml:space="preserve">, že v roce 2013 se mezi </w:t>
      </w:r>
      <w:r w:rsidR="00426742">
        <w:t xml:space="preserve">tři </w:t>
      </w:r>
      <w:r w:rsidR="008B3249">
        <w:t xml:space="preserve">nejstarší kraje ČR řadily Hlavní město Praha, Královéhradecký a Zlínský kraj. Naopak mezi </w:t>
      </w:r>
      <w:r w:rsidR="00426742">
        <w:t xml:space="preserve">tři </w:t>
      </w:r>
      <w:r w:rsidR="008B3249">
        <w:t>nejmladší patřily kraje Středočeský, Ústecký a Liberecký. O deset let později zaujímaly místa mezi nejstaršími kraji ČR Královéhradecký, Zlínský a Karlovarský kraj. Jako nejmladší se prosadily Hlavní město Praha, Středočeský a Jihomoravský kraj.</w:t>
      </w:r>
      <w:r w:rsidR="00766677">
        <w:fldChar w:fldCharType="begin"/>
      </w:r>
      <w:r w:rsidR="009B3709">
        <w:instrText xml:space="preserve"> ADDIN ZOTERO_ITEM CSL_CITATION {"citationID":"fBqAK64B","properties":{"formattedCitation":"\\super 29\\nosupersub{}","plainCitation":"29","noteIndex":0},"citationItems":[{"id":178,"uris":["http://zotero.org/users/9426386/items/Q79RAAMU"],"itemData":{"id":178,"type":"webpage","container-title":"Český statistický úřad","language":"cs","title":"Veřejná databáze","URL":"https://vdb.czso.cz/vdbvo2/"},"label":"page"}],"schema":"https://github.com/citation-style-language/schema/raw/master/csl-citation.json"} </w:instrText>
      </w:r>
      <w:r w:rsidR="00766677">
        <w:fldChar w:fldCharType="separate"/>
      </w:r>
      <w:r w:rsidR="000C1A01" w:rsidRPr="000C1A01">
        <w:rPr>
          <w:vertAlign w:val="superscript"/>
        </w:rPr>
        <w:t>29</w:t>
      </w:r>
      <w:r w:rsidR="00766677">
        <w:fldChar w:fldCharType="end"/>
      </w:r>
      <w:r w:rsidR="008B3249">
        <w:t xml:space="preserve"> </w:t>
      </w:r>
    </w:p>
    <w:p w14:paraId="38BA103A" w14:textId="1BC2FDF2" w:rsidR="003E2EDE" w:rsidRDefault="003E2EDE" w:rsidP="003E2EDE">
      <w:pPr>
        <w:pStyle w:val="Titulektabulky"/>
      </w:pPr>
      <w:bookmarkStart w:id="22" w:name="_Toc195517127"/>
      <w:r>
        <w:t xml:space="preserve">Tab. </w:t>
      </w:r>
      <w:r>
        <w:rPr>
          <w:noProof/>
        </w:rPr>
        <w:fldChar w:fldCharType="begin"/>
      </w:r>
      <w:r>
        <w:rPr>
          <w:noProof/>
        </w:rPr>
        <w:instrText xml:space="preserve"> SEQ Tab. \* ARABIC </w:instrText>
      </w:r>
      <w:r>
        <w:rPr>
          <w:noProof/>
        </w:rPr>
        <w:fldChar w:fldCharType="separate"/>
      </w:r>
      <w:r w:rsidR="00D4233F">
        <w:rPr>
          <w:noProof/>
        </w:rPr>
        <w:t>2</w:t>
      </w:r>
      <w:r>
        <w:rPr>
          <w:noProof/>
        </w:rPr>
        <w:fldChar w:fldCharType="end"/>
      </w:r>
      <w:r>
        <w:t xml:space="preserve">: </w:t>
      </w:r>
      <w:r w:rsidR="00FD2AA8">
        <w:t>Vybrané ukazatele stárnutí populace v krajích České republiky v letech 2013 a 2023</w:t>
      </w:r>
      <w:r w:rsidR="00766677">
        <w:fldChar w:fldCharType="begin"/>
      </w:r>
      <w:r w:rsidR="009B3709">
        <w:instrText xml:space="preserve"> ADDIN ZOTERO_ITEM CSL_CITATION {"citationID":"sv0CSFjd","properties":{"formattedCitation":"\\super 29\\nosupersub{}","plainCitation":"29","noteIndex":0},"citationItems":[{"id":178,"uris":["http://zotero.org/users/9426386/items/Q79RAAMU"],"itemData":{"id":178,"type":"webpage","container-title":"Český statistický úřad","language":"cs","title":"Veřejná databáze","URL":"https://vdb.czso.cz/vdbvo2/"},"label":"page"}],"schema":"https://github.com/citation-style-language/schema/raw/master/csl-citation.json"} </w:instrText>
      </w:r>
      <w:r w:rsidR="00766677">
        <w:fldChar w:fldCharType="separate"/>
      </w:r>
      <w:bookmarkEnd w:id="22"/>
      <w:r w:rsidR="000C1A01" w:rsidRPr="000C1A01">
        <w:rPr>
          <w:vertAlign w:val="superscript"/>
        </w:rPr>
        <w:t>29</w:t>
      </w:r>
      <w:r w:rsidR="00766677">
        <w:fldChar w:fldCharType="end"/>
      </w:r>
    </w:p>
    <w:tbl>
      <w:tblPr>
        <w:tblW w:w="8784" w:type="dxa"/>
        <w:jc w:val="center"/>
        <w:tblCellMar>
          <w:left w:w="70" w:type="dxa"/>
          <w:right w:w="70" w:type="dxa"/>
        </w:tblCellMar>
        <w:tblLook w:val="04A0" w:firstRow="1" w:lastRow="0" w:firstColumn="1" w:lastColumn="0" w:noHBand="0" w:noVBand="1"/>
      </w:tblPr>
      <w:tblGrid>
        <w:gridCol w:w="2536"/>
        <w:gridCol w:w="1003"/>
        <w:gridCol w:w="977"/>
        <w:gridCol w:w="1291"/>
        <w:gridCol w:w="1253"/>
        <w:gridCol w:w="873"/>
        <w:gridCol w:w="851"/>
      </w:tblGrid>
      <w:tr w:rsidR="00C97F18" w:rsidRPr="000C3C85" w14:paraId="66C84535" w14:textId="77777777" w:rsidTr="00D92A49">
        <w:trPr>
          <w:trHeight w:val="561"/>
          <w:jc w:val="center"/>
        </w:trPr>
        <w:tc>
          <w:tcPr>
            <w:tcW w:w="2536"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550D4614" w14:textId="77777777" w:rsidR="003E2EDE" w:rsidRPr="000C3C85" w:rsidRDefault="003E2EDE" w:rsidP="00DC685F">
            <w:pPr>
              <w:jc w:val="center"/>
              <w:rPr>
                <w:rFonts w:ascii="Arial" w:hAnsi="Arial" w:cs="Arial"/>
                <w:b/>
                <w:bCs/>
                <w:color w:val="000000"/>
              </w:rPr>
            </w:pPr>
            <w:r w:rsidRPr="000C3C85">
              <w:rPr>
                <w:rFonts w:ascii="Arial" w:hAnsi="Arial" w:cs="Arial"/>
                <w:b/>
                <w:bCs/>
                <w:color w:val="000000"/>
              </w:rPr>
              <w:t>Územní jednotka</w:t>
            </w:r>
          </w:p>
        </w:tc>
        <w:tc>
          <w:tcPr>
            <w:tcW w:w="1980" w:type="dxa"/>
            <w:gridSpan w:val="2"/>
            <w:tcBorders>
              <w:top w:val="single" w:sz="4" w:space="0" w:color="auto"/>
              <w:left w:val="nil"/>
              <w:bottom w:val="single" w:sz="4" w:space="0" w:color="auto"/>
              <w:right w:val="single" w:sz="4" w:space="0" w:color="auto"/>
            </w:tcBorders>
            <w:shd w:val="clear" w:color="000000" w:fill="DDEBF7"/>
            <w:vAlign w:val="center"/>
            <w:hideMark/>
          </w:tcPr>
          <w:p w14:paraId="79465244" w14:textId="77777777" w:rsidR="003E2EDE" w:rsidRPr="000C3C85" w:rsidRDefault="003E2EDE" w:rsidP="00DC685F">
            <w:pPr>
              <w:jc w:val="center"/>
              <w:rPr>
                <w:rFonts w:ascii="Arial" w:hAnsi="Arial" w:cs="Arial"/>
                <w:b/>
                <w:bCs/>
                <w:color w:val="000000"/>
              </w:rPr>
            </w:pPr>
            <w:r w:rsidRPr="000C3C85">
              <w:rPr>
                <w:rFonts w:ascii="Arial" w:hAnsi="Arial" w:cs="Arial"/>
                <w:b/>
                <w:bCs/>
                <w:color w:val="000000"/>
              </w:rPr>
              <w:t>Průměrný věk obyvatel (roky)</w:t>
            </w:r>
          </w:p>
        </w:tc>
        <w:tc>
          <w:tcPr>
            <w:tcW w:w="2544" w:type="dxa"/>
            <w:gridSpan w:val="2"/>
            <w:tcBorders>
              <w:top w:val="single" w:sz="4" w:space="0" w:color="auto"/>
              <w:left w:val="nil"/>
              <w:bottom w:val="single" w:sz="4" w:space="0" w:color="auto"/>
              <w:right w:val="single" w:sz="4" w:space="0" w:color="auto"/>
            </w:tcBorders>
            <w:shd w:val="clear" w:color="000000" w:fill="DDEBF7"/>
            <w:vAlign w:val="center"/>
            <w:hideMark/>
          </w:tcPr>
          <w:p w14:paraId="19CEF537" w14:textId="77777777" w:rsidR="003E2EDE" w:rsidRPr="000C3C85" w:rsidRDefault="003E2EDE" w:rsidP="00DC685F">
            <w:pPr>
              <w:jc w:val="center"/>
              <w:rPr>
                <w:rFonts w:ascii="Arial" w:hAnsi="Arial" w:cs="Arial"/>
                <w:b/>
                <w:bCs/>
                <w:color w:val="000000"/>
              </w:rPr>
            </w:pPr>
            <w:r w:rsidRPr="000C3C85">
              <w:rPr>
                <w:rFonts w:ascii="Arial" w:hAnsi="Arial" w:cs="Arial"/>
                <w:b/>
                <w:bCs/>
                <w:color w:val="000000"/>
              </w:rPr>
              <w:t>Podíl obyvatel ve věku 65 let a více (%)</w:t>
            </w:r>
          </w:p>
        </w:tc>
        <w:tc>
          <w:tcPr>
            <w:tcW w:w="1724" w:type="dxa"/>
            <w:gridSpan w:val="2"/>
            <w:tcBorders>
              <w:top w:val="single" w:sz="4" w:space="0" w:color="auto"/>
              <w:left w:val="nil"/>
              <w:bottom w:val="single" w:sz="4" w:space="0" w:color="auto"/>
              <w:right w:val="single" w:sz="4" w:space="0" w:color="auto"/>
            </w:tcBorders>
            <w:shd w:val="clear" w:color="000000" w:fill="DDEBF7"/>
            <w:vAlign w:val="center"/>
            <w:hideMark/>
          </w:tcPr>
          <w:p w14:paraId="33A1F1DC" w14:textId="77777777" w:rsidR="003E2EDE" w:rsidRPr="000C3C85" w:rsidRDefault="003E2EDE" w:rsidP="00DC685F">
            <w:pPr>
              <w:jc w:val="center"/>
              <w:rPr>
                <w:rFonts w:ascii="Arial" w:hAnsi="Arial" w:cs="Arial"/>
                <w:b/>
                <w:bCs/>
                <w:color w:val="000000"/>
              </w:rPr>
            </w:pPr>
            <w:r w:rsidRPr="000C3C85">
              <w:rPr>
                <w:rFonts w:ascii="Arial" w:hAnsi="Arial" w:cs="Arial"/>
                <w:b/>
                <w:bCs/>
                <w:color w:val="000000"/>
              </w:rPr>
              <w:t>Index stáří</w:t>
            </w:r>
          </w:p>
        </w:tc>
      </w:tr>
      <w:tr w:rsidR="00A44B3F" w:rsidRPr="000C3C85" w14:paraId="3D0FCC00" w14:textId="77777777" w:rsidTr="00D92A49">
        <w:trPr>
          <w:trHeight w:val="300"/>
          <w:jc w:val="center"/>
        </w:trPr>
        <w:tc>
          <w:tcPr>
            <w:tcW w:w="2536" w:type="dxa"/>
            <w:vMerge/>
            <w:tcBorders>
              <w:top w:val="single" w:sz="4" w:space="0" w:color="auto"/>
              <w:left w:val="single" w:sz="4" w:space="0" w:color="auto"/>
              <w:bottom w:val="single" w:sz="4" w:space="0" w:color="auto"/>
              <w:right w:val="single" w:sz="4" w:space="0" w:color="auto"/>
            </w:tcBorders>
            <w:vAlign w:val="center"/>
            <w:hideMark/>
          </w:tcPr>
          <w:p w14:paraId="2C13FC9D" w14:textId="77777777" w:rsidR="003E2EDE" w:rsidRPr="000C3C85" w:rsidRDefault="003E2EDE" w:rsidP="00DC685F">
            <w:pPr>
              <w:rPr>
                <w:rFonts w:ascii="Arial" w:hAnsi="Arial" w:cs="Arial"/>
                <w:b/>
                <w:bCs/>
                <w:color w:val="000000"/>
              </w:rPr>
            </w:pPr>
          </w:p>
        </w:tc>
        <w:tc>
          <w:tcPr>
            <w:tcW w:w="1003" w:type="dxa"/>
            <w:tcBorders>
              <w:top w:val="nil"/>
              <w:left w:val="nil"/>
              <w:bottom w:val="single" w:sz="4" w:space="0" w:color="auto"/>
              <w:right w:val="single" w:sz="4" w:space="0" w:color="auto"/>
            </w:tcBorders>
            <w:shd w:val="clear" w:color="000000" w:fill="DDEBF7"/>
            <w:vAlign w:val="center"/>
            <w:hideMark/>
          </w:tcPr>
          <w:p w14:paraId="15CEDE44" w14:textId="77777777" w:rsidR="003E2EDE" w:rsidRPr="000C3C85" w:rsidRDefault="003E2EDE" w:rsidP="00DC685F">
            <w:pPr>
              <w:jc w:val="center"/>
              <w:rPr>
                <w:rFonts w:ascii="Arial" w:hAnsi="Arial" w:cs="Arial"/>
                <w:b/>
                <w:bCs/>
                <w:color w:val="000000"/>
              </w:rPr>
            </w:pPr>
            <w:r w:rsidRPr="000C3C85">
              <w:rPr>
                <w:rFonts w:ascii="Arial" w:hAnsi="Arial" w:cs="Arial"/>
                <w:b/>
                <w:bCs/>
                <w:color w:val="000000"/>
              </w:rPr>
              <w:t>2013</w:t>
            </w:r>
          </w:p>
        </w:tc>
        <w:tc>
          <w:tcPr>
            <w:tcW w:w="977" w:type="dxa"/>
            <w:tcBorders>
              <w:top w:val="nil"/>
              <w:left w:val="nil"/>
              <w:bottom w:val="single" w:sz="4" w:space="0" w:color="auto"/>
              <w:right w:val="single" w:sz="4" w:space="0" w:color="auto"/>
            </w:tcBorders>
            <w:shd w:val="clear" w:color="000000" w:fill="DDEBF7"/>
            <w:vAlign w:val="center"/>
            <w:hideMark/>
          </w:tcPr>
          <w:p w14:paraId="3C319844" w14:textId="77777777" w:rsidR="003E2EDE" w:rsidRPr="000C3C85" w:rsidRDefault="003E2EDE" w:rsidP="00DC685F">
            <w:pPr>
              <w:jc w:val="center"/>
              <w:rPr>
                <w:rFonts w:ascii="Arial" w:hAnsi="Arial" w:cs="Arial"/>
                <w:b/>
                <w:bCs/>
                <w:color w:val="000000"/>
              </w:rPr>
            </w:pPr>
            <w:r w:rsidRPr="000C3C85">
              <w:rPr>
                <w:rFonts w:ascii="Arial" w:hAnsi="Arial" w:cs="Arial"/>
                <w:b/>
                <w:bCs/>
                <w:color w:val="000000"/>
              </w:rPr>
              <w:t>2023</w:t>
            </w:r>
          </w:p>
        </w:tc>
        <w:tc>
          <w:tcPr>
            <w:tcW w:w="1291" w:type="dxa"/>
            <w:tcBorders>
              <w:top w:val="nil"/>
              <w:left w:val="nil"/>
              <w:bottom w:val="single" w:sz="4" w:space="0" w:color="auto"/>
              <w:right w:val="single" w:sz="4" w:space="0" w:color="auto"/>
            </w:tcBorders>
            <w:shd w:val="clear" w:color="000000" w:fill="DDEBF7"/>
            <w:vAlign w:val="center"/>
            <w:hideMark/>
          </w:tcPr>
          <w:p w14:paraId="55AB4012" w14:textId="77777777" w:rsidR="003E2EDE" w:rsidRPr="000C3C85" w:rsidRDefault="003E2EDE" w:rsidP="00DC685F">
            <w:pPr>
              <w:jc w:val="center"/>
              <w:rPr>
                <w:rFonts w:ascii="Arial" w:hAnsi="Arial" w:cs="Arial"/>
                <w:b/>
                <w:bCs/>
                <w:color w:val="000000"/>
              </w:rPr>
            </w:pPr>
            <w:r w:rsidRPr="000C3C85">
              <w:rPr>
                <w:rFonts w:ascii="Arial" w:hAnsi="Arial" w:cs="Arial"/>
                <w:b/>
                <w:bCs/>
                <w:color w:val="000000"/>
              </w:rPr>
              <w:t>2013</w:t>
            </w:r>
          </w:p>
        </w:tc>
        <w:tc>
          <w:tcPr>
            <w:tcW w:w="1253" w:type="dxa"/>
            <w:tcBorders>
              <w:top w:val="nil"/>
              <w:left w:val="nil"/>
              <w:bottom w:val="single" w:sz="4" w:space="0" w:color="auto"/>
              <w:right w:val="single" w:sz="4" w:space="0" w:color="auto"/>
            </w:tcBorders>
            <w:shd w:val="clear" w:color="000000" w:fill="DDEBF7"/>
            <w:vAlign w:val="center"/>
            <w:hideMark/>
          </w:tcPr>
          <w:p w14:paraId="25C5C470" w14:textId="77777777" w:rsidR="003E2EDE" w:rsidRPr="000C3C85" w:rsidRDefault="003E2EDE" w:rsidP="00DC685F">
            <w:pPr>
              <w:jc w:val="center"/>
              <w:rPr>
                <w:rFonts w:ascii="Arial" w:hAnsi="Arial" w:cs="Arial"/>
                <w:b/>
                <w:bCs/>
                <w:color w:val="000000"/>
              </w:rPr>
            </w:pPr>
            <w:r w:rsidRPr="000C3C85">
              <w:rPr>
                <w:rFonts w:ascii="Arial" w:hAnsi="Arial" w:cs="Arial"/>
                <w:b/>
                <w:bCs/>
                <w:color w:val="000000"/>
              </w:rPr>
              <w:t>2023</w:t>
            </w:r>
          </w:p>
        </w:tc>
        <w:tc>
          <w:tcPr>
            <w:tcW w:w="873" w:type="dxa"/>
            <w:tcBorders>
              <w:top w:val="nil"/>
              <w:left w:val="nil"/>
              <w:bottom w:val="single" w:sz="4" w:space="0" w:color="auto"/>
              <w:right w:val="single" w:sz="4" w:space="0" w:color="auto"/>
            </w:tcBorders>
            <w:shd w:val="clear" w:color="000000" w:fill="DDEBF7"/>
            <w:vAlign w:val="center"/>
            <w:hideMark/>
          </w:tcPr>
          <w:p w14:paraId="2F0DC49F" w14:textId="77777777" w:rsidR="003E2EDE" w:rsidRPr="000C3C85" w:rsidRDefault="003E2EDE" w:rsidP="00DC685F">
            <w:pPr>
              <w:jc w:val="center"/>
              <w:rPr>
                <w:rFonts w:ascii="Arial" w:hAnsi="Arial" w:cs="Arial"/>
                <w:b/>
                <w:bCs/>
                <w:color w:val="000000"/>
              </w:rPr>
            </w:pPr>
            <w:r w:rsidRPr="000C3C85">
              <w:rPr>
                <w:rFonts w:ascii="Arial" w:hAnsi="Arial" w:cs="Arial"/>
                <w:b/>
                <w:bCs/>
                <w:color w:val="000000"/>
              </w:rPr>
              <w:t>2013</w:t>
            </w:r>
          </w:p>
        </w:tc>
        <w:tc>
          <w:tcPr>
            <w:tcW w:w="851" w:type="dxa"/>
            <w:tcBorders>
              <w:top w:val="nil"/>
              <w:left w:val="nil"/>
              <w:bottom w:val="single" w:sz="4" w:space="0" w:color="auto"/>
              <w:right w:val="single" w:sz="4" w:space="0" w:color="auto"/>
            </w:tcBorders>
            <w:shd w:val="clear" w:color="000000" w:fill="DDEBF7"/>
            <w:vAlign w:val="center"/>
            <w:hideMark/>
          </w:tcPr>
          <w:p w14:paraId="3E3CC9A0" w14:textId="77777777" w:rsidR="003E2EDE" w:rsidRPr="000C3C85" w:rsidRDefault="003E2EDE" w:rsidP="00DC685F">
            <w:pPr>
              <w:jc w:val="center"/>
              <w:rPr>
                <w:rFonts w:ascii="Arial" w:hAnsi="Arial" w:cs="Arial"/>
                <w:b/>
                <w:bCs/>
                <w:color w:val="000000"/>
              </w:rPr>
            </w:pPr>
            <w:r w:rsidRPr="000C3C85">
              <w:rPr>
                <w:rFonts w:ascii="Arial" w:hAnsi="Arial" w:cs="Arial"/>
                <w:b/>
                <w:bCs/>
                <w:color w:val="000000"/>
              </w:rPr>
              <w:t>2023</w:t>
            </w:r>
          </w:p>
        </w:tc>
      </w:tr>
      <w:tr w:rsidR="003C16CE" w:rsidRPr="000C3C85" w14:paraId="142A54BE" w14:textId="77777777" w:rsidTr="00D92A49">
        <w:trPr>
          <w:trHeight w:val="300"/>
          <w:jc w:val="center"/>
        </w:trPr>
        <w:tc>
          <w:tcPr>
            <w:tcW w:w="2536" w:type="dxa"/>
            <w:tcBorders>
              <w:top w:val="nil"/>
              <w:left w:val="single" w:sz="4" w:space="0" w:color="auto"/>
              <w:bottom w:val="single" w:sz="4" w:space="0" w:color="auto"/>
              <w:right w:val="single" w:sz="4" w:space="0" w:color="auto"/>
            </w:tcBorders>
            <w:shd w:val="clear" w:color="auto" w:fill="auto"/>
            <w:vAlign w:val="center"/>
            <w:hideMark/>
          </w:tcPr>
          <w:p w14:paraId="221203C7" w14:textId="77777777" w:rsidR="003E2EDE" w:rsidRPr="000C3C85" w:rsidRDefault="003E2EDE" w:rsidP="00DC685F">
            <w:pPr>
              <w:jc w:val="center"/>
              <w:rPr>
                <w:rFonts w:ascii="Arial" w:hAnsi="Arial" w:cs="Arial"/>
                <w:color w:val="000000"/>
              </w:rPr>
            </w:pPr>
            <w:r w:rsidRPr="000C3C85">
              <w:rPr>
                <w:rFonts w:ascii="Arial" w:hAnsi="Arial" w:cs="Arial"/>
                <w:color w:val="000000"/>
              </w:rPr>
              <w:t>Česká republika</w:t>
            </w:r>
          </w:p>
        </w:tc>
        <w:tc>
          <w:tcPr>
            <w:tcW w:w="1003" w:type="dxa"/>
            <w:tcBorders>
              <w:top w:val="nil"/>
              <w:left w:val="nil"/>
              <w:bottom w:val="single" w:sz="4" w:space="0" w:color="auto"/>
              <w:right w:val="single" w:sz="4" w:space="0" w:color="auto"/>
            </w:tcBorders>
            <w:shd w:val="clear" w:color="auto" w:fill="auto"/>
            <w:vAlign w:val="center"/>
            <w:hideMark/>
          </w:tcPr>
          <w:p w14:paraId="2827B2B9" w14:textId="77777777" w:rsidR="003E2EDE" w:rsidRPr="000C3C85" w:rsidRDefault="003E2EDE" w:rsidP="00DC685F">
            <w:pPr>
              <w:jc w:val="center"/>
              <w:rPr>
                <w:rFonts w:ascii="Arial" w:hAnsi="Arial" w:cs="Arial"/>
                <w:color w:val="000000"/>
              </w:rPr>
            </w:pPr>
            <w:r w:rsidRPr="000C3C85">
              <w:rPr>
                <w:rFonts w:ascii="Arial" w:hAnsi="Arial" w:cs="Arial"/>
                <w:color w:val="000000"/>
              </w:rPr>
              <w:t>41,5</w:t>
            </w:r>
          </w:p>
        </w:tc>
        <w:tc>
          <w:tcPr>
            <w:tcW w:w="977" w:type="dxa"/>
            <w:tcBorders>
              <w:top w:val="nil"/>
              <w:left w:val="nil"/>
              <w:bottom w:val="single" w:sz="4" w:space="0" w:color="auto"/>
              <w:right w:val="single" w:sz="4" w:space="0" w:color="auto"/>
            </w:tcBorders>
            <w:shd w:val="clear" w:color="auto" w:fill="auto"/>
            <w:vAlign w:val="center"/>
            <w:hideMark/>
          </w:tcPr>
          <w:p w14:paraId="16003D59" w14:textId="77777777" w:rsidR="003E2EDE" w:rsidRPr="000C3C85" w:rsidRDefault="003E2EDE" w:rsidP="00DC685F">
            <w:pPr>
              <w:jc w:val="center"/>
              <w:rPr>
                <w:rFonts w:ascii="Arial" w:hAnsi="Arial" w:cs="Arial"/>
                <w:color w:val="000000"/>
              </w:rPr>
            </w:pPr>
            <w:r w:rsidRPr="000C3C85">
              <w:rPr>
                <w:rFonts w:ascii="Arial" w:hAnsi="Arial" w:cs="Arial"/>
                <w:color w:val="000000"/>
              </w:rPr>
              <w:t>42,8</w:t>
            </w:r>
          </w:p>
        </w:tc>
        <w:tc>
          <w:tcPr>
            <w:tcW w:w="1291" w:type="dxa"/>
            <w:tcBorders>
              <w:top w:val="nil"/>
              <w:left w:val="nil"/>
              <w:bottom w:val="single" w:sz="4" w:space="0" w:color="auto"/>
              <w:right w:val="single" w:sz="4" w:space="0" w:color="auto"/>
            </w:tcBorders>
            <w:shd w:val="clear" w:color="auto" w:fill="auto"/>
            <w:vAlign w:val="center"/>
            <w:hideMark/>
          </w:tcPr>
          <w:p w14:paraId="223E4684" w14:textId="77777777" w:rsidR="003E2EDE" w:rsidRPr="000C3C85" w:rsidRDefault="003E2EDE" w:rsidP="00DC685F">
            <w:pPr>
              <w:jc w:val="center"/>
              <w:rPr>
                <w:rFonts w:ascii="Arial" w:hAnsi="Arial" w:cs="Arial"/>
                <w:color w:val="000000"/>
              </w:rPr>
            </w:pPr>
            <w:r w:rsidRPr="000C3C85">
              <w:rPr>
                <w:rFonts w:ascii="Arial" w:hAnsi="Arial" w:cs="Arial"/>
                <w:color w:val="000000"/>
              </w:rPr>
              <w:t>17,4</w:t>
            </w:r>
          </w:p>
        </w:tc>
        <w:tc>
          <w:tcPr>
            <w:tcW w:w="1253" w:type="dxa"/>
            <w:tcBorders>
              <w:top w:val="nil"/>
              <w:left w:val="nil"/>
              <w:bottom w:val="single" w:sz="4" w:space="0" w:color="auto"/>
              <w:right w:val="single" w:sz="4" w:space="0" w:color="auto"/>
            </w:tcBorders>
            <w:shd w:val="clear" w:color="auto" w:fill="auto"/>
            <w:vAlign w:val="center"/>
            <w:hideMark/>
          </w:tcPr>
          <w:p w14:paraId="4A23FEDC" w14:textId="77777777" w:rsidR="003E2EDE" w:rsidRPr="000C3C85" w:rsidRDefault="003E2EDE" w:rsidP="00DC685F">
            <w:pPr>
              <w:jc w:val="center"/>
              <w:rPr>
                <w:rFonts w:ascii="Arial" w:hAnsi="Arial" w:cs="Arial"/>
                <w:color w:val="000000"/>
              </w:rPr>
            </w:pPr>
            <w:r w:rsidRPr="000C3C85">
              <w:rPr>
                <w:rFonts w:ascii="Arial" w:hAnsi="Arial" w:cs="Arial"/>
                <w:color w:val="000000"/>
              </w:rPr>
              <w:t>20,5</w:t>
            </w:r>
          </w:p>
        </w:tc>
        <w:tc>
          <w:tcPr>
            <w:tcW w:w="873" w:type="dxa"/>
            <w:tcBorders>
              <w:top w:val="nil"/>
              <w:left w:val="nil"/>
              <w:bottom w:val="single" w:sz="4" w:space="0" w:color="auto"/>
              <w:right w:val="single" w:sz="4" w:space="0" w:color="auto"/>
            </w:tcBorders>
            <w:shd w:val="clear" w:color="auto" w:fill="auto"/>
            <w:vAlign w:val="center"/>
            <w:hideMark/>
          </w:tcPr>
          <w:p w14:paraId="61F50DA5" w14:textId="77777777" w:rsidR="003E2EDE" w:rsidRPr="000C3C85" w:rsidRDefault="003E2EDE" w:rsidP="00DC685F">
            <w:pPr>
              <w:jc w:val="center"/>
              <w:rPr>
                <w:rFonts w:ascii="Arial" w:hAnsi="Arial" w:cs="Arial"/>
                <w:color w:val="000000"/>
              </w:rPr>
            </w:pPr>
            <w:r w:rsidRPr="000C3C85">
              <w:rPr>
                <w:rFonts w:ascii="Arial" w:hAnsi="Arial" w:cs="Arial"/>
                <w:color w:val="000000"/>
              </w:rPr>
              <w:t>115,7</w:t>
            </w:r>
          </w:p>
        </w:tc>
        <w:tc>
          <w:tcPr>
            <w:tcW w:w="851" w:type="dxa"/>
            <w:tcBorders>
              <w:top w:val="nil"/>
              <w:left w:val="nil"/>
              <w:bottom w:val="single" w:sz="4" w:space="0" w:color="auto"/>
              <w:right w:val="single" w:sz="4" w:space="0" w:color="auto"/>
            </w:tcBorders>
            <w:shd w:val="clear" w:color="auto" w:fill="auto"/>
            <w:vAlign w:val="center"/>
            <w:hideMark/>
          </w:tcPr>
          <w:p w14:paraId="111956F9" w14:textId="77777777" w:rsidR="003E2EDE" w:rsidRPr="000C3C85" w:rsidRDefault="003E2EDE" w:rsidP="00DC685F">
            <w:pPr>
              <w:jc w:val="center"/>
              <w:rPr>
                <w:rFonts w:ascii="Arial" w:hAnsi="Arial" w:cs="Arial"/>
                <w:color w:val="000000"/>
              </w:rPr>
            </w:pPr>
            <w:r w:rsidRPr="000C3C85">
              <w:rPr>
                <w:rFonts w:ascii="Arial" w:hAnsi="Arial" w:cs="Arial"/>
                <w:color w:val="000000"/>
              </w:rPr>
              <w:t>129,5</w:t>
            </w:r>
          </w:p>
        </w:tc>
      </w:tr>
      <w:tr w:rsidR="003C16CE" w:rsidRPr="000C3C85" w14:paraId="046C32FE" w14:textId="77777777" w:rsidTr="00D92A49">
        <w:trPr>
          <w:trHeight w:val="300"/>
          <w:jc w:val="center"/>
        </w:trPr>
        <w:tc>
          <w:tcPr>
            <w:tcW w:w="2536" w:type="dxa"/>
            <w:tcBorders>
              <w:top w:val="nil"/>
              <w:left w:val="single" w:sz="4" w:space="0" w:color="auto"/>
              <w:bottom w:val="single" w:sz="4" w:space="0" w:color="auto"/>
              <w:right w:val="single" w:sz="4" w:space="0" w:color="auto"/>
            </w:tcBorders>
            <w:shd w:val="clear" w:color="auto" w:fill="auto"/>
            <w:vAlign w:val="center"/>
            <w:hideMark/>
          </w:tcPr>
          <w:p w14:paraId="3701BF09" w14:textId="77777777" w:rsidR="003E2EDE" w:rsidRPr="000C3C85" w:rsidRDefault="003E2EDE" w:rsidP="00DC685F">
            <w:pPr>
              <w:jc w:val="center"/>
              <w:rPr>
                <w:rFonts w:ascii="Arial" w:hAnsi="Arial" w:cs="Arial"/>
                <w:color w:val="000000"/>
              </w:rPr>
            </w:pPr>
            <w:r w:rsidRPr="000C3C85">
              <w:rPr>
                <w:rFonts w:ascii="Arial" w:hAnsi="Arial" w:cs="Arial"/>
                <w:color w:val="000000"/>
              </w:rPr>
              <w:t>Hlavní město Praha</w:t>
            </w:r>
          </w:p>
        </w:tc>
        <w:tc>
          <w:tcPr>
            <w:tcW w:w="1003" w:type="dxa"/>
            <w:tcBorders>
              <w:top w:val="nil"/>
              <w:left w:val="nil"/>
              <w:bottom w:val="single" w:sz="4" w:space="0" w:color="auto"/>
              <w:right w:val="single" w:sz="4" w:space="0" w:color="auto"/>
            </w:tcBorders>
            <w:shd w:val="clear" w:color="auto" w:fill="F7CAAC" w:themeFill="accent2" w:themeFillTint="66"/>
            <w:vAlign w:val="bottom"/>
            <w:hideMark/>
          </w:tcPr>
          <w:p w14:paraId="590A9715" w14:textId="77777777" w:rsidR="003E2EDE" w:rsidRPr="000C3C85" w:rsidRDefault="003E2EDE" w:rsidP="00DC685F">
            <w:pPr>
              <w:jc w:val="center"/>
              <w:rPr>
                <w:rFonts w:ascii="Arial" w:hAnsi="Arial" w:cs="Arial"/>
                <w:color w:val="000000"/>
              </w:rPr>
            </w:pPr>
            <w:r w:rsidRPr="000C3C85">
              <w:rPr>
                <w:rFonts w:ascii="Arial" w:hAnsi="Arial" w:cs="Arial"/>
                <w:color w:val="000000"/>
              </w:rPr>
              <w:t>42,0</w:t>
            </w:r>
          </w:p>
        </w:tc>
        <w:tc>
          <w:tcPr>
            <w:tcW w:w="977" w:type="dxa"/>
            <w:tcBorders>
              <w:top w:val="nil"/>
              <w:left w:val="nil"/>
              <w:bottom w:val="single" w:sz="4" w:space="0" w:color="auto"/>
              <w:right w:val="single" w:sz="4" w:space="0" w:color="auto"/>
            </w:tcBorders>
            <w:shd w:val="clear" w:color="auto" w:fill="C5E0B3" w:themeFill="accent6" w:themeFillTint="66"/>
            <w:vAlign w:val="bottom"/>
            <w:hideMark/>
          </w:tcPr>
          <w:p w14:paraId="0652E02B" w14:textId="77777777" w:rsidR="003E2EDE" w:rsidRPr="000C3C85" w:rsidRDefault="003E2EDE" w:rsidP="00DC685F">
            <w:pPr>
              <w:jc w:val="center"/>
              <w:rPr>
                <w:rFonts w:ascii="Arial" w:hAnsi="Arial" w:cs="Arial"/>
                <w:color w:val="000000"/>
              </w:rPr>
            </w:pPr>
            <w:r w:rsidRPr="000C3C85">
              <w:rPr>
                <w:rFonts w:ascii="Arial" w:hAnsi="Arial" w:cs="Arial"/>
                <w:color w:val="000000"/>
              </w:rPr>
              <w:t>41,7</w:t>
            </w:r>
          </w:p>
        </w:tc>
        <w:tc>
          <w:tcPr>
            <w:tcW w:w="1291" w:type="dxa"/>
            <w:tcBorders>
              <w:top w:val="nil"/>
              <w:left w:val="nil"/>
              <w:bottom w:val="single" w:sz="4" w:space="0" w:color="auto"/>
              <w:right w:val="single" w:sz="4" w:space="0" w:color="auto"/>
            </w:tcBorders>
            <w:shd w:val="clear" w:color="auto" w:fill="F7CAAC" w:themeFill="accent2" w:themeFillTint="66"/>
            <w:vAlign w:val="bottom"/>
            <w:hideMark/>
          </w:tcPr>
          <w:p w14:paraId="346E7570" w14:textId="77777777" w:rsidR="003E2EDE" w:rsidRPr="000C3C85" w:rsidRDefault="003E2EDE" w:rsidP="00DC685F">
            <w:pPr>
              <w:jc w:val="center"/>
              <w:rPr>
                <w:rFonts w:ascii="Arial" w:hAnsi="Arial" w:cs="Arial"/>
                <w:color w:val="000000"/>
              </w:rPr>
            </w:pPr>
            <w:r w:rsidRPr="000C3C85">
              <w:rPr>
                <w:rFonts w:ascii="Arial" w:hAnsi="Arial" w:cs="Arial"/>
                <w:color w:val="000000"/>
              </w:rPr>
              <w:t>18,1</w:t>
            </w:r>
          </w:p>
        </w:tc>
        <w:tc>
          <w:tcPr>
            <w:tcW w:w="1253" w:type="dxa"/>
            <w:tcBorders>
              <w:top w:val="nil"/>
              <w:left w:val="nil"/>
              <w:bottom w:val="single" w:sz="4" w:space="0" w:color="auto"/>
              <w:right w:val="single" w:sz="4" w:space="0" w:color="auto"/>
            </w:tcBorders>
            <w:shd w:val="clear" w:color="auto" w:fill="C5E0B3" w:themeFill="accent6" w:themeFillTint="66"/>
            <w:vAlign w:val="bottom"/>
            <w:hideMark/>
          </w:tcPr>
          <w:p w14:paraId="0C9C1CC9" w14:textId="77777777" w:rsidR="003E2EDE" w:rsidRPr="000C3C85" w:rsidRDefault="003E2EDE" w:rsidP="00DC685F">
            <w:pPr>
              <w:jc w:val="center"/>
              <w:rPr>
                <w:rFonts w:ascii="Arial" w:hAnsi="Arial" w:cs="Arial"/>
                <w:color w:val="000000"/>
              </w:rPr>
            </w:pPr>
            <w:r w:rsidRPr="000C3C85">
              <w:rPr>
                <w:rFonts w:ascii="Arial" w:hAnsi="Arial" w:cs="Arial"/>
                <w:color w:val="000000"/>
              </w:rPr>
              <w:t>18,5</w:t>
            </w:r>
          </w:p>
        </w:tc>
        <w:tc>
          <w:tcPr>
            <w:tcW w:w="873" w:type="dxa"/>
            <w:tcBorders>
              <w:top w:val="nil"/>
              <w:left w:val="nil"/>
              <w:bottom w:val="single" w:sz="4" w:space="0" w:color="auto"/>
              <w:right w:val="single" w:sz="4" w:space="0" w:color="auto"/>
            </w:tcBorders>
            <w:shd w:val="clear" w:color="auto" w:fill="F7CAAC" w:themeFill="accent2" w:themeFillTint="66"/>
            <w:vAlign w:val="bottom"/>
            <w:hideMark/>
          </w:tcPr>
          <w:p w14:paraId="5C090F5A" w14:textId="77777777" w:rsidR="003E2EDE" w:rsidRPr="000C3C85" w:rsidRDefault="003E2EDE" w:rsidP="00DC685F">
            <w:pPr>
              <w:jc w:val="center"/>
              <w:rPr>
                <w:rFonts w:ascii="Arial" w:hAnsi="Arial" w:cs="Arial"/>
                <w:color w:val="000000"/>
              </w:rPr>
            </w:pPr>
            <w:r w:rsidRPr="000C3C85">
              <w:rPr>
                <w:rFonts w:ascii="Arial" w:hAnsi="Arial" w:cs="Arial"/>
                <w:color w:val="000000"/>
              </w:rPr>
              <w:t>128,3</w:t>
            </w:r>
          </w:p>
        </w:tc>
        <w:tc>
          <w:tcPr>
            <w:tcW w:w="851" w:type="dxa"/>
            <w:tcBorders>
              <w:top w:val="nil"/>
              <w:left w:val="nil"/>
              <w:bottom w:val="single" w:sz="4" w:space="0" w:color="auto"/>
              <w:right w:val="single" w:sz="4" w:space="0" w:color="auto"/>
            </w:tcBorders>
            <w:shd w:val="clear" w:color="auto" w:fill="C5E0B3" w:themeFill="accent6" w:themeFillTint="66"/>
            <w:vAlign w:val="bottom"/>
            <w:hideMark/>
          </w:tcPr>
          <w:p w14:paraId="629EE2B5" w14:textId="77777777" w:rsidR="003E2EDE" w:rsidRPr="000C3C85" w:rsidRDefault="003E2EDE" w:rsidP="00DC685F">
            <w:pPr>
              <w:jc w:val="center"/>
              <w:rPr>
                <w:rFonts w:ascii="Arial" w:hAnsi="Arial" w:cs="Arial"/>
                <w:color w:val="000000"/>
              </w:rPr>
            </w:pPr>
            <w:r w:rsidRPr="000C3C85">
              <w:rPr>
                <w:rFonts w:ascii="Arial" w:hAnsi="Arial" w:cs="Arial"/>
                <w:color w:val="000000"/>
              </w:rPr>
              <w:t>117,4</w:t>
            </w:r>
          </w:p>
        </w:tc>
      </w:tr>
      <w:tr w:rsidR="003C16CE" w:rsidRPr="000C3C85" w14:paraId="7E6F744E" w14:textId="77777777" w:rsidTr="00D92A49">
        <w:trPr>
          <w:trHeight w:val="300"/>
          <w:jc w:val="center"/>
        </w:trPr>
        <w:tc>
          <w:tcPr>
            <w:tcW w:w="2536" w:type="dxa"/>
            <w:tcBorders>
              <w:top w:val="nil"/>
              <w:left w:val="single" w:sz="4" w:space="0" w:color="auto"/>
              <w:bottom w:val="single" w:sz="4" w:space="0" w:color="auto"/>
              <w:right w:val="single" w:sz="4" w:space="0" w:color="auto"/>
            </w:tcBorders>
            <w:shd w:val="clear" w:color="auto" w:fill="auto"/>
            <w:vAlign w:val="center"/>
            <w:hideMark/>
          </w:tcPr>
          <w:p w14:paraId="45ECE9B4" w14:textId="77777777" w:rsidR="003E2EDE" w:rsidRPr="000C3C85" w:rsidRDefault="003E2EDE" w:rsidP="00DC685F">
            <w:pPr>
              <w:jc w:val="center"/>
              <w:rPr>
                <w:rFonts w:ascii="Arial" w:hAnsi="Arial" w:cs="Arial"/>
                <w:color w:val="000000"/>
              </w:rPr>
            </w:pPr>
            <w:r w:rsidRPr="000C3C85">
              <w:rPr>
                <w:rFonts w:ascii="Arial" w:hAnsi="Arial" w:cs="Arial"/>
                <w:color w:val="000000"/>
              </w:rPr>
              <w:t>Jihočeský kraj</w:t>
            </w:r>
          </w:p>
        </w:tc>
        <w:tc>
          <w:tcPr>
            <w:tcW w:w="1003" w:type="dxa"/>
            <w:tcBorders>
              <w:top w:val="nil"/>
              <w:left w:val="nil"/>
              <w:bottom w:val="single" w:sz="4" w:space="0" w:color="auto"/>
              <w:right w:val="single" w:sz="4" w:space="0" w:color="auto"/>
            </w:tcBorders>
            <w:shd w:val="clear" w:color="auto" w:fill="auto"/>
            <w:vAlign w:val="bottom"/>
            <w:hideMark/>
          </w:tcPr>
          <w:p w14:paraId="2CCE7768" w14:textId="77777777" w:rsidR="003E2EDE" w:rsidRPr="000C3C85" w:rsidRDefault="003E2EDE" w:rsidP="00DC685F">
            <w:pPr>
              <w:jc w:val="center"/>
              <w:rPr>
                <w:rFonts w:ascii="Arial" w:hAnsi="Arial" w:cs="Arial"/>
                <w:color w:val="000000"/>
              </w:rPr>
            </w:pPr>
            <w:r w:rsidRPr="000C3C85">
              <w:rPr>
                <w:rFonts w:ascii="Arial" w:hAnsi="Arial" w:cs="Arial"/>
                <w:color w:val="000000"/>
              </w:rPr>
              <w:t>41,6</w:t>
            </w:r>
          </w:p>
        </w:tc>
        <w:tc>
          <w:tcPr>
            <w:tcW w:w="977" w:type="dxa"/>
            <w:tcBorders>
              <w:top w:val="nil"/>
              <w:left w:val="nil"/>
              <w:bottom w:val="single" w:sz="4" w:space="0" w:color="auto"/>
              <w:right w:val="single" w:sz="4" w:space="0" w:color="auto"/>
            </w:tcBorders>
            <w:shd w:val="clear" w:color="auto" w:fill="auto"/>
            <w:vAlign w:val="bottom"/>
            <w:hideMark/>
          </w:tcPr>
          <w:p w14:paraId="07C7A288" w14:textId="77777777" w:rsidR="003E2EDE" w:rsidRPr="000C3C85" w:rsidRDefault="003E2EDE" w:rsidP="00DC685F">
            <w:pPr>
              <w:jc w:val="center"/>
              <w:rPr>
                <w:rFonts w:ascii="Arial" w:hAnsi="Arial" w:cs="Arial"/>
                <w:color w:val="000000"/>
              </w:rPr>
            </w:pPr>
            <w:r w:rsidRPr="000C3C85">
              <w:rPr>
                <w:rFonts w:ascii="Arial" w:hAnsi="Arial" w:cs="Arial"/>
                <w:color w:val="000000"/>
              </w:rPr>
              <w:t>43,3</w:t>
            </w:r>
          </w:p>
        </w:tc>
        <w:tc>
          <w:tcPr>
            <w:tcW w:w="1291" w:type="dxa"/>
            <w:tcBorders>
              <w:top w:val="nil"/>
              <w:left w:val="nil"/>
              <w:bottom w:val="single" w:sz="4" w:space="0" w:color="auto"/>
              <w:right w:val="single" w:sz="4" w:space="0" w:color="auto"/>
            </w:tcBorders>
            <w:shd w:val="clear" w:color="auto" w:fill="auto"/>
            <w:vAlign w:val="bottom"/>
            <w:hideMark/>
          </w:tcPr>
          <w:p w14:paraId="10B2F567" w14:textId="77777777" w:rsidR="003E2EDE" w:rsidRPr="000C3C85" w:rsidRDefault="003E2EDE" w:rsidP="00DC685F">
            <w:pPr>
              <w:jc w:val="center"/>
              <w:rPr>
                <w:rFonts w:ascii="Arial" w:hAnsi="Arial" w:cs="Arial"/>
                <w:color w:val="000000"/>
              </w:rPr>
            </w:pPr>
            <w:r w:rsidRPr="000C3C85">
              <w:rPr>
                <w:rFonts w:ascii="Arial" w:hAnsi="Arial" w:cs="Arial"/>
                <w:color w:val="000000"/>
              </w:rPr>
              <w:t>17,5</w:t>
            </w:r>
          </w:p>
        </w:tc>
        <w:tc>
          <w:tcPr>
            <w:tcW w:w="1253" w:type="dxa"/>
            <w:tcBorders>
              <w:top w:val="nil"/>
              <w:left w:val="nil"/>
              <w:bottom w:val="single" w:sz="4" w:space="0" w:color="auto"/>
              <w:right w:val="single" w:sz="4" w:space="0" w:color="auto"/>
            </w:tcBorders>
            <w:shd w:val="clear" w:color="auto" w:fill="auto"/>
            <w:vAlign w:val="bottom"/>
            <w:hideMark/>
          </w:tcPr>
          <w:p w14:paraId="3C7D3A86" w14:textId="77777777" w:rsidR="003E2EDE" w:rsidRPr="000C3C85" w:rsidRDefault="003E2EDE" w:rsidP="00DC685F">
            <w:pPr>
              <w:jc w:val="center"/>
              <w:rPr>
                <w:rFonts w:ascii="Arial" w:hAnsi="Arial" w:cs="Arial"/>
                <w:color w:val="000000"/>
              </w:rPr>
            </w:pPr>
            <w:r w:rsidRPr="000C3C85">
              <w:rPr>
                <w:rFonts w:ascii="Arial" w:hAnsi="Arial" w:cs="Arial"/>
                <w:color w:val="000000"/>
              </w:rPr>
              <w:t>21,5</w:t>
            </w:r>
          </w:p>
        </w:tc>
        <w:tc>
          <w:tcPr>
            <w:tcW w:w="873" w:type="dxa"/>
            <w:tcBorders>
              <w:top w:val="nil"/>
              <w:left w:val="nil"/>
              <w:bottom w:val="single" w:sz="4" w:space="0" w:color="auto"/>
              <w:right w:val="single" w:sz="4" w:space="0" w:color="auto"/>
            </w:tcBorders>
            <w:shd w:val="clear" w:color="auto" w:fill="auto"/>
            <w:vAlign w:val="bottom"/>
            <w:hideMark/>
          </w:tcPr>
          <w:p w14:paraId="2B3AF2CF" w14:textId="77777777" w:rsidR="003E2EDE" w:rsidRPr="000C3C85" w:rsidRDefault="003E2EDE" w:rsidP="00DC685F">
            <w:pPr>
              <w:jc w:val="center"/>
              <w:rPr>
                <w:rFonts w:ascii="Arial" w:hAnsi="Arial" w:cs="Arial"/>
                <w:color w:val="000000"/>
              </w:rPr>
            </w:pPr>
            <w:r w:rsidRPr="000C3C85">
              <w:rPr>
                <w:rFonts w:ascii="Arial" w:hAnsi="Arial" w:cs="Arial"/>
                <w:color w:val="000000"/>
              </w:rPr>
              <w:t>116,0</w:t>
            </w:r>
          </w:p>
        </w:tc>
        <w:tc>
          <w:tcPr>
            <w:tcW w:w="851" w:type="dxa"/>
            <w:tcBorders>
              <w:top w:val="nil"/>
              <w:left w:val="nil"/>
              <w:bottom w:val="single" w:sz="4" w:space="0" w:color="auto"/>
              <w:right w:val="single" w:sz="4" w:space="0" w:color="auto"/>
            </w:tcBorders>
            <w:shd w:val="clear" w:color="auto" w:fill="auto"/>
            <w:vAlign w:val="bottom"/>
            <w:hideMark/>
          </w:tcPr>
          <w:p w14:paraId="0F81B7A8" w14:textId="77777777" w:rsidR="003E2EDE" w:rsidRPr="000C3C85" w:rsidRDefault="003E2EDE" w:rsidP="00DC685F">
            <w:pPr>
              <w:jc w:val="center"/>
              <w:rPr>
                <w:rFonts w:ascii="Arial" w:hAnsi="Arial" w:cs="Arial"/>
                <w:color w:val="000000"/>
              </w:rPr>
            </w:pPr>
            <w:r w:rsidRPr="000C3C85">
              <w:rPr>
                <w:rFonts w:ascii="Arial" w:hAnsi="Arial" w:cs="Arial"/>
                <w:color w:val="000000"/>
              </w:rPr>
              <w:t>137,2</w:t>
            </w:r>
          </w:p>
        </w:tc>
      </w:tr>
      <w:tr w:rsidR="003C16CE" w:rsidRPr="000C3C85" w14:paraId="70ACE06A" w14:textId="77777777" w:rsidTr="00D92A49">
        <w:trPr>
          <w:trHeight w:val="300"/>
          <w:jc w:val="center"/>
        </w:trPr>
        <w:tc>
          <w:tcPr>
            <w:tcW w:w="2536" w:type="dxa"/>
            <w:tcBorders>
              <w:top w:val="nil"/>
              <w:left w:val="single" w:sz="4" w:space="0" w:color="auto"/>
              <w:bottom w:val="single" w:sz="4" w:space="0" w:color="auto"/>
              <w:right w:val="single" w:sz="4" w:space="0" w:color="auto"/>
            </w:tcBorders>
            <w:shd w:val="clear" w:color="auto" w:fill="auto"/>
            <w:vAlign w:val="center"/>
            <w:hideMark/>
          </w:tcPr>
          <w:p w14:paraId="14CDD118" w14:textId="77777777" w:rsidR="003E2EDE" w:rsidRPr="000C3C85" w:rsidRDefault="003E2EDE" w:rsidP="00DC685F">
            <w:pPr>
              <w:jc w:val="center"/>
              <w:rPr>
                <w:rFonts w:ascii="Arial" w:hAnsi="Arial" w:cs="Arial"/>
                <w:color w:val="000000"/>
              </w:rPr>
            </w:pPr>
            <w:r w:rsidRPr="000C3C85">
              <w:rPr>
                <w:rFonts w:ascii="Arial" w:hAnsi="Arial" w:cs="Arial"/>
                <w:color w:val="000000"/>
              </w:rPr>
              <w:t>Jihomoravský kraj</w:t>
            </w:r>
          </w:p>
        </w:tc>
        <w:tc>
          <w:tcPr>
            <w:tcW w:w="1003" w:type="dxa"/>
            <w:tcBorders>
              <w:top w:val="nil"/>
              <w:left w:val="nil"/>
              <w:bottom w:val="single" w:sz="4" w:space="0" w:color="auto"/>
              <w:right w:val="single" w:sz="4" w:space="0" w:color="auto"/>
            </w:tcBorders>
            <w:shd w:val="clear" w:color="auto" w:fill="auto"/>
            <w:vAlign w:val="bottom"/>
            <w:hideMark/>
          </w:tcPr>
          <w:p w14:paraId="36DB49D4" w14:textId="77777777" w:rsidR="003E2EDE" w:rsidRPr="000C3C85" w:rsidRDefault="003E2EDE" w:rsidP="00DC685F">
            <w:pPr>
              <w:jc w:val="center"/>
              <w:rPr>
                <w:rFonts w:ascii="Arial" w:hAnsi="Arial" w:cs="Arial"/>
                <w:color w:val="000000"/>
              </w:rPr>
            </w:pPr>
            <w:r w:rsidRPr="000C3C85">
              <w:rPr>
                <w:rFonts w:ascii="Arial" w:hAnsi="Arial" w:cs="Arial"/>
                <w:color w:val="000000"/>
              </w:rPr>
              <w:t>41,7</w:t>
            </w:r>
          </w:p>
        </w:tc>
        <w:tc>
          <w:tcPr>
            <w:tcW w:w="977" w:type="dxa"/>
            <w:tcBorders>
              <w:top w:val="nil"/>
              <w:left w:val="nil"/>
              <w:bottom w:val="single" w:sz="4" w:space="0" w:color="auto"/>
              <w:right w:val="single" w:sz="4" w:space="0" w:color="auto"/>
            </w:tcBorders>
            <w:shd w:val="clear" w:color="auto" w:fill="C5E0B3" w:themeFill="accent6" w:themeFillTint="66"/>
            <w:vAlign w:val="bottom"/>
            <w:hideMark/>
          </w:tcPr>
          <w:p w14:paraId="15AC2821" w14:textId="77777777" w:rsidR="003E2EDE" w:rsidRPr="000C3C85" w:rsidRDefault="003E2EDE" w:rsidP="00DC685F">
            <w:pPr>
              <w:jc w:val="center"/>
              <w:rPr>
                <w:rFonts w:ascii="Arial" w:hAnsi="Arial" w:cs="Arial"/>
                <w:color w:val="000000"/>
              </w:rPr>
            </w:pPr>
            <w:r w:rsidRPr="000C3C85">
              <w:rPr>
                <w:rFonts w:ascii="Arial" w:hAnsi="Arial" w:cs="Arial"/>
                <w:color w:val="000000"/>
              </w:rPr>
              <w:t>42,7</w:t>
            </w:r>
          </w:p>
        </w:tc>
        <w:tc>
          <w:tcPr>
            <w:tcW w:w="1291" w:type="dxa"/>
            <w:tcBorders>
              <w:top w:val="nil"/>
              <w:left w:val="nil"/>
              <w:bottom w:val="single" w:sz="4" w:space="0" w:color="auto"/>
              <w:right w:val="single" w:sz="4" w:space="0" w:color="auto"/>
            </w:tcBorders>
            <w:shd w:val="clear" w:color="auto" w:fill="auto"/>
            <w:vAlign w:val="bottom"/>
            <w:hideMark/>
          </w:tcPr>
          <w:p w14:paraId="088C32DD" w14:textId="77777777" w:rsidR="003E2EDE" w:rsidRPr="000C3C85" w:rsidRDefault="003E2EDE" w:rsidP="00DC685F">
            <w:pPr>
              <w:jc w:val="center"/>
              <w:rPr>
                <w:rFonts w:ascii="Arial" w:hAnsi="Arial" w:cs="Arial"/>
                <w:color w:val="000000"/>
              </w:rPr>
            </w:pPr>
            <w:r w:rsidRPr="000C3C85">
              <w:rPr>
                <w:rFonts w:ascii="Arial" w:hAnsi="Arial" w:cs="Arial"/>
                <w:color w:val="000000"/>
              </w:rPr>
              <w:t>17,8</w:t>
            </w:r>
          </w:p>
        </w:tc>
        <w:tc>
          <w:tcPr>
            <w:tcW w:w="1253" w:type="dxa"/>
            <w:tcBorders>
              <w:top w:val="nil"/>
              <w:left w:val="nil"/>
              <w:bottom w:val="single" w:sz="4" w:space="0" w:color="auto"/>
              <w:right w:val="single" w:sz="4" w:space="0" w:color="auto"/>
            </w:tcBorders>
            <w:shd w:val="clear" w:color="auto" w:fill="auto"/>
            <w:vAlign w:val="bottom"/>
            <w:hideMark/>
          </w:tcPr>
          <w:p w14:paraId="0587F698" w14:textId="77777777" w:rsidR="003E2EDE" w:rsidRPr="000C3C85" w:rsidRDefault="003E2EDE" w:rsidP="00DC685F">
            <w:pPr>
              <w:jc w:val="center"/>
              <w:rPr>
                <w:rFonts w:ascii="Arial" w:hAnsi="Arial" w:cs="Arial"/>
                <w:color w:val="000000"/>
              </w:rPr>
            </w:pPr>
            <w:r w:rsidRPr="000C3C85">
              <w:rPr>
                <w:rFonts w:ascii="Arial" w:hAnsi="Arial" w:cs="Arial"/>
                <w:color w:val="000000"/>
              </w:rPr>
              <w:t>20,5</w:t>
            </w:r>
          </w:p>
        </w:tc>
        <w:tc>
          <w:tcPr>
            <w:tcW w:w="873" w:type="dxa"/>
            <w:tcBorders>
              <w:top w:val="nil"/>
              <w:left w:val="nil"/>
              <w:bottom w:val="single" w:sz="4" w:space="0" w:color="auto"/>
              <w:right w:val="single" w:sz="4" w:space="0" w:color="auto"/>
            </w:tcBorders>
            <w:shd w:val="clear" w:color="auto" w:fill="auto"/>
            <w:vAlign w:val="bottom"/>
            <w:hideMark/>
          </w:tcPr>
          <w:p w14:paraId="4C0BE26F" w14:textId="77777777" w:rsidR="003E2EDE" w:rsidRPr="000C3C85" w:rsidRDefault="003E2EDE" w:rsidP="00DC685F">
            <w:pPr>
              <w:jc w:val="center"/>
              <w:rPr>
                <w:rFonts w:ascii="Arial" w:hAnsi="Arial" w:cs="Arial"/>
                <w:color w:val="000000"/>
              </w:rPr>
            </w:pPr>
            <w:r w:rsidRPr="000C3C85">
              <w:rPr>
                <w:rFonts w:ascii="Arial" w:hAnsi="Arial" w:cs="Arial"/>
                <w:color w:val="000000"/>
              </w:rPr>
              <w:t>120,2</w:t>
            </w:r>
          </w:p>
        </w:tc>
        <w:tc>
          <w:tcPr>
            <w:tcW w:w="851" w:type="dxa"/>
            <w:tcBorders>
              <w:top w:val="nil"/>
              <w:left w:val="nil"/>
              <w:bottom w:val="single" w:sz="4" w:space="0" w:color="auto"/>
              <w:right w:val="single" w:sz="4" w:space="0" w:color="auto"/>
            </w:tcBorders>
            <w:shd w:val="clear" w:color="auto" w:fill="C5E0B3" w:themeFill="accent6" w:themeFillTint="66"/>
            <w:vAlign w:val="bottom"/>
            <w:hideMark/>
          </w:tcPr>
          <w:p w14:paraId="7EFAA585" w14:textId="77777777" w:rsidR="003E2EDE" w:rsidRPr="000C3C85" w:rsidRDefault="003E2EDE" w:rsidP="00DC685F">
            <w:pPr>
              <w:jc w:val="center"/>
              <w:rPr>
                <w:rFonts w:ascii="Arial" w:hAnsi="Arial" w:cs="Arial"/>
                <w:color w:val="000000"/>
              </w:rPr>
            </w:pPr>
            <w:r w:rsidRPr="000C3C85">
              <w:rPr>
                <w:rFonts w:ascii="Arial" w:hAnsi="Arial" w:cs="Arial"/>
                <w:color w:val="000000"/>
              </w:rPr>
              <w:t>126,5</w:t>
            </w:r>
          </w:p>
        </w:tc>
      </w:tr>
      <w:tr w:rsidR="003C16CE" w:rsidRPr="000C3C85" w14:paraId="6F597075" w14:textId="77777777" w:rsidTr="00D92A49">
        <w:trPr>
          <w:trHeight w:val="300"/>
          <w:jc w:val="center"/>
        </w:trPr>
        <w:tc>
          <w:tcPr>
            <w:tcW w:w="2536" w:type="dxa"/>
            <w:tcBorders>
              <w:top w:val="nil"/>
              <w:left w:val="single" w:sz="4" w:space="0" w:color="auto"/>
              <w:bottom w:val="single" w:sz="4" w:space="0" w:color="auto"/>
              <w:right w:val="single" w:sz="4" w:space="0" w:color="auto"/>
            </w:tcBorders>
            <w:shd w:val="clear" w:color="auto" w:fill="auto"/>
            <w:vAlign w:val="center"/>
            <w:hideMark/>
          </w:tcPr>
          <w:p w14:paraId="332A4183" w14:textId="77777777" w:rsidR="003E2EDE" w:rsidRPr="000C3C85" w:rsidRDefault="003E2EDE" w:rsidP="00DC685F">
            <w:pPr>
              <w:jc w:val="center"/>
              <w:rPr>
                <w:rFonts w:ascii="Arial" w:hAnsi="Arial" w:cs="Arial"/>
                <w:color w:val="000000"/>
              </w:rPr>
            </w:pPr>
            <w:r w:rsidRPr="000C3C85">
              <w:rPr>
                <w:rFonts w:ascii="Arial" w:hAnsi="Arial" w:cs="Arial"/>
                <w:color w:val="000000"/>
              </w:rPr>
              <w:t>Karlovarský kraj</w:t>
            </w:r>
          </w:p>
        </w:tc>
        <w:tc>
          <w:tcPr>
            <w:tcW w:w="1003" w:type="dxa"/>
            <w:tcBorders>
              <w:top w:val="nil"/>
              <w:left w:val="nil"/>
              <w:bottom w:val="single" w:sz="4" w:space="0" w:color="auto"/>
              <w:right w:val="single" w:sz="4" w:space="0" w:color="auto"/>
            </w:tcBorders>
            <w:shd w:val="clear" w:color="auto" w:fill="auto"/>
            <w:vAlign w:val="bottom"/>
            <w:hideMark/>
          </w:tcPr>
          <w:p w14:paraId="772013EE" w14:textId="77777777" w:rsidR="003E2EDE" w:rsidRPr="000C3C85" w:rsidRDefault="003E2EDE" w:rsidP="00DC685F">
            <w:pPr>
              <w:jc w:val="center"/>
              <w:rPr>
                <w:rFonts w:ascii="Arial" w:hAnsi="Arial" w:cs="Arial"/>
                <w:color w:val="000000"/>
              </w:rPr>
            </w:pPr>
            <w:r w:rsidRPr="000C3C85">
              <w:rPr>
                <w:rFonts w:ascii="Arial" w:hAnsi="Arial" w:cs="Arial"/>
                <w:color w:val="000000"/>
              </w:rPr>
              <w:t>41,5</w:t>
            </w:r>
          </w:p>
        </w:tc>
        <w:tc>
          <w:tcPr>
            <w:tcW w:w="977" w:type="dxa"/>
            <w:tcBorders>
              <w:top w:val="nil"/>
              <w:left w:val="nil"/>
              <w:bottom w:val="single" w:sz="4" w:space="0" w:color="auto"/>
              <w:right w:val="single" w:sz="4" w:space="0" w:color="auto"/>
            </w:tcBorders>
            <w:shd w:val="clear" w:color="auto" w:fill="F7CAAC" w:themeFill="accent2" w:themeFillTint="66"/>
            <w:vAlign w:val="bottom"/>
            <w:hideMark/>
          </w:tcPr>
          <w:p w14:paraId="24A98D65" w14:textId="77777777" w:rsidR="003E2EDE" w:rsidRPr="000C3C85" w:rsidRDefault="003E2EDE" w:rsidP="00DC685F">
            <w:pPr>
              <w:jc w:val="center"/>
              <w:rPr>
                <w:rFonts w:ascii="Arial" w:hAnsi="Arial" w:cs="Arial"/>
                <w:color w:val="000000"/>
              </w:rPr>
            </w:pPr>
            <w:r w:rsidRPr="000C3C85">
              <w:rPr>
                <w:rFonts w:ascii="Arial" w:hAnsi="Arial" w:cs="Arial"/>
                <w:color w:val="000000"/>
              </w:rPr>
              <w:t>43,6</w:t>
            </w:r>
          </w:p>
        </w:tc>
        <w:tc>
          <w:tcPr>
            <w:tcW w:w="1291" w:type="dxa"/>
            <w:tcBorders>
              <w:top w:val="nil"/>
              <w:left w:val="nil"/>
              <w:bottom w:val="single" w:sz="4" w:space="0" w:color="auto"/>
              <w:right w:val="single" w:sz="4" w:space="0" w:color="auto"/>
            </w:tcBorders>
            <w:shd w:val="clear" w:color="auto" w:fill="C5E0B3" w:themeFill="accent6" w:themeFillTint="66"/>
            <w:vAlign w:val="bottom"/>
            <w:hideMark/>
          </w:tcPr>
          <w:p w14:paraId="17A21FF4" w14:textId="77777777" w:rsidR="003E2EDE" w:rsidRPr="000C3C85" w:rsidRDefault="003E2EDE" w:rsidP="00DC685F">
            <w:pPr>
              <w:jc w:val="center"/>
              <w:rPr>
                <w:rFonts w:ascii="Arial" w:hAnsi="Arial" w:cs="Arial"/>
                <w:color w:val="000000"/>
              </w:rPr>
            </w:pPr>
            <w:r w:rsidRPr="000C3C85">
              <w:rPr>
                <w:rFonts w:ascii="Arial" w:hAnsi="Arial" w:cs="Arial"/>
                <w:color w:val="000000"/>
              </w:rPr>
              <w:t>16,8</w:t>
            </w:r>
          </w:p>
        </w:tc>
        <w:tc>
          <w:tcPr>
            <w:tcW w:w="1253" w:type="dxa"/>
            <w:tcBorders>
              <w:top w:val="nil"/>
              <w:left w:val="nil"/>
              <w:bottom w:val="single" w:sz="4" w:space="0" w:color="auto"/>
              <w:right w:val="single" w:sz="4" w:space="0" w:color="auto"/>
            </w:tcBorders>
            <w:shd w:val="clear" w:color="auto" w:fill="auto"/>
            <w:vAlign w:val="bottom"/>
            <w:hideMark/>
          </w:tcPr>
          <w:p w14:paraId="41B09953" w14:textId="77777777" w:rsidR="003E2EDE" w:rsidRPr="000C3C85" w:rsidRDefault="003E2EDE" w:rsidP="00DC685F">
            <w:pPr>
              <w:jc w:val="center"/>
              <w:rPr>
                <w:rFonts w:ascii="Arial" w:hAnsi="Arial" w:cs="Arial"/>
                <w:color w:val="000000"/>
              </w:rPr>
            </w:pPr>
            <w:r w:rsidRPr="000C3C85">
              <w:rPr>
                <w:rFonts w:ascii="Arial" w:hAnsi="Arial" w:cs="Arial"/>
                <w:color w:val="000000"/>
              </w:rPr>
              <w:t>21,3</w:t>
            </w:r>
          </w:p>
        </w:tc>
        <w:tc>
          <w:tcPr>
            <w:tcW w:w="873" w:type="dxa"/>
            <w:tcBorders>
              <w:top w:val="nil"/>
              <w:left w:val="nil"/>
              <w:bottom w:val="single" w:sz="4" w:space="0" w:color="auto"/>
              <w:right w:val="single" w:sz="4" w:space="0" w:color="auto"/>
            </w:tcBorders>
            <w:shd w:val="clear" w:color="auto" w:fill="auto"/>
            <w:vAlign w:val="bottom"/>
            <w:hideMark/>
          </w:tcPr>
          <w:p w14:paraId="2EF6DC25" w14:textId="77777777" w:rsidR="003E2EDE" w:rsidRPr="000C3C85" w:rsidRDefault="003E2EDE" w:rsidP="00DC685F">
            <w:pPr>
              <w:jc w:val="center"/>
              <w:rPr>
                <w:rFonts w:ascii="Arial" w:hAnsi="Arial" w:cs="Arial"/>
                <w:color w:val="000000"/>
              </w:rPr>
            </w:pPr>
            <w:r w:rsidRPr="000C3C85">
              <w:rPr>
                <w:rFonts w:ascii="Arial" w:hAnsi="Arial" w:cs="Arial"/>
                <w:color w:val="000000"/>
              </w:rPr>
              <w:t>113,4</w:t>
            </w:r>
          </w:p>
        </w:tc>
        <w:tc>
          <w:tcPr>
            <w:tcW w:w="851" w:type="dxa"/>
            <w:tcBorders>
              <w:top w:val="nil"/>
              <w:left w:val="nil"/>
              <w:bottom w:val="single" w:sz="4" w:space="0" w:color="auto"/>
              <w:right w:val="single" w:sz="4" w:space="0" w:color="auto"/>
            </w:tcBorders>
            <w:shd w:val="clear" w:color="auto" w:fill="F7CAAC" w:themeFill="accent2" w:themeFillTint="66"/>
            <w:vAlign w:val="bottom"/>
            <w:hideMark/>
          </w:tcPr>
          <w:p w14:paraId="4F684CDC" w14:textId="77777777" w:rsidR="003E2EDE" w:rsidRPr="000C3C85" w:rsidRDefault="003E2EDE" w:rsidP="00DC685F">
            <w:pPr>
              <w:jc w:val="center"/>
              <w:rPr>
                <w:rFonts w:ascii="Arial" w:hAnsi="Arial" w:cs="Arial"/>
                <w:color w:val="000000"/>
              </w:rPr>
            </w:pPr>
            <w:r w:rsidRPr="000C3C85">
              <w:rPr>
                <w:rFonts w:ascii="Arial" w:hAnsi="Arial" w:cs="Arial"/>
                <w:color w:val="000000"/>
              </w:rPr>
              <w:t>144,8</w:t>
            </w:r>
          </w:p>
        </w:tc>
      </w:tr>
      <w:tr w:rsidR="003C16CE" w:rsidRPr="000C3C85" w14:paraId="237DE3C7" w14:textId="77777777" w:rsidTr="00D92A49">
        <w:trPr>
          <w:trHeight w:val="300"/>
          <w:jc w:val="center"/>
        </w:trPr>
        <w:tc>
          <w:tcPr>
            <w:tcW w:w="2536" w:type="dxa"/>
            <w:tcBorders>
              <w:top w:val="nil"/>
              <w:left w:val="single" w:sz="4" w:space="0" w:color="auto"/>
              <w:bottom w:val="single" w:sz="4" w:space="0" w:color="auto"/>
              <w:right w:val="single" w:sz="4" w:space="0" w:color="auto"/>
            </w:tcBorders>
            <w:shd w:val="clear" w:color="auto" w:fill="auto"/>
            <w:vAlign w:val="center"/>
            <w:hideMark/>
          </w:tcPr>
          <w:p w14:paraId="553C1EDB" w14:textId="77777777" w:rsidR="003E2EDE" w:rsidRPr="000C3C85" w:rsidRDefault="003E2EDE" w:rsidP="00DC685F">
            <w:pPr>
              <w:jc w:val="center"/>
              <w:rPr>
                <w:rFonts w:ascii="Arial" w:hAnsi="Arial" w:cs="Arial"/>
                <w:color w:val="000000"/>
              </w:rPr>
            </w:pPr>
            <w:r w:rsidRPr="000C3C85">
              <w:rPr>
                <w:rFonts w:ascii="Arial" w:hAnsi="Arial" w:cs="Arial"/>
                <w:color w:val="000000"/>
              </w:rPr>
              <w:t>Kraj Vysočina</w:t>
            </w:r>
          </w:p>
        </w:tc>
        <w:tc>
          <w:tcPr>
            <w:tcW w:w="1003" w:type="dxa"/>
            <w:tcBorders>
              <w:top w:val="nil"/>
              <w:left w:val="nil"/>
              <w:bottom w:val="single" w:sz="4" w:space="0" w:color="auto"/>
              <w:right w:val="single" w:sz="4" w:space="0" w:color="auto"/>
            </w:tcBorders>
            <w:shd w:val="clear" w:color="auto" w:fill="auto"/>
            <w:vAlign w:val="bottom"/>
            <w:hideMark/>
          </w:tcPr>
          <w:p w14:paraId="7E789631" w14:textId="77777777" w:rsidR="003E2EDE" w:rsidRPr="000C3C85" w:rsidRDefault="003E2EDE" w:rsidP="00DC685F">
            <w:pPr>
              <w:jc w:val="center"/>
              <w:rPr>
                <w:rFonts w:ascii="Arial" w:hAnsi="Arial" w:cs="Arial"/>
                <w:color w:val="000000"/>
              </w:rPr>
            </w:pPr>
            <w:r w:rsidRPr="000C3C85">
              <w:rPr>
                <w:rFonts w:ascii="Arial" w:hAnsi="Arial" w:cs="Arial"/>
                <w:color w:val="000000"/>
              </w:rPr>
              <w:t>41,6</w:t>
            </w:r>
          </w:p>
        </w:tc>
        <w:tc>
          <w:tcPr>
            <w:tcW w:w="977" w:type="dxa"/>
            <w:tcBorders>
              <w:top w:val="nil"/>
              <w:left w:val="nil"/>
              <w:bottom w:val="single" w:sz="4" w:space="0" w:color="auto"/>
              <w:right w:val="single" w:sz="4" w:space="0" w:color="auto"/>
            </w:tcBorders>
            <w:shd w:val="clear" w:color="auto" w:fill="auto"/>
            <w:vAlign w:val="bottom"/>
            <w:hideMark/>
          </w:tcPr>
          <w:p w14:paraId="7326BF72" w14:textId="77777777" w:rsidR="003E2EDE" w:rsidRPr="000C3C85" w:rsidRDefault="003E2EDE" w:rsidP="00DC685F">
            <w:pPr>
              <w:jc w:val="center"/>
              <w:rPr>
                <w:rFonts w:ascii="Arial" w:hAnsi="Arial" w:cs="Arial"/>
                <w:color w:val="000000"/>
              </w:rPr>
            </w:pPr>
            <w:r w:rsidRPr="000C3C85">
              <w:rPr>
                <w:rFonts w:ascii="Arial" w:hAnsi="Arial" w:cs="Arial"/>
                <w:color w:val="000000"/>
              </w:rPr>
              <w:t>43,3</w:t>
            </w:r>
          </w:p>
        </w:tc>
        <w:tc>
          <w:tcPr>
            <w:tcW w:w="1291" w:type="dxa"/>
            <w:tcBorders>
              <w:top w:val="nil"/>
              <w:left w:val="nil"/>
              <w:bottom w:val="single" w:sz="4" w:space="0" w:color="auto"/>
              <w:right w:val="single" w:sz="4" w:space="0" w:color="auto"/>
            </w:tcBorders>
            <w:shd w:val="clear" w:color="auto" w:fill="auto"/>
            <w:vAlign w:val="bottom"/>
            <w:hideMark/>
          </w:tcPr>
          <w:p w14:paraId="308B7D1D" w14:textId="77777777" w:rsidR="003E2EDE" w:rsidRPr="000C3C85" w:rsidRDefault="003E2EDE" w:rsidP="00DC685F">
            <w:pPr>
              <w:jc w:val="center"/>
              <w:rPr>
                <w:rFonts w:ascii="Arial" w:hAnsi="Arial" w:cs="Arial"/>
                <w:color w:val="000000"/>
              </w:rPr>
            </w:pPr>
            <w:r w:rsidRPr="000C3C85">
              <w:rPr>
                <w:rFonts w:ascii="Arial" w:hAnsi="Arial" w:cs="Arial"/>
                <w:color w:val="000000"/>
              </w:rPr>
              <w:t>17,7</w:t>
            </w:r>
          </w:p>
        </w:tc>
        <w:tc>
          <w:tcPr>
            <w:tcW w:w="1253" w:type="dxa"/>
            <w:tcBorders>
              <w:top w:val="nil"/>
              <w:left w:val="nil"/>
              <w:bottom w:val="single" w:sz="4" w:space="0" w:color="auto"/>
              <w:right w:val="single" w:sz="4" w:space="0" w:color="auto"/>
            </w:tcBorders>
            <w:shd w:val="clear" w:color="auto" w:fill="auto"/>
            <w:vAlign w:val="bottom"/>
            <w:hideMark/>
          </w:tcPr>
          <w:p w14:paraId="724B8F62" w14:textId="77777777" w:rsidR="003E2EDE" w:rsidRPr="000C3C85" w:rsidRDefault="003E2EDE" w:rsidP="00DC685F">
            <w:pPr>
              <w:jc w:val="center"/>
              <w:rPr>
                <w:rFonts w:ascii="Arial" w:hAnsi="Arial" w:cs="Arial"/>
                <w:color w:val="000000"/>
              </w:rPr>
            </w:pPr>
            <w:r w:rsidRPr="000C3C85">
              <w:rPr>
                <w:rFonts w:ascii="Arial" w:hAnsi="Arial" w:cs="Arial"/>
                <w:color w:val="000000"/>
              </w:rPr>
              <w:t>21,4</w:t>
            </w:r>
          </w:p>
        </w:tc>
        <w:tc>
          <w:tcPr>
            <w:tcW w:w="873" w:type="dxa"/>
            <w:tcBorders>
              <w:top w:val="nil"/>
              <w:left w:val="nil"/>
              <w:bottom w:val="single" w:sz="4" w:space="0" w:color="auto"/>
              <w:right w:val="single" w:sz="4" w:space="0" w:color="auto"/>
            </w:tcBorders>
            <w:shd w:val="clear" w:color="auto" w:fill="auto"/>
            <w:vAlign w:val="bottom"/>
            <w:hideMark/>
          </w:tcPr>
          <w:p w14:paraId="57C8983D" w14:textId="77777777" w:rsidR="003E2EDE" w:rsidRPr="000C3C85" w:rsidRDefault="003E2EDE" w:rsidP="00DC685F">
            <w:pPr>
              <w:jc w:val="center"/>
              <w:rPr>
                <w:rFonts w:ascii="Arial" w:hAnsi="Arial" w:cs="Arial"/>
                <w:color w:val="000000"/>
              </w:rPr>
            </w:pPr>
            <w:r w:rsidRPr="000C3C85">
              <w:rPr>
                <w:rFonts w:ascii="Arial" w:hAnsi="Arial" w:cs="Arial"/>
                <w:color w:val="000000"/>
              </w:rPr>
              <w:t>119,6</w:t>
            </w:r>
          </w:p>
        </w:tc>
        <w:tc>
          <w:tcPr>
            <w:tcW w:w="851" w:type="dxa"/>
            <w:tcBorders>
              <w:top w:val="nil"/>
              <w:left w:val="nil"/>
              <w:bottom w:val="single" w:sz="4" w:space="0" w:color="auto"/>
              <w:right w:val="single" w:sz="4" w:space="0" w:color="auto"/>
            </w:tcBorders>
            <w:shd w:val="clear" w:color="auto" w:fill="auto"/>
            <w:vAlign w:val="bottom"/>
            <w:hideMark/>
          </w:tcPr>
          <w:p w14:paraId="45853CE4" w14:textId="77777777" w:rsidR="003E2EDE" w:rsidRPr="000C3C85" w:rsidRDefault="003E2EDE" w:rsidP="00DC685F">
            <w:pPr>
              <w:jc w:val="center"/>
              <w:rPr>
                <w:rFonts w:ascii="Arial" w:hAnsi="Arial" w:cs="Arial"/>
                <w:color w:val="000000"/>
              </w:rPr>
            </w:pPr>
            <w:r w:rsidRPr="000C3C85">
              <w:rPr>
                <w:rFonts w:ascii="Arial" w:hAnsi="Arial" w:cs="Arial"/>
                <w:color w:val="000000"/>
              </w:rPr>
              <w:t>136,7</w:t>
            </w:r>
          </w:p>
        </w:tc>
      </w:tr>
      <w:tr w:rsidR="003C16CE" w:rsidRPr="000C3C85" w14:paraId="73DAE5A7" w14:textId="77777777" w:rsidTr="00D92A49">
        <w:trPr>
          <w:trHeight w:val="300"/>
          <w:jc w:val="center"/>
        </w:trPr>
        <w:tc>
          <w:tcPr>
            <w:tcW w:w="2536" w:type="dxa"/>
            <w:tcBorders>
              <w:top w:val="nil"/>
              <w:left w:val="single" w:sz="4" w:space="0" w:color="auto"/>
              <w:bottom w:val="single" w:sz="4" w:space="0" w:color="auto"/>
              <w:right w:val="single" w:sz="4" w:space="0" w:color="auto"/>
            </w:tcBorders>
            <w:shd w:val="clear" w:color="auto" w:fill="auto"/>
            <w:vAlign w:val="center"/>
            <w:hideMark/>
          </w:tcPr>
          <w:p w14:paraId="2F9800D1" w14:textId="77777777" w:rsidR="003E2EDE" w:rsidRPr="000C3C85" w:rsidRDefault="003E2EDE" w:rsidP="00DC685F">
            <w:pPr>
              <w:jc w:val="center"/>
              <w:rPr>
                <w:rFonts w:ascii="Arial" w:hAnsi="Arial" w:cs="Arial"/>
                <w:color w:val="000000"/>
              </w:rPr>
            </w:pPr>
            <w:r w:rsidRPr="000C3C85">
              <w:rPr>
                <w:rFonts w:ascii="Arial" w:hAnsi="Arial" w:cs="Arial"/>
                <w:color w:val="000000"/>
              </w:rPr>
              <w:t>Královéhradecký kraj</w:t>
            </w:r>
          </w:p>
        </w:tc>
        <w:tc>
          <w:tcPr>
            <w:tcW w:w="1003" w:type="dxa"/>
            <w:tcBorders>
              <w:top w:val="nil"/>
              <w:left w:val="nil"/>
              <w:bottom w:val="single" w:sz="4" w:space="0" w:color="auto"/>
              <w:right w:val="single" w:sz="4" w:space="0" w:color="auto"/>
            </w:tcBorders>
            <w:shd w:val="clear" w:color="auto" w:fill="F7CAAC" w:themeFill="accent2" w:themeFillTint="66"/>
            <w:vAlign w:val="bottom"/>
            <w:hideMark/>
          </w:tcPr>
          <w:p w14:paraId="75641C40" w14:textId="77777777" w:rsidR="003E2EDE" w:rsidRPr="000C3C85" w:rsidRDefault="003E2EDE" w:rsidP="00DC685F">
            <w:pPr>
              <w:jc w:val="center"/>
              <w:rPr>
                <w:rFonts w:ascii="Arial" w:hAnsi="Arial" w:cs="Arial"/>
                <w:color w:val="000000"/>
              </w:rPr>
            </w:pPr>
            <w:r w:rsidRPr="000C3C85">
              <w:rPr>
                <w:rFonts w:ascii="Arial" w:hAnsi="Arial" w:cs="Arial"/>
                <w:color w:val="000000"/>
              </w:rPr>
              <w:t>42,0</w:t>
            </w:r>
          </w:p>
        </w:tc>
        <w:tc>
          <w:tcPr>
            <w:tcW w:w="977" w:type="dxa"/>
            <w:tcBorders>
              <w:top w:val="nil"/>
              <w:left w:val="nil"/>
              <w:bottom w:val="single" w:sz="4" w:space="0" w:color="auto"/>
              <w:right w:val="single" w:sz="4" w:space="0" w:color="auto"/>
            </w:tcBorders>
            <w:shd w:val="clear" w:color="auto" w:fill="F7CAAC" w:themeFill="accent2" w:themeFillTint="66"/>
            <w:vAlign w:val="bottom"/>
            <w:hideMark/>
          </w:tcPr>
          <w:p w14:paraId="1C9CCAA6" w14:textId="77777777" w:rsidR="003E2EDE" w:rsidRPr="000C3C85" w:rsidRDefault="003E2EDE" w:rsidP="00DC685F">
            <w:pPr>
              <w:jc w:val="center"/>
              <w:rPr>
                <w:rFonts w:ascii="Arial" w:hAnsi="Arial" w:cs="Arial"/>
                <w:color w:val="000000"/>
              </w:rPr>
            </w:pPr>
            <w:r w:rsidRPr="000C3C85">
              <w:rPr>
                <w:rFonts w:ascii="Arial" w:hAnsi="Arial" w:cs="Arial"/>
                <w:color w:val="000000"/>
              </w:rPr>
              <w:t>43,7</w:t>
            </w:r>
          </w:p>
        </w:tc>
        <w:tc>
          <w:tcPr>
            <w:tcW w:w="1291" w:type="dxa"/>
            <w:tcBorders>
              <w:top w:val="nil"/>
              <w:left w:val="nil"/>
              <w:bottom w:val="single" w:sz="4" w:space="0" w:color="auto"/>
              <w:right w:val="single" w:sz="4" w:space="0" w:color="auto"/>
            </w:tcBorders>
            <w:shd w:val="clear" w:color="auto" w:fill="F7CAAC" w:themeFill="accent2" w:themeFillTint="66"/>
            <w:vAlign w:val="bottom"/>
            <w:hideMark/>
          </w:tcPr>
          <w:p w14:paraId="4616FE79" w14:textId="77777777" w:rsidR="003E2EDE" w:rsidRPr="000C3C85" w:rsidRDefault="003E2EDE" w:rsidP="00DC685F">
            <w:pPr>
              <w:jc w:val="center"/>
              <w:rPr>
                <w:rFonts w:ascii="Arial" w:hAnsi="Arial" w:cs="Arial"/>
                <w:color w:val="000000"/>
              </w:rPr>
            </w:pPr>
            <w:r w:rsidRPr="000C3C85">
              <w:rPr>
                <w:rFonts w:ascii="Arial" w:hAnsi="Arial" w:cs="Arial"/>
                <w:color w:val="000000"/>
              </w:rPr>
              <w:t>18,4</w:t>
            </w:r>
          </w:p>
        </w:tc>
        <w:tc>
          <w:tcPr>
            <w:tcW w:w="1253" w:type="dxa"/>
            <w:tcBorders>
              <w:top w:val="nil"/>
              <w:left w:val="nil"/>
              <w:bottom w:val="single" w:sz="4" w:space="0" w:color="auto"/>
              <w:right w:val="single" w:sz="4" w:space="0" w:color="auto"/>
            </w:tcBorders>
            <w:shd w:val="clear" w:color="auto" w:fill="F7CAAC" w:themeFill="accent2" w:themeFillTint="66"/>
            <w:vAlign w:val="bottom"/>
            <w:hideMark/>
          </w:tcPr>
          <w:p w14:paraId="7B2D3C53" w14:textId="77777777" w:rsidR="003E2EDE" w:rsidRPr="000C3C85" w:rsidRDefault="003E2EDE" w:rsidP="00DC685F">
            <w:pPr>
              <w:jc w:val="center"/>
              <w:rPr>
                <w:rFonts w:ascii="Arial" w:hAnsi="Arial" w:cs="Arial"/>
                <w:color w:val="000000"/>
              </w:rPr>
            </w:pPr>
            <w:r w:rsidRPr="000C3C85">
              <w:rPr>
                <w:rFonts w:ascii="Arial" w:hAnsi="Arial" w:cs="Arial"/>
                <w:color w:val="000000"/>
              </w:rPr>
              <w:t>22,4</w:t>
            </w:r>
          </w:p>
        </w:tc>
        <w:tc>
          <w:tcPr>
            <w:tcW w:w="873" w:type="dxa"/>
            <w:tcBorders>
              <w:top w:val="nil"/>
              <w:left w:val="nil"/>
              <w:bottom w:val="single" w:sz="4" w:space="0" w:color="auto"/>
              <w:right w:val="single" w:sz="4" w:space="0" w:color="auto"/>
            </w:tcBorders>
            <w:shd w:val="clear" w:color="auto" w:fill="F7CAAC" w:themeFill="accent2" w:themeFillTint="66"/>
            <w:vAlign w:val="bottom"/>
            <w:hideMark/>
          </w:tcPr>
          <w:p w14:paraId="11702A3A" w14:textId="77777777" w:rsidR="003E2EDE" w:rsidRPr="000C3C85" w:rsidRDefault="003E2EDE" w:rsidP="00DC685F">
            <w:pPr>
              <w:jc w:val="center"/>
              <w:rPr>
                <w:rFonts w:ascii="Arial" w:hAnsi="Arial" w:cs="Arial"/>
                <w:color w:val="000000"/>
              </w:rPr>
            </w:pPr>
            <w:r w:rsidRPr="000C3C85">
              <w:rPr>
                <w:rFonts w:ascii="Arial" w:hAnsi="Arial" w:cs="Arial"/>
                <w:color w:val="000000"/>
              </w:rPr>
              <w:t>123,6</w:t>
            </w:r>
          </w:p>
        </w:tc>
        <w:tc>
          <w:tcPr>
            <w:tcW w:w="851" w:type="dxa"/>
            <w:tcBorders>
              <w:top w:val="nil"/>
              <w:left w:val="nil"/>
              <w:bottom w:val="single" w:sz="4" w:space="0" w:color="auto"/>
              <w:right w:val="single" w:sz="4" w:space="0" w:color="auto"/>
            </w:tcBorders>
            <w:shd w:val="clear" w:color="auto" w:fill="F7CAAC" w:themeFill="accent2" w:themeFillTint="66"/>
            <w:vAlign w:val="bottom"/>
            <w:hideMark/>
          </w:tcPr>
          <w:p w14:paraId="1710A01B" w14:textId="77777777" w:rsidR="003E2EDE" w:rsidRPr="000C3C85" w:rsidRDefault="003E2EDE" w:rsidP="00DC685F">
            <w:pPr>
              <w:jc w:val="center"/>
              <w:rPr>
                <w:rFonts w:ascii="Arial" w:hAnsi="Arial" w:cs="Arial"/>
                <w:color w:val="000000"/>
              </w:rPr>
            </w:pPr>
            <w:r w:rsidRPr="000C3C85">
              <w:rPr>
                <w:rFonts w:ascii="Arial" w:hAnsi="Arial" w:cs="Arial"/>
                <w:color w:val="000000"/>
              </w:rPr>
              <w:t>145,5</w:t>
            </w:r>
          </w:p>
        </w:tc>
      </w:tr>
      <w:tr w:rsidR="003C16CE" w:rsidRPr="000C3C85" w14:paraId="0064D64F" w14:textId="77777777" w:rsidTr="00D92A49">
        <w:trPr>
          <w:trHeight w:val="300"/>
          <w:jc w:val="center"/>
        </w:trPr>
        <w:tc>
          <w:tcPr>
            <w:tcW w:w="2536" w:type="dxa"/>
            <w:tcBorders>
              <w:top w:val="nil"/>
              <w:left w:val="single" w:sz="4" w:space="0" w:color="auto"/>
              <w:bottom w:val="single" w:sz="4" w:space="0" w:color="auto"/>
              <w:right w:val="single" w:sz="4" w:space="0" w:color="auto"/>
            </w:tcBorders>
            <w:shd w:val="clear" w:color="auto" w:fill="auto"/>
            <w:vAlign w:val="center"/>
            <w:hideMark/>
          </w:tcPr>
          <w:p w14:paraId="2FA91A33" w14:textId="77777777" w:rsidR="003E2EDE" w:rsidRPr="000C3C85" w:rsidRDefault="003E2EDE" w:rsidP="00DC685F">
            <w:pPr>
              <w:jc w:val="center"/>
              <w:rPr>
                <w:rFonts w:ascii="Arial" w:hAnsi="Arial" w:cs="Arial"/>
                <w:color w:val="000000"/>
              </w:rPr>
            </w:pPr>
            <w:r w:rsidRPr="000C3C85">
              <w:rPr>
                <w:rFonts w:ascii="Arial" w:hAnsi="Arial" w:cs="Arial"/>
                <w:color w:val="000000"/>
              </w:rPr>
              <w:t>Liberecký kraj</w:t>
            </w:r>
          </w:p>
        </w:tc>
        <w:tc>
          <w:tcPr>
            <w:tcW w:w="1003" w:type="dxa"/>
            <w:tcBorders>
              <w:top w:val="nil"/>
              <w:left w:val="nil"/>
              <w:bottom w:val="single" w:sz="4" w:space="0" w:color="auto"/>
              <w:right w:val="single" w:sz="4" w:space="0" w:color="auto"/>
            </w:tcBorders>
            <w:shd w:val="clear" w:color="auto" w:fill="C5E0B3" w:themeFill="accent6" w:themeFillTint="66"/>
            <w:vAlign w:val="bottom"/>
            <w:hideMark/>
          </w:tcPr>
          <w:p w14:paraId="055EEAFA" w14:textId="77777777" w:rsidR="003E2EDE" w:rsidRPr="000C3C85" w:rsidRDefault="003E2EDE" w:rsidP="00DC685F">
            <w:pPr>
              <w:jc w:val="center"/>
              <w:rPr>
                <w:rFonts w:ascii="Arial" w:hAnsi="Arial" w:cs="Arial"/>
                <w:color w:val="000000"/>
              </w:rPr>
            </w:pPr>
            <w:r w:rsidRPr="000C3C85">
              <w:rPr>
                <w:rFonts w:ascii="Arial" w:hAnsi="Arial" w:cs="Arial"/>
                <w:color w:val="000000"/>
              </w:rPr>
              <w:t>41,1</w:t>
            </w:r>
          </w:p>
        </w:tc>
        <w:tc>
          <w:tcPr>
            <w:tcW w:w="977" w:type="dxa"/>
            <w:tcBorders>
              <w:top w:val="nil"/>
              <w:left w:val="nil"/>
              <w:bottom w:val="single" w:sz="4" w:space="0" w:color="auto"/>
              <w:right w:val="single" w:sz="4" w:space="0" w:color="auto"/>
            </w:tcBorders>
            <w:shd w:val="clear" w:color="auto" w:fill="auto"/>
            <w:vAlign w:val="bottom"/>
            <w:hideMark/>
          </w:tcPr>
          <w:p w14:paraId="25692122" w14:textId="77777777" w:rsidR="003E2EDE" w:rsidRPr="000C3C85" w:rsidRDefault="003E2EDE" w:rsidP="00DC685F">
            <w:pPr>
              <w:jc w:val="center"/>
              <w:rPr>
                <w:rFonts w:ascii="Arial" w:hAnsi="Arial" w:cs="Arial"/>
                <w:color w:val="000000"/>
              </w:rPr>
            </w:pPr>
            <w:r w:rsidRPr="000C3C85">
              <w:rPr>
                <w:rFonts w:ascii="Arial" w:hAnsi="Arial" w:cs="Arial"/>
                <w:color w:val="000000"/>
              </w:rPr>
              <w:t>42,9</w:t>
            </w:r>
          </w:p>
        </w:tc>
        <w:tc>
          <w:tcPr>
            <w:tcW w:w="1291" w:type="dxa"/>
            <w:tcBorders>
              <w:top w:val="nil"/>
              <w:left w:val="nil"/>
              <w:bottom w:val="single" w:sz="4" w:space="0" w:color="auto"/>
              <w:right w:val="single" w:sz="4" w:space="0" w:color="auto"/>
            </w:tcBorders>
            <w:shd w:val="clear" w:color="auto" w:fill="auto"/>
            <w:vAlign w:val="bottom"/>
            <w:hideMark/>
          </w:tcPr>
          <w:p w14:paraId="4D28E48D" w14:textId="77777777" w:rsidR="003E2EDE" w:rsidRPr="000C3C85" w:rsidRDefault="003E2EDE" w:rsidP="00DC685F">
            <w:pPr>
              <w:jc w:val="center"/>
              <w:rPr>
                <w:rFonts w:ascii="Arial" w:hAnsi="Arial" w:cs="Arial"/>
                <w:color w:val="000000"/>
              </w:rPr>
            </w:pPr>
            <w:r w:rsidRPr="000C3C85">
              <w:rPr>
                <w:rFonts w:ascii="Arial" w:hAnsi="Arial" w:cs="Arial"/>
                <w:color w:val="000000"/>
              </w:rPr>
              <w:t>17,0</w:t>
            </w:r>
          </w:p>
        </w:tc>
        <w:tc>
          <w:tcPr>
            <w:tcW w:w="1253" w:type="dxa"/>
            <w:tcBorders>
              <w:top w:val="nil"/>
              <w:left w:val="nil"/>
              <w:bottom w:val="single" w:sz="4" w:space="0" w:color="auto"/>
              <w:right w:val="single" w:sz="4" w:space="0" w:color="auto"/>
            </w:tcBorders>
            <w:shd w:val="clear" w:color="auto" w:fill="auto"/>
            <w:vAlign w:val="bottom"/>
            <w:hideMark/>
          </w:tcPr>
          <w:p w14:paraId="34D4CED7" w14:textId="77777777" w:rsidR="003E2EDE" w:rsidRPr="000C3C85" w:rsidRDefault="003E2EDE" w:rsidP="00DC685F">
            <w:pPr>
              <w:jc w:val="center"/>
              <w:rPr>
                <w:rFonts w:ascii="Arial" w:hAnsi="Arial" w:cs="Arial"/>
                <w:color w:val="000000"/>
              </w:rPr>
            </w:pPr>
            <w:r w:rsidRPr="000C3C85">
              <w:rPr>
                <w:rFonts w:ascii="Arial" w:hAnsi="Arial" w:cs="Arial"/>
                <w:color w:val="000000"/>
              </w:rPr>
              <w:t>20,8</w:t>
            </w:r>
          </w:p>
        </w:tc>
        <w:tc>
          <w:tcPr>
            <w:tcW w:w="873" w:type="dxa"/>
            <w:tcBorders>
              <w:top w:val="nil"/>
              <w:left w:val="nil"/>
              <w:bottom w:val="single" w:sz="4" w:space="0" w:color="auto"/>
              <w:right w:val="single" w:sz="4" w:space="0" w:color="auto"/>
            </w:tcBorders>
            <w:shd w:val="clear" w:color="auto" w:fill="C5E0B3" w:themeFill="accent6" w:themeFillTint="66"/>
            <w:vAlign w:val="bottom"/>
            <w:hideMark/>
          </w:tcPr>
          <w:p w14:paraId="630FCADF" w14:textId="77777777" w:rsidR="003E2EDE" w:rsidRPr="000C3C85" w:rsidRDefault="003E2EDE" w:rsidP="00DC685F">
            <w:pPr>
              <w:jc w:val="center"/>
              <w:rPr>
                <w:rFonts w:ascii="Arial" w:hAnsi="Arial" w:cs="Arial"/>
                <w:color w:val="000000"/>
              </w:rPr>
            </w:pPr>
            <w:r w:rsidRPr="000C3C85">
              <w:rPr>
                <w:rFonts w:ascii="Arial" w:hAnsi="Arial" w:cs="Arial"/>
                <w:color w:val="000000"/>
              </w:rPr>
              <w:t>109,1</w:t>
            </w:r>
          </w:p>
        </w:tc>
        <w:tc>
          <w:tcPr>
            <w:tcW w:w="851" w:type="dxa"/>
            <w:tcBorders>
              <w:top w:val="nil"/>
              <w:left w:val="nil"/>
              <w:bottom w:val="single" w:sz="4" w:space="0" w:color="auto"/>
              <w:right w:val="single" w:sz="4" w:space="0" w:color="auto"/>
            </w:tcBorders>
            <w:shd w:val="clear" w:color="auto" w:fill="auto"/>
            <w:vAlign w:val="bottom"/>
            <w:hideMark/>
          </w:tcPr>
          <w:p w14:paraId="6FE6B2C3" w14:textId="77777777" w:rsidR="003E2EDE" w:rsidRPr="000C3C85" w:rsidRDefault="003E2EDE" w:rsidP="00DC685F">
            <w:pPr>
              <w:jc w:val="center"/>
              <w:rPr>
                <w:rFonts w:ascii="Arial" w:hAnsi="Arial" w:cs="Arial"/>
                <w:color w:val="000000"/>
              </w:rPr>
            </w:pPr>
            <w:r w:rsidRPr="000C3C85">
              <w:rPr>
                <w:rFonts w:ascii="Arial" w:hAnsi="Arial" w:cs="Arial"/>
                <w:color w:val="000000"/>
              </w:rPr>
              <w:t>131,3</w:t>
            </w:r>
          </w:p>
        </w:tc>
      </w:tr>
      <w:tr w:rsidR="003C16CE" w:rsidRPr="000C3C85" w14:paraId="2CD6893F" w14:textId="77777777" w:rsidTr="00D92A49">
        <w:trPr>
          <w:trHeight w:val="300"/>
          <w:jc w:val="center"/>
        </w:trPr>
        <w:tc>
          <w:tcPr>
            <w:tcW w:w="2536" w:type="dxa"/>
            <w:tcBorders>
              <w:top w:val="nil"/>
              <w:left w:val="single" w:sz="4" w:space="0" w:color="auto"/>
              <w:bottom w:val="single" w:sz="4" w:space="0" w:color="auto"/>
              <w:right w:val="single" w:sz="4" w:space="0" w:color="auto"/>
            </w:tcBorders>
            <w:shd w:val="clear" w:color="auto" w:fill="auto"/>
            <w:vAlign w:val="center"/>
            <w:hideMark/>
          </w:tcPr>
          <w:p w14:paraId="377E44BB" w14:textId="77777777" w:rsidR="003E2EDE" w:rsidRPr="000C3C85" w:rsidRDefault="003E2EDE" w:rsidP="00DC685F">
            <w:pPr>
              <w:jc w:val="center"/>
              <w:rPr>
                <w:rFonts w:ascii="Arial" w:hAnsi="Arial" w:cs="Arial"/>
                <w:color w:val="000000"/>
              </w:rPr>
            </w:pPr>
            <w:r w:rsidRPr="000C3C85">
              <w:rPr>
                <w:rFonts w:ascii="Arial" w:hAnsi="Arial" w:cs="Arial"/>
                <w:color w:val="000000"/>
              </w:rPr>
              <w:t>Moravskoslezský kraj</w:t>
            </w:r>
          </w:p>
        </w:tc>
        <w:tc>
          <w:tcPr>
            <w:tcW w:w="1003" w:type="dxa"/>
            <w:tcBorders>
              <w:top w:val="nil"/>
              <w:left w:val="nil"/>
              <w:bottom w:val="single" w:sz="4" w:space="0" w:color="auto"/>
              <w:right w:val="single" w:sz="4" w:space="0" w:color="auto"/>
            </w:tcBorders>
            <w:shd w:val="clear" w:color="auto" w:fill="auto"/>
            <w:vAlign w:val="bottom"/>
            <w:hideMark/>
          </w:tcPr>
          <w:p w14:paraId="021F7DF9" w14:textId="77777777" w:rsidR="003E2EDE" w:rsidRPr="000C3C85" w:rsidRDefault="003E2EDE" w:rsidP="00DC685F">
            <w:pPr>
              <w:jc w:val="center"/>
              <w:rPr>
                <w:rFonts w:ascii="Arial" w:hAnsi="Arial" w:cs="Arial"/>
                <w:color w:val="000000"/>
              </w:rPr>
            </w:pPr>
            <w:r w:rsidRPr="000C3C85">
              <w:rPr>
                <w:rFonts w:ascii="Arial" w:hAnsi="Arial" w:cs="Arial"/>
                <w:color w:val="000000"/>
              </w:rPr>
              <w:t>41,5</w:t>
            </w:r>
          </w:p>
        </w:tc>
        <w:tc>
          <w:tcPr>
            <w:tcW w:w="977" w:type="dxa"/>
            <w:tcBorders>
              <w:top w:val="nil"/>
              <w:left w:val="nil"/>
              <w:bottom w:val="single" w:sz="4" w:space="0" w:color="auto"/>
              <w:right w:val="single" w:sz="4" w:space="0" w:color="auto"/>
            </w:tcBorders>
            <w:shd w:val="clear" w:color="auto" w:fill="auto"/>
            <w:vAlign w:val="bottom"/>
            <w:hideMark/>
          </w:tcPr>
          <w:p w14:paraId="0D3078A0" w14:textId="77777777" w:rsidR="003E2EDE" w:rsidRPr="000C3C85" w:rsidRDefault="003E2EDE" w:rsidP="00DC685F">
            <w:pPr>
              <w:jc w:val="center"/>
              <w:rPr>
                <w:rFonts w:ascii="Arial" w:hAnsi="Arial" w:cs="Arial"/>
                <w:color w:val="000000"/>
              </w:rPr>
            </w:pPr>
            <w:r w:rsidRPr="000C3C85">
              <w:rPr>
                <w:rFonts w:ascii="Arial" w:hAnsi="Arial" w:cs="Arial"/>
                <w:color w:val="000000"/>
              </w:rPr>
              <w:t>43,5</w:t>
            </w:r>
          </w:p>
        </w:tc>
        <w:tc>
          <w:tcPr>
            <w:tcW w:w="1291" w:type="dxa"/>
            <w:tcBorders>
              <w:top w:val="nil"/>
              <w:left w:val="nil"/>
              <w:bottom w:val="single" w:sz="4" w:space="0" w:color="auto"/>
              <w:right w:val="single" w:sz="4" w:space="0" w:color="auto"/>
            </w:tcBorders>
            <w:shd w:val="clear" w:color="auto" w:fill="auto"/>
            <w:vAlign w:val="bottom"/>
            <w:hideMark/>
          </w:tcPr>
          <w:p w14:paraId="17904A54" w14:textId="77777777" w:rsidR="003E2EDE" w:rsidRPr="000C3C85" w:rsidRDefault="003E2EDE" w:rsidP="00DC685F">
            <w:pPr>
              <w:jc w:val="center"/>
              <w:rPr>
                <w:rFonts w:ascii="Arial" w:hAnsi="Arial" w:cs="Arial"/>
                <w:color w:val="000000"/>
              </w:rPr>
            </w:pPr>
            <w:r w:rsidRPr="000C3C85">
              <w:rPr>
                <w:rFonts w:ascii="Arial" w:hAnsi="Arial" w:cs="Arial"/>
                <w:color w:val="000000"/>
              </w:rPr>
              <w:t>17,0</w:t>
            </w:r>
          </w:p>
        </w:tc>
        <w:tc>
          <w:tcPr>
            <w:tcW w:w="1253" w:type="dxa"/>
            <w:tcBorders>
              <w:top w:val="nil"/>
              <w:left w:val="nil"/>
              <w:bottom w:val="single" w:sz="4" w:space="0" w:color="auto"/>
              <w:right w:val="single" w:sz="4" w:space="0" w:color="auto"/>
            </w:tcBorders>
            <w:shd w:val="clear" w:color="auto" w:fill="auto"/>
            <w:vAlign w:val="bottom"/>
            <w:hideMark/>
          </w:tcPr>
          <w:p w14:paraId="15802577" w14:textId="77777777" w:rsidR="003E2EDE" w:rsidRPr="000C3C85" w:rsidRDefault="003E2EDE" w:rsidP="00DC685F">
            <w:pPr>
              <w:jc w:val="center"/>
              <w:rPr>
                <w:rFonts w:ascii="Arial" w:hAnsi="Arial" w:cs="Arial"/>
                <w:color w:val="000000"/>
              </w:rPr>
            </w:pPr>
            <w:r w:rsidRPr="000C3C85">
              <w:rPr>
                <w:rFonts w:ascii="Arial" w:hAnsi="Arial" w:cs="Arial"/>
                <w:color w:val="000000"/>
              </w:rPr>
              <w:t>21,3</w:t>
            </w:r>
          </w:p>
        </w:tc>
        <w:tc>
          <w:tcPr>
            <w:tcW w:w="873" w:type="dxa"/>
            <w:tcBorders>
              <w:top w:val="nil"/>
              <w:left w:val="nil"/>
              <w:bottom w:val="single" w:sz="4" w:space="0" w:color="auto"/>
              <w:right w:val="single" w:sz="4" w:space="0" w:color="auto"/>
            </w:tcBorders>
            <w:shd w:val="clear" w:color="auto" w:fill="auto"/>
            <w:vAlign w:val="bottom"/>
            <w:hideMark/>
          </w:tcPr>
          <w:p w14:paraId="702A1038" w14:textId="77777777" w:rsidR="003E2EDE" w:rsidRPr="000C3C85" w:rsidRDefault="003E2EDE" w:rsidP="00DC685F">
            <w:pPr>
              <w:jc w:val="center"/>
              <w:rPr>
                <w:rFonts w:ascii="Arial" w:hAnsi="Arial" w:cs="Arial"/>
                <w:color w:val="000000"/>
              </w:rPr>
            </w:pPr>
            <w:r w:rsidRPr="000C3C85">
              <w:rPr>
                <w:rFonts w:ascii="Arial" w:hAnsi="Arial" w:cs="Arial"/>
                <w:color w:val="000000"/>
              </w:rPr>
              <w:t>116,0</w:t>
            </w:r>
          </w:p>
        </w:tc>
        <w:tc>
          <w:tcPr>
            <w:tcW w:w="851" w:type="dxa"/>
            <w:tcBorders>
              <w:top w:val="nil"/>
              <w:left w:val="nil"/>
              <w:bottom w:val="single" w:sz="4" w:space="0" w:color="auto"/>
              <w:right w:val="single" w:sz="4" w:space="0" w:color="auto"/>
            </w:tcBorders>
            <w:shd w:val="clear" w:color="auto" w:fill="auto"/>
            <w:vAlign w:val="bottom"/>
            <w:hideMark/>
          </w:tcPr>
          <w:p w14:paraId="18BD2F91" w14:textId="77777777" w:rsidR="003E2EDE" w:rsidRPr="000C3C85" w:rsidRDefault="003E2EDE" w:rsidP="00DC685F">
            <w:pPr>
              <w:jc w:val="center"/>
              <w:rPr>
                <w:rFonts w:ascii="Arial" w:hAnsi="Arial" w:cs="Arial"/>
                <w:color w:val="000000"/>
              </w:rPr>
            </w:pPr>
            <w:r w:rsidRPr="000C3C85">
              <w:rPr>
                <w:rFonts w:ascii="Arial" w:hAnsi="Arial" w:cs="Arial"/>
                <w:color w:val="000000"/>
              </w:rPr>
              <w:t>141,3</w:t>
            </w:r>
          </w:p>
        </w:tc>
      </w:tr>
      <w:tr w:rsidR="003C16CE" w:rsidRPr="000C3C85" w14:paraId="07F72866" w14:textId="77777777" w:rsidTr="00D92A49">
        <w:trPr>
          <w:trHeight w:val="300"/>
          <w:jc w:val="center"/>
        </w:trPr>
        <w:tc>
          <w:tcPr>
            <w:tcW w:w="2536" w:type="dxa"/>
            <w:tcBorders>
              <w:top w:val="nil"/>
              <w:left w:val="single" w:sz="4" w:space="0" w:color="auto"/>
              <w:bottom w:val="single" w:sz="4" w:space="0" w:color="auto"/>
              <w:right w:val="single" w:sz="4" w:space="0" w:color="auto"/>
            </w:tcBorders>
            <w:shd w:val="clear" w:color="auto" w:fill="auto"/>
            <w:vAlign w:val="center"/>
            <w:hideMark/>
          </w:tcPr>
          <w:p w14:paraId="3D5BF8E0" w14:textId="77777777" w:rsidR="003E2EDE" w:rsidRPr="000C3C85" w:rsidRDefault="003E2EDE" w:rsidP="00DC685F">
            <w:pPr>
              <w:jc w:val="center"/>
              <w:rPr>
                <w:rFonts w:ascii="Arial" w:hAnsi="Arial" w:cs="Arial"/>
                <w:color w:val="000000"/>
              </w:rPr>
            </w:pPr>
            <w:r w:rsidRPr="000C3C85">
              <w:rPr>
                <w:rFonts w:ascii="Arial" w:hAnsi="Arial" w:cs="Arial"/>
                <w:color w:val="000000"/>
              </w:rPr>
              <w:t>Olomoucký kraj</w:t>
            </w:r>
          </w:p>
        </w:tc>
        <w:tc>
          <w:tcPr>
            <w:tcW w:w="1003" w:type="dxa"/>
            <w:tcBorders>
              <w:top w:val="nil"/>
              <w:left w:val="nil"/>
              <w:bottom w:val="single" w:sz="4" w:space="0" w:color="auto"/>
              <w:right w:val="single" w:sz="4" w:space="0" w:color="auto"/>
            </w:tcBorders>
            <w:shd w:val="clear" w:color="auto" w:fill="auto"/>
            <w:vAlign w:val="bottom"/>
            <w:hideMark/>
          </w:tcPr>
          <w:p w14:paraId="0C676BB1" w14:textId="77777777" w:rsidR="003E2EDE" w:rsidRPr="000C3C85" w:rsidRDefault="003E2EDE" w:rsidP="00DC685F">
            <w:pPr>
              <w:jc w:val="center"/>
              <w:rPr>
                <w:rFonts w:ascii="Arial" w:hAnsi="Arial" w:cs="Arial"/>
                <w:color w:val="000000"/>
              </w:rPr>
            </w:pPr>
            <w:r w:rsidRPr="000C3C85">
              <w:rPr>
                <w:rFonts w:ascii="Arial" w:hAnsi="Arial" w:cs="Arial"/>
                <w:color w:val="000000"/>
              </w:rPr>
              <w:t>41,7</w:t>
            </w:r>
          </w:p>
        </w:tc>
        <w:tc>
          <w:tcPr>
            <w:tcW w:w="977" w:type="dxa"/>
            <w:tcBorders>
              <w:top w:val="nil"/>
              <w:left w:val="nil"/>
              <w:bottom w:val="single" w:sz="4" w:space="0" w:color="auto"/>
              <w:right w:val="single" w:sz="4" w:space="0" w:color="auto"/>
            </w:tcBorders>
            <w:shd w:val="clear" w:color="auto" w:fill="auto"/>
            <w:vAlign w:val="bottom"/>
            <w:hideMark/>
          </w:tcPr>
          <w:p w14:paraId="769B0F42" w14:textId="77777777" w:rsidR="003E2EDE" w:rsidRPr="000C3C85" w:rsidRDefault="003E2EDE" w:rsidP="00DC685F">
            <w:pPr>
              <w:jc w:val="center"/>
              <w:rPr>
                <w:rFonts w:ascii="Arial" w:hAnsi="Arial" w:cs="Arial"/>
                <w:color w:val="000000"/>
              </w:rPr>
            </w:pPr>
            <w:r w:rsidRPr="000C3C85">
              <w:rPr>
                <w:rFonts w:ascii="Arial" w:hAnsi="Arial" w:cs="Arial"/>
                <w:color w:val="000000"/>
              </w:rPr>
              <w:t>43,5</w:t>
            </w:r>
          </w:p>
        </w:tc>
        <w:tc>
          <w:tcPr>
            <w:tcW w:w="1291" w:type="dxa"/>
            <w:tcBorders>
              <w:top w:val="nil"/>
              <w:left w:val="nil"/>
              <w:bottom w:val="single" w:sz="4" w:space="0" w:color="auto"/>
              <w:right w:val="single" w:sz="4" w:space="0" w:color="auto"/>
            </w:tcBorders>
            <w:shd w:val="clear" w:color="auto" w:fill="auto"/>
            <w:vAlign w:val="bottom"/>
            <w:hideMark/>
          </w:tcPr>
          <w:p w14:paraId="35A54C64" w14:textId="77777777" w:rsidR="003E2EDE" w:rsidRPr="000C3C85" w:rsidRDefault="003E2EDE" w:rsidP="00DC685F">
            <w:pPr>
              <w:jc w:val="center"/>
              <w:rPr>
                <w:rFonts w:ascii="Arial" w:hAnsi="Arial" w:cs="Arial"/>
                <w:color w:val="000000"/>
              </w:rPr>
            </w:pPr>
            <w:r w:rsidRPr="000C3C85">
              <w:rPr>
                <w:rFonts w:ascii="Arial" w:hAnsi="Arial" w:cs="Arial"/>
                <w:color w:val="000000"/>
              </w:rPr>
              <w:t>17,7</w:t>
            </w:r>
          </w:p>
        </w:tc>
        <w:tc>
          <w:tcPr>
            <w:tcW w:w="1253" w:type="dxa"/>
            <w:tcBorders>
              <w:top w:val="nil"/>
              <w:left w:val="nil"/>
              <w:bottom w:val="single" w:sz="4" w:space="0" w:color="auto"/>
              <w:right w:val="single" w:sz="4" w:space="0" w:color="auto"/>
            </w:tcBorders>
            <w:shd w:val="clear" w:color="auto" w:fill="F7CAAC" w:themeFill="accent2" w:themeFillTint="66"/>
            <w:vAlign w:val="bottom"/>
            <w:hideMark/>
          </w:tcPr>
          <w:p w14:paraId="21706415" w14:textId="77777777" w:rsidR="003E2EDE" w:rsidRPr="000C3C85" w:rsidRDefault="003E2EDE" w:rsidP="00DC685F">
            <w:pPr>
              <w:jc w:val="center"/>
              <w:rPr>
                <w:rFonts w:ascii="Arial" w:hAnsi="Arial" w:cs="Arial"/>
                <w:color w:val="000000"/>
              </w:rPr>
            </w:pPr>
            <w:r w:rsidRPr="000C3C85">
              <w:rPr>
                <w:rFonts w:ascii="Arial" w:hAnsi="Arial" w:cs="Arial"/>
                <w:color w:val="000000"/>
              </w:rPr>
              <w:t>21,8</w:t>
            </w:r>
          </w:p>
        </w:tc>
        <w:tc>
          <w:tcPr>
            <w:tcW w:w="873" w:type="dxa"/>
            <w:tcBorders>
              <w:top w:val="nil"/>
              <w:left w:val="nil"/>
              <w:bottom w:val="single" w:sz="4" w:space="0" w:color="auto"/>
              <w:right w:val="single" w:sz="4" w:space="0" w:color="auto"/>
            </w:tcBorders>
            <w:shd w:val="clear" w:color="auto" w:fill="auto"/>
            <w:vAlign w:val="bottom"/>
            <w:hideMark/>
          </w:tcPr>
          <w:p w14:paraId="6FBC459B" w14:textId="77777777" w:rsidR="003E2EDE" w:rsidRPr="000C3C85" w:rsidRDefault="003E2EDE" w:rsidP="00DC685F">
            <w:pPr>
              <w:jc w:val="center"/>
              <w:rPr>
                <w:rFonts w:ascii="Arial" w:hAnsi="Arial" w:cs="Arial"/>
                <w:color w:val="000000"/>
              </w:rPr>
            </w:pPr>
            <w:r w:rsidRPr="000C3C85">
              <w:rPr>
                <w:rFonts w:ascii="Arial" w:hAnsi="Arial" w:cs="Arial"/>
                <w:color w:val="000000"/>
              </w:rPr>
              <w:t>119,5</w:t>
            </w:r>
          </w:p>
        </w:tc>
        <w:tc>
          <w:tcPr>
            <w:tcW w:w="851" w:type="dxa"/>
            <w:tcBorders>
              <w:top w:val="nil"/>
              <w:left w:val="nil"/>
              <w:bottom w:val="single" w:sz="4" w:space="0" w:color="auto"/>
              <w:right w:val="single" w:sz="4" w:space="0" w:color="auto"/>
            </w:tcBorders>
            <w:shd w:val="clear" w:color="auto" w:fill="auto"/>
            <w:vAlign w:val="bottom"/>
            <w:hideMark/>
          </w:tcPr>
          <w:p w14:paraId="24C72C31" w14:textId="77777777" w:rsidR="003E2EDE" w:rsidRPr="000C3C85" w:rsidRDefault="003E2EDE" w:rsidP="00DC685F">
            <w:pPr>
              <w:jc w:val="center"/>
              <w:rPr>
                <w:rFonts w:ascii="Arial" w:hAnsi="Arial" w:cs="Arial"/>
                <w:color w:val="000000"/>
              </w:rPr>
            </w:pPr>
            <w:r w:rsidRPr="000C3C85">
              <w:rPr>
                <w:rFonts w:ascii="Arial" w:hAnsi="Arial" w:cs="Arial"/>
                <w:color w:val="000000"/>
              </w:rPr>
              <w:t>140,1</w:t>
            </w:r>
          </w:p>
        </w:tc>
      </w:tr>
      <w:tr w:rsidR="003C16CE" w:rsidRPr="000C3C85" w14:paraId="2ED680EF" w14:textId="77777777" w:rsidTr="00D92A49">
        <w:trPr>
          <w:trHeight w:val="300"/>
          <w:jc w:val="center"/>
        </w:trPr>
        <w:tc>
          <w:tcPr>
            <w:tcW w:w="2536" w:type="dxa"/>
            <w:tcBorders>
              <w:top w:val="nil"/>
              <w:left w:val="single" w:sz="4" w:space="0" w:color="auto"/>
              <w:bottom w:val="single" w:sz="4" w:space="0" w:color="auto"/>
              <w:right w:val="single" w:sz="4" w:space="0" w:color="auto"/>
            </w:tcBorders>
            <w:shd w:val="clear" w:color="auto" w:fill="auto"/>
            <w:vAlign w:val="center"/>
            <w:hideMark/>
          </w:tcPr>
          <w:p w14:paraId="2FD5874E" w14:textId="77777777" w:rsidR="003E2EDE" w:rsidRPr="000C3C85" w:rsidRDefault="003E2EDE" w:rsidP="00DC685F">
            <w:pPr>
              <w:jc w:val="center"/>
              <w:rPr>
                <w:rFonts w:ascii="Arial" w:hAnsi="Arial" w:cs="Arial"/>
                <w:color w:val="000000"/>
              </w:rPr>
            </w:pPr>
            <w:r w:rsidRPr="000C3C85">
              <w:rPr>
                <w:rFonts w:ascii="Arial" w:hAnsi="Arial" w:cs="Arial"/>
                <w:color w:val="000000"/>
              </w:rPr>
              <w:t>Pardubický kraj</w:t>
            </w:r>
          </w:p>
        </w:tc>
        <w:tc>
          <w:tcPr>
            <w:tcW w:w="1003" w:type="dxa"/>
            <w:tcBorders>
              <w:top w:val="nil"/>
              <w:left w:val="nil"/>
              <w:bottom w:val="single" w:sz="4" w:space="0" w:color="auto"/>
              <w:right w:val="single" w:sz="4" w:space="0" w:color="auto"/>
            </w:tcBorders>
            <w:shd w:val="clear" w:color="auto" w:fill="auto"/>
            <w:vAlign w:val="bottom"/>
            <w:hideMark/>
          </w:tcPr>
          <w:p w14:paraId="2DB4824B" w14:textId="77777777" w:rsidR="003E2EDE" w:rsidRPr="000C3C85" w:rsidRDefault="003E2EDE" w:rsidP="00DC685F">
            <w:pPr>
              <w:jc w:val="center"/>
              <w:rPr>
                <w:rFonts w:ascii="Arial" w:hAnsi="Arial" w:cs="Arial"/>
                <w:color w:val="000000"/>
              </w:rPr>
            </w:pPr>
            <w:r w:rsidRPr="000C3C85">
              <w:rPr>
                <w:rFonts w:ascii="Arial" w:hAnsi="Arial" w:cs="Arial"/>
                <w:color w:val="000000"/>
              </w:rPr>
              <w:t>41,5</w:t>
            </w:r>
          </w:p>
        </w:tc>
        <w:tc>
          <w:tcPr>
            <w:tcW w:w="977" w:type="dxa"/>
            <w:tcBorders>
              <w:top w:val="nil"/>
              <w:left w:val="nil"/>
              <w:bottom w:val="single" w:sz="4" w:space="0" w:color="auto"/>
              <w:right w:val="single" w:sz="4" w:space="0" w:color="auto"/>
            </w:tcBorders>
            <w:shd w:val="clear" w:color="auto" w:fill="auto"/>
            <w:vAlign w:val="bottom"/>
            <w:hideMark/>
          </w:tcPr>
          <w:p w14:paraId="00F7519D" w14:textId="77777777" w:rsidR="003E2EDE" w:rsidRPr="000C3C85" w:rsidRDefault="003E2EDE" w:rsidP="00DC685F">
            <w:pPr>
              <w:jc w:val="center"/>
              <w:rPr>
                <w:rFonts w:ascii="Arial" w:hAnsi="Arial" w:cs="Arial"/>
                <w:color w:val="000000"/>
              </w:rPr>
            </w:pPr>
            <w:r w:rsidRPr="000C3C85">
              <w:rPr>
                <w:rFonts w:ascii="Arial" w:hAnsi="Arial" w:cs="Arial"/>
                <w:color w:val="000000"/>
              </w:rPr>
              <w:t>42,9</w:t>
            </w:r>
          </w:p>
        </w:tc>
        <w:tc>
          <w:tcPr>
            <w:tcW w:w="1291" w:type="dxa"/>
            <w:tcBorders>
              <w:top w:val="nil"/>
              <w:left w:val="nil"/>
              <w:bottom w:val="single" w:sz="4" w:space="0" w:color="auto"/>
              <w:right w:val="single" w:sz="4" w:space="0" w:color="auto"/>
            </w:tcBorders>
            <w:shd w:val="clear" w:color="auto" w:fill="auto"/>
            <w:vAlign w:val="bottom"/>
            <w:hideMark/>
          </w:tcPr>
          <w:p w14:paraId="2B02A9C3" w14:textId="77777777" w:rsidR="003E2EDE" w:rsidRPr="000C3C85" w:rsidRDefault="003E2EDE" w:rsidP="00DC685F">
            <w:pPr>
              <w:jc w:val="center"/>
              <w:rPr>
                <w:rFonts w:ascii="Arial" w:hAnsi="Arial" w:cs="Arial"/>
                <w:color w:val="000000"/>
              </w:rPr>
            </w:pPr>
            <w:r w:rsidRPr="000C3C85">
              <w:rPr>
                <w:rFonts w:ascii="Arial" w:hAnsi="Arial" w:cs="Arial"/>
                <w:color w:val="000000"/>
              </w:rPr>
              <w:t>17,5</w:t>
            </w:r>
          </w:p>
        </w:tc>
        <w:tc>
          <w:tcPr>
            <w:tcW w:w="1253" w:type="dxa"/>
            <w:tcBorders>
              <w:top w:val="nil"/>
              <w:left w:val="nil"/>
              <w:bottom w:val="single" w:sz="4" w:space="0" w:color="auto"/>
              <w:right w:val="single" w:sz="4" w:space="0" w:color="auto"/>
            </w:tcBorders>
            <w:shd w:val="clear" w:color="auto" w:fill="auto"/>
            <w:vAlign w:val="bottom"/>
            <w:hideMark/>
          </w:tcPr>
          <w:p w14:paraId="20375A63" w14:textId="77777777" w:rsidR="003E2EDE" w:rsidRPr="000C3C85" w:rsidRDefault="003E2EDE" w:rsidP="00DC685F">
            <w:pPr>
              <w:jc w:val="center"/>
              <w:rPr>
                <w:rFonts w:ascii="Arial" w:hAnsi="Arial" w:cs="Arial"/>
                <w:color w:val="000000"/>
              </w:rPr>
            </w:pPr>
            <w:r w:rsidRPr="000C3C85">
              <w:rPr>
                <w:rFonts w:ascii="Arial" w:hAnsi="Arial" w:cs="Arial"/>
                <w:color w:val="000000"/>
              </w:rPr>
              <w:t>21,0</w:t>
            </w:r>
          </w:p>
        </w:tc>
        <w:tc>
          <w:tcPr>
            <w:tcW w:w="873" w:type="dxa"/>
            <w:tcBorders>
              <w:top w:val="nil"/>
              <w:left w:val="nil"/>
              <w:bottom w:val="single" w:sz="4" w:space="0" w:color="auto"/>
              <w:right w:val="single" w:sz="4" w:space="0" w:color="auto"/>
            </w:tcBorders>
            <w:shd w:val="clear" w:color="auto" w:fill="auto"/>
            <w:vAlign w:val="bottom"/>
            <w:hideMark/>
          </w:tcPr>
          <w:p w14:paraId="06933DF4" w14:textId="77777777" w:rsidR="003E2EDE" w:rsidRPr="000C3C85" w:rsidRDefault="003E2EDE" w:rsidP="00DC685F">
            <w:pPr>
              <w:jc w:val="center"/>
              <w:rPr>
                <w:rFonts w:ascii="Arial" w:hAnsi="Arial" w:cs="Arial"/>
                <w:color w:val="000000"/>
              </w:rPr>
            </w:pPr>
            <w:r w:rsidRPr="000C3C85">
              <w:rPr>
                <w:rFonts w:ascii="Arial" w:hAnsi="Arial" w:cs="Arial"/>
                <w:color w:val="000000"/>
              </w:rPr>
              <w:t>116,1</w:t>
            </w:r>
          </w:p>
        </w:tc>
        <w:tc>
          <w:tcPr>
            <w:tcW w:w="851" w:type="dxa"/>
            <w:tcBorders>
              <w:top w:val="nil"/>
              <w:left w:val="nil"/>
              <w:bottom w:val="single" w:sz="4" w:space="0" w:color="auto"/>
              <w:right w:val="single" w:sz="4" w:space="0" w:color="auto"/>
            </w:tcBorders>
            <w:shd w:val="clear" w:color="auto" w:fill="auto"/>
            <w:vAlign w:val="bottom"/>
            <w:hideMark/>
          </w:tcPr>
          <w:p w14:paraId="59BC7B64" w14:textId="77777777" w:rsidR="003E2EDE" w:rsidRPr="000C3C85" w:rsidRDefault="003E2EDE" w:rsidP="00DC685F">
            <w:pPr>
              <w:jc w:val="center"/>
              <w:rPr>
                <w:rFonts w:ascii="Arial" w:hAnsi="Arial" w:cs="Arial"/>
                <w:color w:val="000000"/>
              </w:rPr>
            </w:pPr>
            <w:r w:rsidRPr="000C3C85">
              <w:rPr>
                <w:rFonts w:ascii="Arial" w:hAnsi="Arial" w:cs="Arial"/>
                <w:color w:val="000000"/>
              </w:rPr>
              <w:t>131,9</w:t>
            </w:r>
          </w:p>
        </w:tc>
      </w:tr>
      <w:tr w:rsidR="003C16CE" w:rsidRPr="000C3C85" w14:paraId="31B12E56" w14:textId="77777777" w:rsidTr="00D92A49">
        <w:trPr>
          <w:trHeight w:val="300"/>
          <w:jc w:val="center"/>
        </w:trPr>
        <w:tc>
          <w:tcPr>
            <w:tcW w:w="2536" w:type="dxa"/>
            <w:tcBorders>
              <w:top w:val="nil"/>
              <w:left w:val="single" w:sz="4" w:space="0" w:color="auto"/>
              <w:bottom w:val="single" w:sz="4" w:space="0" w:color="auto"/>
              <w:right w:val="single" w:sz="4" w:space="0" w:color="auto"/>
            </w:tcBorders>
            <w:shd w:val="clear" w:color="auto" w:fill="auto"/>
            <w:vAlign w:val="center"/>
            <w:hideMark/>
          </w:tcPr>
          <w:p w14:paraId="761D2BA2" w14:textId="77777777" w:rsidR="003E2EDE" w:rsidRPr="000C3C85" w:rsidRDefault="003E2EDE" w:rsidP="00DC685F">
            <w:pPr>
              <w:jc w:val="center"/>
              <w:rPr>
                <w:rFonts w:ascii="Arial" w:hAnsi="Arial" w:cs="Arial"/>
                <w:color w:val="000000"/>
              </w:rPr>
            </w:pPr>
            <w:r w:rsidRPr="000C3C85">
              <w:rPr>
                <w:rFonts w:ascii="Arial" w:hAnsi="Arial" w:cs="Arial"/>
                <w:color w:val="000000"/>
              </w:rPr>
              <w:t>Plzeňský kraj</w:t>
            </w:r>
          </w:p>
        </w:tc>
        <w:tc>
          <w:tcPr>
            <w:tcW w:w="1003" w:type="dxa"/>
            <w:tcBorders>
              <w:top w:val="nil"/>
              <w:left w:val="nil"/>
              <w:bottom w:val="single" w:sz="4" w:space="0" w:color="auto"/>
              <w:right w:val="single" w:sz="4" w:space="0" w:color="auto"/>
            </w:tcBorders>
            <w:shd w:val="clear" w:color="auto" w:fill="auto"/>
            <w:vAlign w:val="bottom"/>
            <w:hideMark/>
          </w:tcPr>
          <w:p w14:paraId="581FEBBF" w14:textId="77777777" w:rsidR="003E2EDE" w:rsidRPr="000C3C85" w:rsidRDefault="003E2EDE" w:rsidP="00DC685F">
            <w:pPr>
              <w:jc w:val="center"/>
              <w:rPr>
                <w:rFonts w:ascii="Arial" w:hAnsi="Arial" w:cs="Arial"/>
                <w:color w:val="000000"/>
              </w:rPr>
            </w:pPr>
            <w:r w:rsidRPr="000C3C85">
              <w:rPr>
                <w:rFonts w:ascii="Arial" w:hAnsi="Arial" w:cs="Arial"/>
                <w:color w:val="000000"/>
              </w:rPr>
              <w:t>41,9</w:t>
            </w:r>
          </w:p>
        </w:tc>
        <w:tc>
          <w:tcPr>
            <w:tcW w:w="977" w:type="dxa"/>
            <w:tcBorders>
              <w:top w:val="nil"/>
              <w:left w:val="nil"/>
              <w:bottom w:val="single" w:sz="4" w:space="0" w:color="auto"/>
              <w:right w:val="single" w:sz="4" w:space="0" w:color="auto"/>
            </w:tcBorders>
            <w:shd w:val="clear" w:color="auto" w:fill="auto"/>
            <w:vAlign w:val="bottom"/>
            <w:hideMark/>
          </w:tcPr>
          <w:p w14:paraId="5BA3EF01" w14:textId="77777777" w:rsidR="003E2EDE" w:rsidRPr="000C3C85" w:rsidRDefault="003E2EDE" w:rsidP="00DC685F">
            <w:pPr>
              <w:jc w:val="center"/>
              <w:rPr>
                <w:rFonts w:ascii="Arial" w:hAnsi="Arial" w:cs="Arial"/>
                <w:color w:val="000000"/>
              </w:rPr>
            </w:pPr>
            <w:r w:rsidRPr="000C3C85">
              <w:rPr>
                <w:rFonts w:ascii="Arial" w:hAnsi="Arial" w:cs="Arial"/>
                <w:color w:val="000000"/>
              </w:rPr>
              <w:t>43,0</w:t>
            </w:r>
          </w:p>
        </w:tc>
        <w:tc>
          <w:tcPr>
            <w:tcW w:w="1291" w:type="dxa"/>
            <w:tcBorders>
              <w:top w:val="nil"/>
              <w:left w:val="nil"/>
              <w:bottom w:val="single" w:sz="4" w:space="0" w:color="auto"/>
              <w:right w:val="single" w:sz="4" w:space="0" w:color="auto"/>
            </w:tcBorders>
            <w:shd w:val="clear" w:color="auto" w:fill="F7CAAC" w:themeFill="accent2" w:themeFillTint="66"/>
            <w:vAlign w:val="bottom"/>
            <w:hideMark/>
          </w:tcPr>
          <w:p w14:paraId="3B14D36D" w14:textId="77777777" w:rsidR="003E2EDE" w:rsidRPr="000C3C85" w:rsidRDefault="003E2EDE" w:rsidP="00DC685F">
            <w:pPr>
              <w:jc w:val="center"/>
              <w:rPr>
                <w:rFonts w:ascii="Arial" w:hAnsi="Arial" w:cs="Arial"/>
                <w:color w:val="000000"/>
              </w:rPr>
            </w:pPr>
            <w:r w:rsidRPr="000C3C85">
              <w:rPr>
                <w:rFonts w:ascii="Arial" w:hAnsi="Arial" w:cs="Arial"/>
                <w:color w:val="000000"/>
              </w:rPr>
              <w:t>17,9</w:t>
            </w:r>
          </w:p>
        </w:tc>
        <w:tc>
          <w:tcPr>
            <w:tcW w:w="1253" w:type="dxa"/>
            <w:tcBorders>
              <w:top w:val="nil"/>
              <w:left w:val="nil"/>
              <w:bottom w:val="single" w:sz="4" w:space="0" w:color="auto"/>
              <w:right w:val="single" w:sz="4" w:space="0" w:color="auto"/>
            </w:tcBorders>
            <w:shd w:val="clear" w:color="auto" w:fill="C5E0B3" w:themeFill="accent6" w:themeFillTint="66"/>
            <w:vAlign w:val="bottom"/>
            <w:hideMark/>
          </w:tcPr>
          <w:p w14:paraId="28FFE32D" w14:textId="77777777" w:rsidR="003E2EDE" w:rsidRPr="000C3C85" w:rsidRDefault="003E2EDE" w:rsidP="00DC685F">
            <w:pPr>
              <w:jc w:val="center"/>
              <w:rPr>
                <w:rFonts w:ascii="Arial" w:hAnsi="Arial" w:cs="Arial"/>
                <w:color w:val="000000"/>
              </w:rPr>
            </w:pPr>
            <w:r w:rsidRPr="000C3C85">
              <w:rPr>
                <w:rFonts w:ascii="Arial" w:hAnsi="Arial" w:cs="Arial"/>
                <w:color w:val="000000"/>
              </w:rPr>
              <w:t>20,5</w:t>
            </w:r>
          </w:p>
        </w:tc>
        <w:tc>
          <w:tcPr>
            <w:tcW w:w="873" w:type="dxa"/>
            <w:tcBorders>
              <w:top w:val="nil"/>
              <w:left w:val="nil"/>
              <w:bottom w:val="single" w:sz="4" w:space="0" w:color="auto"/>
              <w:right w:val="single" w:sz="4" w:space="0" w:color="auto"/>
            </w:tcBorders>
            <w:shd w:val="clear" w:color="auto" w:fill="auto"/>
            <w:vAlign w:val="bottom"/>
            <w:hideMark/>
          </w:tcPr>
          <w:p w14:paraId="7BBB025F" w14:textId="77777777" w:rsidR="003E2EDE" w:rsidRPr="000C3C85" w:rsidRDefault="003E2EDE" w:rsidP="00DC685F">
            <w:pPr>
              <w:jc w:val="center"/>
              <w:rPr>
                <w:rFonts w:ascii="Arial" w:hAnsi="Arial" w:cs="Arial"/>
                <w:color w:val="000000"/>
              </w:rPr>
            </w:pPr>
            <w:r w:rsidRPr="000C3C85">
              <w:rPr>
                <w:rFonts w:ascii="Arial" w:hAnsi="Arial" w:cs="Arial"/>
                <w:color w:val="000000"/>
              </w:rPr>
              <w:t>121,8</w:t>
            </w:r>
          </w:p>
        </w:tc>
        <w:tc>
          <w:tcPr>
            <w:tcW w:w="851" w:type="dxa"/>
            <w:tcBorders>
              <w:top w:val="nil"/>
              <w:left w:val="nil"/>
              <w:bottom w:val="single" w:sz="4" w:space="0" w:color="auto"/>
              <w:right w:val="single" w:sz="4" w:space="0" w:color="auto"/>
            </w:tcBorders>
            <w:shd w:val="clear" w:color="auto" w:fill="auto"/>
            <w:vAlign w:val="bottom"/>
            <w:hideMark/>
          </w:tcPr>
          <w:p w14:paraId="5056EC39" w14:textId="77777777" w:rsidR="003E2EDE" w:rsidRPr="000C3C85" w:rsidRDefault="003E2EDE" w:rsidP="00DC685F">
            <w:pPr>
              <w:jc w:val="center"/>
              <w:rPr>
                <w:rFonts w:ascii="Arial" w:hAnsi="Arial" w:cs="Arial"/>
                <w:color w:val="000000"/>
              </w:rPr>
            </w:pPr>
            <w:r w:rsidRPr="000C3C85">
              <w:rPr>
                <w:rFonts w:ascii="Arial" w:hAnsi="Arial" w:cs="Arial"/>
                <w:color w:val="000000"/>
              </w:rPr>
              <w:t>134,0</w:t>
            </w:r>
          </w:p>
        </w:tc>
      </w:tr>
      <w:tr w:rsidR="003C16CE" w:rsidRPr="000C3C85" w14:paraId="31BDCA2E" w14:textId="77777777" w:rsidTr="00D92A49">
        <w:trPr>
          <w:trHeight w:val="300"/>
          <w:jc w:val="center"/>
        </w:trPr>
        <w:tc>
          <w:tcPr>
            <w:tcW w:w="2536" w:type="dxa"/>
            <w:tcBorders>
              <w:top w:val="nil"/>
              <w:left w:val="single" w:sz="4" w:space="0" w:color="auto"/>
              <w:bottom w:val="single" w:sz="4" w:space="0" w:color="auto"/>
              <w:right w:val="single" w:sz="4" w:space="0" w:color="auto"/>
            </w:tcBorders>
            <w:shd w:val="clear" w:color="auto" w:fill="auto"/>
            <w:vAlign w:val="center"/>
            <w:hideMark/>
          </w:tcPr>
          <w:p w14:paraId="754B54BB" w14:textId="77777777" w:rsidR="003E2EDE" w:rsidRPr="000C3C85" w:rsidRDefault="003E2EDE" w:rsidP="00DC685F">
            <w:pPr>
              <w:jc w:val="center"/>
              <w:rPr>
                <w:rFonts w:ascii="Arial" w:hAnsi="Arial" w:cs="Arial"/>
                <w:color w:val="000000"/>
              </w:rPr>
            </w:pPr>
            <w:r w:rsidRPr="000C3C85">
              <w:rPr>
                <w:rFonts w:ascii="Arial" w:hAnsi="Arial" w:cs="Arial"/>
                <w:color w:val="000000"/>
              </w:rPr>
              <w:t>Středočeský kraj</w:t>
            </w:r>
          </w:p>
        </w:tc>
        <w:tc>
          <w:tcPr>
            <w:tcW w:w="1003" w:type="dxa"/>
            <w:tcBorders>
              <w:top w:val="nil"/>
              <w:left w:val="nil"/>
              <w:bottom w:val="single" w:sz="4" w:space="0" w:color="auto"/>
              <w:right w:val="single" w:sz="4" w:space="0" w:color="auto"/>
            </w:tcBorders>
            <w:shd w:val="clear" w:color="auto" w:fill="C5E0B3" w:themeFill="accent6" w:themeFillTint="66"/>
            <w:vAlign w:val="bottom"/>
            <w:hideMark/>
          </w:tcPr>
          <w:p w14:paraId="65FE92AD" w14:textId="77777777" w:rsidR="003E2EDE" w:rsidRPr="000C3C85" w:rsidRDefault="003E2EDE" w:rsidP="00DC685F">
            <w:pPr>
              <w:jc w:val="center"/>
              <w:rPr>
                <w:rFonts w:ascii="Arial" w:hAnsi="Arial" w:cs="Arial"/>
                <w:color w:val="000000"/>
              </w:rPr>
            </w:pPr>
            <w:r w:rsidRPr="000C3C85">
              <w:rPr>
                <w:rFonts w:ascii="Arial" w:hAnsi="Arial" w:cs="Arial"/>
                <w:color w:val="000000"/>
              </w:rPr>
              <w:t>40,6</w:t>
            </w:r>
          </w:p>
        </w:tc>
        <w:tc>
          <w:tcPr>
            <w:tcW w:w="977" w:type="dxa"/>
            <w:tcBorders>
              <w:top w:val="nil"/>
              <w:left w:val="nil"/>
              <w:bottom w:val="single" w:sz="4" w:space="0" w:color="auto"/>
              <w:right w:val="single" w:sz="4" w:space="0" w:color="auto"/>
            </w:tcBorders>
            <w:shd w:val="clear" w:color="auto" w:fill="C5E0B3" w:themeFill="accent6" w:themeFillTint="66"/>
            <w:vAlign w:val="bottom"/>
            <w:hideMark/>
          </w:tcPr>
          <w:p w14:paraId="724DE3B7" w14:textId="77777777" w:rsidR="003E2EDE" w:rsidRPr="000C3C85" w:rsidRDefault="003E2EDE" w:rsidP="00DC685F">
            <w:pPr>
              <w:jc w:val="center"/>
              <w:rPr>
                <w:rFonts w:ascii="Arial" w:hAnsi="Arial" w:cs="Arial"/>
                <w:color w:val="000000"/>
              </w:rPr>
            </w:pPr>
            <w:r w:rsidRPr="000C3C85">
              <w:rPr>
                <w:rFonts w:ascii="Arial" w:hAnsi="Arial" w:cs="Arial"/>
                <w:color w:val="000000"/>
              </w:rPr>
              <w:t>41,5</w:t>
            </w:r>
          </w:p>
        </w:tc>
        <w:tc>
          <w:tcPr>
            <w:tcW w:w="1291" w:type="dxa"/>
            <w:tcBorders>
              <w:top w:val="nil"/>
              <w:left w:val="nil"/>
              <w:bottom w:val="single" w:sz="4" w:space="0" w:color="auto"/>
              <w:right w:val="single" w:sz="4" w:space="0" w:color="auto"/>
            </w:tcBorders>
            <w:shd w:val="clear" w:color="auto" w:fill="C5E0B3" w:themeFill="accent6" w:themeFillTint="66"/>
            <w:vAlign w:val="bottom"/>
            <w:hideMark/>
          </w:tcPr>
          <w:p w14:paraId="3125E0C3" w14:textId="77777777" w:rsidR="003E2EDE" w:rsidRPr="000C3C85" w:rsidRDefault="003E2EDE" w:rsidP="00DC685F">
            <w:pPr>
              <w:jc w:val="center"/>
              <w:rPr>
                <w:rFonts w:ascii="Arial" w:hAnsi="Arial" w:cs="Arial"/>
                <w:color w:val="000000"/>
              </w:rPr>
            </w:pPr>
            <w:r w:rsidRPr="000C3C85">
              <w:rPr>
                <w:rFonts w:ascii="Arial" w:hAnsi="Arial" w:cs="Arial"/>
                <w:color w:val="000000"/>
              </w:rPr>
              <w:t>16,3</w:t>
            </w:r>
          </w:p>
        </w:tc>
        <w:tc>
          <w:tcPr>
            <w:tcW w:w="1253" w:type="dxa"/>
            <w:tcBorders>
              <w:top w:val="nil"/>
              <w:left w:val="nil"/>
              <w:bottom w:val="single" w:sz="4" w:space="0" w:color="auto"/>
              <w:right w:val="single" w:sz="4" w:space="0" w:color="auto"/>
            </w:tcBorders>
            <w:shd w:val="clear" w:color="auto" w:fill="C5E0B3" w:themeFill="accent6" w:themeFillTint="66"/>
            <w:vAlign w:val="bottom"/>
            <w:hideMark/>
          </w:tcPr>
          <w:p w14:paraId="152C674B" w14:textId="77777777" w:rsidR="003E2EDE" w:rsidRPr="000C3C85" w:rsidRDefault="003E2EDE" w:rsidP="00DC685F">
            <w:pPr>
              <w:jc w:val="center"/>
              <w:rPr>
                <w:rFonts w:ascii="Arial" w:hAnsi="Arial" w:cs="Arial"/>
                <w:color w:val="000000"/>
              </w:rPr>
            </w:pPr>
            <w:r w:rsidRPr="000C3C85">
              <w:rPr>
                <w:rFonts w:ascii="Arial" w:hAnsi="Arial" w:cs="Arial"/>
                <w:color w:val="000000"/>
              </w:rPr>
              <w:t>18,7</w:t>
            </w:r>
          </w:p>
        </w:tc>
        <w:tc>
          <w:tcPr>
            <w:tcW w:w="873" w:type="dxa"/>
            <w:tcBorders>
              <w:top w:val="nil"/>
              <w:left w:val="nil"/>
              <w:bottom w:val="single" w:sz="4" w:space="0" w:color="auto"/>
              <w:right w:val="single" w:sz="4" w:space="0" w:color="auto"/>
            </w:tcBorders>
            <w:shd w:val="clear" w:color="auto" w:fill="C5E0B3" w:themeFill="accent6" w:themeFillTint="66"/>
            <w:vAlign w:val="bottom"/>
            <w:hideMark/>
          </w:tcPr>
          <w:p w14:paraId="6383628A" w14:textId="77777777" w:rsidR="003E2EDE" w:rsidRPr="000C3C85" w:rsidRDefault="003E2EDE" w:rsidP="00DC685F">
            <w:pPr>
              <w:jc w:val="center"/>
              <w:rPr>
                <w:rFonts w:ascii="Arial" w:hAnsi="Arial" w:cs="Arial"/>
                <w:color w:val="000000"/>
              </w:rPr>
            </w:pPr>
            <w:r w:rsidRPr="000C3C85">
              <w:rPr>
                <w:rFonts w:ascii="Arial" w:hAnsi="Arial" w:cs="Arial"/>
                <w:color w:val="000000"/>
              </w:rPr>
              <w:t>98,8</w:t>
            </w:r>
          </w:p>
        </w:tc>
        <w:tc>
          <w:tcPr>
            <w:tcW w:w="851" w:type="dxa"/>
            <w:tcBorders>
              <w:top w:val="nil"/>
              <w:left w:val="nil"/>
              <w:bottom w:val="single" w:sz="4" w:space="0" w:color="auto"/>
              <w:right w:val="single" w:sz="4" w:space="0" w:color="auto"/>
            </w:tcBorders>
            <w:shd w:val="clear" w:color="auto" w:fill="C5E0B3" w:themeFill="accent6" w:themeFillTint="66"/>
            <w:vAlign w:val="bottom"/>
            <w:hideMark/>
          </w:tcPr>
          <w:p w14:paraId="42682E1C" w14:textId="77777777" w:rsidR="003E2EDE" w:rsidRPr="000C3C85" w:rsidRDefault="003E2EDE" w:rsidP="00DC685F">
            <w:pPr>
              <w:jc w:val="center"/>
              <w:rPr>
                <w:rFonts w:ascii="Arial" w:hAnsi="Arial" w:cs="Arial"/>
                <w:color w:val="000000"/>
              </w:rPr>
            </w:pPr>
            <w:r w:rsidRPr="000C3C85">
              <w:rPr>
                <w:rFonts w:ascii="Arial" w:hAnsi="Arial" w:cs="Arial"/>
                <w:color w:val="000000"/>
              </w:rPr>
              <w:t>106,3</w:t>
            </w:r>
          </w:p>
        </w:tc>
      </w:tr>
      <w:tr w:rsidR="003C16CE" w:rsidRPr="000C3C85" w14:paraId="401E24B5" w14:textId="77777777" w:rsidTr="00D92A49">
        <w:trPr>
          <w:trHeight w:val="300"/>
          <w:jc w:val="center"/>
        </w:trPr>
        <w:tc>
          <w:tcPr>
            <w:tcW w:w="2536" w:type="dxa"/>
            <w:tcBorders>
              <w:top w:val="nil"/>
              <w:left w:val="single" w:sz="4" w:space="0" w:color="auto"/>
              <w:bottom w:val="single" w:sz="4" w:space="0" w:color="auto"/>
              <w:right w:val="single" w:sz="4" w:space="0" w:color="auto"/>
            </w:tcBorders>
            <w:shd w:val="clear" w:color="auto" w:fill="auto"/>
            <w:vAlign w:val="center"/>
            <w:hideMark/>
          </w:tcPr>
          <w:p w14:paraId="590210AA" w14:textId="77777777" w:rsidR="003E2EDE" w:rsidRPr="000C3C85" w:rsidRDefault="003E2EDE" w:rsidP="00DC685F">
            <w:pPr>
              <w:jc w:val="center"/>
              <w:rPr>
                <w:rFonts w:ascii="Arial" w:hAnsi="Arial" w:cs="Arial"/>
                <w:color w:val="000000"/>
              </w:rPr>
            </w:pPr>
            <w:r w:rsidRPr="000C3C85">
              <w:rPr>
                <w:rFonts w:ascii="Arial" w:hAnsi="Arial" w:cs="Arial"/>
                <w:color w:val="000000"/>
              </w:rPr>
              <w:t>Ústecký kraj</w:t>
            </w:r>
          </w:p>
        </w:tc>
        <w:tc>
          <w:tcPr>
            <w:tcW w:w="1003" w:type="dxa"/>
            <w:tcBorders>
              <w:top w:val="nil"/>
              <w:left w:val="nil"/>
              <w:bottom w:val="single" w:sz="4" w:space="0" w:color="auto"/>
              <w:right w:val="single" w:sz="4" w:space="0" w:color="auto"/>
            </w:tcBorders>
            <w:shd w:val="clear" w:color="auto" w:fill="C5E0B3" w:themeFill="accent6" w:themeFillTint="66"/>
            <w:vAlign w:val="bottom"/>
            <w:hideMark/>
          </w:tcPr>
          <w:p w14:paraId="3F462E50" w14:textId="77777777" w:rsidR="003E2EDE" w:rsidRPr="000C3C85" w:rsidRDefault="003E2EDE" w:rsidP="00DC685F">
            <w:pPr>
              <w:jc w:val="center"/>
              <w:rPr>
                <w:rFonts w:ascii="Arial" w:hAnsi="Arial" w:cs="Arial"/>
                <w:color w:val="000000"/>
              </w:rPr>
            </w:pPr>
            <w:r w:rsidRPr="000C3C85">
              <w:rPr>
                <w:rFonts w:ascii="Arial" w:hAnsi="Arial" w:cs="Arial"/>
                <w:color w:val="000000"/>
              </w:rPr>
              <w:t>40,9</w:t>
            </w:r>
          </w:p>
        </w:tc>
        <w:tc>
          <w:tcPr>
            <w:tcW w:w="977" w:type="dxa"/>
            <w:tcBorders>
              <w:top w:val="nil"/>
              <w:left w:val="nil"/>
              <w:bottom w:val="single" w:sz="4" w:space="0" w:color="auto"/>
              <w:right w:val="single" w:sz="4" w:space="0" w:color="auto"/>
            </w:tcBorders>
            <w:shd w:val="clear" w:color="auto" w:fill="auto"/>
            <w:vAlign w:val="bottom"/>
            <w:hideMark/>
          </w:tcPr>
          <w:p w14:paraId="026B83C4" w14:textId="77777777" w:rsidR="003E2EDE" w:rsidRPr="000C3C85" w:rsidRDefault="003E2EDE" w:rsidP="00DC685F">
            <w:pPr>
              <w:jc w:val="center"/>
              <w:rPr>
                <w:rFonts w:ascii="Arial" w:hAnsi="Arial" w:cs="Arial"/>
                <w:color w:val="000000"/>
              </w:rPr>
            </w:pPr>
            <w:r w:rsidRPr="000C3C85">
              <w:rPr>
                <w:rFonts w:ascii="Arial" w:hAnsi="Arial" w:cs="Arial"/>
                <w:color w:val="000000"/>
              </w:rPr>
              <w:t>42,9</w:t>
            </w:r>
          </w:p>
        </w:tc>
        <w:tc>
          <w:tcPr>
            <w:tcW w:w="1291" w:type="dxa"/>
            <w:tcBorders>
              <w:top w:val="nil"/>
              <w:left w:val="nil"/>
              <w:bottom w:val="single" w:sz="4" w:space="0" w:color="auto"/>
              <w:right w:val="single" w:sz="4" w:space="0" w:color="auto"/>
            </w:tcBorders>
            <w:shd w:val="clear" w:color="auto" w:fill="C5E0B3" w:themeFill="accent6" w:themeFillTint="66"/>
            <w:vAlign w:val="bottom"/>
            <w:hideMark/>
          </w:tcPr>
          <w:p w14:paraId="71AA9B5D" w14:textId="77777777" w:rsidR="003E2EDE" w:rsidRPr="000C3C85" w:rsidRDefault="003E2EDE" w:rsidP="00DC685F">
            <w:pPr>
              <w:jc w:val="center"/>
              <w:rPr>
                <w:rFonts w:ascii="Arial" w:hAnsi="Arial" w:cs="Arial"/>
                <w:color w:val="000000"/>
              </w:rPr>
            </w:pPr>
            <w:r w:rsidRPr="000C3C85">
              <w:rPr>
                <w:rFonts w:ascii="Arial" w:hAnsi="Arial" w:cs="Arial"/>
                <w:color w:val="000000"/>
              </w:rPr>
              <w:t>16,4</w:t>
            </w:r>
          </w:p>
        </w:tc>
        <w:tc>
          <w:tcPr>
            <w:tcW w:w="1253" w:type="dxa"/>
            <w:tcBorders>
              <w:top w:val="nil"/>
              <w:left w:val="nil"/>
              <w:bottom w:val="single" w:sz="4" w:space="0" w:color="auto"/>
              <w:right w:val="single" w:sz="4" w:space="0" w:color="auto"/>
            </w:tcBorders>
            <w:shd w:val="clear" w:color="auto" w:fill="auto"/>
            <w:vAlign w:val="bottom"/>
            <w:hideMark/>
          </w:tcPr>
          <w:p w14:paraId="39174296" w14:textId="77777777" w:rsidR="003E2EDE" w:rsidRPr="000C3C85" w:rsidRDefault="003E2EDE" w:rsidP="00DC685F">
            <w:pPr>
              <w:jc w:val="center"/>
              <w:rPr>
                <w:rFonts w:ascii="Arial" w:hAnsi="Arial" w:cs="Arial"/>
                <w:color w:val="000000"/>
              </w:rPr>
            </w:pPr>
            <w:r w:rsidRPr="000C3C85">
              <w:rPr>
                <w:rFonts w:ascii="Arial" w:hAnsi="Arial" w:cs="Arial"/>
                <w:color w:val="000000"/>
              </w:rPr>
              <w:t>20,6</w:t>
            </w:r>
          </w:p>
        </w:tc>
        <w:tc>
          <w:tcPr>
            <w:tcW w:w="873" w:type="dxa"/>
            <w:tcBorders>
              <w:top w:val="nil"/>
              <w:left w:val="nil"/>
              <w:bottom w:val="single" w:sz="4" w:space="0" w:color="auto"/>
              <w:right w:val="single" w:sz="4" w:space="0" w:color="auto"/>
            </w:tcBorders>
            <w:shd w:val="clear" w:color="auto" w:fill="C5E0B3" w:themeFill="accent6" w:themeFillTint="66"/>
            <w:vAlign w:val="bottom"/>
            <w:hideMark/>
          </w:tcPr>
          <w:p w14:paraId="4C625260" w14:textId="77777777" w:rsidR="003E2EDE" w:rsidRPr="000C3C85" w:rsidRDefault="003E2EDE" w:rsidP="00DC685F">
            <w:pPr>
              <w:jc w:val="center"/>
              <w:rPr>
                <w:rFonts w:ascii="Arial" w:hAnsi="Arial" w:cs="Arial"/>
                <w:color w:val="000000"/>
              </w:rPr>
            </w:pPr>
            <w:r w:rsidRPr="000C3C85">
              <w:rPr>
                <w:rFonts w:ascii="Arial" w:hAnsi="Arial" w:cs="Arial"/>
                <w:color w:val="000000"/>
              </w:rPr>
              <w:t>105,1</w:t>
            </w:r>
          </w:p>
        </w:tc>
        <w:tc>
          <w:tcPr>
            <w:tcW w:w="851" w:type="dxa"/>
            <w:tcBorders>
              <w:top w:val="nil"/>
              <w:left w:val="nil"/>
              <w:bottom w:val="single" w:sz="4" w:space="0" w:color="auto"/>
              <w:right w:val="single" w:sz="4" w:space="0" w:color="auto"/>
            </w:tcBorders>
            <w:shd w:val="clear" w:color="auto" w:fill="auto"/>
            <w:vAlign w:val="bottom"/>
            <w:hideMark/>
          </w:tcPr>
          <w:p w14:paraId="72FF1D90" w14:textId="77777777" w:rsidR="003E2EDE" w:rsidRPr="000C3C85" w:rsidRDefault="003E2EDE" w:rsidP="00DC685F">
            <w:pPr>
              <w:jc w:val="center"/>
              <w:rPr>
                <w:rFonts w:ascii="Arial" w:hAnsi="Arial" w:cs="Arial"/>
                <w:color w:val="000000"/>
              </w:rPr>
            </w:pPr>
            <w:r w:rsidRPr="000C3C85">
              <w:rPr>
                <w:rFonts w:ascii="Arial" w:hAnsi="Arial" w:cs="Arial"/>
                <w:color w:val="000000"/>
              </w:rPr>
              <w:t>133,2</w:t>
            </w:r>
          </w:p>
        </w:tc>
      </w:tr>
      <w:tr w:rsidR="003C16CE" w:rsidRPr="000C3C85" w14:paraId="56AC8DF4" w14:textId="77777777" w:rsidTr="00D92A49">
        <w:trPr>
          <w:trHeight w:val="300"/>
          <w:jc w:val="center"/>
        </w:trPr>
        <w:tc>
          <w:tcPr>
            <w:tcW w:w="2536" w:type="dxa"/>
            <w:tcBorders>
              <w:top w:val="nil"/>
              <w:left w:val="single" w:sz="4" w:space="0" w:color="auto"/>
              <w:bottom w:val="single" w:sz="4" w:space="0" w:color="auto"/>
              <w:right w:val="single" w:sz="4" w:space="0" w:color="auto"/>
            </w:tcBorders>
            <w:shd w:val="clear" w:color="auto" w:fill="auto"/>
            <w:vAlign w:val="center"/>
            <w:hideMark/>
          </w:tcPr>
          <w:p w14:paraId="5F731648" w14:textId="77777777" w:rsidR="003E2EDE" w:rsidRPr="000C3C85" w:rsidRDefault="003E2EDE" w:rsidP="00DC685F">
            <w:pPr>
              <w:jc w:val="center"/>
              <w:rPr>
                <w:rFonts w:ascii="Arial" w:hAnsi="Arial" w:cs="Arial"/>
                <w:color w:val="000000"/>
              </w:rPr>
            </w:pPr>
            <w:r w:rsidRPr="000C3C85">
              <w:rPr>
                <w:rFonts w:ascii="Arial" w:hAnsi="Arial" w:cs="Arial"/>
                <w:color w:val="000000"/>
              </w:rPr>
              <w:t>Zlínský kraj</w:t>
            </w:r>
          </w:p>
        </w:tc>
        <w:tc>
          <w:tcPr>
            <w:tcW w:w="1003" w:type="dxa"/>
            <w:tcBorders>
              <w:top w:val="nil"/>
              <w:left w:val="nil"/>
              <w:bottom w:val="single" w:sz="4" w:space="0" w:color="auto"/>
              <w:right w:val="single" w:sz="4" w:space="0" w:color="auto"/>
            </w:tcBorders>
            <w:shd w:val="clear" w:color="auto" w:fill="F7CAAC" w:themeFill="accent2" w:themeFillTint="66"/>
            <w:vAlign w:val="bottom"/>
            <w:hideMark/>
          </w:tcPr>
          <w:p w14:paraId="5D2AC2E3" w14:textId="77777777" w:rsidR="003E2EDE" w:rsidRPr="000C3C85" w:rsidRDefault="003E2EDE" w:rsidP="00DC685F">
            <w:pPr>
              <w:jc w:val="center"/>
              <w:rPr>
                <w:rFonts w:ascii="Arial" w:hAnsi="Arial" w:cs="Arial"/>
                <w:color w:val="000000"/>
              </w:rPr>
            </w:pPr>
            <w:r w:rsidRPr="000C3C85">
              <w:rPr>
                <w:rFonts w:ascii="Arial" w:hAnsi="Arial" w:cs="Arial"/>
                <w:color w:val="000000"/>
              </w:rPr>
              <w:t>42,0</w:t>
            </w:r>
          </w:p>
        </w:tc>
        <w:tc>
          <w:tcPr>
            <w:tcW w:w="977" w:type="dxa"/>
            <w:tcBorders>
              <w:top w:val="nil"/>
              <w:left w:val="nil"/>
              <w:bottom w:val="single" w:sz="4" w:space="0" w:color="auto"/>
              <w:right w:val="single" w:sz="4" w:space="0" w:color="auto"/>
            </w:tcBorders>
            <w:shd w:val="clear" w:color="auto" w:fill="F7CAAC" w:themeFill="accent2" w:themeFillTint="66"/>
            <w:vAlign w:val="bottom"/>
            <w:hideMark/>
          </w:tcPr>
          <w:p w14:paraId="4C836C89" w14:textId="77777777" w:rsidR="003E2EDE" w:rsidRPr="000C3C85" w:rsidRDefault="003E2EDE" w:rsidP="00DC685F">
            <w:pPr>
              <w:jc w:val="center"/>
              <w:rPr>
                <w:rFonts w:ascii="Arial" w:hAnsi="Arial" w:cs="Arial"/>
                <w:color w:val="000000"/>
              </w:rPr>
            </w:pPr>
            <w:r w:rsidRPr="000C3C85">
              <w:rPr>
                <w:rFonts w:ascii="Arial" w:hAnsi="Arial" w:cs="Arial"/>
                <w:color w:val="000000"/>
              </w:rPr>
              <w:t>43,9</w:t>
            </w:r>
          </w:p>
        </w:tc>
        <w:tc>
          <w:tcPr>
            <w:tcW w:w="1291" w:type="dxa"/>
            <w:tcBorders>
              <w:top w:val="nil"/>
              <w:left w:val="nil"/>
              <w:bottom w:val="single" w:sz="4" w:space="0" w:color="auto"/>
              <w:right w:val="single" w:sz="4" w:space="0" w:color="auto"/>
            </w:tcBorders>
            <w:shd w:val="clear" w:color="auto" w:fill="auto"/>
            <w:vAlign w:val="bottom"/>
            <w:hideMark/>
          </w:tcPr>
          <w:p w14:paraId="68E79716" w14:textId="77777777" w:rsidR="003E2EDE" w:rsidRPr="000C3C85" w:rsidRDefault="003E2EDE" w:rsidP="00DC685F">
            <w:pPr>
              <w:jc w:val="center"/>
              <w:rPr>
                <w:rFonts w:ascii="Arial" w:hAnsi="Arial" w:cs="Arial"/>
                <w:color w:val="000000"/>
              </w:rPr>
            </w:pPr>
            <w:r w:rsidRPr="000C3C85">
              <w:rPr>
                <w:rFonts w:ascii="Arial" w:hAnsi="Arial" w:cs="Arial"/>
                <w:color w:val="000000"/>
              </w:rPr>
              <w:t>17,8</w:t>
            </w:r>
          </w:p>
        </w:tc>
        <w:tc>
          <w:tcPr>
            <w:tcW w:w="1253" w:type="dxa"/>
            <w:tcBorders>
              <w:top w:val="nil"/>
              <w:left w:val="nil"/>
              <w:bottom w:val="single" w:sz="4" w:space="0" w:color="auto"/>
              <w:right w:val="single" w:sz="4" w:space="0" w:color="auto"/>
            </w:tcBorders>
            <w:shd w:val="clear" w:color="auto" w:fill="F7CAAC" w:themeFill="accent2" w:themeFillTint="66"/>
            <w:vAlign w:val="bottom"/>
            <w:hideMark/>
          </w:tcPr>
          <w:p w14:paraId="179C2699" w14:textId="77777777" w:rsidR="003E2EDE" w:rsidRPr="000C3C85" w:rsidRDefault="003E2EDE" w:rsidP="00DC685F">
            <w:pPr>
              <w:jc w:val="center"/>
              <w:rPr>
                <w:rFonts w:ascii="Arial" w:hAnsi="Arial" w:cs="Arial"/>
                <w:color w:val="000000"/>
              </w:rPr>
            </w:pPr>
            <w:r w:rsidRPr="000C3C85">
              <w:rPr>
                <w:rFonts w:ascii="Arial" w:hAnsi="Arial" w:cs="Arial"/>
                <w:color w:val="000000"/>
              </w:rPr>
              <w:t>22,0</w:t>
            </w:r>
          </w:p>
        </w:tc>
        <w:tc>
          <w:tcPr>
            <w:tcW w:w="873" w:type="dxa"/>
            <w:tcBorders>
              <w:top w:val="nil"/>
              <w:left w:val="nil"/>
              <w:bottom w:val="single" w:sz="4" w:space="0" w:color="auto"/>
              <w:right w:val="single" w:sz="4" w:space="0" w:color="auto"/>
            </w:tcBorders>
            <w:shd w:val="clear" w:color="auto" w:fill="F7CAAC" w:themeFill="accent2" w:themeFillTint="66"/>
            <w:vAlign w:val="bottom"/>
            <w:hideMark/>
          </w:tcPr>
          <w:p w14:paraId="5C817BDE" w14:textId="77777777" w:rsidR="003E2EDE" w:rsidRPr="000C3C85" w:rsidRDefault="003E2EDE" w:rsidP="00DC685F">
            <w:pPr>
              <w:jc w:val="center"/>
              <w:rPr>
                <w:rFonts w:ascii="Arial" w:hAnsi="Arial" w:cs="Arial"/>
                <w:color w:val="000000"/>
              </w:rPr>
            </w:pPr>
            <w:r w:rsidRPr="000C3C85">
              <w:rPr>
                <w:rFonts w:ascii="Arial" w:hAnsi="Arial" w:cs="Arial"/>
                <w:color w:val="000000"/>
              </w:rPr>
              <w:t>123,6</w:t>
            </w:r>
          </w:p>
        </w:tc>
        <w:tc>
          <w:tcPr>
            <w:tcW w:w="851" w:type="dxa"/>
            <w:tcBorders>
              <w:top w:val="nil"/>
              <w:left w:val="nil"/>
              <w:bottom w:val="single" w:sz="4" w:space="0" w:color="auto"/>
              <w:right w:val="single" w:sz="4" w:space="0" w:color="auto"/>
            </w:tcBorders>
            <w:shd w:val="clear" w:color="auto" w:fill="F7CAAC" w:themeFill="accent2" w:themeFillTint="66"/>
            <w:vAlign w:val="bottom"/>
            <w:hideMark/>
          </w:tcPr>
          <w:p w14:paraId="6E79EE01" w14:textId="77777777" w:rsidR="003E2EDE" w:rsidRPr="000C3C85" w:rsidRDefault="003E2EDE" w:rsidP="00DC685F">
            <w:pPr>
              <w:jc w:val="center"/>
              <w:rPr>
                <w:rFonts w:ascii="Arial" w:hAnsi="Arial" w:cs="Arial"/>
                <w:color w:val="000000"/>
              </w:rPr>
            </w:pPr>
            <w:r w:rsidRPr="000C3C85">
              <w:rPr>
                <w:rFonts w:ascii="Arial" w:hAnsi="Arial" w:cs="Arial"/>
                <w:color w:val="000000"/>
              </w:rPr>
              <w:t>145,3</w:t>
            </w:r>
          </w:p>
        </w:tc>
      </w:tr>
    </w:tbl>
    <w:p w14:paraId="73F334F1" w14:textId="77777777" w:rsidR="0038385E" w:rsidRPr="00371ACB" w:rsidRDefault="0038385E" w:rsidP="0038385E">
      <w:pPr>
        <w:pStyle w:val="Dalodstavce"/>
        <w:ind w:firstLine="0"/>
      </w:pPr>
    </w:p>
    <w:p w14:paraId="0DE74FD4" w14:textId="5DAD8137" w:rsidR="00BF14D0" w:rsidRDefault="00DF66BD" w:rsidP="002E32D6">
      <w:pPr>
        <w:pStyle w:val="Nadpis1"/>
        <w:numPr>
          <w:ilvl w:val="0"/>
          <w:numId w:val="14"/>
        </w:numPr>
      </w:pPr>
      <w:bookmarkStart w:id="23" w:name="_Toc195517110"/>
      <w:r>
        <w:lastRenderedPageBreak/>
        <w:t>Urgentní příjem</w:t>
      </w:r>
      <w:bookmarkEnd w:id="23"/>
    </w:p>
    <w:p w14:paraId="004CF2FA" w14:textId="2B48E4BF" w:rsidR="00EF7686" w:rsidRDefault="00385FBE" w:rsidP="00EF7686">
      <w:pPr>
        <w:pStyle w:val="Odstavec1"/>
      </w:pPr>
      <w:r>
        <w:t>Urgentní medicína</w:t>
      </w:r>
      <w:r w:rsidR="001A5DB5">
        <w:t xml:space="preserve"> je </w:t>
      </w:r>
      <w:r w:rsidR="004E04F0">
        <w:t>m</w:t>
      </w:r>
      <w:r w:rsidR="0056337C">
        <w:t>ultidisciplinárním</w:t>
      </w:r>
      <w:r w:rsidR="004E04F0">
        <w:t xml:space="preserve"> oborem</w:t>
      </w:r>
      <w:r w:rsidR="001A5DB5">
        <w:t>,</w:t>
      </w:r>
      <w:r w:rsidR="00A00A0E">
        <w:t xml:space="preserve"> který se zabývá</w:t>
      </w:r>
      <w:r w:rsidR="00B40C77">
        <w:t xml:space="preserve"> prevenc</w:t>
      </w:r>
      <w:r w:rsidR="00A00A0E">
        <w:t>í</w:t>
      </w:r>
      <w:r w:rsidR="00B40C77">
        <w:t>, diagnostik</w:t>
      </w:r>
      <w:r w:rsidR="00A00A0E">
        <w:t>o</w:t>
      </w:r>
      <w:r w:rsidR="00B40C77">
        <w:t>u a</w:t>
      </w:r>
      <w:r w:rsidR="00F93EB0">
        <w:t xml:space="preserve"> řešení</w:t>
      </w:r>
      <w:r w:rsidR="00A00A0E">
        <w:t>m</w:t>
      </w:r>
      <w:r w:rsidR="00EF6FD9">
        <w:t xml:space="preserve"> </w:t>
      </w:r>
      <w:r w:rsidR="0021617E">
        <w:t>naléhavých a neodkladných</w:t>
      </w:r>
      <w:r w:rsidR="00EF6FD9">
        <w:t xml:space="preserve"> </w:t>
      </w:r>
      <w:r w:rsidR="0021617E">
        <w:t>příznaků</w:t>
      </w:r>
      <w:r w:rsidR="00550336">
        <w:t xml:space="preserve"> nemocí a úrazů, postihující</w:t>
      </w:r>
      <w:r w:rsidR="000C6E46">
        <w:t>ch</w:t>
      </w:r>
      <w:r w:rsidR="00550336">
        <w:t xml:space="preserve"> pacienty všech věkových kategorií</w:t>
      </w:r>
      <w:r w:rsidR="001D2923">
        <w:t>, a to</w:t>
      </w:r>
      <w:r w:rsidR="00925AB1">
        <w:t xml:space="preserve"> </w:t>
      </w:r>
      <w:r w:rsidR="003E64A1">
        <w:t>v</w:t>
      </w:r>
      <w:r w:rsidR="00FE048F">
        <w:t> </w:t>
      </w:r>
      <w:r w:rsidR="003E64A1">
        <w:t>celé</w:t>
      </w:r>
      <w:r w:rsidR="00FE048F">
        <w:t xml:space="preserve"> škále nediferencovaných somatických a</w:t>
      </w:r>
      <w:r w:rsidR="00977495">
        <w:t> </w:t>
      </w:r>
      <w:r w:rsidR="00FE048F">
        <w:t>psychických poruch</w:t>
      </w:r>
      <w:r w:rsidR="006B5FFC">
        <w:t xml:space="preserve">. </w:t>
      </w:r>
      <w:r w:rsidR="009A6481">
        <w:t xml:space="preserve">Jako tři základní pilíře moderního systému urgentní medicíny jsou </w:t>
      </w:r>
      <w:r w:rsidR="003C3468">
        <w:t>označovány</w:t>
      </w:r>
      <w:r w:rsidR="00E2636D">
        <w:t xml:space="preserve"> </w:t>
      </w:r>
      <w:r w:rsidR="00AC7864">
        <w:t>přednemocniční neodkladná péče</w:t>
      </w:r>
      <w:r w:rsidR="0021770E">
        <w:t xml:space="preserve"> (zdravotnická záchranná služba), </w:t>
      </w:r>
      <w:r w:rsidR="00CC7463">
        <w:t xml:space="preserve">na ni navazující </w:t>
      </w:r>
      <w:r w:rsidR="0021770E">
        <w:t>časná neodkladná nemocniční péče (urgentní příjmy) a připravenost na řešení mimořádných událostí</w:t>
      </w:r>
      <w:r w:rsidR="00DD507C">
        <w:t xml:space="preserve">. Vzhledem k tematickému zaměření </w:t>
      </w:r>
      <w:r w:rsidR="00977495">
        <w:t xml:space="preserve">diplomové </w:t>
      </w:r>
      <w:r w:rsidR="00DD507C">
        <w:t>práce</w:t>
      </w:r>
      <w:r w:rsidR="00232058">
        <w:t xml:space="preserve"> </w:t>
      </w:r>
      <w:r w:rsidR="00BF38CB">
        <w:t xml:space="preserve">se </w:t>
      </w:r>
      <w:r w:rsidR="00232058">
        <w:t>bude</w:t>
      </w:r>
      <w:r w:rsidR="00BF38CB">
        <w:t xml:space="preserve"> </w:t>
      </w:r>
      <w:r w:rsidR="00E441D0">
        <w:t>následující text</w:t>
      </w:r>
      <w:r w:rsidR="00BF38CB">
        <w:t xml:space="preserve"> soustředit na</w:t>
      </w:r>
      <w:r w:rsidR="00E441D0">
        <w:t xml:space="preserve"> pop</w:t>
      </w:r>
      <w:r w:rsidR="00BF38CB">
        <w:t>is</w:t>
      </w:r>
      <w:r w:rsidR="00E441D0">
        <w:t xml:space="preserve"> </w:t>
      </w:r>
      <w:r w:rsidR="00E427F2">
        <w:t>problematik</w:t>
      </w:r>
      <w:r w:rsidR="00BF38CB">
        <w:t>y</w:t>
      </w:r>
      <w:r w:rsidR="00E427F2">
        <w:t xml:space="preserve"> urgentního příjmu.</w:t>
      </w:r>
      <w:r w:rsidR="003A7742">
        <w:fldChar w:fldCharType="begin"/>
      </w:r>
      <w:r w:rsidR="00E87A1C">
        <w:instrText xml:space="preserve"> ADDIN ZOTERO_ITEM CSL_CITATION {"citationID":"0K29Y1yr","properties":{"formattedCitation":"\\super 12(p15)\\nosupersub{}","plainCitation":"12(p15)","noteIndex":0},"citationItems":[{"id":155,"uris":["http://zotero.org/users/9426386/items/D8FB8QGE"],"itemData":{"id":155,"type":"book","edition":"2nd suppl. and updated ed.","event-place":"Praha","ISBN":"978-80-271-0596-0","language":"cze","note":"OCLC: 1078647920","number-of-pages":"492","publisher":"Grada Publishing","publisher-place":"Praha","source":"Open WorldCat","title":"Urgentní medicína v klinické praxi lékaře","author":[{"family":"Šeblová","given":"Jana"},{"family":"Knor","given":"Jiří"}],"issued":{"date-parts":[["2018"]]}},"locator":"15","label":"page"}],"schema":"https://github.com/citation-style-language/schema/raw/master/csl-citation.json"} </w:instrText>
      </w:r>
      <w:r w:rsidR="003A7742">
        <w:fldChar w:fldCharType="separate"/>
      </w:r>
      <w:r w:rsidR="00E87A1C" w:rsidRPr="00E87A1C">
        <w:rPr>
          <w:vertAlign w:val="superscript"/>
        </w:rPr>
        <w:t>12(p15)</w:t>
      </w:r>
      <w:r w:rsidR="003A7742">
        <w:fldChar w:fldCharType="end"/>
      </w:r>
    </w:p>
    <w:p w14:paraId="4FD9585E" w14:textId="564355F4" w:rsidR="001719D1" w:rsidRDefault="00EF7686" w:rsidP="00C34FE1">
      <w:pPr>
        <w:pStyle w:val="Dalodstavce"/>
      </w:pPr>
      <w:r>
        <w:t xml:space="preserve">Urgentní příjem je </w:t>
      </w:r>
      <w:r w:rsidR="00EC364F">
        <w:t>samostatný</w:t>
      </w:r>
      <w:r w:rsidR="006A2009">
        <w:t xml:space="preserve">m specializovaným </w:t>
      </w:r>
      <w:r>
        <w:t>pracovištěm</w:t>
      </w:r>
      <w:r w:rsidR="00C1743D">
        <w:t xml:space="preserve"> s nepřetržitým provozem</w:t>
      </w:r>
      <w:r>
        <w:t xml:space="preserve">, na němž </w:t>
      </w:r>
      <w:r w:rsidR="00570FA9">
        <w:t>probíhá diagnostika a terapie</w:t>
      </w:r>
      <w:r w:rsidR="008B1420">
        <w:t xml:space="preserve"> náhle vzniklých </w:t>
      </w:r>
      <w:r w:rsidR="00A451C0">
        <w:t xml:space="preserve">změn zdravotního </w:t>
      </w:r>
      <w:r w:rsidR="008B1420">
        <w:t>stav</w:t>
      </w:r>
      <w:r w:rsidR="00A451C0">
        <w:t>u</w:t>
      </w:r>
      <w:r w:rsidR="00C01BBC">
        <w:t xml:space="preserve"> pacienta</w:t>
      </w:r>
      <w:r w:rsidR="008B1420">
        <w:t>.</w:t>
      </w:r>
      <w:r w:rsidR="001E50E4">
        <w:t xml:space="preserve"> </w:t>
      </w:r>
      <w:r w:rsidR="001F75F3">
        <w:t>Pracoviště</w:t>
      </w:r>
      <w:r w:rsidR="00910FF4">
        <w:t xml:space="preserve"> poskytuje </w:t>
      </w:r>
      <w:r w:rsidR="00953B34">
        <w:t>jak</w:t>
      </w:r>
      <w:r w:rsidR="00EF3CFC">
        <w:t xml:space="preserve"> </w:t>
      </w:r>
      <w:r w:rsidR="00953B34">
        <w:t>intenzivní akutní lůžkovou péči</w:t>
      </w:r>
      <w:r w:rsidR="00EF3CFC">
        <w:t>, tak i specializovanou ambulantní péči</w:t>
      </w:r>
      <w:r w:rsidR="00C01C56">
        <w:t>, a to</w:t>
      </w:r>
      <w:r w:rsidR="00623CAA">
        <w:t xml:space="preserve"> všem pacientům nehledě na </w:t>
      </w:r>
      <w:r w:rsidR="003B0606">
        <w:t>závažnost jejich zdravotního stavu, či způsob</w:t>
      </w:r>
      <w:r w:rsidR="00E125F5">
        <w:t xml:space="preserve"> jejich dopra</w:t>
      </w:r>
      <w:r w:rsidR="008E5D78">
        <w:t>vení se</w:t>
      </w:r>
      <w:r w:rsidR="00E125F5">
        <w:t xml:space="preserve"> k</w:t>
      </w:r>
      <w:r w:rsidR="00ED4179">
        <w:t> </w:t>
      </w:r>
      <w:r w:rsidR="00E125F5">
        <w:t>ošetření</w:t>
      </w:r>
      <w:r w:rsidR="00ED4179">
        <w:t xml:space="preserve"> – </w:t>
      </w:r>
      <w:r w:rsidR="00E14964">
        <w:t>pacienti přivezeni zdravotnickou záchrannou službou</w:t>
      </w:r>
      <w:r w:rsidR="00CB21C2">
        <w:t xml:space="preserve"> (dále jen ZZS)</w:t>
      </w:r>
      <w:r w:rsidR="00D40F66">
        <w:t>, zdravotnickou dopravní službou</w:t>
      </w:r>
      <w:r w:rsidR="00CB21C2">
        <w:t xml:space="preserve"> (dále jen </w:t>
      </w:r>
      <w:r w:rsidR="00A669CB">
        <w:t>ZDS</w:t>
      </w:r>
      <w:r w:rsidR="00CB21C2">
        <w:t>)</w:t>
      </w:r>
      <w:r w:rsidR="007E1126">
        <w:t xml:space="preserve">, </w:t>
      </w:r>
      <w:r w:rsidR="00DA574C">
        <w:t>stejně tak pacienti přijíždějící</w:t>
      </w:r>
      <w:r w:rsidR="005158F9">
        <w:t>,</w:t>
      </w:r>
      <w:r w:rsidR="00DA574C">
        <w:t xml:space="preserve"> či přicházející</w:t>
      </w:r>
      <w:r w:rsidR="00961604">
        <w:t xml:space="preserve"> samostatně s lékařským doporučením i</w:t>
      </w:r>
      <w:r w:rsidR="00A669CB">
        <w:t> </w:t>
      </w:r>
      <w:r w:rsidR="00961604">
        <w:t>bez něj</w:t>
      </w:r>
      <w:r w:rsidR="00E125F5">
        <w:t>.</w:t>
      </w:r>
      <w:r w:rsidR="0032029A">
        <w:t xml:space="preserve"> </w:t>
      </w:r>
      <w:r w:rsidR="002D4496">
        <w:t xml:space="preserve">Po </w:t>
      </w:r>
      <w:r w:rsidR="00073549">
        <w:t>vstupní</w:t>
      </w:r>
      <w:r w:rsidR="00555623">
        <w:t xml:space="preserve">m </w:t>
      </w:r>
      <w:r w:rsidR="00B306D0">
        <w:t>zdravotnickém třídění</w:t>
      </w:r>
      <w:r w:rsidR="00555623">
        <w:t xml:space="preserve"> (tzv. </w:t>
      </w:r>
      <w:proofErr w:type="spellStart"/>
      <w:r w:rsidR="00555623">
        <w:t>triáži</w:t>
      </w:r>
      <w:proofErr w:type="spellEnd"/>
      <w:r w:rsidR="00555623">
        <w:t xml:space="preserve"> </w:t>
      </w:r>
      <w:r w:rsidR="0083208C">
        <w:t>nebo též</w:t>
      </w:r>
      <w:r w:rsidR="00555623">
        <w:t xml:space="preserve"> </w:t>
      </w:r>
      <w:proofErr w:type="spellStart"/>
      <w:r w:rsidR="00555623">
        <w:t>triage</w:t>
      </w:r>
      <w:proofErr w:type="spellEnd"/>
      <w:r w:rsidR="00555623">
        <w:t>)</w:t>
      </w:r>
      <w:r w:rsidR="00073549">
        <w:t>, vyšetření a</w:t>
      </w:r>
      <w:r w:rsidR="00A669CB">
        <w:t> </w:t>
      </w:r>
      <w:r w:rsidR="002D4496">
        <w:t>primárním oš</w:t>
      </w:r>
      <w:r w:rsidR="006E51BD">
        <w:t>etření (</w:t>
      </w:r>
      <w:r w:rsidR="00906775">
        <w:t>příp.</w:t>
      </w:r>
      <w:r w:rsidR="006E51BD">
        <w:t xml:space="preserve"> stabilizaci vitálních funkcí</w:t>
      </w:r>
      <w:r w:rsidR="00906775">
        <w:t>, je-li nezbytná</w:t>
      </w:r>
      <w:r w:rsidR="006E51BD">
        <w:t>)</w:t>
      </w:r>
      <w:r w:rsidR="00906775">
        <w:t xml:space="preserve"> je pac</w:t>
      </w:r>
      <w:r w:rsidR="00697581">
        <w:t>ient v péči urgentního příjmu dále směřován</w:t>
      </w:r>
      <w:r w:rsidR="00380796">
        <w:t xml:space="preserve"> do odpovídající péče (</w:t>
      </w:r>
      <w:r w:rsidR="000C7334">
        <w:t xml:space="preserve">resuscitační, </w:t>
      </w:r>
      <w:r w:rsidR="00380796">
        <w:t xml:space="preserve">intenzivní </w:t>
      </w:r>
      <w:r w:rsidR="00F116BE">
        <w:t xml:space="preserve">či </w:t>
      </w:r>
      <w:r w:rsidR="00380796">
        <w:t xml:space="preserve">standardní </w:t>
      </w:r>
      <w:r w:rsidR="00F116BE">
        <w:t>lůžko</w:t>
      </w:r>
      <w:r w:rsidR="00B54C81">
        <w:t>,</w:t>
      </w:r>
      <w:r w:rsidR="00AF105C">
        <w:t xml:space="preserve"> </w:t>
      </w:r>
      <w:r w:rsidR="00B54C81">
        <w:t>ambulantní péče</w:t>
      </w:r>
      <w:r w:rsidR="00B12301">
        <w:t>, jiné zdravotnické zařízení</w:t>
      </w:r>
      <w:r w:rsidR="000755AD">
        <w:t>,</w:t>
      </w:r>
      <w:r w:rsidR="00DB3FAB">
        <w:t xml:space="preserve"> </w:t>
      </w:r>
      <w:r w:rsidR="000755AD">
        <w:t>předán</w:t>
      </w:r>
      <w:r w:rsidR="00DB3FAB">
        <w:t>í</w:t>
      </w:r>
      <w:r w:rsidR="000755AD">
        <w:t xml:space="preserve"> do</w:t>
      </w:r>
      <w:r w:rsidR="00095FF1">
        <w:t xml:space="preserve"> péče registrujícího praktického lékaře</w:t>
      </w:r>
      <w:r w:rsidR="009713D5">
        <w:t xml:space="preserve">, </w:t>
      </w:r>
      <w:r w:rsidR="00FD0261">
        <w:t>domácí pé</w:t>
      </w:r>
      <w:r w:rsidR="009713D5">
        <w:t>če apod.</w:t>
      </w:r>
      <w:r w:rsidR="00380796">
        <w:t>).</w:t>
      </w:r>
      <w:r w:rsidR="009071C1">
        <w:fldChar w:fldCharType="begin"/>
      </w:r>
      <w:r w:rsidR="009B3709">
        <w:instrText xml:space="preserve"> ADDIN ZOTERO_ITEM CSL_CITATION {"citationID":"vc8jhR91","properties":{"formattedCitation":"\\super 12(p20),34(pp152-153),35(p45)\\nosupersub{}","plainCitation":"12(p20),34(pp152-153),35(p45)","noteIndex":0},"citationItems":[{"id":155,"uris":["http://zotero.org/users/9426386/items/D8FB8QGE"],"itemData":{"id":155,"type":"book","edition":"2nd suppl. and updated ed.","event-place":"Praha","ISBN":"978-80-271-0596-0","language":"cze","note":"OCLC: 1078647920","number-of-pages":"492","publisher":"Grada Publishing","publisher-place":"Praha","source":"Open WorldCat","title":"Urgentní medicína v klinické praxi lékaře","author":[{"family":"Šeblová","given":"Jana"},{"family":"Knor","given":"Jiří"}],"issued":{"date-parts":[["2018"]]}},"locator":"20","label":"page"},{"id":188,"uris":["http://zotero.org/users/9426386/items/MJQKSCXY"],"itemData":{"id":188,"type":"bill","authority":"Ministerstvo zdravotnictví ČR","language":"cs","title":"Věstník č. 9/2020","URL":"https://mzd.gov.cz/vestnik/vestnik-c-9-2020/","issued":{"date-parts":[["2020"]],"season":"8"}},"locator":"152-153","label":"page"},{"id":189,"uris":["http://zotero.org/users/9426386/items/QSGCR5V3"],"itemData":{"id":189,"type":"book","event-place":"Praha","ISBN":"978-80-247-4530-5","language":"cs","number-of-pages":"240","publisher":"Grada","publisher-place":"Praha","title":"Praktická příručka přednemocniční urgentní medicíny","author":[{"family":"Remeš","given":"Roman"},{"family":"Trnovská","given":"Silvia"}],"issued":{"date-parts":[["2013"]]}},"locator":"45","label":"page"}],"schema":"https://github.com/citation-style-language/schema/raw/master/csl-citation.json"} </w:instrText>
      </w:r>
      <w:r w:rsidR="009071C1">
        <w:fldChar w:fldCharType="separate"/>
      </w:r>
      <w:r w:rsidR="001300F0" w:rsidRPr="001300F0">
        <w:rPr>
          <w:vertAlign w:val="superscript"/>
        </w:rPr>
        <w:t>12(p20),34(pp152-153),35(p45)</w:t>
      </w:r>
      <w:r w:rsidR="009071C1">
        <w:fldChar w:fldCharType="end"/>
      </w:r>
    </w:p>
    <w:p w14:paraId="098EFCD3" w14:textId="3D4CB359" w:rsidR="00AD4736" w:rsidRPr="00AD4736" w:rsidRDefault="00233164" w:rsidP="00EF7686">
      <w:pPr>
        <w:pStyle w:val="Dalodstavce"/>
      </w:pPr>
      <w:r>
        <w:t>F</w:t>
      </w:r>
      <w:r w:rsidR="00953693">
        <w:t>unkc</w:t>
      </w:r>
      <w:r>
        <w:t>e</w:t>
      </w:r>
      <w:r w:rsidR="00953693">
        <w:t xml:space="preserve"> urgentního příjmu</w:t>
      </w:r>
      <w:r w:rsidR="00741D14">
        <w:t xml:space="preserve"> </w:t>
      </w:r>
      <w:r w:rsidR="0056380A">
        <w:t xml:space="preserve">tak </w:t>
      </w:r>
      <w:r w:rsidR="0065170D">
        <w:t>spočívá</w:t>
      </w:r>
      <w:r w:rsidR="00D86EFE">
        <w:t xml:space="preserve"> </w:t>
      </w:r>
      <w:r w:rsidR="0065170D">
        <w:t xml:space="preserve">v zajištění </w:t>
      </w:r>
      <w:r w:rsidR="00DE2CDC">
        <w:t>plynulosti</w:t>
      </w:r>
      <w:r w:rsidR="00DD5146">
        <w:t xml:space="preserve"> poskytované</w:t>
      </w:r>
      <w:r w:rsidR="0065170D">
        <w:t xml:space="preserve"> péče</w:t>
      </w:r>
      <w:r w:rsidR="00642EDF">
        <w:t xml:space="preserve"> </w:t>
      </w:r>
      <w:r w:rsidR="00A56B7D">
        <w:t>a</w:t>
      </w:r>
      <w:r w:rsidR="00642EDF">
        <w:t> </w:t>
      </w:r>
      <w:r w:rsidR="00A52422">
        <w:t>v </w:t>
      </w:r>
      <w:r w:rsidR="00B52027">
        <w:t xml:space="preserve">zastávání </w:t>
      </w:r>
      <w:r w:rsidR="00A56B7D">
        <w:t>funkc</w:t>
      </w:r>
      <w:r w:rsidR="00B52027">
        <w:t>e pomyslného</w:t>
      </w:r>
      <w:r w:rsidR="00A56B7D">
        <w:t xml:space="preserve"> </w:t>
      </w:r>
      <w:r w:rsidR="005C47B2">
        <w:t>filtru</w:t>
      </w:r>
      <w:r w:rsidR="007A3435">
        <w:t xml:space="preserve"> daného </w:t>
      </w:r>
      <w:r w:rsidR="005C47B2">
        <w:t>nemocniční</w:t>
      </w:r>
      <w:r w:rsidR="007A3435">
        <w:t>ho</w:t>
      </w:r>
      <w:r w:rsidR="005C47B2">
        <w:t xml:space="preserve"> zařízení (</w:t>
      </w:r>
      <w:r w:rsidR="00A4603E">
        <w:t>pomocí urgentní</w:t>
      </w:r>
      <w:r w:rsidR="00F6695A">
        <w:t>ho</w:t>
      </w:r>
      <w:r w:rsidR="00A4603E">
        <w:t xml:space="preserve"> příjm</w:t>
      </w:r>
      <w:r w:rsidR="00F6695A">
        <w:t>u</w:t>
      </w:r>
      <w:r w:rsidR="00A4603E">
        <w:t>, jakožto vstupní brán</w:t>
      </w:r>
      <w:r w:rsidR="00F6695A">
        <w:t>y</w:t>
      </w:r>
      <w:r w:rsidR="00A4603E">
        <w:t xml:space="preserve"> do </w:t>
      </w:r>
      <w:r w:rsidR="005E2C9C">
        <w:t>nemocnice</w:t>
      </w:r>
      <w:r w:rsidR="00F6695A">
        <w:t xml:space="preserve">, lze zabránit </w:t>
      </w:r>
      <w:r w:rsidR="0078585B">
        <w:t xml:space="preserve">zbytečným hospitalizacím </w:t>
      </w:r>
      <w:r w:rsidR="007303CE">
        <w:t xml:space="preserve">se </w:t>
      </w:r>
      <w:r w:rsidR="0078585B">
        <w:t>současn</w:t>
      </w:r>
      <w:r w:rsidR="007303CE">
        <w:t xml:space="preserve">ým </w:t>
      </w:r>
      <w:r w:rsidR="0078585B">
        <w:t>zachováním bezpeč</w:t>
      </w:r>
      <w:r w:rsidR="002C7DAE">
        <w:t>nosti pro pacienty</w:t>
      </w:r>
      <w:r w:rsidR="005C47B2">
        <w:t xml:space="preserve">). </w:t>
      </w:r>
      <w:r w:rsidR="00166182">
        <w:t>Neméně významn</w:t>
      </w:r>
      <w:r w:rsidR="000E07E2">
        <w:t>ými</w:t>
      </w:r>
      <w:r w:rsidR="00166182">
        <w:t xml:space="preserve"> j</w:t>
      </w:r>
      <w:r w:rsidR="000E07E2">
        <w:t>sou</w:t>
      </w:r>
      <w:r w:rsidR="00166182">
        <w:t xml:space="preserve"> taktéž </w:t>
      </w:r>
      <w:r w:rsidR="00F869E0">
        <w:t xml:space="preserve">klinická a vzdělávací funkce </w:t>
      </w:r>
      <w:r w:rsidR="00166182">
        <w:t xml:space="preserve">v rámci </w:t>
      </w:r>
      <w:r w:rsidR="00F869E0">
        <w:t>oboru urgentní medicíny</w:t>
      </w:r>
      <w:r w:rsidR="00CD2D59">
        <w:t>.</w:t>
      </w:r>
      <w:r w:rsidR="000C3C6B">
        <w:t xml:space="preserve"> Významným dokumentem pro fungování samotných urgentních příjmů je Věstník </w:t>
      </w:r>
      <w:r w:rsidR="006E7B24">
        <w:t>Ministerstva zdravotnictví</w:t>
      </w:r>
      <w:r w:rsidR="000C3C6B">
        <w:t xml:space="preserve"> ČR č. 9/2020, který ve svém Metodickém pokynu pro zřízení a vedení urgentních příjmů poskytovateli akutní lůžkové péče v ČR stanovuje jednotné podmínky pro plošné zavedení, vybavení a provoz těchto pracovišť.</w:t>
      </w:r>
      <w:r w:rsidR="00350E50">
        <w:fldChar w:fldCharType="begin"/>
      </w:r>
      <w:r w:rsidR="009B3709">
        <w:instrText xml:space="preserve"> ADDIN ZOTERO_ITEM CSL_CITATION {"citationID":"4RrRH9Jo","properties":{"formattedCitation":"\\super 12(p17),34(p152)\\nosupersub{}","plainCitation":"12(p17),34(p152)","noteIndex":0},"citationItems":[{"id":155,"uris":["http://zotero.org/users/9426386/items/D8FB8QGE"],"itemData":{"id":155,"type":"book","edition":"2nd suppl. and updated ed.","event-place":"Praha","ISBN":"978-80-271-0596-0","language":"cze","note":"OCLC: 1078647920","number-of-pages":"492","publisher":"Grada Publishing","publisher-place":"Praha","source":"Open WorldCat","title":"Urgentní medicína v klinické praxi lékaře","author":[{"family":"Šeblová","given":"Jana"},{"family":"Knor","given":"Jiří"}],"issued":{"date-parts":[["2018"]]}},"locator":"17","label":"page"},{"id":188,"uris":["http://zotero.org/users/9426386/items/MJQKSCXY"],"itemData":{"id":188,"type":"bill","authority":"Ministerstvo zdravotnictví ČR","language":"cs","title":"Věstník č. 9/2020","URL":"https://mzd.gov.cz/vestnik/vestnik-c-9-2020/","issued":{"date-parts":[["2020"]],"season":"8"}},"locator":"152","label":"page"}],"schema":"https://github.com/citation-style-language/schema/raw/master/csl-citation.json"} </w:instrText>
      </w:r>
      <w:r w:rsidR="00350E50">
        <w:fldChar w:fldCharType="separate"/>
      </w:r>
      <w:r w:rsidR="001300F0" w:rsidRPr="001300F0">
        <w:rPr>
          <w:vertAlign w:val="superscript"/>
        </w:rPr>
        <w:t>12(p17),34(p152)</w:t>
      </w:r>
      <w:r w:rsidR="00350E50">
        <w:fldChar w:fldCharType="end"/>
      </w:r>
    </w:p>
    <w:p w14:paraId="613263D2" w14:textId="55A4ECB3" w:rsidR="00385DCF" w:rsidRDefault="00392C4B" w:rsidP="002E32D6">
      <w:pPr>
        <w:pStyle w:val="Nadpis2"/>
        <w:numPr>
          <w:ilvl w:val="1"/>
          <w:numId w:val="14"/>
        </w:numPr>
      </w:pPr>
      <w:bookmarkStart w:id="24" w:name="_Toc195517111"/>
      <w:r>
        <w:t>Geriatric</w:t>
      </w:r>
      <w:r w:rsidR="00B758D8">
        <w:t xml:space="preserve">ká problematika </w:t>
      </w:r>
      <w:r w:rsidR="000E0875">
        <w:t>na </w:t>
      </w:r>
      <w:r w:rsidR="00B758D8">
        <w:t>urgentní</w:t>
      </w:r>
      <w:r w:rsidR="000E0875">
        <w:t>m příjmu</w:t>
      </w:r>
      <w:bookmarkEnd w:id="24"/>
    </w:p>
    <w:p w14:paraId="033F453D" w14:textId="26DD2BC0" w:rsidR="00EB2546" w:rsidRDefault="00441AB5" w:rsidP="00F46D8C">
      <w:pPr>
        <w:pStyle w:val="Odstavec1"/>
      </w:pPr>
      <w:r>
        <w:t xml:space="preserve">Již </w:t>
      </w:r>
      <w:r w:rsidR="00A2327F">
        <w:t>z</w:t>
      </w:r>
      <w:r>
        <w:t xml:space="preserve">e samotné definice urgentní medicíny </w:t>
      </w:r>
      <w:r w:rsidR="00F636C0">
        <w:t>vyplývá, že</w:t>
      </w:r>
      <w:r w:rsidR="00782237">
        <w:t xml:space="preserve"> i geriatrický pacient je součástí sféry zájmu</w:t>
      </w:r>
      <w:r w:rsidR="00E77DF0">
        <w:t xml:space="preserve"> </w:t>
      </w:r>
      <w:r w:rsidR="00FF5991">
        <w:t xml:space="preserve">zmiňovaného </w:t>
      </w:r>
      <w:r w:rsidR="00A2327F">
        <w:t>oboru</w:t>
      </w:r>
      <w:r w:rsidR="005655C1">
        <w:t>.</w:t>
      </w:r>
      <w:r w:rsidR="00D64BB1">
        <w:t xml:space="preserve"> </w:t>
      </w:r>
      <w:r w:rsidR="00F771A3">
        <w:t>Při r</w:t>
      </w:r>
      <w:r w:rsidR="00D64BB1">
        <w:t xml:space="preserve">ozhodování o vedení léčby </w:t>
      </w:r>
      <w:r w:rsidR="00F771A3">
        <w:t xml:space="preserve">u </w:t>
      </w:r>
      <w:r w:rsidR="00385564">
        <w:t xml:space="preserve">starších </w:t>
      </w:r>
      <w:r w:rsidR="00D64BB1">
        <w:t>pacien</w:t>
      </w:r>
      <w:r w:rsidR="00385564">
        <w:t xml:space="preserve">tů je </w:t>
      </w:r>
      <w:r w:rsidR="00730B3B">
        <w:t xml:space="preserve">velmi </w:t>
      </w:r>
      <w:r w:rsidR="0029789B">
        <w:t xml:space="preserve">často </w:t>
      </w:r>
      <w:r w:rsidR="00385564">
        <w:t>zapotřebí</w:t>
      </w:r>
      <w:r w:rsidR="0029789B">
        <w:t xml:space="preserve"> brát v potaz specifickou problematiku související s je</w:t>
      </w:r>
      <w:r w:rsidR="004911F3">
        <w:t>jich</w:t>
      </w:r>
      <w:r w:rsidR="0029789B">
        <w:t xml:space="preserve"> věkem (</w:t>
      </w:r>
      <w:r w:rsidR="00AA63BD">
        <w:t>blíže</w:t>
      </w:r>
      <w:r w:rsidR="00737835">
        <w:t xml:space="preserve"> o tematice nemoci ve stáří pojednává celá kapitola </w:t>
      </w:r>
      <w:r w:rsidR="00AA63BD">
        <w:t>2.2</w:t>
      </w:r>
      <w:r w:rsidR="0029789B">
        <w:t>).</w:t>
      </w:r>
      <w:r w:rsidR="00E6576A">
        <w:t xml:space="preserve"> V kontextu </w:t>
      </w:r>
      <w:r w:rsidR="008F7F55">
        <w:t>popsaných</w:t>
      </w:r>
      <w:r w:rsidR="00747DAD">
        <w:t xml:space="preserve"> </w:t>
      </w:r>
      <w:r w:rsidR="00925EAF">
        <w:t>skutečností</w:t>
      </w:r>
      <w:r w:rsidR="00747DAD">
        <w:t xml:space="preserve"> </w:t>
      </w:r>
      <w:r w:rsidR="00DC3639">
        <w:t xml:space="preserve">se do prostředí urgentní medicíny dostává pojem geriatrická urgentní medicína (z anglického </w:t>
      </w:r>
      <w:proofErr w:type="spellStart"/>
      <w:r w:rsidR="00DC3639">
        <w:t>geriatric</w:t>
      </w:r>
      <w:proofErr w:type="spellEnd"/>
      <w:r w:rsidR="00DC3639">
        <w:t xml:space="preserve"> </w:t>
      </w:r>
      <w:proofErr w:type="spellStart"/>
      <w:r w:rsidR="00045B52">
        <w:t>emergency</w:t>
      </w:r>
      <w:proofErr w:type="spellEnd"/>
      <w:r w:rsidR="00DC3639">
        <w:t xml:space="preserve"> </w:t>
      </w:r>
      <w:proofErr w:type="spellStart"/>
      <w:r w:rsidR="00DC3639">
        <w:t>medicine</w:t>
      </w:r>
      <w:proofErr w:type="spellEnd"/>
      <w:r w:rsidR="00DC3639">
        <w:t>)</w:t>
      </w:r>
      <w:r w:rsidR="00765B20">
        <w:t xml:space="preserve">. </w:t>
      </w:r>
      <w:r w:rsidR="000C3BC4">
        <w:t>Jde o koncept</w:t>
      </w:r>
      <w:r w:rsidR="003D4046">
        <w:t xml:space="preserve"> zaměřený </w:t>
      </w:r>
      <w:r w:rsidR="00B74240">
        <w:t xml:space="preserve">na </w:t>
      </w:r>
      <w:r w:rsidR="00B74240">
        <w:lastRenderedPageBreak/>
        <w:t>pacienty vyšších věkových kategorií</w:t>
      </w:r>
      <w:r w:rsidR="00AD3F34">
        <w:t>,</w:t>
      </w:r>
      <w:r w:rsidR="00D41DD8">
        <w:t xml:space="preserve"> </w:t>
      </w:r>
      <w:r w:rsidR="00445419">
        <w:t xml:space="preserve">který bere v potaz </w:t>
      </w:r>
      <w:r w:rsidR="00D96071">
        <w:t xml:space="preserve">medicínskou </w:t>
      </w:r>
      <w:r w:rsidR="002528EE">
        <w:t>nehomogenitu této skupiny pacientů</w:t>
      </w:r>
      <w:r w:rsidR="00052026">
        <w:t>,</w:t>
      </w:r>
      <w:r w:rsidR="00575F10">
        <w:t xml:space="preserve"> a </w:t>
      </w:r>
      <w:r w:rsidR="00052026">
        <w:t xml:space="preserve">pracuje </w:t>
      </w:r>
      <w:r w:rsidR="002A52AE">
        <w:t xml:space="preserve">s typickými i atypickými rysy </w:t>
      </w:r>
      <w:r w:rsidR="00BC528C">
        <w:t xml:space="preserve">nemocnosti ve </w:t>
      </w:r>
      <w:r w:rsidR="00E338F4">
        <w:t>stáří</w:t>
      </w:r>
      <w:r w:rsidR="00644649">
        <w:t xml:space="preserve"> (</w:t>
      </w:r>
      <w:r w:rsidR="0073006A">
        <w:t xml:space="preserve">např. </w:t>
      </w:r>
      <w:r w:rsidR="00644649">
        <w:t>zohlednění</w:t>
      </w:r>
      <w:r w:rsidR="004D0E24">
        <w:t>m</w:t>
      </w:r>
      <w:r w:rsidR="00644649">
        <w:t xml:space="preserve"> biologického </w:t>
      </w:r>
      <w:r w:rsidR="00D96071">
        <w:t>stavu</w:t>
      </w:r>
      <w:r w:rsidR="0073006A">
        <w:t xml:space="preserve"> či přítomných komorbidit</w:t>
      </w:r>
      <w:r w:rsidR="00644649">
        <w:t>)</w:t>
      </w:r>
      <w:r w:rsidR="002528EE">
        <w:t>.</w:t>
      </w:r>
      <w:r w:rsidR="002A2CC2">
        <w:t xml:space="preserve"> S</w:t>
      </w:r>
      <w:r w:rsidR="00D41DD8">
        <w:t>na</w:t>
      </w:r>
      <w:r w:rsidR="002A2CC2">
        <w:t xml:space="preserve">hou je </w:t>
      </w:r>
      <w:r w:rsidR="00611EAE">
        <w:t>zdokonalovat</w:t>
      </w:r>
      <w:r w:rsidR="00D41DD8">
        <w:t xml:space="preserve"> podstatn</w:t>
      </w:r>
      <w:r w:rsidR="00611EAE">
        <w:t>é</w:t>
      </w:r>
      <w:r w:rsidR="00D41DD8">
        <w:t xml:space="preserve"> výsledk</w:t>
      </w:r>
      <w:r w:rsidR="00611EAE">
        <w:t xml:space="preserve">y </w:t>
      </w:r>
      <w:r w:rsidR="00D41DD8">
        <w:t xml:space="preserve">u </w:t>
      </w:r>
      <w:r w:rsidR="00611EAE">
        <w:t xml:space="preserve">starších </w:t>
      </w:r>
      <w:r w:rsidR="00D41DD8">
        <w:t>pacientů</w:t>
      </w:r>
      <w:r w:rsidR="0079254F">
        <w:t xml:space="preserve"> v oblasti urgentní medicíny</w:t>
      </w:r>
      <w:r w:rsidR="0013640E">
        <w:t xml:space="preserve">, a </w:t>
      </w:r>
      <w:r w:rsidR="00597F58">
        <w:t>tvorba</w:t>
      </w:r>
      <w:r w:rsidR="00DC081D">
        <w:t xml:space="preserve"> udržitelného</w:t>
      </w:r>
      <w:r w:rsidR="00AD3F34">
        <w:t xml:space="preserve"> </w:t>
      </w:r>
      <w:r w:rsidR="00A44979">
        <w:t>systému zdravotní péče</w:t>
      </w:r>
      <w:r w:rsidR="00687EFA">
        <w:t>, který b</w:t>
      </w:r>
      <w:r w:rsidR="000953F4">
        <w:t>ude</w:t>
      </w:r>
      <w:r w:rsidR="00DC081D">
        <w:t xml:space="preserve"> klinicky a nákladově efektivní.</w:t>
      </w:r>
      <w:r w:rsidR="002424C0">
        <w:fldChar w:fldCharType="begin"/>
      </w:r>
      <w:r w:rsidR="009B3709">
        <w:instrText xml:space="preserve"> ADDIN ZOTERO_ITEM CSL_CITATION {"citationID":"WNKodQXA","properties":{"formattedCitation":"\\super 12(p417),36(p9),37\\nosupersub{}","plainCitation":"12(p417),36(p9),37","noteIndex":0},"citationItems":[{"id":155,"uris":["http://zotero.org/users/9426386/items/D8FB8QGE"],"itemData":{"id":155,"type":"book","edition":"2nd suppl. and updated ed.","event-place":"Praha","ISBN":"978-80-271-0596-0","language":"cze","note":"OCLC: 1078647920","number-of-pages":"492","publisher":"Grada Publishing","publisher-place":"Praha","source":"Open WorldCat","title":"Urgentní medicína v klinické praxi lékaře","author":[{"family":"Šeblová","given":"Jana"},{"family":"Knor","given":"Jiří"}],"issued":{"date-parts":[["2018"]]}},"locator":"417","label":"page"},{"id":190,"uris":["http://zotero.org/users/9426386/items/DHY8WFK8"],"itemData":{"id":190,"type":"book","collection-title":"SpringerLink Bücher","event-place":"Cham, Switzerland","ISBN":"978-3-319-19318-2","language":"eng","note":"DOI: 10.1007/978-3-319-19318-2","number-of-pages":"397","publisher":"Springer","publisher-place":"Cham, Switzerland","source":"K10plus ISBN","title":"Geriatric emergency medicine","URL":"https://doi.org/10.1007/978-3-319-19318-2","editor":[{"family":"Nickel","given":"Christian"},{"family":"Bellou","given":"Abdelouahab"},{"family":"Conroy","given":"Simon"}],"issued":{"date-parts":[["2018"]]}},"locator":"9","label":"page"},{"id":193,"uris":["http://zotero.org/users/9426386/items/R2XISL2V"],"itemData":{"id":193,"type":"webpage","container-title":"Geriatric Emergency Medicine in Europe","language":"en","title":"About","URL":"https://geriemeurope.eu/about/","accessed":{"date-parts":[["2024",10,18]]}},"label":"page"}],"schema":"https://github.com/citation-style-language/schema/raw/master/csl-citation.json"} </w:instrText>
      </w:r>
      <w:r w:rsidR="002424C0">
        <w:fldChar w:fldCharType="separate"/>
      </w:r>
      <w:r w:rsidR="001300F0" w:rsidRPr="001300F0">
        <w:rPr>
          <w:vertAlign w:val="superscript"/>
        </w:rPr>
        <w:t>12(p417),36(p9),37</w:t>
      </w:r>
      <w:r w:rsidR="002424C0">
        <w:fldChar w:fldCharType="end"/>
      </w:r>
    </w:p>
    <w:p w14:paraId="3DF8693D" w14:textId="3BCAB897" w:rsidR="00542045" w:rsidRPr="00542045" w:rsidRDefault="00542045" w:rsidP="00797166">
      <w:pPr>
        <w:pStyle w:val="Dalodstavce"/>
      </w:pPr>
      <w:r>
        <w:t xml:space="preserve">V důsledku stárnutí populace dochází současně mj. </w:t>
      </w:r>
      <w:r w:rsidR="00797166">
        <w:t xml:space="preserve">právě </w:t>
      </w:r>
      <w:r>
        <w:t>k nár</w:t>
      </w:r>
      <w:r w:rsidR="001C14C4">
        <w:t>ů</w:t>
      </w:r>
      <w:r>
        <w:t>stu poptávky po geriatrické urgentní medicíně. V poslední době se tím zvýrazňuje úloha urgentních příjmů, jakožto klíčových článků v síti poskytované geriatrické péče, které nabízejí možnost vhodné orientace a zahájení terapie u staršího člověka.</w:t>
      </w:r>
      <w:r w:rsidR="0017145F">
        <w:fldChar w:fldCharType="begin"/>
      </w:r>
      <w:r w:rsidR="009B3709">
        <w:instrText xml:space="preserve"> ADDIN ZOTERO_ITEM CSL_CITATION {"citationID":"adO3H75u","properties":{"formattedCitation":"\\super 36(p9),37\\nosupersub{}","plainCitation":"36(p9),37","noteIndex":0},"citationItems":[{"id":190,"uris":["http://zotero.org/users/9426386/items/DHY8WFK8"],"itemData":{"id":190,"type":"book","collection-title":"SpringerLink Bücher","event-place":"Cham, Switzerland","ISBN":"978-3-319-19318-2","language":"eng","note":"DOI: 10.1007/978-3-319-19318-2","number-of-pages":"397","publisher":"Springer","publisher-place":"Cham, Switzerland","source":"K10plus ISBN","title":"Geriatric emergency medicine","URL":"https://doi.org/10.1007/978-3-319-19318-2","editor":[{"family":"Nickel","given":"Christian"},{"family":"Bellou","given":"Abdelouahab"},{"family":"Conroy","given":"Simon"}],"issued":{"date-parts":[["2018"]]}},"locator":"9","label":"page"},{"id":193,"uris":["http://zotero.org/users/9426386/items/R2XISL2V"],"itemData":{"id":193,"type":"webpage","container-title":"Geriatric Emergency Medicine in Europe","language":"en","title":"About","URL":"https://geriemeurope.eu/about/","accessed":{"date-parts":[["2024",10,18]]}},"label":"page"}],"schema":"https://github.com/citation-style-language/schema/raw/master/csl-citation.json"} </w:instrText>
      </w:r>
      <w:r w:rsidR="0017145F">
        <w:fldChar w:fldCharType="separate"/>
      </w:r>
      <w:r w:rsidR="001300F0" w:rsidRPr="001300F0">
        <w:rPr>
          <w:vertAlign w:val="superscript"/>
        </w:rPr>
        <w:t>36(p9),37</w:t>
      </w:r>
      <w:r w:rsidR="0017145F">
        <w:fldChar w:fldCharType="end"/>
      </w:r>
    </w:p>
    <w:p w14:paraId="58AE7123" w14:textId="62322BCA" w:rsidR="00785645" w:rsidRPr="00785645" w:rsidRDefault="008F3A9E" w:rsidP="00785645">
      <w:pPr>
        <w:pStyle w:val="Dalodstavce"/>
      </w:pPr>
      <w:r>
        <w:t>Iniciativa z oblasti geriatrické urgentní medicíny</w:t>
      </w:r>
      <w:r w:rsidR="008B4644">
        <w:t xml:space="preserve"> je na celosvětové úrovni vyvíjena </w:t>
      </w:r>
      <w:r w:rsidR="00077A96">
        <w:t xml:space="preserve">ze strany </w:t>
      </w:r>
      <w:r w:rsidR="00C43C86">
        <w:t>Speciální zájmov</w:t>
      </w:r>
      <w:r w:rsidR="004A6757">
        <w:t xml:space="preserve">é </w:t>
      </w:r>
      <w:r w:rsidR="00C43C86">
        <w:t>skupi</w:t>
      </w:r>
      <w:r w:rsidR="004A6757">
        <w:t>ny geriatrické urgentní medicíny</w:t>
      </w:r>
      <w:r w:rsidR="008D50FF">
        <w:t xml:space="preserve"> (</w:t>
      </w:r>
      <w:proofErr w:type="spellStart"/>
      <w:r w:rsidR="006F6BF2">
        <w:t>Geriatric</w:t>
      </w:r>
      <w:proofErr w:type="spellEnd"/>
      <w:r w:rsidR="006F6BF2">
        <w:t xml:space="preserve"> </w:t>
      </w:r>
      <w:proofErr w:type="spellStart"/>
      <w:r w:rsidR="006F6BF2">
        <w:t>Emergency</w:t>
      </w:r>
      <w:proofErr w:type="spellEnd"/>
      <w:r w:rsidR="006F6BF2">
        <w:t xml:space="preserve"> </w:t>
      </w:r>
      <w:proofErr w:type="spellStart"/>
      <w:r w:rsidR="006F6BF2">
        <w:t>Medicine</w:t>
      </w:r>
      <w:proofErr w:type="spellEnd"/>
      <w:r w:rsidR="006F6BF2">
        <w:t xml:space="preserve"> </w:t>
      </w:r>
      <w:proofErr w:type="spellStart"/>
      <w:r w:rsidR="006F6BF2">
        <w:t>Special</w:t>
      </w:r>
      <w:proofErr w:type="spellEnd"/>
      <w:r w:rsidR="006F6BF2">
        <w:t xml:space="preserve"> </w:t>
      </w:r>
      <w:proofErr w:type="spellStart"/>
      <w:r w:rsidR="006F6BF2">
        <w:t>Interest</w:t>
      </w:r>
      <w:proofErr w:type="spellEnd"/>
      <w:r w:rsidR="006F6BF2">
        <w:t xml:space="preserve"> Group – </w:t>
      </w:r>
      <w:r w:rsidR="00276BC2">
        <w:t>GEMSIG</w:t>
      </w:r>
      <w:r w:rsidR="008D50FF">
        <w:t xml:space="preserve">), která je součástí Mezinárodní federace urgentní medicíny (International </w:t>
      </w:r>
      <w:proofErr w:type="spellStart"/>
      <w:r w:rsidR="008D50FF">
        <w:t>Federation</w:t>
      </w:r>
      <w:proofErr w:type="spellEnd"/>
      <w:r w:rsidR="008D50FF">
        <w:t xml:space="preserve"> </w:t>
      </w:r>
      <w:proofErr w:type="spellStart"/>
      <w:r w:rsidR="008D50FF">
        <w:t>of</w:t>
      </w:r>
      <w:proofErr w:type="spellEnd"/>
      <w:r w:rsidR="008D50FF">
        <w:t xml:space="preserve"> </w:t>
      </w:r>
      <w:proofErr w:type="spellStart"/>
      <w:r w:rsidR="008D50FF">
        <w:t>Emergency</w:t>
      </w:r>
      <w:proofErr w:type="spellEnd"/>
      <w:r w:rsidR="008D50FF">
        <w:t xml:space="preserve"> </w:t>
      </w:r>
      <w:proofErr w:type="spellStart"/>
      <w:r w:rsidR="008D50FF">
        <w:t>Medicine</w:t>
      </w:r>
      <w:proofErr w:type="spellEnd"/>
      <w:r w:rsidR="008D50FF">
        <w:t xml:space="preserve"> </w:t>
      </w:r>
      <w:r w:rsidR="008F2D5A">
        <w:t>–</w:t>
      </w:r>
      <w:r w:rsidR="008D50FF">
        <w:t xml:space="preserve"> IFEM)</w:t>
      </w:r>
      <w:r w:rsidR="00276BC2">
        <w:t>. Na evropské úrovni</w:t>
      </w:r>
      <w:r w:rsidR="008F2D5A">
        <w:t xml:space="preserve"> je pak hlavním iniciátorem Evropská pracovní skupina pro </w:t>
      </w:r>
      <w:r w:rsidR="00EB7716">
        <w:t>geriatrickou urgentní me</w:t>
      </w:r>
      <w:r w:rsidR="00930B1F">
        <w:t>di</w:t>
      </w:r>
      <w:r w:rsidR="00EB7716">
        <w:t>cínu</w:t>
      </w:r>
      <w:r w:rsidR="000D0609">
        <w:t xml:space="preserve"> (</w:t>
      </w:r>
      <w:proofErr w:type="spellStart"/>
      <w:r w:rsidR="000D0609" w:rsidRPr="000D0609">
        <w:t>European</w:t>
      </w:r>
      <w:proofErr w:type="spellEnd"/>
      <w:r w:rsidR="000D0609" w:rsidRPr="000D0609">
        <w:t xml:space="preserve"> </w:t>
      </w:r>
      <w:proofErr w:type="spellStart"/>
      <w:r w:rsidR="000D0609" w:rsidRPr="000D0609">
        <w:t>Task</w:t>
      </w:r>
      <w:proofErr w:type="spellEnd"/>
      <w:r w:rsidR="000D0609" w:rsidRPr="000D0609">
        <w:t xml:space="preserve"> </w:t>
      </w:r>
      <w:proofErr w:type="spellStart"/>
      <w:r w:rsidR="000D0609" w:rsidRPr="000D0609">
        <w:t>Force</w:t>
      </w:r>
      <w:proofErr w:type="spellEnd"/>
      <w:r w:rsidR="000D0609" w:rsidRPr="000D0609">
        <w:t xml:space="preserve"> </w:t>
      </w:r>
      <w:proofErr w:type="spellStart"/>
      <w:r w:rsidR="000D0609" w:rsidRPr="000D0609">
        <w:t>for</w:t>
      </w:r>
      <w:proofErr w:type="spellEnd"/>
      <w:r w:rsidR="000D0609" w:rsidRPr="000D0609">
        <w:t xml:space="preserve"> </w:t>
      </w:r>
      <w:proofErr w:type="spellStart"/>
      <w:r w:rsidR="000D0609" w:rsidRPr="000D0609">
        <w:t>Geriatric</w:t>
      </w:r>
      <w:proofErr w:type="spellEnd"/>
      <w:r w:rsidR="000D0609" w:rsidRPr="000D0609">
        <w:t xml:space="preserve"> </w:t>
      </w:r>
      <w:proofErr w:type="spellStart"/>
      <w:r w:rsidR="000D0609" w:rsidRPr="000D0609">
        <w:t>Emergency</w:t>
      </w:r>
      <w:proofErr w:type="spellEnd"/>
      <w:r w:rsidR="000D0609" w:rsidRPr="000D0609">
        <w:t xml:space="preserve"> </w:t>
      </w:r>
      <w:proofErr w:type="spellStart"/>
      <w:r w:rsidR="000D0609" w:rsidRPr="000D0609">
        <w:t>Medicine</w:t>
      </w:r>
      <w:proofErr w:type="spellEnd"/>
      <w:r w:rsidR="00331FB6">
        <w:t> </w:t>
      </w:r>
      <w:r w:rsidR="003E3334">
        <w:t>–</w:t>
      </w:r>
      <w:r w:rsidR="00331FB6">
        <w:t> </w:t>
      </w:r>
      <w:proofErr w:type="spellStart"/>
      <w:r w:rsidR="000D0609">
        <w:t>geriEM</w:t>
      </w:r>
      <w:proofErr w:type="spellEnd"/>
      <w:r w:rsidR="000D0609">
        <w:t>)</w:t>
      </w:r>
      <w:r w:rsidR="00F65515">
        <w:t xml:space="preserve">, která </w:t>
      </w:r>
      <w:r w:rsidR="006A1A25">
        <w:t>vznikla ve</w:t>
      </w:r>
      <w:r w:rsidR="00F65515">
        <w:t xml:space="preserve"> spoluprác</w:t>
      </w:r>
      <w:r w:rsidR="006A1A25">
        <w:t>i</w:t>
      </w:r>
      <w:r w:rsidR="00F65515">
        <w:t xml:space="preserve"> </w:t>
      </w:r>
      <w:r w:rsidR="000E3360">
        <w:t>Evropské společnosti pro geriatrickou medicínu (</w:t>
      </w:r>
      <w:proofErr w:type="spellStart"/>
      <w:r w:rsidR="00B00081" w:rsidRPr="00B00081">
        <w:t>European</w:t>
      </w:r>
      <w:proofErr w:type="spellEnd"/>
      <w:r w:rsidR="00B00081" w:rsidRPr="00B00081">
        <w:t xml:space="preserve"> </w:t>
      </w:r>
      <w:proofErr w:type="spellStart"/>
      <w:r w:rsidR="00B00081" w:rsidRPr="00B00081">
        <w:t>Geriatric</w:t>
      </w:r>
      <w:proofErr w:type="spellEnd"/>
      <w:r w:rsidR="00B00081" w:rsidRPr="00B00081">
        <w:t xml:space="preserve"> </w:t>
      </w:r>
      <w:proofErr w:type="spellStart"/>
      <w:r w:rsidR="00B00081" w:rsidRPr="00B00081">
        <w:t>Medicine</w:t>
      </w:r>
      <w:proofErr w:type="spellEnd"/>
      <w:r w:rsidR="00B00081" w:rsidRPr="00B00081">
        <w:t xml:space="preserve"> Societ</w:t>
      </w:r>
      <w:r w:rsidR="00B00081">
        <w:t xml:space="preserve">y – </w:t>
      </w:r>
      <w:proofErr w:type="spellStart"/>
      <w:r w:rsidR="000E3360">
        <w:t>EuGMS</w:t>
      </w:r>
      <w:proofErr w:type="spellEnd"/>
      <w:r w:rsidR="000E3360">
        <w:t>)</w:t>
      </w:r>
      <w:r w:rsidR="00B00081">
        <w:t xml:space="preserve"> a Evropské společnosti pro urgentní medicínu</w:t>
      </w:r>
      <w:r w:rsidR="00915B3A">
        <w:t xml:space="preserve"> (</w:t>
      </w:r>
      <w:proofErr w:type="spellStart"/>
      <w:r w:rsidR="00915B3A" w:rsidRPr="00915B3A">
        <w:t>European</w:t>
      </w:r>
      <w:proofErr w:type="spellEnd"/>
      <w:r w:rsidR="00915B3A" w:rsidRPr="00915B3A">
        <w:t xml:space="preserve"> Society </w:t>
      </w:r>
      <w:proofErr w:type="spellStart"/>
      <w:r w:rsidR="00915B3A" w:rsidRPr="00915B3A">
        <w:t>for</w:t>
      </w:r>
      <w:proofErr w:type="spellEnd"/>
      <w:r w:rsidR="00915B3A" w:rsidRPr="00915B3A">
        <w:t xml:space="preserve"> </w:t>
      </w:r>
      <w:proofErr w:type="spellStart"/>
      <w:r w:rsidR="00915B3A" w:rsidRPr="00915B3A">
        <w:t>Emergency</w:t>
      </w:r>
      <w:proofErr w:type="spellEnd"/>
      <w:r w:rsidR="00915B3A" w:rsidRPr="00915B3A">
        <w:t xml:space="preserve"> </w:t>
      </w:r>
      <w:proofErr w:type="spellStart"/>
      <w:r w:rsidR="00915B3A" w:rsidRPr="00915B3A">
        <w:t>Medicine</w:t>
      </w:r>
      <w:proofErr w:type="spellEnd"/>
      <w:r w:rsidR="00915B3A">
        <w:t xml:space="preserve"> – EUSEM).</w:t>
      </w:r>
      <w:r w:rsidR="000779F7">
        <w:t xml:space="preserve"> Výsledk</w:t>
      </w:r>
      <w:r w:rsidR="00A32C4C">
        <w:t>em</w:t>
      </w:r>
      <w:r w:rsidR="00C63DFD">
        <w:t xml:space="preserve"> činnosti zmíněných organizací a jejich pracovních skupin jsou velmi </w:t>
      </w:r>
      <w:r w:rsidR="00752AC5">
        <w:t>relevantní</w:t>
      </w:r>
      <w:r w:rsidR="00961E38">
        <w:t xml:space="preserve"> výzkumy, edukační materiály</w:t>
      </w:r>
      <w:r w:rsidR="00A0566A">
        <w:t>, publikace</w:t>
      </w:r>
      <w:r w:rsidR="00961E38">
        <w:t xml:space="preserve"> či doporučené postupy</w:t>
      </w:r>
      <w:r w:rsidR="00D14BA0">
        <w:t xml:space="preserve"> pro oblast geriatrické urgentní medicíny, a to</w:t>
      </w:r>
      <w:r w:rsidR="0018396A">
        <w:t xml:space="preserve"> obzvláště </w:t>
      </w:r>
      <w:r w:rsidR="00750A8A">
        <w:t>v</w:t>
      </w:r>
      <w:r w:rsidR="00D02CB5">
        <w:t> </w:t>
      </w:r>
      <w:r w:rsidR="00750A8A">
        <w:t>prostředí</w:t>
      </w:r>
      <w:r w:rsidR="00D02CB5">
        <w:t xml:space="preserve"> </w:t>
      </w:r>
      <w:r w:rsidR="0018396A">
        <w:t>urgentních příjmů.</w:t>
      </w:r>
      <w:r w:rsidR="005F19D5">
        <w:fldChar w:fldCharType="begin"/>
      </w:r>
      <w:r w:rsidR="009C123F">
        <w:instrText xml:space="preserve"> ADDIN ZOTERO_ITEM CSL_CITATION {"citationID":"3VpYMZrH","properties":{"formattedCitation":"\\super 6(p3),37,38\\nosupersub{}","plainCitation":"6(p3),37,38","noteIndex":0},"citationItems":[{"id":193,"uris":["http://zotero.org/users/9426386/items/R2XISL2V"],"itemData":{"id":193,"type":"webpage","container-title":"Geriatric Emergency Medicine in Europe","language":"en","title":"About","URL":"https://geriemeurope.eu/about/","accessed":{"date-parts":[["2024",10,18]]}}},{"id":196,"uris":["http://zotero.org/users/9426386/items/BXNLYBH5"],"itemData":{"id":196,"type":"book","ISBN":"978-0-9873901-9-6","language":"en","number-of-pages":"11","publisher":"IFEM – Geriatric Emergency Medicine Special Interest Group","source":"Zotero","title":"White Paper on the Care of Older People with Acute illness and Injury in the Emergency Department","URL":"https://assets.nationbuilder.com/ifem/pages/284/attachments/original/1650665462/IFEM-White-Paper-on-the-Care-of-Older-People-with-Acute-Illness-and-Injury-in-the-Emergency-Department-December-2020.pdf?1650665462","author":[{"family":"Ellis","given":"B"},{"family":"Lowthian","given":"J."},{"family":"Melady","given":"D."}],"issued":{"date-parts":[["2020"]]}},"locator":"3","label":"page"},{"id":197,"uris":["http://zotero.org/users/9426386/items/JGSMGNXZ"],"itemData":{"id":197,"type":"webpage","container-title":"Geriatric Emergency Medicine in Europe","language":"en","title":"geriEM Europe Posters","URL":"https://posters.geriemeurope.eu/","accessed":{"date-parts":[["2024",10,18]]}},"label":"page"}],"schema":"https://github.com/citation-style-language/schema/raw/master/csl-citation.json"} </w:instrText>
      </w:r>
      <w:r w:rsidR="005F19D5">
        <w:fldChar w:fldCharType="separate"/>
      </w:r>
      <w:r w:rsidR="001300F0" w:rsidRPr="001300F0">
        <w:rPr>
          <w:vertAlign w:val="superscript"/>
        </w:rPr>
        <w:t>6(p3),37,38</w:t>
      </w:r>
      <w:r w:rsidR="005F19D5">
        <w:fldChar w:fldCharType="end"/>
      </w:r>
    </w:p>
    <w:p w14:paraId="4D8106E9" w14:textId="20DB7973" w:rsidR="00466358" w:rsidRDefault="007F1E9E" w:rsidP="00785645">
      <w:pPr>
        <w:pStyle w:val="Dalodstavce"/>
      </w:pPr>
      <w:r>
        <w:t>V textu byl již</w:t>
      </w:r>
      <w:r w:rsidR="00D96B29">
        <w:t xml:space="preserve"> taktéž popsán </w:t>
      </w:r>
      <w:r>
        <w:t>k</w:t>
      </w:r>
      <w:r w:rsidR="00466358">
        <w:t>oncept paliativní péče</w:t>
      </w:r>
      <w:r w:rsidR="00802799">
        <w:t xml:space="preserve">, </w:t>
      </w:r>
      <w:r w:rsidR="00B56145">
        <w:t>konkrétně je dané problematice věnována pozornost v</w:t>
      </w:r>
      <w:r w:rsidR="00C3787A">
        <w:t> </w:t>
      </w:r>
      <w:r w:rsidR="00B56145">
        <w:t>kapitole</w:t>
      </w:r>
      <w:r w:rsidR="00C3787A">
        <w:t xml:space="preserve"> 2.2.3</w:t>
      </w:r>
      <w:r w:rsidR="00802799">
        <w:t>. C</w:t>
      </w:r>
      <w:r w:rsidR="00584D55">
        <w:t>o je však na tomto místě zapotřebí doplnit, je</w:t>
      </w:r>
      <w:r w:rsidR="00036015">
        <w:t xml:space="preserve"> </w:t>
      </w:r>
      <w:r w:rsidR="00584D55">
        <w:t xml:space="preserve">aplikovatelnost </w:t>
      </w:r>
      <w:r w:rsidR="00E64F1F">
        <w:t xml:space="preserve">paliativní péče </w:t>
      </w:r>
      <w:r w:rsidR="00584D55">
        <w:t xml:space="preserve">v prostředí urgentní medicíny. </w:t>
      </w:r>
      <w:r w:rsidR="000C0EF5">
        <w:t xml:space="preserve">Přítomnost pacienta </w:t>
      </w:r>
      <w:r w:rsidR="0068130C">
        <w:t>s onemocněním v terminálním stádiu</w:t>
      </w:r>
      <w:r w:rsidR="00E03811">
        <w:t xml:space="preserve"> </w:t>
      </w:r>
      <w:r w:rsidR="0059218E">
        <w:t xml:space="preserve">není </w:t>
      </w:r>
      <w:r w:rsidR="0068130C">
        <w:t>v praxi urgentní</w:t>
      </w:r>
      <w:r w:rsidR="00DF10EC">
        <w:t xml:space="preserve"> </w:t>
      </w:r>
      <w:r w:rsidR="00595F49">
        <w:t>medicíny</w:t>
      </w:r>
      <w:r w:rsidR="0059218E">
        <w:t xml:space="preserve"> </w:t>
      </w:r>
      <w:r w:rsidR="0088017D">
        <w:t xml:space="preserve">častokrát </w:t>
      </w:r>
      <w:r w:rsidR="0068130C">
        <w:t xml:space="preserve">ničím </w:t>
      </w:r>
      <w:r w:rsidR="00DF10EC">
        <w:t>výjimečným</w:t>
      </w:r>
      <w:r w:rsidR="005C423B">
        <w:t>.</w:t>
      </w:r>
      <w:r w:rsidR="00942AED">
        <w:t xml:space="preserve"> </w:t>
      </w:r>
      <w:r w:rsidR="0071459C">
        <w:t>Na urgentní</w:t>
      </w:r>
      <w:r w:rsidR="00C01E5B">
        <w:t>m</w:t>
      </w:r>
      <w:r w:rsidR="0071459C">
        <w:t xml:space="preserve"> příj</w:t>
      </w:r>
      <w:r w:rsidR="00C01E5B">
        <w:t>mu</w:t>
      </w:r>
      <w:r w:rsidR="0071459C">
        <w:t xml:space="preserve"> </w:t>
      </w:r>
      <w:r w:rsidR="00805FFC">
        <w:t xml:space="preserve">se </w:t>
      </w:r>
      <w:r w:rsidR="00C01E5B">
        <w:t xml:space="preserve">takový pacient </w:t>
      </w:r>
      <w:r w:rsidR="00805FFC">
        <w:t xml:space="preserve">zpravidla </w:t>
      </w:r>
      <w:r w:rsidR="00C01E5B">
        <w:t xml:space="preserve">ocitá </w:t>
      </w:r>
      <w:r w:rsidR="00805FFC">
        <w:t xml:space="preserve">z důvodů </w:t>
      </w:r>
      <w:r w:rsidR="00A857F8">
        <w:t>obtížné</w:t>
      </w:r>
      <w:r w:rsidR="003D4C74">
        <w:t xml:space="preserve"> lokální</w:t>
      </w:r>
      <w:r w:rsidR="00A857F8">
        <w:t xml:space="preserve"> dostupnosti paliativní péče</w:t>
      </w:r>
      <w:r w:rsidR="00C37F12">
        <w:t>, nedostatečné informovanosti</w:t>
      </w:r>
      <w:r w:rsidR="00CD1E95">
        <w:t xml:space="preserve"> </w:t>
      </w:r>
      <w:r w:rsidR="006C56C2">
        <w:t>pečovatelů</w:t>
      </w:r>
      <w:r w:rsidR="00AA6CEA">
        <w:t xml:space="preserve"> (</w:t>
      </w:r>
      <w:r w:rsidR="00445709">
        <w:t>rodinn</w:t>
      </w:r>
      <w:r w:rsidR="00A66FCB">
        <w:t>ých</w:t>
      </w:r>
      <w:r w:rsidR="00445709">
        <w:t xml:space="preserve"> příslušní</w:t>
      </w:r>
      <w:r w:rsidR="00A66FCB">
        <w:t>ků</w:t>
      </w:r>
      <w:r w:rsidR="001A39EF">
        <w:t xml:space="preserve">, </w:t>
      </w:r>
      <w:r w:rsidR="003A4327">
        <w:t xml:space="preserve">personálu </w:t>
      </w:r>
      <w:r w:rsidR="00A66FCB">
        <w:t xml:space="preserve">pečovatelských </w:t>
      </w:r>
      <w:r w:rsidR="00445709">
        <w:t>zařízení</w:t>
      </w:r>
      <w:r w:rsidR="001A39EF">
        <w:t xml:space="preserve"> apod.</w:t>
      </w:r>
      <w:r w:rsidR="00AA6CEA">
        <w:t>)</w:t>
      </w:r>
      <w:r w:rsidR="00445709">
        <w:t>, nebo</w:t>
      </w:r>
      <w:r w:rsidR="00A03688">
        <w:t> vyhodnocení</w:t>
      </w:r>
      <w:r w:rsidR="00264502">
        <w:t>m</w:t>
      </w:r>
      <w:r w:rsidR="00A03688">
        <w:t xml:space="preserve"> </w:t>
      </w:r>
      <w:r w:rsidR="006C2916">
        <w:t>aktuálních</w:t>
      </w:r>
      <w:r w:rsidR="00A03688">
        <w:t xml:space="preserve"> s</w:t>
      </w:r>
      <w:r w:rsidR="003925C9">
        <w:t>ymptomů</w:t>
      </w:r>
      <w:r w:rsidR="00C850AA">
        <w:t xml:space="preserve">, </w:t>
      </w:r>
      <w:r w:rsidR="006B22C0">
        <w:t>souvisejících s</w:t>
      </w:r>
      <w:r w:rsidR="005C2C0F">
        <w:t> pacientov</w:t>
      </w:r>
      <w:r w:rsidR="006B22C0">
        <w:t>ou</w:t>
      </w:r>
      <w:r w:rsidR="005C2C0F">
        <w:t xml:space="preserve"> nemoc</w:t>
      </w:r>
      <w:r w:rsidR="006B22C0">
        <w:t>í</w:t>
      </w:r>
      <w:r w:rsidR="005C2C0F">
        <w:t>,</w:t>
      </w:r>
      <w:r w:rsidR="003925C9">
        <w:t xml:space="preserve"> </w:t>
      </w:r>
      <w:r w:rsidR="00D341CE">
        <w:t xml:space="preserve">jako akutních </w:t>
      </w:r>
      <w:r w:rsidR="003925C9">
        <w:t>(</w:t>
      </w:r>
      <w:r w:rsidR="002E17C7">
        <w:t xml:space="preserve">např. </w:t>
      </w:r>
      <w:r w:rsidR="00DA646B">
        <w:t>bolest, nevolnost,</w:t>
      </w:r>
      <w:r w:rsidR="00084E13">
        <w:t xml:space="preserve"> </w:t>
      </w:r>
      <w:r w:rsidR="00DA646B">
        <w:t xml:space="preserve">či </w:t>
      </w:r>
      <w:r w:rsidR="00743041">
        <w:t>celkové zhoršení dosavadního zdravotního stavu</w:t>
      </w:r>
      <w:r w:rsidR="003925C9">
        <w:t>).</w:t>
      </w:r>
      <w:r w:rsidR="00AA6CEA">
        <w:t xml:space="preserve"> </w:t>
      </w:r>
      <w:r w:rsidR="009D572F">
        <w:t xml:space="preserve">V případech, kdy by </w:t>
      </w:r>
      <w:r w:rsidR="00A15B79">
        <w:t xml:space="preserve">byla </w:t>
      </w:r>
      <w:r w:rsidR="00D375EE">
        <w:t xml:space="preserve">agresivní život zachraňující </w:t>
      </w:r>
      <w:r w:rsidR="00A15B79">
        <w:t xml:space="preserve">léčba </w:t>
      </w:r>
      <w:r w:rsidR="00D375EE">
        <w:t xml:space="preserve">pro pacienta </w:t>
      </w:r>
      <w:r w:rsidR="00A44BA8">
        <w:t>zatěžu</w:t>
      </w:r>
      <w:r w:rsidR="00EC1BBB">
        <w:t>jící</w:t>
      </w:r>
      <w:r w:rsidR="00272CD8">
        <w:t xml:space="preserve">, </w:t>
      </w:r>
      <w:r w:rsidR="00D375EE">
        <w:t>ve svém důsledku</w:t>
      </w:r>
      <w:r w:rsidR="00461A4E">
        <w:t xml:space="preserve"> </w:t>
      </w:r>
      <w:r w:rsidR="00272CD8">
        <w:t>dokonce</w:t>
      </w:r>
      <w:r w:rsidR="000448F9">
        <w:t xml:space="preserve"> </w:t>
      </w:r>
      <w:r w:rsidR="00461A4E">
        <w:t>neetická</w:t>
      </w:r>
      <w:r w:rsidR="00EC1BBB">
        <w:t>,</w:t>
      </w:r>
      <w:r w:rsidR="000448F9">
        <w:t xml:space="preserve"> lze </w:t>
      </w:r>
      <w:r w:rsidR="00757530">
        <w:t xml:space="preserve">postupovat dle </w:t>
      </w:r>
      <w:r w:rsidR="007826A7">
        <w:t xml:space="preserve">platných </w:t>
      </w:r>
      <w:r w:rsidR="00757530">
        <w:t>standardů paliativní péče</w:t>
      </w:r>
      <w:r w:rsidR="00355B7F">
        <w:t xml:space="preserve"> </w:t>
      </w:r>
      <w:r w:rsidR="00B836E9">
        <w:t>ta</w:t>
      </w:r>
      <w:r w:rsidR="009F71E8">
        <w:t>ktéž</w:t>
      </w:r>
      <w:r w:rsidR="00355B7F">
        <w:t xml:space="preserve"> v prostředí urgentní medicíny</w:t>
      </w:r>
      <w:r w:rsidR="00757530">
        <w:t>.</w:t>
      </w:r>
      <w:r w:rsidR="00CF4455">
        <w:t xml:space="preserve"> </w:t>
      </w:r>
      <w:r w:rsidR="009B2DCA">
        <w:t xml:space="preserve">Jako zajímavý fakt se ukazuje </w:t>
      </w:r>
      <w:r w:rsidR="00CE2C86">
        <w:t xml:space="preserve">kupodivu </w:t>
      </w:r>
      <w:r w:rsidR="009B2DCA">
        <w:t xml:space="preserve">vhodnější aplikovatelnost </w:t>
      </w:r>
      <w:r w:rsidR="00EC00CF">
        <w:t xml:space="preserve">paliativní péče </w:t>
      </w:r>
      <w:r w:rsidR="001333D4">
        <w:t>do</w:t>
      </w:r>
      <w:r w:rsidR="00A069D0">
        <w:t> </w:t>
      </w:r>
      <w:r w:rsidR="00EC00CF">
        <w:t>prostředí</w:t>
      </w:r>
      <w:r w:rsidR="00571182">
        <w:t xml:space="preserve"> zdravotnické záchranné služby</w:t>
      </w:r>
      <w:r w:rsidR="00873C1D">
        <w:t xml:space="preserve"> </w:t>
      </w:r>
      <w:r w:rsidR="007168A1">
        <w:t xml:space="preserve">oproti urgentnímu příjmu </w:t>
      </w:r>
      <w:r w:rsidR="00873C1D">
        <w:t>(kupříkladu</w:t>
      </w:r>
      <w:r w:rsidR="00825195">
        <w:t xml:space="preserve"> díky možnosti ponechání pacienta</w:t>
      </w:r>
      <w:r w:rsidR="00953064">
        <w:t xml:space="preserve"> </w:t>
      </w:r>
      <w:r w:rsidR="00825195">
        <w:t>v</w:t>
      </w:r>
      <w:r w:rsidR="0080515E">
        <w:t> domácím prostředí</w:t>
      </w:r>
      <w:r w:rsidR="002137D0">
        <w:t xml:space="preserve"> </w:t>
      </w:r>
      <w:r w:rsidR="004C52F4">
        <w:t>po předchozím zaléčení</w:t>
      </w:r>
      <w:r w:rsidR="00ED5882">
        <w:t>, a to</w:t>
      </w:r>
      <w:r w:rsidR="00776004">
        <w:t xml:space="preserve"> </w:t>
      </w:r>
      <w:r w:rsidR="00EF67A4">
        <w:t xml:space="preserve">se </w:t>
      </w:r>
      <w:r w:rsidR="00776004">
        <w:t>současn</w:t>
      </w:r>
      <w:r w:rsidR="00EF67A4">
        <w:t>ým</w:t>
      </w:r>
      <w:r w:rsidR="00776004">
        <w:t xml:space="preserve"> souhlasem </w:t>
      </w:r>
      <w:r w:rsidR="003971A8">
        <w:t>pečující rodiny</w:t>
      </w:r>
      <w:r w:rsidR="00873C1D">
        <w:t>)</w:t>
      </w:r>
      <w:r w:rsidR="007168A1">
        <w:t>.</w:t>
      </w:r>
      <w:r w:rsidR="00F34D9E">
        <w:fldChar w:fldCharType="begin"/>
      </w:r>
      <w:r w:rsidR="00E87A1C">
        <w:instrText xml:space="preserve"> ADDIN ZOTERO_ITEM CSL_CITATION {"citationID":"jWdWDAkU","properties":{"formattedCitation":"\\super 12(p23,437-438)\\nosupersub{}","plainCitation":"12(p23,437-438)","noteIndex":0},"citationItems":[{"id":155,"uris":["http://zotero.org/users/9426386/items/D8FB8QGE"],"itemData":{"id":155,"type":"book","edition":"2nd suppl. and updated ed.","event-place":"Praha","ISBN":"978-80-271-0596-0","language":"cze","note":"OCLC: 1078647920","number-of-pages":"492","publisher":"Grada Publishing","publisher-place":"Praha","source":"Open WorldCat","title":"Urgentní medicína v klinické praxi lékaře","author":[{"family":"Šeblová","given":"Jana"},{"family":"Knor","given":"Jiří"}],"issued":{"date-parts":[["2018"]]}},"locator":"23,437-438","label":"page"}],"schema":"https://github.com/citation-style-language/schema/raw/master/csl-citation.json"} </w:instrText>
      </w:r>
      <w:r w:rsidR="00F34D9E">
        <w:fldChar w:fldCharType="separate"/>
      </w:r>
      <w:r w:rsidR="00E87A1C" w:rsidRPr="00E87A1C">
        <w:rPr>
          <w:vertAlign w:val="superscript"/>
        </w:rPr>
        <w:t>12(p23,437-438)</w:t>
      </w:r>
      <w:r w:rsidR="00F34D9E">
        <w:fldChar w:fldCharType="end"/>
      </w:r>
    </w:p>
    <w:p w14:paraId="6434CFB8" w14:textId="4EA85DDF" w:rsidR="00385DCF" w:rsidRDefault="001F53DF" w:rsidP="002E32D6">
      <w:pPr>
        <w:pStyle w:val="Nadpis1"/>
        <w:numPr>
          <w:ilvl w:val="0"/>
          <w:numId w:val="14"/>
        </w:numPr>
      </w:pPr>
      <w:bookmarkStart w:id="25" w:name="_Toc195517112"/>
      <w:r>
        <w:lastRenderedPageBreak/>
        <w:t>Metodika a organizace výzkumného šetření</w:t>
      </w:r>
      <w:bookmarkEnd w:id="25"/>
    </w:p>
    <w:p w14:paraId="45DC3619" w14:textId="65A5F599" w:rsidR="0011226B" w:rsidRPr="0011226B" w:rsidRDefault="0048701D" w:rsidP="0011226B">
      <w:pPr>
        <w:pStyle w:val="Odstavec1"/>
      </w:pPr>
      <w:r>
        <w:t>V</w:t>
      </w:r>
      <w:r w:rsidR="00746D66">
        <w:t>ýzkumná</w:t>
      </w:r>
      <w:r>
        <w:t xml:space="preserve"> část diplomové práce</w:t>
      </w:r>
      <w:r w:rsidR="00A92BC8">
        <w:t xml:space="preserve"> </w:t>
      </w:r>
      <w:r w:rsidR="001B14A3">
        <w:t xml:space="preserve">se </w:t>
      </w:r>
      <w:r w:rsidR="00EB4763">
        <w:t>zaměř</w:t>
      </w:r>
      <w:r w:rsidR="001B14A3">
        <w:t>uje</w:t>
      </w:r>
      <w:r w:rsidR="00EB4763">
        <w:t xml:space="preserve"> na praktickou aplikaci a ověřování teoretických poznatků</w:t>
      </w:r>
      <w:r w:rsidR="00EA4B5B">
        <w:t>, jež byly uvedeny v</w:t>
      </w:r>
      <w:r w:rsidR="00A92BC8">
        <w:t> </w:t>
      </w:r>
      <w:r w:rsidR="00794EA3">
        <w:t>předchozí</w:t>
      </w:r>
      <w:r w:rsidR="00A92BC8">
        <w:t xml:space="preserve"> části teoretické</w:t>
      </w:r>
      <w:r w:rsidR="00794EA3">
        <w:t>.</w:t>
      </w:r>
    </w:p>
    <w:p w14:paraId="3601F3AC" w14:textId="1E88E663" w:rsidR="002404D6" w:rsidRPr="002404D6" w:rsidRDefault="00BA4A96" w:rsidP="00321D27">
      <w:pPr>
        <w:pStyle w:val="Dalodstavce"/>
      </w:pPr>
      <w:r>
        <w:t xml:space="preserve">Jednotlivé podkapitoly se budou soustředit na popis </w:t>
      </w:r>
      <w:r w:rsidR="00996B14">
        <w:t xml:space="preserve">metodiky </w:t>
      </w:r>
      <w:r w:rsidR="002F50F7">
        <w:t>realizovaného výzku</w:t>
      </w:r>
      <w:r w:rsidR="007F275D">
        <w:t>mného šetření</w:t>
      </w:r>
      <w:r w:rsidR="00F62F52">
        <w:t xml:space="preserve"> (včetně </w:t>
      </w:r>
      <w:r w:rsidR="00B812E9">
        <w:t>charakteristik</w:t>
      </w:r>
      <w:r w:rsidR="00F62F52">
        <w:t xml:space="preserve">y </w:t>
      </w:r>
      <w:r w:rsidR="00B812E9">
        <w:t xml:space="preserve">pracoviště, </w:t>
      </w:r>
      <w:r w:rsidR="00F62F52">
        <w:t>v jehož prostředí byl výzkum realizován;</w:t>
      </w:r>
      <w:r w:rsidR="00D5634C">
        <w:t xml:space="preserve"> </w:t>
      </w:r>
      <w:r w:rsidR="008E0D44">
        <w:t>anal</w:t>
      </w:r>
      <w:r w:rsidR="00D5634C">
        <w:t>ýzy</w:t>
      </w:r>
      <w:r w:rsidR="008E0D44">
        <w:t xml:space="preserve"> výsledk</w:t>
      </w:r>
      <w:r w:rsidR="00D5634C">
        <w:t>ů</w:t>
      </w:r>
      <w:r w:rsidR="008E0D44">
        <w:t xml:space="preserve"> výzkumu a</w:t>
      </w:r>
      <w:r w:rsidR="00092251">
        <w:t> </w:t>
      </w:r>
      <w:r w:rsidR="008E0D44">
        <w:t>vyhodnocen</w:t>
      </w:r>
      <w:r w:rsidR="008A503C">
        <w:t>í</w:t>
      </w:r>
      <w:r w:rsidR="008E0D44">
        <w:t xml:space="preserve"> </w:t>
      </w:r>
      <w:r w:rsidR="008A503C">
        <w:t>stanovených</w:t>
      </w:r>
      <w:r w:rsidR="008E0D44">
        <w:t xml:space="preserve"> výzkumn</w:t>
      </w:r>
      <w:r w:rsidR="008A503C">
        <w:t>ých</w:t>
      </w:r>
      <w:r w:rsidR="008E0D44">
        <w:t xml:space="preserve"> cíl</w:t>
      </w:r>
      <w:r w:rsidR="008A503C">
        <w:t>ů)</w:t>
      </w:r>
      <w:r w:rsidR="008E0D44">
        <w:t>.</w:t>
      </w:r>
    </w:p>
    <w:p w14:paraId="3DF6FFCB" w14:textId="1960C536" w:rsidR="00D4490B" w:rsidRDefault="00170724" w:rsidP="002E32D6">
      <w:pPr>
        <w:pStyle w:val="Nadpis2"/>
        <w:numPr>
          <w:ilvl w:val="1"/>
          <w:numId w:val="14"/>
        </w:numPr>
      </w:pPr>
      <w:bookmarkStart w:id="26" w:name="_Toc195517113"/>
      <w:r>
        <w:t>Charakteristika pracoviště</w:t>
      </w:r>
      <w:r w:rsidR="007A6007">
        <w:t xml:space="preserve">, na </w:t>
      </w:r>
      <w:r w:rsidR="00CE6C5B">
        <w:t>němž</w:t>
      </w:r>
      <w:r w:rsidR="007A6007">
        <w:t xml:space="preserve"> byl výzkum realizován</w:t>
      </w:r>
      <w:bookmarkEnd w:id="26"/>
    </w:p>
    <w:p w14:paraId="12D2DF82" w14:textId="3F9F1E97" w:rsidR="00BB5190" w:rsidRDefault="00273802" w:rsidP="00DD409F">
      <w:pPr>
        <w:pStyle w:val="Odstavec1"/>
      </w:pPr>
      <w:r>
        <w:t>N</w:t>
      </w:r>
      <w:r w:rsidR="001926F2">
        <w:t>ízkoprahový urgentní příjem</w:t>
      </w:r>
      <w:r>
        <w:t xml:space="preserve"> </w:t>
      </w:r>
      <w:r w:rsidR="00666E3C">
        <w:t xml:space="preserve">(dále jen NUP) Fakultní nemocnice Brno (dále jen </w:t>
      </w:r>
      <w:r>
        <w:t>FN</w:t>
      </w:r>
      <w:r w:rsidR="002371CC">
        <w:t> </w:t>
      </w:r>
      <w:r>
        <w:t>Brno</w:t>
      </w:r>
      <w:r w:rsidR="00666E3C">
        <w:t>)</w:t>
      </w:r>
      <w:r w:rsidR="003C2F17">
        <w:t xml:space="preserve"> zastává funkci akutních specializovaných ambulancí v oborech vnitřní lékařství a neurologie</w:t>
      </w:r>
      <w:r w:rsidR="001B56D7">
        <w:t>.</w:t>
      </w:r>
      <w:r w:rsidR="008B5D3E">
        <w:t xml:space="preserve"> Ambulance jsou v běžné pracovní době určeny</w:t>
      </w:r>
      <w:r w:rsidR="00832FFC">
        <w:t xml:space="preserve"> zpravidla k ošetření pacientů </w:t>
      </w:r>
      <w:r w:rsidR="00D76181">
        <w:t xml:space="preserve">s akutními či subakutními </w:t>
      </w:r>
      <w:r w:rsidR="00C33941">
        <w:t>stavy</w:t>
      </w:r>
      <w:r w:rsidR="002244E5">
        <w:t>. Mimo tuto dobu poskytuje</w:t>
      </w:r>
      <w:r w:rsidR="00C25010">
        <w:t xml:space="preserve"> zdravotní péči </w:t>
      </w:r>
      <w:r w:rsidR="002244E5">
        <w:t>ještě</w:t>
      </w:r>
      <w:r w:rsidR="008B5D3E">
        <w:t xml:space="preserve"> </w:t>
      </w:r>
      <w:r w:rsidR="0088189D">
        <w:t>pacientům, jež byli k</w:t>
      </w:r>
      <w:r w:rsidR="00642C2A">
        <w:t> </w:t>
      </w:r>
      <w:r w:rsidR="0088189D">
        <w:t>ná</w:t>
      </w:r>
      <w:r w:rsidR="00642C2A">
        <w:t>slednému došetření na NUP FN Br</w:t>
      </w:r>
      <w:r w:rsidR="002D6FA1">
        <w:t>n</w:t>
      </w:r>
      <w:r w:rsidR="00642C2A">
        <w:t xml:space="preserve">o </w:t>
      </w:r>
      <w:r w:rsidR="001928A6">
        <w:t xml:space="preserve">odeslání svým registrujícím praktickým lékařem či </w:t>
      </w:r>
      <w:r w:rsidR="002D6FA1">
        <w:t>lékařskou pohotovostní službou.</w:t>
      </w:r>
      <w:r w:rsidR="00DD409F">
        <w:t xml:space="preserve"> </w:t>
      </w:r>
      <w:r w:rsidR="00CF4547">
        <w:t>S</w:t>
      </w:r>
      <w:r w:rsidR="004867B3">
        <w:t>truktura</w:t>
      </w:r>
      <w:r w:rsidR="003C7B76">
        <w:t xml:space="preserve"> </w:t>
      </w:r>
      <w:r w:rsidR="00CE0FB5">
        <w:t>pracoviště</w:t>
      </w:r>
      <w:r w:rsidR="00657AD0">
        <w:t xml:space="preserve"> je </w:t>
      </w:r>
      <w:r w:rsidR="00D741C2">
        <w:t xml:space="preserve">popsána v </w:t>
      </w:r>
      <w:r w:rsidR="00657AD0">
        <w:t>následující</w:t>
      </w:r>
      <w:r w:rsidR="00D741C2">
        <w:t>ch bodech</w:t>
      </w:r>
      <w:r w:rsidR="00657AD0">
        <w:t>:</w:t>
      </w:r>
    </w:p>
    <w:p w14:paraId="52A00668" w14:textId="22DC662D" w:rsidR="00244161" w:rsidRDefault="00892286" w:rsidP="002E32D6">
      <w:pPr>
        <w:pStyle w:val="Dalodstavce"/>
        <w:numPr>
          <w:ilvl w:val="0"/>
          <w:numId w:val="20"/>
        </w:numPr>
      </w:pPr>
      <w:r>
        <w:t>Příjmová část</w:t>
      </w:r>
      <w:r w:rsidR="00244161">
        <w:t xml:space="preserve"> – recepce</w:t>
      </w:r>
      <w:r>
        <w:t xml:space="preserve"> (informační úsek)</w:t>
      </w:r>
      <w:r w:rsidR="000A5E64">
        <w:t>:</w:t>
      </w:r>
      <w:r w:rsidR="005652D9">
        <w:t xml:space="preserve"> je místem</w:t>
      </w:r>
      <w:r w:rsidR="00A43B39">
        <w:t xml:space="preserve"> prvního kontaktu s příchozími pacienty, či s pacienty přivezenými </w:t>
      </w:r>
      <w:r w:rsidR="0045062F">
        <w:t>ZDS</w:t>
      </w:r>
      <w:r w:rsidR="00CA46E9">
        <w:t>.</w:t>
      </w:r>
      <w:r w:rsidR="00473671">
        <w:t xml:space="preserve"> </w:t>
      </w:r>
      <w:r w:rsidR="00157BF4">
        <w:t>Zde p</w:t>
      </w:r>
      <w:r w:rsidR="0072076E">
        <w:t>robíhá</w:t>
      </w:r>
      <w:r w:rsidR="00157BF4">
        <w:t xml:space="preserve"> </w:t>
      </w:r>
      <w:r w:rsidR="0072076E">
        <w:t>jejich zaregistrování</w:t>
      </w:r>
      <w:r w:rsidR="0076615B">
        <w:t>, zdravotnické třídění</w:t>
      </w:r>
      <w:r w:rsidR="00B11713">
        <w:t xml:space="preserve"> (</w:t>
      </w:r>
      <w:r w:rsidR="00C762C5">
        <w:t>jeho</w:t>
      </w:r>
      <w:r w:rsidR="004F0E03">
        <w:t xml:space="preserve">ž </w:t>
      </w:r>
      <w:r w:rsidR="00B11713">
        <w:t>cíl</w:t>
      </w:r>
      <w:r w:rsidR="004F0E03">
        <w:t>em je</w:t>
      </w:r>
      <w:r w:rsidR="00B11713">
        <w:t xml:space="preserve"> </w:t>
      </w:r>
      <w:r w:rsidR="004F7EAB">
        <w:t>stanovit</w:t>
      </w:r>
      <w:r w:rsidR="00716B4B">
        <w:t xml:space="preserve"> časovou naléhavost ošetření </w:t>
      </w:r>
      <w:r w:rsidR="00906BAE">
        <w:t>pacienta </w:t>
      </w:r>
      <w:r w:rsidR="009073DA">
        <w:t>–</w:t>
      </w:r>
      <w:r w:rsidR="00906BAE">
        <w:t> </w:t>
      </w:r>
      <w:r w:rsidR="009073DA">
        <w:t>vstupní prioritu</w:t>
      </w:r>
      <w:r w:rsidR="00B11713">
        <w:t>)</w:t>
      </w:r>
      <w:r w:rsidR="00E770FE">
        <w:t xml:space="preserve"> a</w:t>
      </w:r>
      <w:r w:rsidR="009073DA">
        <w:t> </w:t>
      </w:r>
      <w:r w:rsidR="00E770FE">
        <w:t>rozřa</w:t>
      </w:r>
      <w:r w:rsidR="0072076E">
        <w:t xml:space="preserve">zení do jednotlivých ambulancí </w:t>
      </w:r>
      <w:r w:rsidR="00047D59">
        <w:t>NUP</w:t>
      </w:r>
      <w:r w:rsidR="00253ACF">
        <w:t>. P</w:t>
      </w:r>
      <w:r w:rsidR="00704D13">
        <w:t>říp</w:t>
      </w:r>
      <w:r w:rsidR="00402624">
        <w:t>adně</w:t>
      </w:r>
      <w:r w:rsidR="00704D13">
        <w:t xml:space="preserve"> </w:t>
      </w:r>
      <w:r w:rsidR="00253ACF">
        <w:t xml:space="preserve">probíhá </w:t>
      </w:r>
      <w:r w:rsidR="000C3CB1">
        <w:t xml:space="preserve">přesměrování </w:t>
      </w:r>
      <w:r w:rsidR="00CE4887">
        <w:t xml:space="preserve">pacienta </w:t>
      </w:r>
      <w:r w:rsidR="000C3CB1">
        <w:t>na odpovídající</w:t>
      </w:r>
      <w:r w:rsidR="00946D96">
        <w:t xml:space="preserve"> úsek zdravotní péče</w:t>
      </w:r>
      <w:r w:rsidR="0084502A">
        <w:t xml:space="preserve">, </w:t>
      </w:r>
      <w:r w:rsidR="00946D96">
        <w:t>např. pokud</w:t>
      </w:r>
      <w:r w:rsidR="00CE4887">
        <w:t xml:space="preserve"> se nejedná o </w:t>
      </w:r>
      <w:r w:rsidR="00744C85">
        <w:t xml:space="preserve">akutní </w:t>
      </w:r>
      <w:r w:rsidR="005B441A">
        <w:t xml:space="preserve">nebo subakutní </w:t>
      </w:r>
      <w:r w:rsidR="00A7176E">
        <w:t>zdravotní obtíže interního či neurologického charakteru</w:t>
      </w:r>
      <w:r w:rsidR="00A85A32">
        <w:t>.</w:t>
      </w:r>
    </w:p>
    <w:p w14:paraId="03F01C8A" w14:textId="5E1270F6" w:rsidR="004B4250" w:rsidRDefault="004B4250" w:rsidP="002E32D6">
      <w:pPr>
        <w:pStyle w:val="Dalodstavce"/>
        <w:numPr>
          <w:ilvl w:val="0"/>
          <w:numId w:val="20"/>
        </w:numPr>
      </w:pPr>
      <w:r>
        <w:t>Čekárna:</w:t>
      </w:r>
      <w:r w:rsidR="00AC6CBC">
        <w:t xml:space="preserve"> slouží jako místo</w:t>
      </w:r>
      <w:r w:rsidR="00EC7182">
        <w:t xml:space="preserve"> pro pacienty</w:t>
      </w:r>
      <w:r w:rsidR="00831EC9">
        <w:t>, kteří čekají</w:t>
      </w:r>
      <w:r w:rsidR="00333803">
        <w:t xml:space="preserve"> na ošetření</w:t>
      </w:r>
      <w:r w:rsidR="00D75F50">
        <w:t>, nebo již jsou v procesu ošetřování</w:t>
      </w:r>
      <w:r w:rsidR="00FB2401">
        <w:t xml:space="preserve">, avšak jejich aktuální zdravotní stav nevyžaduje </w:t>
      </w:r>
      <w:r w:rsidR="00912D18">
        <w:t>monitoraci na observačním lůžku</w:t>
      </w:r>
      <w:r w:rsidR="00784AF0">
        <w:t xml:space="preserve"> (viz text dále)</w:t>
      </w:r>
      <w:r w:rsidR="00912D18">
        <w:t>.</w:t>
      </w:r>
    </w:p>
    <w:p w14:paraId="5B36A657" w14:textId="76F2C93C" w:rsidR="000A5E64" w:rsidRDefault="00AD70D2" w:rsidP="002E32D6">
      <w:pPr>
        <w:pStyle w:val="Dalodstavce"/>
        <w:numPr>
          <w:ilvl w:val="0"/>
          <w:numId w:val="20"/>
        </w:numPr>
      </w:pPr>
      <w:r>
        <w:t xml:space="preserve">Místnost </w:t>
      </w:r>
      <w:proofErr w:type="spellStart"/>
      <w:r>
        <w:t>triage</w:t>
      </w:r>
      <w:proofErr w:type="spellEnd"/>
      <w:r w:rsidR="00675CFF">
        <w:t>:</w:t>
      </w:r>
      <w:r w:rsidR="007351F2">
        <w:t xml:space="preserve"> disponuje dvěma monitorovanými lůžky s rozvody medicinálních plynů</w:t>
      </w:r>
      <w:r w:rsidR="00875CC8">
        <w:t xml:space="preserve"> a další přístrojovou technikou</w:t>
      </w:r>
      <w:r w:rsidR="007351F2">
        <w:t>. P</w:t>
      </w:r>
      <w:r w:rsidR="00EA49B0">
        <w:t>robíhá</w:t>
      </w:r>
      <w:r w:rsidR="00DF59B7">
        <w:t> </w:t>
      </w:r>
      <w:r w:rsidR="007351F2">
        <w:t xml:space="preserve">zde </w:t>
      </w:r>
      <w:r w:rsidR="00DF59B7">
        <w:t xml:space="preserve">primární </w:t>
      </w:r>
      <w:r w:rsidR="00D04165">
        <w:t xml:space="preserve">diagnostika a ošetření pacienta. </w:t>
      </w:r>
      <w:r w:rsidR="001C7C6A">
        <w:t xml:space="preserve">V místnosti </w:t>
      </w:r>
      <w:r w:rsidR="0006298E">
        <w:t>se nacházejí dva oddělené</w:t>
      </w:r>
      <w:r w:rsidR="00B1206B">
        <w:t xml:space="preserve"> </w:t>
      </w:r>
      <w:r w:rsidR="0006298E">
        <w:t>vstupy</w:t>
      </w:r>
      <w:r w:rsidR="00F37FA9">
        <w:t> </w:t>
      </w:r>
      <w:r w:rsidR="0006298E">
        <w:t>– jeden z</w:t>
      </w:r>
      <w:r w:rsidR="00590FA9">
        <w:t> </w:t>
      </w:r>
      <w:r w:rsidR="0006298E">
        <w:t>čekárny</w:t>
      </w:r>
      <w:r w:rsidR="00590FA9">
        <w:t xml:space="preserve"> (pro pacienty od </w:t>
      </w:r>
      <w:r w:rsidR="00EB38D1">
        <w:t>ZD</w:t>
      </w:r>
      <w:r w:rsidR="00590FA9">
        <w:t xml:space="preserve">S či </w:t>
      </w:r>
      <w:r w:rsidR="0089583B">
        <w:t>přicházející samostatně</w:t>
      </w:r>
      <w:r w:rsidR="00590FA9">
        <w:t>)</w:t>
      </w:r>
      <w:r w:rsidR="0089583B">
        <w:t xml:space="preserve"> a druhý z haly urgentního příjmu</w:t>
      </w:r>
      <w:r w:rsidR="002D22AF">
        <w:t xml:space="preserve"> (pro pacienty od </w:t>
      </w:r>
      <w:r w:rsidR="0045062F">
        <w:t>ZZS</w:t>
      </w:r>
      <w:r w:rsidR="002D22AF">
        <w:t>), která slouží v případě potřeby jako shromaždiště pacientů při mimořádné události.</w:t>
      </w:r>
      <w:r w:rsidR="0073495B">
        <w:t xml:space="preserve"> </w:t>
      </w:r>
      <w:r w:rsidR="00115B19">
        <w:t>V</w:t>
      </w:r>
      <w:r w:rsidR="00E0330F">
        <w:t> </w:t>
      </w:r>
      <w:r w:rsidR="00115B19">
        <w:t>případě</w:t>
      </w:r>
      <w:r w:rsidR="00E0330F">
        <w:t xml:space="preserve"> pacientů</w:t>
      </w:r>
      <w:r w:rsidR="00891535">
        <w:t xml:space="preserve"> přivezených ZZS</w:t>
      </w:r>
      <w:r w:rsidR="00623F0C">
        <w:t>, či pacientů s akutními zdravotními obtížemi</w:t>
      </w:r>
      <w:r w:rsidR="00DC6E40">
        <w:t xml:space="preserve"> z čekárny</w:t>
      </w:r>
      <w:r w:rsidR="00926B25">
        <w:t>,</w:t>
      </w:r>
      <w:r w:rsidR="00623F0C">
        <w:t xml:space="preserve"> zde dochází</w:t>
      </w:r>
      <w:r w:rsidR="007931D5">
        <w:t xml:space="preserve"> ke stanovení vstupní priority ošetření. Dále </w:t>
      </w:r>
      <w:r w:rsidR="00241E8F">
        <w:t>navazují úkony</w:t>
      </w:r>
      <w:r w:rsidR="00F2772A">
        <w:t xml:space="preserve"> jako jsou </w:t>
      </w:r>
      <w:r w:rsidR="00095636">
        <w:t>odebrání doplňující anamnézy, měření vitální funkcí</w:t>
      </w:r>
      <w:r w:rsidR="006662B0">
        <w:t>, odběry krve a další</w:t>
      </w:r>
      <w:r w:rsidR="00C677CA">
        <w:t>.</w:t>
      </w:r>
      <w:r w:rsidR="007351F2">
        <w:t xml:space="preserve"> Následně je pacient</w:t>
      </w:r>
      <w:r w:rsidR="005E35F8">
        <w:t>, dle aktuálního zdravotního stavu,</w:t>
      </w:r>
      <w:r w:rsidR="007351F2">
        <w:t xml:space="preserve"> směřován</w:t>
      </w:r>
      <w:r w:rsidR="00C51509">
        <w:t xml:space="preserve"> buďto do čekárny (ev. příslušné ambulance ošetřujícího lékaře NUP)</w:t>
      </w:r>
      <w:r w:rsidR="00537A73">
        <w:t xml:space="preserve"> nebo na observaci</w:t>
      </w:r>
      <w:r w:rsidR="005E35F8">
        <w:t xml:space="preserve">, </w:t>
      </w:r>
      <w:r w:rsidR="00B00DC4">
        <w:t>a</w:t>
      </w:r>
      <w:r w:rsidR="005E35F8">
        <w:t xml:space="preserve"> vyčkává dalšího </w:t>
      </w:r>
      <w:r w:rsidR="007D0844">
        <w:t>diagnostického či terapeutického postupu</w:t>
      </w:r>
      <w:r w:rsidR="005E35F8">
        <w:t>.</w:t>
      </w:r>
    </w:p>
    <w:p w14:paraId="248931BF" w14:textId="2AF46E59" w:rsidR="004B4250" w:rsidRDefault="002029D8" w:rsidP="002E32D6">
      <w:pPr>
        <w:pStyle w:val="Dalodstavce"/>
        <w:numPr>
          <w:ilvl w:val="0"/>
          <w:numId w:val="20"/>
        </w:numPr>
      </w:pPr>
      <w:r>
        <w:lastRenderedPageBreak/>
        <w:t>Expektační lůžková část</w:t>
      </w:r>
      <w:r w:rsidR="00EA6853">
        <w:t xml:space="preserve"> (o</w:t>
      </w:r>
      <w:r w:rsidR="00912D18">
        <w:t>b</w:t>
      </w:r>
      <w:r w:rsidR="00EA6853">
        <w:t>servace):</w:t>
      </w:r>
      <w:r w:rsidR="006C44A5">
        <w:t xml:space="preserve"> je</w:t>
      </w:r>
      <w:r w:rsidR="00621310">
        <w:t xml:space="preserve"> </w:t>
      </w:r>
      <w:r w:rsidR="006C44A5">
        <w:t>vybavena</w:t>
      </w:r>
      <w:r w:rsidR="00875CC8">
        <w:t xml:space="preserve"> </w:t>
      </w:r>
      <w:r w:rsidR="00C075CF">
        <w:t>celkem šesti monitorovanými lůžky s rozvody medicinálních plynů</w:t>
      </w:r>
      <w:r w:rsidR="00C57BAD">
        <w:t>, místy k sezení a dalším přístrojovým vybavením</w:t>
      </w:r>
      <w:r w:rsidR="00621310">
        <w:t xml:space="preserve"> (vč</w:t>
      </w:r>
      <w:r w:rsidR="001313D7">
        <w:t>.</w:t>
      </w:r>
      <w:r w:rsidR="00621310">
        <w:t xml:space="preserve"> </w:t>
      </w:r>
      <w:r w:rsidR="00F80180">
        <w:t xml:space="preserve">toho </w:t>
      </w:r>
      <w:r w:rsidR="00621310">
        <w:t>resuscitačního).</w:t>
      </w:r>
      <w:r w:rsidR="009E4110">
        <w:t xml:space="preserve"> Místnost bezprostředně navazuje na místnost </w:t>
      </w:r>
      <w:proofErr w:type="spellStart"/>
      <w:r w:rsidR="009E4110">
        <w:t>triage</w:t>
      </w:r>
      <w:proofErr w:type="spellEnd"/>
      <w:r w:rsidR="00B03A7A">
        <w:t xml:space="preserve"> a </w:t>
      </w:r>
      <w:r w:rsidR="006B37AF">
        <w:t>umožňuje</w:t>
      </w:r>
      <w:r w:rsidR="000913CF">
        <w:t xml:space="preserve"> </w:t>
      </w:r>
      <w:r w:rsidR="00170D1C">
        <w:t xml:space="preserve">u pacienta jeho </w:t>
      </w:r>
      <w:r w:rsidR="00701DA6">
        <w:t>dočasnou</w:t>
      </w:r>
      <w:r w:rsidR="00170D1C">
        <w:t xml:space="preserve"> observaci </w:t>
      </w:r>
      <w:r w:rsidR="006B37AF">
        <w:t>„</w:t>
      </w:r>
      <w:r w:rsidR="00170D1C">
        <w:rPr>
          <w:i/>
          <w:iCs/>
        </w:rPr>
        <w:t>…</w:t>
      </w:r>
      <w:r w:rsidR="00764926" w:rsidRPr="00671C38">
        <w:rPr>
          <w:i/>
          <w:iCs/>
        </w:rPr>
        <w:t>za účelem provedení nezbytných vyšetření v rámci diagnostické rozvahy</w:t>
      </w:r>
      <w:r w:rsidR="00E90328" w:rsidRPr="00671C38">
        <w:rPr>
          <w:i/>
          <w:iCs/>
        </w:rPr>
        <w:t>, monitorace pacienta, krátkodobé terapie</w:t>
      </w:r>
      <w:r w:rsidR="00A17439">
        <w:rPr>
          <w:i/>
          <w:iCs/>
        </w:rPr>
        <w:t>,</w:t>
      </w:r>
      <w:r w:rsidR="00E90328" w:rsidRPr="00671C38">
        <w:rPr>
          <w:i/>
          <w:iCs/>
        </w:rPr>
        <w:t xml:space="preserve"> nebo do doby uvolnění lůžka</w:t>
      </w:r>
      <w:r w:rsidR="00385561" w:rsidRPr="00671C38">
        <w:rPr>
          <w:i/>
          <w:iCs/>
        </w:rPr>
        <w:t xml:space="preserve"> cílového pracoviště</w:t>
      </w:r>
      <w:r w:rsidR="00A603E1" w:rsidRPr="00671C38">
        <w:rPr>
          <w:i/>
          <w:iCs/>
        </w:rPr>
        <w:t xml:space="preserve"> poskytovatele zdravotních služeb</w:t>
      </w:r>
      <w:r w:rsidR="008D1DF0">
        <w:t>.</w:t>
      </w:r>
      <w:r w:rsidR="000913CF">
        <w:t>“</w:t>
      </w:r>
      <w:r w:rsidR="00090C28">
        <w:fldChar w:fldCharType="begin"/>
      </w:r>
      <w:r w:rsidR="009B3709">
        <w:instrText xml:space="preserve"> ADDIN ZOTERO_ITEM CSL_CITATION {"citationID":"uSUmu4DN","properties":{"formattedCitation":"\\super 34(p155)\\nosupersub{}","plainCitation":"34(p155)","noteIndex":0},"citationItems":[{"id":188,"uris":["http://zotero.org/users/9426386/items/MJQKSCXY"],"itemData":{"id":188,"type":"bill","authority":"Ministerstvo zdravotnictví ČR","language":"cs","title":"Věstník č. 9/2020","URL":"https://mzd.gov.cz/vestnik/vestnik-c-9-2020/","issued":{"date-parts":[["2020"]],"season":"8"}},"locator":"155","label":"page"}],"schema":"https://github.com/citation-style-language/schema/raw/master/csl-citation.json"} </w:instrText>
      </w:r>
      <w:r w:rsidR="00090C28">
        <w:fldChar w:fldCharType="separate"/>
      </w:r>
      <w:r w:rsidR="001300F0" w:rsidRPr="001300F0">
        <w:rPr>
          <w:vertAlign w:val="superscript"/>
        </w:rPr>
        <w:t>34(p155)</w:t>
      </w:r>
      <w:r w:rsidR="00090C28">
        <w:fldChar w:fldCharType="end"/>
      </w:r>
      <w:r w:rsidR="00863813">
        <w:t xml:space="preserve"> </w:t>
      </w:r>
      <w:r w:rsidR="00DE237B">
        <w:t xml:space="preserve">Observace pacienta </w:t>
      </w:r>
      <w:r w:rsidR="00863813">
        <w:t xml:space="preserve">přitom </w:t>
      </w:r>
      <w:r w:rsidR="00DE237B">
        <w:t>nepřesahuje dobu 24 hodin.</w:t>
      </w:r>
    </w:p>
    <w:p w14:paraId="59159784" w14:textId="258672BC" w:rsidR="00EA6853" w:rsidRDefault="000E198B" w:rsidP="002E32D6">
      <w:pPr>
        <w:pStyle w:val="Dalodstavce"/>
        <w:numPr>
          <w:ilvl w:val="0"/>
          <w:numId w:val="20"/>
        </w:numPr>
      </w:pPr>
      <w:r>
        <w:t>Ambulantní část:</w:t>
      </w:r>
      <w:r w:rsidR="009B7882">
        <w:t xml:space="preserve"> </w:t>
      </w:r>
      <w:r w:rsidR="00877C9A">
        <w:t>poskytuje</w:t>
      </w:r>
      <w:r w:rsidR="00E60467">
        <w:t xml:space="preserve"> prostory</w:t>
      </w:r>
      <w:r w:rsidR="00422C9B">
        <w:t xml:space="preserve"> pro </w:t>
      </w:r>
      <w:r w:rsidR="005B09BA">
        <w:t>další diagnosti</w:t>
      </w:r>
      <w:r w:rsidR="008C5122">
        <w:t>cké postupy lékařům NUP v</w:t>
      </w:r>
      <w:r w:rsidR="00A1652D">
        <w:t> </w:t>
      </w:r>
      <w:r w:rsidR="008C5122">
        <w:t>soukromí</w:t>
      </w:r>
      <w:r w:rsidR="00A1652D">
        <w:t xml:space="preserve"> pacienta. Celkem jde o čtyři ambulance – jedn</w:t>
      </w:r>
      <w:r w:rsidR="00EA4E6C">
        <w:t>u</w:t>
      </w:r>
      <w:r w:rsidR="00A1652D">
        <w:t xml:space="preserve"> neurologick</w:t>
      </w:r>
      <w:r w:rsidR="00EA4E6C">
        <w:t>ou a tři interní.</w:t>
      </w:r>
      <w:r w:rsidR="004A64D9">
        <w:fldChar w:fldCharType="begin"/>
      </w:r>
      <w:r w:rsidR="009B3709">
        <w:instrText xml:space="preserve"> ADDIN ZOTERO_ITEM CSL_CITATION {"citationID":"qc7VnUeK","properties":{"formattedCitation":"\\super 34(pp153-156),35(pp46-49),39,40\\nosupersub{}","plainCitation":"34(pp153-156),35(pp46-49),39,40","noteIndex":0},"citationItems":[{"id":188,"uris":["http://zotero.org/users/9426386/items/MJQKSCXY"],"itemData":{"id":188,"type":"bill","authority":"Ministerstvo zdravotnictví ČR","language":"cs","title":"Věstník č. 9/2020","URL":"https://mzd.gov.cz/vestnik/vestnik-c-9-2020/","issued":{"date-parts":[["2020"]],"season":"8"}},"locator":"153-156","label":"page"},{"id":189,"uris":["http://zotero.org/users/9426386/items/QSGCR5V3"],"itemData":{"id":189,"type":"book","event-place":"Praha","ISBN":"978-80-247-4530-5","language":"cs","number-of-pages":"240","publisher":"Grada","publisher-place":"Praha","title":"Praktická příručka přednemocniční urgentní medicíny","author":[{"family":"Remeš","given":"Roman"},{"family":"Trnovská","given":"Silvia"}],"issued":{"date-parts":[["2013"]]}},"locator":"46-49","label":"page"},{"id":199,"uris":["http://zotero.org/users/9426386/items/QLT3IPES"],"itemData":{"id":199,"type":"webpage","container-title":"Fakultní nemocnice Brno","language":"cs","title":"Akutní ambulance","URL":"https://www.fnbrno.cz/areal-bohunice/interni-gastroenterologicka-klinika/akutni-ambulance/t7368","accessed":{"date-parts":[["2024",10,29]]}}},{"id":201,"uris":["http://zotero.org/users/9426386/items/WPNVRYZX"],"itemData":{"id":201,"type":"webpage","abstract":"Interní příjmová ambulance společně s interní ambulancí pro akutní případy se nachází v přízemí hlavní výškové budovy nemocnice (pavilon L) v prostorách Nízkoprahového urgentního příjmu (NUP). Hlavní náplní ambulance je péče o pacienty s akutními či subakutními stavy. Jedná se především o dekompenza","container-title":"Fakultní nemocnice Brno","language":"cs","title":"Interní ambulance","URL":"https://www.fnbrno.cz/areal-bohunice/interni-hematologicka-a-onkologicka-klinika/interni-ambulance/t1289","accessed":{"date-parts":[["2024",10,29]]}},"label":"page"}],"schema":"https://github.com/citation-style-language/schema/raw/master/csl-citation.json"} </w:instrText>
      </w:r>
      <w:r w:rsidR="004A64D9">
        <w:fldChar w:fldCharType="separate"/>
      </w:r>
      <w:r w:rsidR="001300F0" w:rsidRPr="001300F0">
        <w:rPr>
          <w:vertAlign w:val="superscript"/>
        </w:rPr>
        <w:t>34(pp153-156),35(pp46-49),39,40</w:t>
      </w:r>
      <w:r w:rsidR="004A64D9">
        <w:fldChar w:fldCharType="end"/>
      </w:r>
    </w:p>
    <w:p w14:paraId="72D3B3CA" w14:textId="77777777" w:rsidR="001926F2" w:rsidRDefault="001926F2" w:rsidP="001926F2">
      <w:pPr>
        <w:pStyle w:val="Dalodstavce"/>
        <w:ind w:firstLine="0"/>
      </w:pPr>
    </w:p>
    <w:p w14:paraId="65C4E0FF" w14:textId="6A41A961" w:rsidR="00041A7A" w:rsidRDefault="00D85CC5" w:rsidP="00FE6D4F">
      <w:pPr>
        <w:pStyle w:val="Dalodstavce"/>
        <w:ind w:firstLine="0"/>
      </w:pPr>
      <w:r>
        <w:t xml:space="preserve">Oddělení </w:t>
      </w:r>
      <w:r w:rsidR="00536C14">
        <w:t xml:space="preserve">NUP </w:t>
      </w:r>
      <w:r>
        <w:t>taktéž poskytuje prostorovou návaznost</w:t>
      </w:r>
      <w:r w:rsidR="00536C14">
        <w:t xml:space="preserve"> na Oddělení urgentního příjmu FN Brno</w:t>
      </w:r>
      <w:r w:rsidR="00FE3258">
        <w:t xml:space="preserve"> (tzv. </w:t>
      </w:r>
      <w:proofErr w:type="spellStart"/>
      <w:r w:rsidR="00FE3258">
        <w:t>vysokoprahovou</w:t>
      </w:r>
      <w:proofErr w:type="spellEnd"/>
      <w:r w:rsidR="00FE3258">
        <w:t xml:space="preserve"> část</w:t>
      </w:r>
      <w:r w:rsidR="003E6984">
        <w:t xml:space="preserve"> spadající </w:t>
      </w:r>
      <w:r w:rsidR="00472D7F">
        <w:t xml:space="preserve">organizačně </w:t>
      </w:r>
      <w:r w:rsidR="003E6984">
        <w:t>pod Kliniku anesteziologie, resuscitace a intenzivní medicíny</w:t>
      </w:r>
      <w:r w:rsidR="00FE3258">
        <w:t>)</w:t>
      </w:r>
      <w:r w:rsidR="0021678D">
        <w:t>.</w:t>
      </w:r>
      <w:r w:rsidR="00F3775A">
        <w:t xml:space="preserve"> </w:t>
      </w:r>
      <w:proofErr w:type="spellStart"/>
      <w:r w:rsidR="00F3775A">
        <w:t>Vysokoprahová</w:t>
      </w:r>
      <w:proofErr w:type="spellEnd"/>
      <w:r w:rsidR="00F3775A">
        <w:t xml:space="preserve"> část urgentního příjmu je určena pacientům s</w:t>
      </w:r>
      <w:r w:rsidR="00520B55">
        <w:t> přímým ohrožením či nestabil</w:t>
      </w:r>
      <w:r w:rsidR="000E0BB5">
        <w:t>itou</w:t>
      </w:r>
      <w:r w:rsidR="00520B55">
        <w:t xml:space="preserve"> vitální</w:t>
      </w:r>
      <w:r w:rsidR="000E0BB5">
        <w:t>ch</w:t>
      </w:r>
      <w:r w:rsidR="00520B55">
        <w:t xml:space="preserve"> funkc</w:t>
      </w:r>
      <w:r w:rsidR="000E0BB5">
        <w:t>í</w:t>
      </w:r>
      <w:r w:rsidR="00753526">
        <w:t>.</w:t>
      </w:r>
      <w:r w:rsidR="00A4080C">
        <w:t xml:space="preserve"> Oproti NUP disponuje navíc</w:t>
      </w:r>
      <w:r w:rsidR="0019669B">
        <w:t xml:space="preserve"> </w:t>
      </w:r>
      <w:r w:rsidR="00955413">
        <w:t xml:space="preserve">zejména </w:t>
      </w:r>
      <w:r w:rsidR="0019669B">
        <w:t>operačním sálem</w:t>
      </w:r>
      <w:r w:rsidR="001761E7">
        <w:t xml:space="preserve"> pro urgentní operativu</w:t>
      </w:r>
      <w:r w:rsidR="0019669B">
        <w:t xml:space="preserve">, vyšetřovnou </w:t>
      </w:r>
      <w:r w:rsidR="00536307">
        <w:t>výpočetní tomografie</w:t>
      </w:r>
      <w:r w:rsidR="00D177C8">
        <w:t xml:space="preserve"> či heliport</w:t>
      </w:r>
      <w:r w:rsidR="00955413">
        <w:t>em</w:t>
      </w:r>
      <w:r w:rsidR="00D177C8">
        <w:t xml:space="preserve"> pro přistání letecké záchranné služby.</w:t>
      </w:r>
      <w:r w:rsidR="00D014FD">
        <w:fldChar w:fldCharType="begin"/>
      </w:r>
      <w:r w:rsidR="001300F0">
        <w:instrText xml:space="preserve"> ADDIN ZOTERO_ITEM CSL_CITATION {"citationID":"EiAEjd7z","properties":{"formattedCitation":"\\super 39,41\\nosupersub{}","plainCitation":"39,41","noteIndex":0},"citationItems":[{"id":199,"uris":["http://zotero.org/users/9426386/items/QLT3IPES"],"itemData":{"id":199,"type":"webpage","container-title":"Fakultní nemocnice Brno","language":"cs","title":"Akutní ambulance","URL":"https://www.fnbrno.cz/areal-bohunice/interni-gastroenterologicka-klinika/akutni-ambulance/t7368","accessed":{"date-parts":[["2024",10,29]]}},"label":"page"},{"id":203,"uris":["http://zotero.org/users/9426386/items/A3CH6FEV"],"itemData":{"id":203,"type":"webpage","container-title":"Fakultní nemocnice Brno","language":"cs","title":"Oddělení urgentního příjmu – Účel oddělení","URL":"https://www.fnbrno.cz/areal-bohunice/klinika-anesteziologie-resuscitace-a-intenz-med/ucel-oddeleni/t3834","accessed":{"date-parts":[["2024",10,29]]}},"label":"page"}],"schema":"https://github.com/citation-style-language/schema/raw/master/csl-citation.json"} </w:instrText>
      </w:r>
      <w:r w:rsidR="00D014FD">
        <w:fldChar w:fldCharType="separate"/>
      </w:r>
      <w:r w:rsidR="001300F0" w:rsidRPr="001300F0">
        <w:rPr>
          <w:vertAlign w:val="superscript"/>
        </w:rPr>
        <w:t>39,41</w:t>
      </w:r>
      <w:r w:rsidR="00D014FD">
        <w:fldChar w:fldCharType="end"/>
      </w:r>
    </w:p>
    <w:p w14:paraId="18D75FE5" w14:textId="5470D3F4" w:rsidR="00E438A8" w:rsidRDefault="00E438A8" w:rsidP="002E32D6">
      <w:pPr>
        <w:pStyle w:val="Nadpis2"/>
        <w:numPr>
          <w:ilvl w:val="1"/>
          <w:numId w:val="14"/>
        </w:numPr>
      </w:pPr>
      <w:bookmarkStart w:id="27" w:name="_Toc195517114"/>
      <w:r>
        <w:t>Výzkumný záměr a výzkumné cíle</w:t>
      </w:r>
      <w:bookmarkEnd w:id="27"/>
    </w:p>
    <w:p w14:paraId="17EBAC84" w14:textId="414C912C" w:rsidR="00EA28B9" w:rsidRDefault="00EA28B9" w:rsidP="00EA28B9">
      <w:pPr>
        <w:pStyle w:val="Odstavec1"/>
      </w:pPr>
      <w:r>
        <w:t>Výzkumným záměrem diplomové práce bylo zjistit,</w:t>
      </w:r>
      <w:r w:rsidR="000238A7">
        <w:t xml:space="preserve"> jaký vliv má stárnutí české populace na Nízkoprahový urgentní příjem Fakultní nemocnice B</w:t>
      </w:r>
      <w:r w:rsidR="00AC03F6">
        <w:t>rno</w:t>
      </w:r>
      <w:r w:rsidR="00271965">
        <w:t>.</w:t>
      </w:r>
      <w:r w:rsidR="0075525F">
        <w:t xml:space="preserve"> V návaznosti na výzkumný záměr </w:t>
      </w:r>
      <w:r w:rsidR="00A4350A">
        <w:t>byly stanoveny celkem tři výzkumné cíle</w:t>
      </w:r>
      <w:r w:rsidR="00581ABE">
        <w:t>:</w:t>
      </w:r>
    </w:p>
    <w:p w14:paraId="6E961ACA" w14:textId="586EA6C5" w:rsidR="00581ABE" w:rsidRDefault="00581ABE" w:rsidP="002E32D6">
      <w:pPr>
        <w:pStyle w:val="Dalodstavce"/>
        <w:numPr>
          <w:ilvl w:val="0"/>
          <w:numId w:val="21"/>
        </w:numPr>
      </w:pPr>
      <w:r w:rsidRPr="00C927E7">
        <w:rPr>
          <w:b/>
          <w:bCs/>
        </w:rPr>
        <w:t>Cíl č. 1:</w:t>
      </w:r>
      <w:r w:rsidR="00C927E7">
        <w:t xml:space="preserve"> </w:t>
      </w:r>
      <w:r w:rsidR="00C927E7" w:rsidRPr="00C927E7">
        <w:t>Popsat složení pacientů ve věku 75</w:t>
      </w:r>
      <w:r w:rsidR="00891CC0">
        <w:t xml:space="preserve"> a více let</w:t>
      </w:r>
      <w:r w:rsidR="00C927E7" w:rsidRPr="00C927E7">
        <w:t xml:space="preserve"> ošetřených na N</w:t>
      </w:r>
      <w:r w:rsidR="00594AD3">
        <w:t>ízkoprahovém urgentním příjmu</w:t>
      </w:r>
      <w:r w:rsidR="00C927E7" w:rsidRPr="00C927E7">
        <w:t xml:space="preserve"> F</w:t>
      </w:r>
      <w:r w:rsidR="00594AD3">
        <w:t>akultní nemocnice</w:t>
      </w:r>
      <w:r w:rsidR="00C927E7" w:rsidRPr="00C927E7">
        <w:t xml:space="preserve"> Brno v</w:t>
      </w:r>
      <w:r w:rsidR="00C927E7">
        <w:t> </w:t>
      </w:r>
      <w:r w:rsidR="00C927E7" w:rsidRPr="00C927E7">
        <w:t>letech 2019 a</w:t>
      </w:r>
      <w:r w:rsidR="00594AD3">
        <w:t> </w:t>
      </w:r>
      <w:r w:rsidR="00C927E7" w:rsidRPr="00C927E7">
        <w:t>2023 z hlediska základních charakteristik.</w:t>
      </w:r>
    </w:p>
    <w:p w14:paraId="304EB964" w14:textId="1575410A" w:rsidR="00581ABE" w:rsidRDefault="00581ABE" w:rsidP="002E32D6">
      <w:pPr>
        <w:pStyle w:val="Dalodstavce"/>
        <w:numPr>
          <w:ilvl w:val="0"/>
          <w:numId w:val="21"/>
        </w:numPr>
      </w:pPr>
      <w:r w:rsidRPr="002052BE">
        <w:rPr>
          <w:b/>
          <w:bCs/>
        </w:rPr>
        <w:t>Cíl č. 2:</w:t>
      </w:r>
      <w:r w:rsidR="002052BE">
        <w:t xml:space="preserve"> </w:t>
      </w:r>
      <w:r w:rsidR="002052BE" w:rsidRPr="002052BE">
        <w:t>Popsat trajektorii pacientů ve věku 75 a více let ošetřených na Nízkoprahovém urgentním příjmu Fakultní nemocnice Brno v roce 2023.</w:t>
      </w:r>
    </w:p>
    <w:p w14:paraId="461B0A12" w14:textId="6373FAB2" w:rsidR="00581ABE" w:rsidRPr="00581ABE" w:rsidRDefault="00581ABE" w:rsidP="002E32D6">
      <w:pPr>
        <w:pStyle w:val="Dalodstavce"/>
        <w:numPr>
          <w:ilvl w:val="0"/>
          <w:numId w:val="21"/>
        </w:numPr>
      </w:pPr>
      <w:r w:rsidRPr="00891CC0">
        <w:rPr>
          <w:b/>
          <w:bCs/>
        </w:rPr>
        <w:t>Cíl č. 3:</w:t>
      </w:r>
      <w:r w:rsidR="00891CC0">
        <w:t xml:space="preserve"> </w:t>
      </w:r>
      <w:r w:rsidR="00891CC0" w:rsidRPr="00891CC0">
        <w:t>Zjistit, zda a jaké změny nastaly na Nízkoprahovém urgentním příjmu Fakultní nemocnice Brno mezi lety 2019 a 2023 u pacientů ve věku 75 a více let.</w:t>
      </w:r>
    </w:p>
    <w:p w14:paraId="151F291B" w14:textId="65E0F505" w:rsidR="00321D27" w:rsidRDefault="00321D27" w:rsidP="002E32D6">
      <w:pPr>
        <w:pStyle w:val="Nadpis2"/>
        <w:numPr>
          <w:ilvl w:val="1"/>
          <w:numId w:val="14"/>
        </w:numPr>
      </w:pPr>
      <w:bookmarkStart w:id="28" w:name="_Toc195517115"/>
      <w:r>
        <w:t xml:space="preserve">Metoda sběru dat a </w:t>
      </w:r>
      <w:r w:rsidR="00D10080">
        <w:t>charakteristika výzkumného souboru</w:t>
      </w:r>
      <w:bookmarkEnd w:id="28"/>
    </w:p>
    <w:p w14:paraId="3350ED95" w14:textId="676D1171" w:rsidR="00321D27" w:rsidRDefault="00EC57CB" w:rsidP="00321D27">
      <w:pPr>
        <w:pStyle w:val="Odstavec1"/>
      </w:pPr>
      <w:r w:rsidRPr="00EC57CB">
        <w:t>Výzkumná část práce byla realizována formou retrospektivní deskriptivní studie založené na kvantitativní analýze dat.</w:t>
      </w:r>
      <w:r w:rsidR="00A24E5F">
        <w:t xml:space="preserve"> </w:t>
      </w:r>
      <w:r w:rsidR="00321D27" w:rsidRPr="00321D27">
        <w:t>Pro potřeby ověření výzkumného záměru a stanovených výzkumných cílů</w:t>
      </w:r>
      <w:r w:rsidR="00C9489D">
        <w:t xml:space="preserve"> </w:t>
      </w:r>
      <w:r w:rsidR="000F00B3">
        <w:t>b</w:t>
      </w:r>
      <w:r w:rsidR="000F00B3" w:rsidRPr="000F00B3">
        <w:t>yla provedena sekundární analýza existujících nemocničních záznamů z prostředí NUP FN Brno</w:t>
      </w:r>
      <w:r w:rsidR="00C9489D">
        <w:t xml:space="preserve"> </w:t>
      </w:r>
      <w:r w:rsidR="00086A69">
        <w:t>(oddělení</w:t>
      </w:r>
      <w:r w:rsidR="00917FAB">
        <w:t xml:space="preserve"> </w:t>
      </w:r>
      <w:r w:rsidR="00086A69">
        <w:t>bylo představeno v kapitole 5.1)</w:t>
      </w:r>
      <w:r w:rsidR="00321D27" w:rsidRPr="00321D27">
        <w:t>.</w:t>
      </w:r>
    </w:p>
    <w:p w14:paraId="718932C2" w14:textId="3E7945CB" w:rsidR="000330E1" w:rsidRDefault="000330E1" w:rsidP="000330E1">
      <w:pPr>
        <w:pStyle w:val="Dalodstavce"/>
      </w:pPr>
      <w:r>
        <w:lastRenderedPageBreak/>
        <w:t>Do výzkumu byli zařazeni všichni pacienti</w:t>
      </w:r>
      <w:r w:rsidR="005E1B24">
        <w:t xml:space="preserve"> ve věkové kategorii 75</w:t>
      </w:r>
      <w:r w:rsidR="009C40E9">
        <w:t xml:space="preserve"> </w:t>
      </w:r>
      <w:r w:rsidR="00012D8B">
        <w:t>a více</w:t>
      </w:r>
      <w:r w:rsidR="009C40E9">
        <w:t xml:space="preserve"> let</w:t>
      </w:r>
      <w:r w:rsidR="00876613">
        <w:t>, kteří</w:t>
      </w:r>
      <w:r w:rsidR="00B95AFB">
        <w:t xml:space="preserve"> byli ošetřeni na NUP FN Brno </w:t>
      </w:r>
      <w:r w:rsidR="001C3421">
        <w:t>za</w:t>
      </w:r>
      <w:r w:rsidR="00C22C7A">
        <w:t> období 1. 1. – 31. 12. 2019 a 1. 1. – 31. 12. 2023.</w:t>
      </w:r>
    </w:p>
    <w:p w14:paraId="2DFF9D6B" w14:textId="62EC7189" w:rsidR="00121C4A" w:rsidRDefault="00D322B4" w:rsidP="000330E1">
      <w:pPr>
        <w:pStyle w:val="Dalodstavce"/>
      </w:pPr>
      <w:r w:rsidRPr="001B0EA7">
        <w:t xml:space="preserve">Samotnému procesu realizace výzkumu předcházel výběr vhodného zdroje dat. </w:t>
      </w:r>
      <w:r w:rsidR="004C454B" w:rsidRPr="001B0EA7">
        <w:t>Ú</w:t>
      </w:r>
      <w:r w:rsidR="001F012E" w:rsidRPr="001B0EA7">
        <w:t>daje</w:t>
      </w:r>
      <w:r w:rsidR="004C454B">
        <w:t xml:space="preserve"> o </w:t>
      </w:r>
      <w:r w:rsidR="00F74F4F">
        <w:t>všech pacient</w:t>
      </w:r>
      <w:r w:rsidR="004C454B">
        <w:t>ech</w:t>
      </w:r>
      <w:r w:rsidR="00F74F4F">
        <w:t xml:space="preserve"> ošetřených na NUP</w:t>
      </w:r>
      <w:r w:rsidR="002D5B74">
        <w:t xml:space="preserve"> FN Brno</w:t>
      </w:r>
      <w:r w:rsidR="00C1102D">
        <w:t xml:space="preserve"> jsou v průběhu každé směny</w:t>
      </w:r>
      <w:r w:rsidR="001017C3">
        <w:t xml:space="preserve"> </w:t>
      </w:r>
      <w:r w:rsidR="004C454B">
        <w:t xml:space="preserve">průběžně </w:t>
      </w:r>
      <w:r w:rsidR="001017C3">
        <w:t>zaznamenávány technick</w:t>
      </w:r>
      <w:r w:rsidR="00664E9A">
        <w:t>o</w:t>
      </w:r>
      <w:r w:rsidR="001017C3">
        <w:t xml:space="preserve">hospodářskými pracovníky </w:t>
      </w:r>
      <w:r w:rsidR="00664E9A">
        <w:t>(dále jen THP)</w:t>
      </w:r>
      <w:r w:rsidR="00601C25">
        <w:t xml:space="preserve"> </w:t>
      </w:r>
      <w:r w:rsidR="00C36DB4">
        <w:t xml:space="preserve">do tzv. </w:t>
      </w:r>
      <w:r w:rsidR="00C3735A">
        <w:t>„</w:t>
      </w:r>
      <w:r w:rsidR="00C36DB4">
        <w:t>knih THP</w:t>
      </w:r>
      <w:r w:rsidR="00C3735A">
        <w:t>“</w:t>
      </w:r>
      <w:r w:rsidR="00C36DB4">
        <w:t>, které jsou vedeny v papírové podobě.</w:t>
      </w:r>
      <w:r w:rsidR="007A2F87">
        <w:t xml:space="preserve"> N</w:t>
      </w:r>
      <w:r w:rsidR="003529EE">
        <w:t>a základě</w:t>
      </w:r>
      <w:r w:rsidR="004C3966">
        <w:t xml:space="preserve"> užšího výběru</w:t>
      </w:r>
      <w:r w:rsidR="00A6086E">
        <w:t xml:space="preserve"> </w:t>
      </w:r>
      <w:r w:rsidR="007A2F87">
        <w:t>sledovan</w:t>
      </w:r>
      <w:r w:rsidR="003529EE">
        <w:t>ých</w:t>
      </w:r>
      <w:r w:rsidR="004E22F1">
        <w:t xml:space="preserve"> faktor</w:t>
      </w:r>
      <w:r w:rsidR="00A6086E">
        <w:t>ů</w:t>
      </w:r>
      <w:r w:rsidR="00053E57">
        <w:t xml:space="preserve">, které jsou pro management </w:t>
      </w:r>
      <w:r w:rsidR="00C44395">
        <w:t>oddělení a kliniky podstatné,</w:t>
      </w:r>
      <w:r w:rsidR="00A6086E">
        <w:t xml:space="preserve"> je </w:t>
      </w:r>
      <w:r w:rsidR="00DE70E4">
        <w:t>posléze vypracovávána</w:t>
      </w:r>
      <w:r w:rsidR="0092234C">
        <w:t xml:space="preserve"> statistika oddělení v</w:t>
      </w:r>
      <w:r w:rsidR="00E72A62">
        <w:t> </w:t>
      </w:r>
      <w:r w:rsidR="0092234C">
        <w:t>p</w:t>
      </w:r>
      <w:r w:rsidR="00E72A62">
        <w:t xml:space="preserve">rostředí </w:t>
      </w:r>
      <w:r w:rsidR="00BB3C3B">
        <w:t xml:space="preserve">programu </w:t>
      </w:r>
      <w:r w:rsidR="00E72A62">
        <w:t>Microsoft Excel.</w:t>
      </w:r>
      <w:r w:rsidR="00B40524">
        <w:t xml:space="preserve"> </w:t>
      </w:r>
      <w:r w:rsidR="00C5676D" w:rsidRPr="001B0EA7">
        <w:t>V úvahu tak připadaly tři možnosti získávání dat – listinná podoba</w:t>
      </w:r>
      <w:r w:rsidR="00F37631">
        <w:t xml:space="preserve"> (</w:t>
      </w:r>
      <w:r w:rsidR="00C3735A">
        <w:t>„</w:t>
      </w:r>
      <w:r w:rsidR="00F37631">
        <w:t>knihy THP</w:t>
      </w:r>
      <w:r w:rsidR="00C3735A">
        <w:t>“</w:t>
      </w:r>
      <w:r w:rsidR="00F37631">
        <w:t>)</w:t>
      </w:r>
      <w:r w:rsidR="00C5676D" w:rsidRPr="001B0EA7">
        <w:t xml:space="preserve">, vlastní statistika oddělení </w:t>
      </w:r>
      <w:r w:rsidR="006949C2">
        <w:t>nebo</w:t>
      </w:r>
      <w:r w:rsidR="00C5676D" w:rsidRPr="001B0EA7">
        <w:t xml:space="preserve"> nemocniční informační systém</w:t>
      </w:r>
      <w:r w:rsidR="00847ACD">
        <w:t xml:space="preserve"> (dále jen NIS)</w:t>
      </w:r>
      <w:r w:rsidR="00FC414B">
        <w:t xml:space="preserve"> AMIS</w:t>
      </w:r>
      <w:r w:rsidR="00C5676D" w:rsidRPr="001B0EA7">
        <w:t>.</w:t>
      </w:r>
    </w:p>
    <w:p w14:paraId="41A44336" w14:textId="6BFAC729" w:rsidR="001644EC" w:rsidRDefault="003653A6" w:rsidP="000330E1">
      <w:pPr>
        <w:pStyle w:val="Dalodstavce"/>
      </w:pPr>
      <w:r>
        <w:t>Jako první byla zjišťována možnost využití digitální statistiky</w:t>
      </w:r>
      <w:r w:rsidR="00B56385">
        <w:t xml:space="preserve"> NUP</w:t>
      </w:r>
      <w:r w:rsidR="00B30B80">
        <w:t xml:space="preserve"> pro vlastní výzkum</w:t>
      </w:r>
      <w:r w:rsidR="003B17DE">
        <w:t xml:space="preserve"> k diplomové práci</w:t>
      </w:r>
      <w:r w:rsidR="00B56385">
        <w:t>.</w:t>
      </w:r>
      <w:r w:rsidR="003B17DE">
        <w:t xml:space="preserve"> Excelové soubory</w:t>
      </w:r>
      <w:r w:rsidR="00BD2CA2">
        <w:t xml:space="preserve"> </w:t>
      </w:r>
      <w:r w:rsidR="00FD510D">
        <w:t xml:space="preserve">se </w:t>
      </w:r>
      <w:r w:rsidR="00BD2CA2">
        <w:t>sledovan</w:t>
      </w:r>
      <w:r w:rsidR="00FD510D">
        <w:t>ými</w:t>
      </w:r>
      <w:r w:rsidR="00BD2CA2">
        <w:t xml:space="preserve"> údaj</w:t>
      </w:r>
      <w:r w:rsidR="00FD510D">
        <w:t>i</w:t>
      </w:r>
      <w:r w:rsidR="00BD2CA2">
        <w:t xml:space="preserve"> za konkrétní období </w:t>
      </w:r>
      <w:r w:rsidR="00FD510D">
        <w:t xml:space="preserve">obsahovaly </w:t>
      </w:r>
      <w:r w:rsidR="003522CC">
        <w:t xml:space="preserve">absolutní počty ošetřených pacientů na NUP FN Brno </w:t>
      </w:r>
      <w:r w:rsidR="004B1C3E">
        <w:t>z hlediska je</w:t>
      </w:r>
      <w:r w:rsidR="002B6A0E">
        <w:t xml:space="preserve">jich </w:t>
      </w:r>
      <w:r w:rsidR="00B1699C">
        <w:t>způsob</w:t>
      </w:r>
      <w:r w:rsidR="002B6A0E">
        <w:t>u</w:t>
      </w:r>
      <w:r w:rsidR="00B1699C">
        <w:t xml:space="preserve"> doprav</w:t>
      </w:r>
      <w:r w:rsidR="00EF2838">
        <w:t>y</w:t>
      </w:r>
      <w:r w:rsidR="00B1699C">
        <w:t xml:space="preserve"> k ošetření, spádovost</w:t>
      </w:r>
      <w:r w:rsidR="002B6A0E">
        <w:t>i</w:t>
      </w:r>
      <w:r w:rsidR="00B1699C">
        <w:t xml:space="preserve">, </w:t>
      </w:r>
      <w:r w:rsidR="007150F2">
        <w:t>ošetřující ambulance</w:t>
      </w:r>
      <w:r w:rsidR="002B6A0E">
        <w:t xml:space="preserve"> apod.</w:t>
      </w:r>
      <w:r w:rsidR="007150F2">
        <w:t xml:space="preserve"> </w:t>
      </w:r>
      <w:r w:rsidR="00697DA0">
        <w:t>Zásadním nedostatkem</w:t>
      </w:r>
      <w:r w:rsidR="00454119">
        <w:t>, vzhledem k charakteru zaměření</w:t>
      </w:r>
      <w:r w:rsidR="0040218F">
        <w:t xml:space="preserve"> diplomové práce</w:t>
      </w:r>
      <w:r w:rsidR="00454119">
        <w:t>,</w:t>
      </w:r>
      <w:r w:rsidR="00697DA0">
        <w:t xml:space="preserve"> </w:t>
      </w:r>
      <w:r w:rsidR="00654E13">
        <w:t>však byla absence</w:t>
      </w:r>
      <w:r w:rsidR="003E3206">
        <w:t xml:space="preserve"> </w:t>
      </w:r>
      <w:r w:rsidR="005A134A">
        <w:t>věkov</w:t>
      </w:r>
      <w:r w:rsidR="00623294">
        <w:t>ých</w:t>
      </w:r>
      <w:r w:rsidR="005A134A">
        <w:t xml:space="preserve"> kategori</w:t>
      </w:r>
      <w:r w:rsidR="00623294">
        <w:t>í</w:t>
      </w:r>
      <w:r w:rsidR="005A134A">
        <w:t xml:space="preserve"> pacientů</w:t>
      </w:r>
      <w:r w:rsidR="00055B20">
        <w:t xml:space="preserve">, </w:t>
      </w:r>
      <w:r w:rsidR="00FF3C8F">
        <w:t>kter</w:t>
      </w:r>
      <w:r w:rsidR="00623294">
        <w:t xml:space="preserve">é nebyly </w:t>
      </w:r>
      <w:r w:rsidR="003E3206">
        <w:t>pro potřeby statistiky oddělení</w:t>
      </w:r>
      <w:r w:rsidR="00623294">
        <w:t xml:space="preserve"> relevantní</w:t>
      </w:r>
      <w:r w:rsidR="003E3206">
        <w:t>, a</w:t>
      </w:r>
      <w:r w:rsidR="00941C94">
        <w:t> </w:t>
      </w:r>
      <w:r w:rsidR="003E3206">
        <w:t>nebyl</w:t>
      </w:r>
      <w:r w:rsidR="00623294">
        <w:t>y</w:t>
      </w:r>
      <w:r w:rsidR="008D40FF">
        <w:t xml:space="preserve"> </w:t>
      </w:r>
      <w:r w:rsidR="00091E57">
        <w:t>proto</w:t>
      </w:r>
      <w:r w:rsidR="008D40FF">
        <w:t xml:space="preserve"> </w:t>
      </w:r>
      <w:r w:rsidR="004A1D99">
        <w:t>ve statistikách</w:t>
      </w:r>
      <w:r w:rsidR="008D40FF">
        <w:t xml:space="preserve"> </w:t>
      </w:r>
      <w:r w:rsidR="003E3206">
        <w:t>zohledňován</w:t>
      </w:r>
      <w:r w:rsidR="00623294">
        <w:t>y</w:t>
      </w:r>
      <w:r w:rsidR="003E3206">
        <w:t>.</w:t>
      </w:r>
      <w:r w:rsidR="00454119">
        <w:t xml:space="preserve"> Z</w:t>
      </w:r>
      <w:r w:rsidR="008D40FF">
        <w:t xml:space="preserve"> popsaného důvodu </w:t>
      </w:r>
      <w:r w:rsidR="00D33586">
        <w:t>proto</w:t>
      </w:r>
      <w:r w:rsidR="00D43860">
        <w:t xml:space="preserve"> ne</w:t>
      </w:r>
      <w:r w:rsidR="001C01DC">
        <w:t xml:space="preserve">došlo k </w:t>
      </w:r>
      <w:r w:rsidR="00D43860">
        <w:t>využití statistiky oddělení</w:t>
      </w:r>
      <w:r w:rsidR="001C01DC">
        <w:t xml:space="preserve"> jakožto zdroje dat pro </w:t>
      </w:r>
      <w:r w:rsidR="00DA6EC4">
        <w:t xml:space="preserve">vlastní </w:t>
      </w:r>
      <w:r w:rsidR="001C01DC">
        <w:t>výzkumné šetření.</w:t>
      </w:r>
    </w:p>
    <w:p w14:paraId="53C814C4" w14:textId="5A5CD86F" w:rsidR="00DA6EC4" w:rsidRDefault="00DA6EC4" w:rsidP="000330E1">
      <w:pPr>
        <w:pStyle w:val="Dalodstavce"/>
      </w:pPr>
      <w:r>
        <w:t>Další</w:t>
      </w:r>
      <w:r w:rsidR="007D2202">
        <w:t>m</w:t>
      </w:r>
      <w:r w:rsidR="00F2449C">
        <w:t xml:space="preserve"> možn</w:t>
      </w:r>
      <w:r w:rsidR="007D2202">
        <w:t>ým</w:t>
      </w:r>
      <w:r w:rsidR="00F2449C">
        <w:t xml:space="preserve"> </w:t>
      </w:r>
      <w:r w:rsidR="007D2202">
        <w:t xml:space="preserve">zdrojem </w:t>
      </w:r>
      <w:r>
        <w:t>digit</w:t>
      </w:r>
      <w:r w:rsidR="00F2449C">
        <w:t>ální</w:t>
      </w:r>
      <w:r w:rsidR="00B40D45">
        <w:t>ch</w:t>
      </w:r>
      <w:r w:rsidR="00F2449C">
        <w:t xml:space="preserve"> </w:t>
      </w:r>
      <w:r w:rsidR="00B40D45">
        <w:t xml:space="preserve">dat </w:t>
      </w:r>
      <w:r w:rsidR="002E6610">
        <w:t xml:space="preserve">byl </w:t>
      </w:r>
      <w:r w:rsidR="00A4138D">
        <w:t>NIS</w:t>
      </w:r>
      <w:r w:rsidR="00CB212E">
        <w:t xml:space="preserve"> AMIS</w:t>
      </w:r>
      <w:r w:rsidR="002E6610">
        <w:t>.</w:t>
      </w:r>
      <w:r w:rsidR="00333548">
        <w:t xml:space="preserve"> </w:t>
      </w:r>
      <w:r w:rsidR="005F043D">
        <w:t xml:space="preserve">Jednalo se však o </w:t>
      </w:r>
      <w:r w:rsidR="00B12C01">
        <w:t>možnost</w:t>
      </w:r>
      <w:r w:rsidR="005F043D">
        <w:t>, která by</w:t>
      </w:r>
      <w:r w:rsidR="009B3F26">
        <w:t xml:space="preserve"> byla</w:t>
      </w:r>
      <w:r w:rsidR="00664455">
        <w:t xml:space="preserve"> </w:t>
      </w:r>
      <w:r w:rsidR="009B3F26">
        <w:t>velice zdlouhavá a náročná</w:t>
      </w:r>
      <w:r w:rsidR="008B1345">
        <w:t xml:space="preserve">, jelikož by </w:t>
      </w:r>
      <w:r w:rsidR="00805065">
        <w:t xml:space="preserve">vytěžované informace musely být </w:t>
      </w:r>
      <w:r w:rsidR="00CE64D6">
        <w:t>vyhledávány v systému</w:t>
      </w:r>
      <w:r w:rsidR="00805065">
        <w:t xml:space="preserve"> pro každého jednotlivého pacienta zvlášť</w:t>
      </w:r>
      <w:r w:rsidR="0031748C">
        <w:t>. Z</w:t>
      </w:r>
      <w:r w:rsidR="00E3736C">
        <w:t> hlediska z</w:t>
      </w:r>
      <w:r w:rsidR="0031748C">
        <w:t>načn</w:t>
      </w:r>
      <w:r w:rsidR="00744BEE">
        <w:t>é</w:t>
      </w:r>
      <w:r w:rsidR="0031748C">
        <w:t xml:space="preserve"> časov</w:t>
      </w:r>
      <w:r w:rsidR="00744BEE">
        <w:t>é</w:t>
      </w:r>
      <w:r w:rsidR="0031748C">
        <w:t xml:space="preserve"> zátěž</w:t>
      </w:r>
      <w:r w:rsidR="00744BEE">
        <w:t>e</w:t>
      </w:r>
      <w:r w:rsidR="0031748C">
        <w:t xml:space="preserve"> a obtížnost</w:t>
      </w:r>
      <w:r w:rsidR="00BB6ACE">
        <w:t>i</w:t>
      </w:r>
      <w:r w:rsidR="0031748C">
        <w:t xml:space="preserve"> získávání veškerých relevantních dat</w:t>
      </w:r>
      <w:r w:rsidR="00BB6ACE">
        <w:t xml:space="preserve"> nebyl</w:t>
      </w:r>
      <w:r w:rsidR="00692844">
        <w:t xml:space="preserve"> NIS</w:t>
      </w:r>
      <w:r w:rsidR="009C44BB">
        <w:t xml:space="preserve"> zvolen jako primární zdroj </w:t>
      </w:r>
      <w:r w:rsidR="00BA7AC8">
        <w:t xml:space="preserve">získávání dat (viz </w:t>
      </w:r>
      <w:r w:rsidR="00A42CA0">
        <w:t>dále</w:t>
      </w:r>
      <w:r w:rsidR="000E4FC8">
        <w:t xml:space="preserve"> v kapitole 5.4</w:t>
      </w:r>
      <w:r w:rsidR="00A42CA0">
        <w:t>).</w:t>
      </w:r>
    </w:p>
    <w:p w14:paraId="7F120CE1" w14:textId="5600A100" w:rsidR="00A42CA0" w:rsidRPr="000330E1" w:rsidRDefault="00DD655C" w:rsidP="000330E1">
      <w:pPr>
        <w:pStyle w:val="Dalodstavce"/>
      </w:pPr>
      <w:r>
        <w:t>D</w:t>
      </w:r>
      <w:r w:rsidR="005B36AC">
        <w:t>at</w:t>
      </w:r>
      <w:r>
        <w:t>a byla získávána</w:t>
      </w:r>
      <w:r w:rsidR="005B36AC">
        <w:t xml:space="preserve"> z</w:t>
      </w:r>
      <w:r w:rsidR="00E57E10">
        <w:t> papírových „knih THP“</w:t>
      </w:r>
      <w:r w:rsidR="004A11BF">
        <w:t xml:space="preserve">, které umožňovaly </w:t>
      </w:r>
      <w:r w:rsidR="004911DE">
        <w:t>přístup k</w:t>
      </w:r>
      <w:r w:rsidR="00E86EA8">
        <w:t> </w:t>
      </w:r>
      <w:r w:rsidR="004911DE">
        <w:t>relev</w:t>
      </w:r>
      <w:r w:rsidR="00E86EA8">
        <w:t>antním údajům</w:t>
      </w:r>
      <w:r w:rsidR="00E5501D">
        <w:t xml:space="preserve"> u jednotlivých pacientů ošetřených na NUP FN Brno</w:t>
      </w:r>
      <w:r w:rsidR="00E86EA8">
        <w:t>, a to včetně</w:t>
      </w:r>
      <w:r w:rsidR="00E5501D">
        <w:t xml:space="preserve"> jejich</w:t>
      </w:r>
      <w:r w:rsidR="00E86EA8">
        <w:t xml:space="preserve"> věk</w:t>
      </w:r>
      <w:r w:rsidR="00E5501D">
        <w:t>u</w:t>
      </w:r>
      <w:r w:rsidR="00E86EA8">
        <w:t>.</w:t>
      </w:r>
      <w:r w:rsidR="000E3071">
        <w:t xml:space="preserve"> </w:t>
      </w:r>
      <w:r w:rsidR="00C56382">
        <w:t>Z</w:t>
      </w:r>
      <w:r w:rsidR="000E3071">
        <w:t>áměrem</w:t>
      </w:r>
      <w:r w:rsidR="002F7C42">
        <w:t xml:space="preserve"> bylo analyzovat data z posledního ukončeného kalendářního roku</w:t>
      </w:r>
      <w:r w:rsidR="009559A5">
        <w:t xml:space="preserve"> a</w:t>
      </w:r>
      <w:r>
        <w:t> </w:t>
      </w:r>
      <w:r w:rsidR="00E20184">
        <w:t xml:space="preserve">k vzájemnému </w:t>
      </w:r>
      <w:r w:rsidR="009559A5">
        <w:t xml:space="preserve">srovnání </w:t>
      </w:r>
      <w:r w:rsidR="00E20184">
        <w:t>měla</w:t>
      </w:r>
      <w:r w:rsidR="009357BA">
        <w:t xml:space="preserve"> posloužit data z nejstaršího dochovaného</w:t>
      </w:r>
      <w:r w:rsidR="00185E68">
        <w:t xml:space="preserve"> kalendářního roku za období fungování NUP FN Brno.</w:t>
      </w:r>
      <w:r w:rsidR="00183955">
        <w:t xml:space="preserve"> S</w:t>
      </w:r>
      <w:r w:rsidR="001E60A3">
        <w:t>tarší listinné záznamy</w:t>
      </w:r>
      <w:r w:rsidR="00183955">
        <w:t xml:space="preserve"> </w:t>
      </w:r>
      <w:r w:rsidR="004D2DAE">
        <w:t xml:space="preserve">ovšem </w:t>
      </w:r>
      <w:r w:rsidR="001E60A3">
        <w:t xml:space="preserve">podléhají pravidelnému vyřazování, </w:t>
      </w:r>
      <w:r w:rsidR="00F03722">
        <w:t>a jsou v</w:t>
      </w:r>
      <w:r w:rsidR="00A072D9">
        <w:t> </w:t>
      </w:r>
      <w:r w:rsidR="00F03722">
        <w:t>určit</w:t>
      </w:r>
      <w:r w:rsidR="00A072D9">
        <w:t xml:space="preserve">ých intervalech </w:t>
      </w:r>
      <w:r w:rsidR="001E60A3">
        <w:t>skartovány</w:t>
      </w:r>
      <w:r w:rsidR="00A02965">
        <w:t>.</w:t>
      </w:r>
      <w:r w:rsidR="00A072D9">
        <w:t xml:space="preserve"> </w:t>
      </w:r>
      <w:r w:rsidR="00D047AE">
        <w:t xml:space="preserve">Z důvodu skartace starších listinných záznamů </w:t>
      </w:r>
      <w:r w:rsidR="00653D4B">
        <w:t>byl</w:t>
      </w:r>
      <w:r w:rsidR="00BD68E1">
        <w:t>y</w:t>
      </w:r>
      <w:r w:rsidR="00653D4B">
        <w:t xml:space="preserve"> nejstarší dostupn</w:t>
      </w:r>
      <w:r w:rsidR="00BD68E1">
        <w:t>é</w:t>
      </w:r>
      <w:r w:rsidR="002E38C5">
        <w:t xml:space="preserve"> </w:t>
      </w:r>
      <w:r w:rsidR="00084357">
        <w:t>„knih</w:t>
      </w:r>
      <w:r w:rsidR="00BD68E1">
        <w:t>y</w:t>
      </w:r>
      <w:r w:rsidR="00084357">
        <w:t xml:space="preserve"> THP“ </w:t>
      </w:r>
      <w:r w:rsidR="00F37FD5">
        <w:t xml:space="preserve">z </w:t>
      </w:r>
      <w:r w:rsidR="00653D4B">
        <w:t>ročník</w:t>
      </w:r>
      <w:r w:rsidR="002E38C5">
        <w:t>u 2019.</w:t>
      </w:r>
    </w:p>
    <w:p w14:paraId="56362FBE" w14:textId="37D42A94" w:rsidR="00FB48C7" w:rsidRDefault="00D10080" w:rsidP="002E32D6">
      <w:pPr>
        <w:pStyle w:val="Nadpis2"/>
        <w:numPr>
          <w:ilvl w:val="1"/>
          <w:numId w:val="14"/>
        </w:numPr>
      </w:pPr>
      <w:bookmarkStart w:id="29" w:name="_Toc195517116"/>
      <w:r>
        <w:t>Realizace výzkumu a m</w:t>
      </w:r>
      <w:r w:rsidR="005D3E21">
        <w:t>etodika zpracování dat</w:t>
      </w:r>
      <w:bookmarkEnd w:id="29"/>
    </w:p>
    <w:p w14:paraId="32F0D9FB" w14:textId="5D536CC1" w:rsidR="00D03F0B" w:rsidRDefault="00633DBD" w:rsidP="00EE01A9">
      <w:pPr>
        <w:pStyle w:val="Odstavec1"/>
      </w:pPr>
      <w:r>
        <w:t xml:space="preserve">Na základě </w:t>
      </w:r>
      <w:r w:rsidR="00BF52D7">
        <w:t xml:space="preserve">finální </w:t>
      </w:r>
      <w:r>
        <w:t>volby metody sběru dat k</w:t>
      </w:r>
      <w:r w:rsidR="00BA027B">
        <w:t> </w:t>
      </w:r>
      <w:r>
        <w:t>výzkum</w:t>
      </w:r>
      <w:r w:rsidR="00BA027B">
        <w:t>né části</w:t>
      </w:r>
      <w:r>
        <w:t xml:space="preserve"> diplomové práce</w:t>
      </w:r>
      <w:r w:rsidR="00A12299">
        <w:t xml:space="preserve"> byla</w:t>
      </w:r>
      <w:r w:rsidR="00432B8A">
        <w:t xml:space="preserve">, cestou </w:t>
      </w:r>
      <w:r w:rsidR="00432B8A" w:rsidRPr="004E630B">
        <w:t>Oddělení organizace řízení</w:t>
      </w:r>
      <w:r w:rsidR="00432B8A">
        <w:t xml:space="preserve"> FN Brno,</w:t>
      </w:r>
      <w:r w:rsidR="00A12299">
        <w:t xml:space="preserve"> podána žádost o sběr dat</w:t>
      </w:r>
      <w:r w:rsidR="004914D3">
        <w:t xml:space="preserve"> pro studijní účel</w:t>
      </w:r>
      <w:r w:rsidR="00432B8A">
        <w:t>y</w:t>
      </w:r>
      <w:r w:rsidR="004E630B">
        <w:t>.</w:t>
      </w:r>
      <w:r w:rsidR="006603D0">
        <w:t xml:space="preserve"> Žádost byla</w:t>
      </w:r>
      <w:r w:rsidR="002C04CC">
        <w:t xml:space="preserve"> </w:t>
      </w:r>
      <w:r w:rsidR="00D37603">
        <w:t xml:space="preserve">schválena </w:t>
      </w:r>
      <w:r w:rsidR="002C04CC">
        <w:t>bez jaký</w:t>
      </w:r>
      <w:r w:rsidR="00D37603">
        <w:t>chkoli připomínek ze strany FN Brno</w:t>
      </w:r>
      <w:r w:rsidR="001A785E">
        <w:t>, viz</w:t>
      </w:r>
      <w:r w:rsidR="00B00D7F">
        <w:t xml:space="preserve"> Příloha A</w:t>
      </w:r>
      <w:r w:rsidR="00D37603">
        <w:t>.</w:t>
      </w:r>
      <w:r w:rsidR="006C39F9">
        <w:t xml:space="preserve"> </w:t>
      </w:r>
      <w:r w:rsidR="008967AF">
        <w:t xml:space="preserve">V návaznosti na povolení výzkumu mohl </w:t>
      </w:r>
      <w:r w:rsidR="00294882">
        <w:t xml:space="preserve">být uskutečněn samotný </w:t>
      </w:r>
      <w:r w:rsidR="008967AF">
        <w:t>sběr dat</w:t>
      </w:r>
      <w:r w:rsidR="00294882">
        <w:t>.</w:t>
      </w:r>
    </w:p>
    <w:p w14:paraId="78C78EC4" w14:textId="3011D7C4" w:rsidR="00C665DE" w:rsidRDefault="00683262" w:rsidP="00C665DE">
      <w:pPr>
        <w:pStyle w:val="Dalodstavce"/>
      </w:pPr>
      <w:r>
        <w:t>Uskladněné k</w:t>
      </w:r>
      <w:r w:rsidR="00AB3087">
        <w:t>nihy THP za příslušné kalendářní roky byl</w:t>
      </w:r>
      <w:r w:rsidR="005B0F05">
        <w:t>y</w:t>
      </w:r>
      <w:r w:rsidR="00AB3087">
        <w:t xml:space="preserve"> vypůjčeny z archivu </w:t>
      </w:r>
      <w:r>
        <w:t xml:space="preserve">NUP FN Brno. </w:t>
      </w:r>
      <w:r w:rsidR="00390581">
        <w:t xml:space="preserve">Jelikož </w:t>
      </w:r>
      <w:r w:rsidR="00B235CF">
        <w:t>šlo</w:t>
      </w:r>
      <w:r w:rsidR="00390581">
        <w:t xml:space="preserve"> o </w:t>
      </w:r>
      <w:r w:rsidR="008C1F5F">
        <w:t>objemn</w:t>
      </w:r>
      <w:r w:rsidR="00C11EC6">
        <w:t>é</w:t>
      </w:r>
      <w:r w:rsidR="008C1F5F">
        <w:t xml:space="preserve"> datov</w:t>
      </w:r>
      <w:r w:rsidR="00C11EC6">
        <w:t>é</w:t>
      </w:r>
      <w:r w:rsidR="008C1F5F">
        <w:t xml:space="preserve"> soubor</w:t>
      </w:r>
      <w:r w:rsidR="00C11EC6">
        <w:t>y</w:t>
      </w:r>
      <w:r w:rsidR="008C1F5F">
        <w:t>, byl</w:t>
      </w:r>
      <w:r w:rsidR="00973C85">
        <w:t>a</w:t>
      </w:r>
      <w:r w:rsidR="008C1F5F">
        <w:t xml:space="preserve"> zvolen</w:t>
      </w:r>
      <w:r w:rsidR="00973C85">
        <w:t>a</w:t>
      </w:r>
      <w:r w:rsidR="00427C29">
        <w:t xml:space="preserve"> statistická metoda</w:t>
      </w:r>
      <w:r w:rsidR="00DB52E6">
        <w:t xml:space="preserve"> </w:t>
      </w:r>
      <w:r w:rsidR="00605A18">
        <w:t>přístup</w:t>
      </w:r>
      <w:r w:rsidR="00427C29">
        <w:t>u</w:t>
      </w:r>
      <w:r w:rsidR="00605A18">
        <w:t xml:space="preserve"> k</w:t>
      </w:r>
      <w:r w:rsidR="00DB52E6">
        <w:t xml:space="preserve"> získaným </w:t>
      </w:r>
      <w:r w:rsidR="00605A18">
        <w:t>datům</w:t>
      </w:r>
      <w:r w:rsidR="00C11EC6">
        <w:t>.</w:t>
      </w:r>
      <w:r w:rsidR="00605A18">
        <w:t xml:space="preserve"> V praxi </w:t>
      </w:r>
      <w:r w:rsidR="00B235CF">
        <w:t xml:space="preserve">se jednalo o </w:t>
      </w:r>
      <w:r w:rsidR="00F26D0B">
        <w:t>sběr</w:t>
      </w:r>
      <w:r w:rsidR="00977FB3">
        <w:t xml:space="preserve"> dat </w:t>
      </w:r>
      <w:r w:rsidR="00CD5B18">
        <w:t xml:space="preserve">pouze u předem </w:t>
      </w:r>
      <w:r w:rsidR="00C93A0C">
        <w:t xml:space="preserve">náhodně </w:t>
      </w:r>
      <w:r w:rsidR="00CD5B18">
        <w:lastRenderedPageBreak/>
        <w:t xml:space="preserve">zvolených dnů </w:t>
      </w:r>
      <w:r w:rsidR="00193D54">
        <w:t>za</w:t>
      </w:r>
      <w:r w:rsidR="00C93A0C">
        <w:t> </w:t>
      </w:r>
      <w:r w:rsidR="00CD5B18">
        <w:t>dan</w:t>
      </w:r>
      <w:r w:rsidR="00C93A0C">
        <w:t xml:space="preserve">ý </w:t>
      </w:r>
      <w:r w:rsidR="00193D54">
        <w:t xml:space="preserve">kalendářní </w:t>
      </w:r>
      <w:r w:rsidR="00CD5B18">
        <w:t>ro</w:t>
      </w:r>
      <w:r w:rsidR="00C93A0C">
        <w:t>k</w:t>
      </w:r>
      <w:r w:rsidR="001C2C8B">
        <w:t xml:space="preserve">. Pro každé </w:t>
      </w:r>
      <w:r w:rsidR="002614DE">
        <w:t xml:space="preserve">sledované </w:t>
      </w:r>
      <w:r w:rsidR="001C2C8B">
        <w:t xml:space="preserve">období </w:t>
      </w:r>
      <w:r w:rsidR="00A56A86">
        <w:t>zvlášť</w:t>
      </w:r>
      <w:r w:rsidR="002614DE">
        <w:t xml:space="preserve"> </w:t>
      </w:r>
      <w:r w:rsidR="001C2C8B">
        <w:t>byl</w:t>
      </w:r>
      <w:r w:rsidR="0063122E">
        <w:t xml:space="preserve">o </w:t>
      </w:r>
      <w:r w:rsidR="00CF7508">
        <w:t>n</w:t>
      </w:r>
      <w:r w:rsidR="00B96F78">
        <w:t xml:space="preserve">áhodně </w:t>
      </w:r>
      <w:r w:rsidR="0063122E">
        <w:t>v</w:t>
      </w:r>
      <w:r w:rsidR="00B55AD4">
        <w:t>ybráno 3</w:t>
      </w:r>
      <w:r w:rsidR="00CF7508">
        <w:t>6 dnů</w:t>
      </w:r>
      <w:r w:rsidR="0063122E">
        <w:t xml:space="preserve"> za pomoci generátoru </w:t>
      </w:r>
      <w:r w:rsidR="00513653">
        <w:t xml:space="preserve">náhodných </w:t>
      </w:r>
      <w:r w:rsidR="0063122E">
        <w:t>číse</w:t>
      </w:r>
      <w:r w:rsidR="00A45399">
        <w:t>l.</w:t>
      </w:r>
      <w:r w:rsidR="00DE29FE">
        <w:t xml:space="preserve"> </w:t>
      </w:r>
      <w:r w:rsidR="00C86512">
        <w:t>S</w:t>
      </w:r>
      <w:r w:rsidR="00FC6D15">
        <w:t xml:space="preserve">bírána a následně analyzována </w:t>
      </w:r>
      <w:r w:rsidR="00540213">
        <w:t xml:space="preserve">tak </w:t>
      </w:r>
      <w:r w:rsidR="00E70264">
        <w:t>byl</w:t>
      </w:r>
      <w:r w:rsidR="00540213">
        <w:t>a</w:t>
      </w:r>
      <w:r w:rsidR="00E70264">
        <w:t xml:space="preserve"> </w:t>
      </w:r>
      <w:r w:rsidR="00FC6D15">
        <w:t xml:space="preserve">data za </w:t>
      </w:r>
      <w:r w:rsidR="00E70264">
        <w:t xml:space="preserve">celkem </w:t>
      </w:r>
      <w:r w:rsidR="00096676">
        <w:t xml:space="preserve">72 </w:t>
      </w:r>
      <w:r w:rsidR="003440A5">
        <w:t xml:space="preserve">kalendářních </w:t>
      </w:r>
      <w:r w:rsidR="00096676">
        <w:t>dnů</w:t>
      </w:r>
      <w:r w:rsidR="00D66E9D" w:rsidRPr="0078277D">
        <w:t>.</w:t>
      </w:r>
      <w:r w:rsidR="00834F8E" w:rsidRPr="0078277D">
        <w:t xml:space="preserve"> </w:t>
      </w:r>
      <w:r w:rsidR="00A04F7E" w:rsidRPr="0078277D">
        <w:t>Z</w:t>
      </w:r>
      <w:r w:rsidR="009B59D1" w:rsidRPr="0078277D">
        <w:t>áklad</w:t>
      </w:r>
      <w:r w:rsidR="0069758C" w:rsidRPr="0078277D">
        <w:t xml:space="preserve"> datového souboru </w:t>
      </w:r>
      <w:r w:rsidR="00A04F7E" w:rsidRPr="0078277D">
        <w:t xml:space="preserve">tvořili </w:t>
      </w:r>
      <w:r w:rsidR="0069758C" w:rsidRPr="0078277D">
        <w:t>pacient</w:t>
      </w:r>
      <w:r w:rsidR="00FC589C" w:rsidRPr="0078277D">
        <w:t>i</w:t>
      </w:r>
      <w:r w:rsidR="0069758C" w:rsidRPr="0078277D">
        <w:t xml:space="preserve"> ve věkové kategorii 75</w:t>
      </w:r>
      <w:r w:rsidR="00461B7D">
        <w:t xml:space="preserve"> </w:t>
      </w:r>
      <w:r w:rsidR="0069758C" w:rsidRPr="0078277D">
        <w:t>a více</w:t>
      </w:r>
      <w:r w:rsidR="00461B7D">
        <w:t xml:space="preserve"> let</w:t>
      </w:r>
      <w:r w:rsidR="008E40B4" w:rsidRPr="0078277D">
        <w:t>, zatímco u</w:t>
      </w:r>
      <w:r w:rsidR="0069758C" w:rsidRPr="0078277D">
        <w:t xml:space="preserve"> pacientů mladších věkových kategorií</w:t>
      </w:r>
      <w:r w:rsidR="00231D18" w:rsidRPr="0078277D">
        <w:t xml:space="preserve"> byly zaznamenány pouze základní demografické údaje</w:t>
      </w:r>
      <w:r w:rsidR="003B55CA" w:rsidRPr="0078277D">
        <w:t xml:space="preserve"> – </w:t>
      </w:r>
      <w:r w:rsidR="00380DE1" w:rsidRPr="0078277D">
        <w:t>počet</w:t>
      </w:r>
      <w:r w:rsidR="007449A3" w:rsidRPr="0078277D">
        <w:t>ní zastoupení</w:t>
      </w:r>
      <w:r w:rsidR="00380DE1" w:rsidRPr="0078277D">
        <w:t xml:space="preserve"> v náhodně zvolených dnech a jejich pohlaví</w:t>
      </w:r>
      <w:r w:rsidR="00834AC7" w:rsidRPr="0078277D">
        <w:t xml:space="preserve"> </w:t>
      </w:r>
      <w:r w:rsidR="00834F8E" w:rsidRPr="0078277D">
        <w:t>(viz kapitola 5.5)</w:t>
      </w:r>
      <w:r w:rsidR="00595DB7" w:rsidRPr="0078277D">
        <w:t>.</w:t>
      </w:r>
    </w:p>
    <w:p w14:paraId="361DB5A1" w14:textId="60DC9012" w:rsidR="00EE01A9" w:rsidRDefault="00A56146" w:rsidP="009806ED">
      <w:pPr>
        <w:pStyle w:val="Dalodstavce"/>
      </w:pPr>
      <w:r>
        <w:t>Do</w:t>
      </w:r>
      <w:r w:rsidR="00D66E9D">
        <w:t xml:space="preserve"> „knih THP“</w:t>
      </w:r>
      <w:r w:rsidR="004025D8">
        <w:t xml:space="preserve"> </w:t>
      </w:r>
      <w:r>
        <w:t>nejsou zazn</w:t>
      </w:r>
      <w:r w:rsidR="008C1374">
        <w:t xml:space="preserve">amenávány </w:t>
      </w:r>
      <w:r w:rsidR="005C51AB">
        <w:t>zdravotní důvody návštěvy NUP (</w:t>
      </w:r>
      <w:r w:rsidR="008C1374">
        <w:t>pacientské diagnózy</w:t>
      </w:r>
      <w:r w:rsidR="005C51AB">
        <w:t>)</w:t>
      </w:r>
      <w:r w:rsidR="000A5417">
        <w:t>. Jelikož</w:t>
      </w:r>
      <w:r w:rsidR="00227866">
        <w:t xml:space="preserve"> byl údaj</w:t>
      </w:r>
      <w:r w:rsidR="00AB35E2">
        <w:t xml:space="preserve"> pro diplomovou práci </w:t>
      </w:r>
      <w:r w:rsidR="00E24585">
        <w:t xml:space="preserve">považován za </w:t>
      </w:r>
      <w:r w:rsidR="00AB35E2">
        <w:t>důležitý</w:t>
      </w:r>
      <w:r w:rsidR="00F9350F">
        <w:t>, byl</w:t>
      </w:r>
      <w:r w:rsidR="00CB4A92">
        <w:t xml:space="preserve">a </w:t>
      </w:r>
      <w:r w:rsidR="0073305B">
        <w:t xml:space="preserve">z NIS AMIS získávána </w:t>
      </w:r>
      <w:r w:rsidR="00CB4A92">
        <w:t xml:space="preserve">kódová označení jednotlivých </w:t>
      </w:r>
      <w:r w:rsidR="00F9350F">
        <w:t>diagnóz</w:t>
      </w:r>
      <w:r w:rsidR="00D73BCA">
        <w:t xml:space="preserve"> dle</w:t>
      </w:r>
      <w:r w:rsidR="002E66E7">
        <w:t xml:space="preserve"> </w:t>
      </w:r>
      <w:r w:rsidR="00597750">
        <w:t>10. reviz</w:t>
      </w:r>
      <w:r w:rsidR="00D73BCA">
        <w:t>e</w:t>
      </w:r>
      <w:r w:rsidR="00597750">
        <w:t xml:space="preserve"> Mezinárodní klasifikace nemocí </w:t>
      </w:r>
      <w:r w:rsidR="00957BB9">
        <w:t>a</w:t>
      </w:r>
      <w:r w:rsidR="004134EC">
        <w:t> </w:t>
      </w:r>
      <w:r w:rsidR="00957BB9">
        <w:t>souvisejících zdravotních problémů</w:t>
      </w:r>
      <w:r w:rsidR="00D41FF9">
        <w:fldChar w:fldCharType="begin"/>
      </w:r>
      <w:r w:rsidR="001300F0">
        <w:instrText xml:space="preserve"> ADDIN ZOTERO_ITEM CSL_CITATION {"citationID":"7Z2zCAXv","properties":{"formattedCitation":"\\super 42\\nosupersub{}","plainCitation":"42","noteIndex":0},"citationItems":[{"id":205,"uris":["http://zotero.org/users/9426386/items/TMPGUP4F"],"itemData":{"id":205,"type":"webpage","container-title":"MKN-10 2024","language":"cs","title":"MKN-10 klasifikace","URL":"https://mkn10.uzis.cz/","accessed":{"date-parts":[["2024",11,5]]}}}],"schema":"https://github.com/citation-style-language/schema/raw/master/csl-citation.json"} </w:instrText>
      </w:r>
      <w:r w:rsidR="00D41FF9">
        <w:fldChar w:fldCharType="separate"/>
      </w:r>
      <w:r w:rsidR="001300F0" w:rsidRPr="001300F0">
        <w:rPr>
          <w:vertAlign w:val="superscript"/>
        </w:rPr>
        <w:t>42</w:t>
      </w:r>
      <w:r w:rsidR="00D41FF9">
        <w:fldChar w:fldCharType="end"/>
      </w:r>
      <w:r w:rsidR="00957BB9">
        <w:t xml:space="preserve"> </w:t>
      </w:r>
      <w:r w:rsidR="00597750">
        <w:t>(</w:t>
      </w:r>
      <w:r w:rsidR="00957BB9">
        <w:t xml:space="preserve">zkráceně jen </w:t>
      </w:r>
      <w:r w:rsidR="00597750">
        <w:t>MKN</w:t>
      </w:r>
      <w:r w:rsidR="004F26B0">
        <w:t>-</w:t>
      </w:r>
      <w:r w:rsidR="00597750">
        <w:t>10</w:t>
      </w:r>
      <w:r w:rsidR="009A2D29">
        <w:t>)</w:t>
      </w:r>
      <w:r w:rsidR="00597750">
        <w:t xml:space="preserve">. </w:t>
      </w:r>
      <w:r w:rsidR="006C009E" w:rsidRPr="007554B5">
        <w:t>S</w:t>
      </w:r>
      <w:r w:rsidR="006C009E">
        <w:t xml:space="preserve"> cílem </w:t>
      </w:r>
      <w:r w:rsidR="00DA5395">
        <w:t xml:space="preserve">efektivního sběru těchto </w:t>
      </w:r>
      <w:r w:rsidR="00D6415E">
        <w:t>údajů byly</w:t>
      </w:r>
      <w:r w:rsidR="00061E43">
        <w:t xml:space="preserve"> </w:t>
      </w:r>
      <w:r w:rsidR="00430770">
        <w:t>k</w:t>
      </w:r>
      <w:r w:rsidR="002E66E7">
        <w:t xml:space="preserve">ódy </w:t>
      </w:r>
      <w:r w:rsidR="00061E43">
        <w:t xml:space="preserve">diagnóz pacientů zaznamenávány pouze </w:t>
      </w:r>
      <w:r w:rsidR="00DF7B92">
        <w:t>v jednom měsíci pro každé roční období</w:t>
      </w:r>
      <w:r w:rsidR="00C01549">
        <w:t>, přičemž se v</w:t>
      </w:r>
      <w:r w:rsidR="00550222">
        <w:t>ždy</w:t>
      </w:r>
      <w:r w:rsidR="00C01549">
        <w:t xml:space="preserve"> </w:t>
      </w:r>
      <w:r w:rsidR="00550222">
        <w:t xml:space="preserve">jednalo o </w:t>
      </w:r>
      <w:r w:rsidR="00C9676C">
        <w:t xml:space="preserve">prostřední </w:t>
      </w:r>
      <w:r w:rsidR="00550222">
        <w:t>měsíc</w:t>
      </w:r>
      <w:r w:rsidR="00C01549">
        <w:t>.</w:t>
      </w:r>
      <w:r w:rsidR="00381B65">
        <w:t xml:space="preserve"> Šlo tedy </w:t>
      </w:r>
      <w:r w:rsidR="002D3594">
        <w:t xml:space="preserve">konkrétně </w:t>
      </w:r>
      <w:r w:rsidR="00381B65">
        <w:t>o duben (jaro),</w:t>
      </w:r>
      <w:r w:rsidR="0049548F">
        <w:t xml:space="preserve"> červenec (léto), říjen (podzim) a leden (zima).</w:t>
      </w:r>
    </w:p>
    <w:p w14:paraId="15B0ECE6" w14:textId="6FE8CB00" w:rsidR="00020D35" w:rsidRDefault="0050694A" w:rsidP="00E72CBC">
      <w:pPr>
        <w:pStyle w:val="Dalodstavce"/>
      </w:pPr>
      <w:r>
        <w:t xml:space="preserve">Vlastní sběr dat probíhal </w:t>
      </w:r>
      <w:r w:rsidR="004E4D31">
        <w:t>v období od</w:t>
      </w:r>
      <w:r w:rsidR="00C33AB8">
        <w:t xml:space="preserve"> </w:t>
      </w:r>
      <w:r w:rsidR="007A69AF">
        <w:t>1. 7.</w:t>
      </w:r>
      <w:r w:rsidR="004E4D31">
        <w:t xml:space="preserve"> </w:t>
      </w:r>
      <w:r w:rsidR="00427119">
        <w:t xml:space="preserve">2024 </w:t>
      </w:r>
      <w:r w:rsidR="004E4D31">
        <w:t>do</w:t>
      </w:r>
      <w:r w:rsidR="007A69AF">
        <w:t xml:space="preserve"> 30. 11. 2024.</w:t>
      </w:r>
      <w:r w:rsidR="004E4D31">
        <w:t xml:space="preserve"> </w:t>
      </w:r>
      <w:r w:rsidR="009D2339">
        <w:t xml:space="preserve">Veškeré údaje (vč. </w:t>
      </w:r>
      <w:r w:rsidR="00CE6A8E">
        <w:t xml:space="preserve">pacientských </w:t>
      </w:r>
      <w:r w:rsidR="009D2339">
        <w:t>diagnóz) byl</w:t>
      </w:r>
      <w:r w:rsidR="00CE6A8E">
        <w:t>y</w:t>
      </w:r>
      <w:r w:rsidR="009D2339">
        <w:t xml:space="preserve"> </w:t>
      </w:r>
      <w:r w:rsidR="008F19C6">
        <w:t xml:space="preserve">zpracovány do podoby </w:t>
      </w:r>
      <w:r w:rsidR="00246C8A">
        <w:t xml:space="preserve">tabulek </w:t>
      </w:r>
      <w:r w:rsidR="00221575">
        <w:t xml:space="preserve">a grafů </w:t>
      </w:r>
      <w:r w:rsidR="008F19C6">
        <w:t>v program</w:t>
      </w:r>
      <w:r w:rsidR="006934B0">
        <w:t>ech</w:t>
      </w:r>
      <w:r w:rsidR="008F19C6">
        <w:t xml:space="preserve"> </w:t>
      </w:r>
      <w:r w:rsidR="007504BD">
        <w:t xml:space="preserve">Microsoft </w:t>
      </w:r>
      <w:r w:rsidR="006934B0">
        <w:t xml:space="preserve">Office Word a </w:t>
      </w:r>
      <w:r w:rsidR="007504BD">
        <w:t>Excel v anonymizované podobě.</w:t>
      </w:r>
    </w:p>
    <w:p w14:paraId="5FC83334" w14:textId="2D17DE27" w:rsidR="00A11023" w:rsidRPr="00EE01A9" w:rsidRDefault="00A11023" w:rsidP="00A11023">
      <w:pPr>
        <w:pStyle w:val="Dalodstavce"/>
      </w:pPr>
      <w:r>
        <w:t xml:space="preserve">Diplomová práce i s výsledky získaných a analyzovaných dat byly v závěru předloženy </w:t>
      </w:r>
      <w:r w:rsidRPr="004E630B">
        <w:t>Oddělení organizace řízení</w:t>
      </w:r>
      <w:r>
        <w:t xml:space="preserve"> FN Brno ke kontrole. Schválení k publikaci proběhlo bez dalšího připomínkování ze strany FN Brno.</w:t>
      </w:r>
    </w:p>
    <w:p w14:paraId="69A8F8CF" w14:textId="0997A649" w:rsidR="0083281C" w:rsidRDefault="0083281C" w:rsidP="002E32D6">
      <w:pPr>
        <w:pStyle w:val="Nadpis2"/>
        <w:numPr>
          <w:ilvl w:val="1"/>
          <w:numId w:val="14"/>
        </w:numPr>
      </w:pPr>
      <w:bookmarkStart w:id="30" w:name="_Toc195517117"/>
      <w:r>
        <w:t>Analýza a interpretace výsledků výzkumu</w:t>
      </w:r>
      <w:bookmarkEnd w:id="30"/>
    </w:p>
    <w:p w14:paraId="0A71E1FD" w14:textId="11F60CFD" w:rsidR="00B751D5" w:rsidRDefault="000E090D" w:rsidP="00757211">
      <w:pPr>
        <w:pStyle w:val="Odstavec1"/>
      </w:pPr>
      <w:r w:rsidRPr="00200008">
        <w:t>Na NUP FN Brno bylo celk</w:t>
      </w:r>
      <w:r w:rsidR="00A65E98" w:rsidRPr="00200008">
        <w:t>ově</w:t>
      </w:r>
      <w:r w:rsidRPr="00200008">
        <w:t xml:space="preserve"> ošetřeno</w:t>
      </w:r>
      <w:r w:rsidR="0023743A" w:rsidRPr="00200008">
        <w:t xml:space="preserve"> </w:t>
      </w:r>
      <w:r w:rsidR="00B01901">
        <w:t>17 313</w:t>
      </w:r>
      <w:r w:rsidR="0023743A" w:rsidRPr="00200008">
        <w:t xml:space="preserve"> pacientů </w:t>
      </w:r>
      <w:r w:rsidR="00A70EC4">
        <w:t xml:space="preserve">v </w:t>
      </w:r>
      <w:r w:rsidR="0023743A" w:rsidRPr="00200008">
        <w:t>ro</w:t>
      </w:r>
      <w:r w:rsidR="00A70EC4">
        <w:t>ce</w:t>
      </w:r>
      <w:r w:rsidR="0023743A" w:rsidRPr="00200008">
        <w:t xml:space="preserve"> 2019</w:t>
      </w:r>
      <w:r w:rsidR="00600F19" w:rsidRPr="00200008">
        <w:t xml:space="preserve"> a</w:t>
      </w:r>
      <w:r w:rsidRPr="00200008">
        <w:t xml:space="preserve"> </w:t>
      </w:r>
      <w:r w:rsidR="0023743A" w:rsidRPr="00200008">
        <w:t>16 722 pacientů</w:t>
      </w:r>
      <w:r w:rsidR="00600F19" w:rsidRPr="00200008">
        <w:t xml:space="preserve"> </w:t>
      </w:r>
      <w:r w:rsidR="00A70EC4">
        <w:t xml:space="preserve">v </w:t>
      </w:r>
      <w:r w:rsidR="00600F19" w:rsidRPr="00200008">
        <w:t>ro</w:t>
      </w:r>
      <w:r w:rsidR="00A70EC4">
        <w:t>ce</w:t>
      </w:r>
      <w:r w:rsidR="00600F19" w:rsidRPr="00200008">
        <w:t xml:space="preserve"> 2023</w:t>
      </w:r>
      <w:r w:rsidR="0023743A" w:rsidRPr="00200008">
        <w:t>.</w:t>
      </w:r>
      <w:r w:rsidR="002A0BB9" w:rsidRPr="00200008">
        <w:t xml:space="preserve"> </w:t>
      </w:r>
      <w:r w:rsidR="00017150" w:rsidRPr="00200008">
        <w:t>V</w:t>
      </w:r>
      <w:r w:rsidR="002A7487" w:rsidRPr="00200008">
        <w:t>e</w:t>
      </w:r>
      <w:r w:rsidR="00354BFD">
        <w:t xml:space="preserve"> vybraných dnech byly</w:t>
      </w:r>
      <w:r w:rsidR="0021673D">
        <w:t xml:space="preserve"> podrobně zpracovány</w:t>
      </w:r>
      <w:r w:rsidR="004B3B40">
        <w:t xml:space="preserve"> záznamy o pacientech</w:t>
      </w:r>
      <w:r w:rsidR="00E5629E">
        <w:t xml:space="preserve"> ve </w:t>
      </w:r>
      <w:r w:rsidR="002A7487" w:rsidRPr="00200008">
        <w:t>věk</w:t>
      </w:r>
      <w:r w:rsidR="00017150" w:rsidRPr="00200008">
        <w:t>ové kategorii</w:t>
      </w:r>
      <w:r w:rsidR="002A7487" w:rsidRPr="00200008">
        <w:t xml:space="preserve"> 75</w:t>
      </w:r>
      <w:r w:rsidR="00B813AE">
        <w:t xml:space="preserve"> </w:t>
      </w:r>
      <w:r w:rsidR="002A7487" w:rsidRPr="00200008">
        <w:t>a více</w:t>
      </w:r>
      <w:r w:rsidR="00B813AE">
        <w:t xml:space="preserve"> let</w:t>
      </w:r>
      <w:r w:rsidR="00F33B9D">
        <w:t>, a to o</w:t>
      </w:r>
      <w:r w:rsidR="00213D9F" w:rsidRPr="00200008">
        <w:t xml:space="preserve"> </w:t>
      </w:r>
      <w:r w:rsidR="00A64484">
        <w:t>509</w:t>
      </w:r>
      <w:r w:rsidR="00213D9F" w:rsidRPr="00200008">
        <w:t xml:space="preserve"> pacie</w:t>
      </w:r>
      <w:r w:rsidR="00017150" w:rsidRPr="00200008">
        <w:t>nt</w:t>
      </w:r>
      <w:r w:rsidR="00F33B9D">
        <w:t>ech</w:t>
      </w:r>
      <w:r w:rsidR="00017150" w:rsidRPr="00200008">
        <w:t xml:space="preserve"> </w:t>
      </w:r>
      <w:r w:rsidR="005302AD">
        <w:t>za</w:t>
      </w:r>
      <w:r w:rsidR="00D55684" w:rsidRPr="00200008">
        <w:t xml:space="preserve"> rok 2019 a </w:t>
      </w:r>
      <w:r w:rsidR="00EE6A74" w:rsidRPr="00200008">
        <w:t>598</w:t>
      </w:r>
      <w:r w:rsidR="00481F03" w:rsidRPr="00200008">
        <w:t xml:space="preserve"> pacient</w:t>
      </w:r>
      <w:r w:rsidR="005302AD">
        <w:t>ech za</w:t>
      </w:r>
      <w:r w:rsidR="00481F03" w:rsidRPr="00200008">
        <w:t xml:space="preserve"> rok 2023</w:t>
      </w:r>
      <w:r w:rsidR="00177482">
        <w:t xml:space="preserve">. </w:t>
      </w:r>
      <w:r w:rsidR="008619AB" w:rsidRPr="008619AB">
        <w:t xml:space="preserve">Graf č. 1 ukazuje, jaké bylo věkové složení všech pacientů ošetřených na NUP </w:t>
      </w:r>
      <w:r w:rsidR="000651EF">
        <w:t xml:space="preserve">FN Brno </w:t>
      </w:r>
      <w:r w:rsidR="008619AB" w:rsidRPr="008619AB">
        <w:t>v těchto sledovaných dnech. Vyplývá z něj, že v roce 2019 tvořili pacienti 75</w:t>
      </w:r>
      <w:r w:rsidR="00AE1533">
        <w:t xml:space="preserve"> a více let</w:t>
      </w:r>
      <w:r w:rsidR="008619AB" w:rsidRPr="008619AB">
        <w:t xml:space="preserve"> 30,18 % a v roce 2023 34,55 % ze všech ošetřených pacientů.</w:t>
      </w:r>
    </w:p>
    <w:p w14:paraId="534962BA" w14:textId="13EC926C" w:rsidR="00B751D5" w:rsidRDefault="00770B2B" w:rsidP="00B751D5">
      <w:pPr>
        <w:pStyle w:val="Dalodstavce"/>
      </w:pPr>
      <w:r w:rsidRPr="00770B2B">
        <w:t xml:space="preserve">Pro analýzu dat získaných z „knih THP“ a NIS AMIS byly využity statistické metody zaměřené na identifikaci vztahů mezi proměnnými a zhodnocení dopadů stárnutí české populace na urgentní příjmy v kontextu stanovených výzkumných cílů. Mezi aplikované statistické metody patřily chí-kvadrát test, </w:t>
      </w:r>
      <w:proofErr w:type="spellStart"/>
      <w:r w:rsidRPr="00770B2B">
        <w:t>Fisherův</w:t>
      </w:r>
      <w:proofErr w:type="spellEnd"/>
      <w:r w:rsidRPr="00770B2B">
        <w:t xml:space="preserve"> exaktní test, </w:t>
      </w:r>
      <w:proofErr w:type="spellStart"/>
      <w:r w:rsidRPr="00770B2B">
        <w:t>Cramerovo</w:t>
      </w:r>
      <w:proofErr w:type="spellEnd"/>
      <w:r w:rsidRPr="00770B2B">
        <w:t xml:space="preserve"> V, Fí koeficient, Mann-</w:t>
      </w:r>
      <w:proofErr w:type="spellStart"/>
      <w:r w:rsidRPr="00770B2B">
        <w:t>Whitneyho</w:t>
      </w:r>
      <w:proofErr w:type="spellEnd"/>
      <w:r w:rsidRPr="00770B2B">
        <w:t xml:space="preserve"> U-test, </w:t>
      </w:r>
      <w:r w:rsidR="0067125E">
        <w:t>t</w:t>
      </w:r>
      <w:r w:rsidR="00DF01D9">
        <w:t xml:space="preserve">-test, </w:t>
      </w:r>
      <w:r w:rsidRPr="00770B2B">
        <w:t xml:space="preserve">adjustované </w:t>
      </w:r>
      <w:proofErr w:type="spellStart"/>
      <w:r w:rsidRPr="00770B2B">
        <w:t>reziduály</w:t>
      </w:r>
      <w:proofErr w:type="spellEnd"/>
      <w:r w:rsidRPr="00770B2B">
        <w:t xml:space="preserve"> a analýza konfidenčních intervalů. Hladina významnosti byla stanovena na 5 %, přičemž za statisticky významné byly považovány p-hodnoty menší než 0,05. Vztahy mezi kategoriálními proměnnými byly hodnoceny pomocí </w:t>
      </w:r>
      <w:proofErr w:type="spellStart"/>
      <w:r w:rsidRPr="00770B2B">
        <w:t>Pearsonova</w:t>
      </w:r>
      <w:proofErr w:type="spellEnd"/>
      <w:r w:rsidRPr="00770B2B">
        <w:t xml:space="preserve"> chí-kvadrátu, v tabulkách 2×2 s malými četnostmi byl použit </w:t>
      </w:r>
      <w:proofErr w:type="spellStart"/>
      <w:r w:rsidRPr="00770B2B">
        <w:t>Fisherův</w:t>
      </w:r>
      <w:proofErr w:type="spellEnd"/>
      <w:r w:rsidRPr="00770B2B">
        <w:t xml:space="preserve"> exaktní test. Zvolená metodologická strategie umožnila efektivní zpracování dat a následnou interpretaci výsledků výzkumu. Veškeré statistické výpočty byly provedeny v softwaru IBM SPSS </w:t>
      </w:r>
      <w:proofErr w:type="spellStart"/>
      <w:r w:rsidRPr="00770B2B">
        <w:t>Statistics</w:t>
      </w:r>
      <w:proofErr w:type="spellEnd"/>
      <w:r w:rsidRPr="00770B2B">
        <w:t xml:space="preserve"> 30</w:t>
      </w:r>
      <w:r w:rsidR="00BA7219">
        <w:fldChar w:fldCharType="begin"/>
      </w:r>
      <w:r w:rsidR="001300F0">
        <w:instrText xml:space="preserve"> ADDIN ZOTERO_ITEM CSL_CITATION {"citationID":"mQRCqTdw","properties":{"formattedCitation":"\\super 43\\nosupersub{}","plainCitation":"43","noteIndex":0},"citationItems":[{"id":212,"uris":["http://zotero.org/users/9426386/items/ZBNNGZ34"],"itemData":{"id":212,"type":"webpage","container-title":"IT služby Masarykovy univerzity","language":"cs","title":"IBM SPSS Statistics","URL":"https://it.muni.cz/sluzby/software/ibm-spss-statistics","accessed":{"date-parts":[["2025",2,16]]}},"label":"page"}],"schema":"https://github.com/citation-style-language/schema/raw/master/csl-citation.json"} </w:instrText>
      </w:r>
      <w:r w:rsidR="00BA7219">
        <w:fldChar w:fldCharType="separate"/>
      </w:r>
      <w:r w:rsidR="001300F0" w:rsidRPr="001300F0">
        <w:rPr>
          <w:vertAlign w:val="superscript"/>
        </w:rPr>
        <w:t>43</w:t>
      </w:r>
      <w:r w:rsidR="00BA7219">
        <w:fldChar w:fldCharType="end"/>
      </w:r>
      <w:r w:rsidRPr="00770B2B">
        <w:t xml:space="preserve"> (dále jen SPSS).</w:t>
      </w:r>
    </w:p>
    <w:p w14:paraId="2BFA1F22" w14:textId="17F4BC58" w:rsidR="000B7D03" w:rsidRDefault="00575518" w:rsidP="00B16D06">
      <w:pPr>
        <w:pStyle w:val="Dalodstavce"/>
      </w:pPr>
      <w:r w:rsidRPr="00F07D27">
        <w:lastRenderedPageBreak/>
        <w:t xml:space="preserve">K </w:t>
      </w:r>
      <w:r w:rsidR="0027366D" w:rsidRPr="00F07D27">
        <w:t xml:space="preserve">pochopení </w:t>
      </w:r>
      <w:r w:rsidR="001D6BCC" w:rsidRPr="00F07D27">
        <w:t xml:space="preserve">statistických </w:t>
      </w:r>
      <w:r w:rsidR="00184A4B" w:rsidRPr="00F07D27">
        <w:t>operací</w:t>
      </w:r>
      <w:r w:rsidR="001D6BCC" w:rsidRPr="00F07D27">
        <w:t xml:space="preserve"> a práce s</w:t>
      </w:r>
      <w:r w:rsidR="002F06B2" w:rsidRPr="00F07D27">
        <w:t>e</w:t>
      </w:r>
      <w:r w:rsidR="001D6BCC" w:rsidRPr="00F07D27">
        <w:t> SPSS byla použita publikace</w:t>
      </w:r>
      <w:r w:rsidR="006E0314" w:rsidRPr="00F07D27">
        <w:t xml:space="preserve"> Statistická analýza </w:t>
      </w:r>
      <w:proofErr w:type="spellStart"/>
      <w:r w:rsidR="006E0314" w:rsidRPr="00F07D27">
        <w:t>sociálněvědních</w:t>
      </w:r>
      <w:proofErr w:type="spellEnd"/>
      <w:r w:rsidR="006E0314" w:rsidRPr="00F07D27">
        <w:t xml:space="preserve"> dat (prostřednictvím SPSS)</w:t>
      </w:r>
      <w:r w:rsidR="006830A8" w:rsidRPr="00F07D27">
        <w:t>.</w:t>
      </w:r>
      <w:r w:rsidR="006830A8" w:rsidRPr="00F07D27">
        <w:fldChar w:fldCharType="begin"/>
      </w:r>
      <w:r w:rsidR="001300F0">
        <w:instrText xml:space="preserve"> ADDIN ZOTERO_ITEM CSL_CITATION {"citationID":"ChdxWBYk","properties":{"formattedCitation":"\\super 44(pp249-265,275-281)\\nosupersub{}","plainCitation":"44(pp249-265,275-281)","noteIndex":0},"citationItems":[{"id":211,"uris":["http://zotero.org/users/9426386/items/F78RX5YQ"],"itemData":{"id":211,"type":"book","edition":"2nd rev. ed.","event-place":"Brno","ISBN":"978-80-210-9248-8","language":"cze","number-of-pages":"573","publisher":"Masarykova univerzita","publisher-place":"Brno","source":"K10plus ISBN","title":"Statistická analýza sociálněvědních dat (prostřednictvím SPSS)","author":[{"family":"Rabušic","given":"Ladislav"},{"family":"Mareš","given":"Petr"},{"family":"Soukup","given":"Petr"}],"issued":{"date-parts":[["2019"]]}},"locator":"249-265,275-281","label":"page"}],"schema":"https://github.com/citation-style-language/schema/raw/master/csl-citation.json"} </w:instrText>
      </w:r>
      <w:r w:rsidR="006830A8" w:rsidRPr="00F07D27">
        <w:fldChar w:fldCharType="separate"/>
      </w:r>
      <w:r w:rsidR="001300F0" w:rsidRPr="001300F0">
        <w:rPr>
          <w:vertAlign w:val="superscript"/>
        </w:rPr>
        <w:t>44(pp249-265,275-281)</w:t>
      </w:r>
      <w:r w:rsidR="006830A8" w:rsidRPr="00F07D27">
        <w:fldChar w:fldCharType="end"/>
      </w:r>
    </w:p>
    <w:p w14:paraId="2E3DDA6B" w14:textId="088F1055" w:rsidR="00BD614D" w:rsidRDefault="000A3EBC" w:rsidP="008D4E67">
      <w:pPr>
        <w:pStyle w:val="Dalodstavce"/>
      </w:pPr>
      <w:r w:rsidRPr="004A5804">
        <w:t>V </w:t>
      </w:r>
      <w:r w:rsidR="0066106D" w:rsidRPr="004A5804">
        <w:t>souvislosti</w:t>
      </w:r>
      <w:r w:rsidRPr="004A5804">
        <w:t xml:space="preserve"> </w:t>
      </w:r>
      <w:r w:rsidR="005B2288" w:rsidRPr="004A5804">
        <w:t>se</w:t>
      </w:r>
      <w:r w:rsidRPr="004A5804">
        <w:t xml:space="preserve"> zvolenou formu výzkumu b</w:t>
      </w:r>
      <w:r w:rsidR="002A48C8" w:rsidRPr="004A5804">
        <w:t>ude text</w:t>
      </w:r>
      <w:r w:rsidR="0066106D" w:rsidRPr="004A5804">
        <w:t xml:space="preserve"> </w:t>
      </w:r>
      <w:r w:rsidR="002A48C8" w:rsidRPr="004A5804">
        <w:t>souběžně</w:t>
      </w:r>
      <w:r w:rsidR="0066106D" w:rsidRPr="004A5804">
        <w:t xml:space="preserve"> věnován</w:t>
      </w:r>
      <w:r w:rsidR="005B2288" w:rsidRPr="004A5804">
        <w:t xml:space="preserve"> </w:t>
      </w:r>
      <w:r w:rsidR="00CB60A8" w:rsidRPr="004A5804">
        <w:t>vyhodnocování jednotlivých výzkumných cílů, které byly stanoveny v návaznosti na výzkumný záměr diplomové práce (blíže viz kapitola 5.2).</w:t>
      </w:r>
      <w:r w:rsidR="004A5804" w:rsidRPr="004A5804">
        <w:t xml:space="preserve"> </w:t>
      </w:r>
      <w:r w:rsidR="00CA3B51" w:rsidRPr="004A5804">
        <w:t>N</w:t>
      </w:r>
      <w:r w:rsidR="006913E9" w:rsidRPr="004A5804">
        <w:t>á</w:t>
      </w:r>
      <w:r w:rsidR="0070150A" w:rsidRPr="004A5804">
        <w:t>sledující tabulk</w:t>
      </w:r>
      <w:r w:rsidR="00CA3B51" w:rsidRPr="004A5804">
        <w:t>y</w:t>
      </w:r>
      <w:r w:rsidR="00857BB6" w:rsidRPr="004A5804">
        <w:t xml:space="preserve"> a </w:t>
      </w:r>
      <w:r w:rsidR="000C3547" w:rsidRPr="004A5804">
        <w:t>jejich komentáře</w:t>
      </w:r>
      <w:r w:rsidR="00CA3B51" w:rsidRPr="004A5804">
        <w:t xml:space="preserve"> </w:t>
      </w:r>
      <w:r w:rsidR="00DC4992" w:rsidRPr="004A5804">
        <w:t xml:space="preserve">poskytují deskriptivní interpretaci konkrétních </w:t>
      </w:r>
      <w:r w:rsidR="002013E3" w:rsidRPr="004A5804">
        <w:t xml:space="preserve">výsledků </w:t>
      </w:r>
      <w:r w:rsidR="003910E2" w:rsidRPr="004A5804">
        <w:t xml:space="preserve">realizovaného </w:t>
      </w:r>
      <w:r w:rsidR="00CE666E" w:rsidRPr="004A5804">
        <w:t>výzkum</w:t>
      </w:r>
      <w:r w:rsidR="00B07052" w:rsidRPr="004A5804">
        <w:t>u k diplomové práci</w:t>
      </w:r>
      <w:r w:rsidR="002013E3" w:rsidRPr="004A5804">
        <w:t>.</w:t>
      </w:r>
    </w:p>
    <w:p w14:paraId="735A0D42" w14:textId="648C1965" w:rsidR="0013769F" w:rsidRDefault="0013769F" w:rsidP="00E04CEA">
      <w:pPr>
        <w:pStyle w:val="Titulek"/>
        <w:keepNext/>
        <w:spacing w:before="240"/>
      </w:pPr>
      <w:bookmarkStart w:id="31" w:name="_Toc195517153"/>
      <w:r>
        <w:t xml:space="preserve">Graf </w:t>
      </w:r>
      <w:fldSimple w:instr=" SEQ Graf \* ARABIC ">
        <w:r w:rsidR="00D4233F">
          <w:rPr>
            <w:noProof/>
          </w:rPr>
          <w:t>1</w:t>
        </w:r>
      </w:fldSimple>
      <w:r>
        <w:t xml:space="preserve">: </w:t>
      </w:r>
      <w:r w:rsidR="00E908B1">
        <w:t xml:space="preserve">Podíl pacientů </w:t>
      </w:r>
      <w:r w:rsidR="00B920AA">
        <w:t xml:space="preserve">na </w:t>
      </w:r>
      <w:r w:rsidR="00E908B1">
        <w:t>NUP FN Brno v</w:t>
      </w:r>
      <w:r w:rsidR="00537CBD">
        <w:t xml:space="preserve">e věkové kategorii 75 </w:t>
      </w:r>
      <w:r w:rsidR="00B920AA">
        <w:t>a více let vůči mladším</w:t>
      </w:r>
      <w:r w:rsidR="00096036">
        <w:t xml:space="preserve"> ročníkům</w:t>
      </w:r>
      <w:bookmarkEnd w:id="31"/>
    </w:p>
    <w:p w14:paraId="16EEFE34" w14:textId="533BC331" w:rsidR="000643CE" w:rsidRDefault="0013769F" w:rsidP="00F209C4">
      <w:pPr>
        <w:pStyle w:val="Dalodstavce"/>
        <w:ind w:firstLine="0"/>
        <w:jc w:val="center"/>
      </w:pPr>
      <w:r w:rsidRPr="00124684">
        <w:rPr>
          <w:noProof/>
          <w:shd w:val="clear" w:color="auto" w:fill="000000" w:themeFill="text1"/>
        </w:rPr>
        <w:drawing>
          <wp:inline distT="0" distB="0" distL="0" distR="0" wp14:anchorId="5B3BFCD8" wp14:editId="7BB6895E">
            <wp:extent cx="5448300" cy="3057525"/>
            <wp:effectExtent l="0" t="0" r="0" b="9525"/>
            <wp:docPr id="1109165610" name="Graf 1">
              <a:extLst xmlns:a="http://schemas.openxmlformats.org/drawingml/2006/main">
                <a:ext uri="{FF2B5EF4-FFF2-40B4-BE49-F238E27FC236}">
                  <a16:creationId xmlns:a16="http://schemas.microsoft.com/office/drawing/2014/main" id="{D2FE59B5-DF62-95DF-C83A-0D71797E9D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98BD288" w14:textId="77777777" w:rsidR="0053076C" w:rsidRDefault="0053076C" w:rsidP="00795831">
      <w:pPr>
        <w:pStyle w:val="Popisobrzku"/>
      </w:pPr>
    </w:p>
    <w:p w14:paraId="1624EDAF" w14:textId="1B1897FF" w:rsidR="004B1B7E" w:rsidRDefault="003A5104" w:rsidP="0053076C">
      <w:pPr>
        <w:pStyle w:val="Dalodstavce"/>
        <w:ind w:firstLine="0"/>
      </w:pPr>
      <w:r>
        <w:t>Grafické znázornění p</w:t>
      </w:r>
      <w:r w:rsidR="0052305C">
        <w:t>rocentuálního</w:t>
      </w:r>
      <w:r>
        <w:t xml:space="preserve"> zastoupení pacientů ošetřených na NUP FN</w:t>
      </w:r>
      <w:r w:rsidR="00BF3C25">
        <w:t> </w:t>
      </w:r>
      <w:r>
        <w:t xml:space="preserve">Brno v letech 2019 a 2023 je znázorněno v Grafu </w:t>
      </w:r>
      <w:r w:rsidR="00124937">
        <w:t>1</w:t>
      </w:r>
      <w:r>
        <w:t>.</w:t>
      </w:r>
      <w:r w:rsidR="00A777C4">
        <w:t xml:space="preserve"> </w:t>
      </w:r>
      <w:r w:rsidR="00F607F6">
        <w:t>V</w:t>
      </w:r>
      <w:r w:rsidR="00D27F9C">
        <w:t>e</w:t>
      </w:r>
      <w:r w:rsidR="00C74177">
        <w:t xml:space="preserve"> sledov</w:t>
      </w:r>
      <w:r w:rsidR="00DE1290">
        <w:t>aném</w:t>
      </w:r>
      <w:r w:rsidR="00F607F6">
        <w:t xml:space="preserve"> </w:t>
      </w:r>
      <w:r w:rsidR="00C476CC">
        <w:t>souboru</w:t>
      </w:r>
      <w:r w:rsidR="00F607F6">
        <w:t xml:space="preserve"> došlo k meziročnímu nár</w:t>
      </w:r>
      <w:r w:rsidR="00364BBC">
        <w:t>ů</w:t>
      </w:r>
      <w:r w:rsidR="00F607F6">
        <w:t>stu pacientů ve věku 75</w:t>
      </w:r>
      <w:r w:rsidR="003C77CD">
        <w:t xml:space="preserve"> a více let</w:t>
      </w:r>
      <w:r w:rsidR="00F607F6">
        <w:t xml:space="preserve"> o </w:t>
      </w:r>
      <w:proofErr w:type="gramStart"/>
      <w:r w:rsidR="00F607F6">
        <w:t>4,37</w:t>
      </w:r>
      <w:r w:rsidR="00956098">
        <w:t xml:space="preserve"> </w:t>
      </w:r>
      <w:r w:rsidR="003C6D94">
        <w:t>procentního</w:t>
      </w:r>
      <w:proofErr w:type="gramEnd"/>
      <w:r w:rsidR="003C6D94">
        <w:t xml:space="preserve"> bodu</w:t>
      </w:r>
      <w:r w:rsidR="00F607F6">
        <w:t>.</w:t>
      </w:r>
    </w:p>
    <w:p w14:paraId="656F5D55" w14:textId="01E1019C" w:rsidR="00534D36" w:rsidRDefault="00534D36" w:rsidP="00291C15">
      <w:pPr>
        <w:pStyle w:val="Titulek"/>
        <w:keepNext/>
        <w:spacing w:before="240"/>
      </w:pPr>
      <w:bookmarkStart w:id="32" w:name="_Toc195517154"/>
      <w:r>
        <w:lastRenderedPageBreak/>
        <w:t xml:space="preserve">Graf </w:t>
      </w:r>
      <w:fldSimple w:instr=" SEQ Graf \* ARABIC ">
        <w:r w:rsidR="00F32E01">
          <w:rPr>
            <w:noProof/>
          </w:rPr>
          <w:t>2</w:t>
        </w:r>
      </w:fldSimple>
      <w:r>
        <w:t xml:space="preserve">: </w:t>
      </w:r>
      <w:r w:rsidR="00AA001D">
        <w:t>P</w:t>
      </w:r>
      <w:r>
        <w:t>ohlaví pacientů ošetřených na NUP FN Brno ve věkové kategorii 75 a více let</w:t>
      </w:r>
      <w:r w:rsidR="00AB646A">
        <w:t xml:space="preserve"> v porovnání s mladšími ročníky</w:t>
      </w:r>
      <w:r w:rsidR="00E13115">
        <w:t xml:space="preserve"> pacientů</w:t>
      </w:r>
      <w:bookmarkEnd w:id="32"/>
    </w:p>
    <w:p w14:paraId="36EABD04" w14:textId="44CE41B0" w:rsidR="002454F4" w:rsidRDefault="002454F4" w:rsidP="00534D36">
      <w:pPr>
        <w:pStyle w:val="Dalodstavce"/>
        <w:ind w:firstLine="0"/>
        <w:jc w:val="center"/>
      </w:pPr>
      <w:r>
        <w:rPr>
          <w:noProof/>
        </w:rPr>
        <w:drawing>
          <wp:inline distT="0" distB="0" distL="0" distR="0" wp14:anchorId="37BAC851" wp14:editId="468FD99D">
            <wp:extent cx="5581650" cy="2995612"/>
            <wp:effectExtent l="0" t="0" r="0" b="14605"/>
            <wp:docPr id="1208204292" name="Graf 1">
              <a:extLst xmlns:a="http://schemas.openxmlformats.org/drawingml/2006/main">
                <a:ext uri="{FF2B5EF4-FFF2-40B4-BE49-F238E27FC236}">
                  <a16:creationId xmlns:a16="http://schemas.microsoft.com/office/drawing/2014/main" id="{68CB076C-96F8-E3FC-C326-F6C2870012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3321CDE" w14:textId="77777777" w:rsidR="00D56C96" w:rsidRDefault="00D56C96" w:rsidP="00795831">
      <w:pPr>
        <w:pStyle w:val="Popisobrzku"/>
      </w:pPr>
    </w:p>
    <w:p w14:paraId="3AFB08FB" w14:textId="2C444C5B" w:rsidR="00534D36" w:rsidRDefault="00F32E01" w:rsidP="00D56C96">
      <w:pPr>
        <w:pStyle w:val="Dalodstavce"/>
        <w:ind w:firstLine="0"/>
      </w:pPr>
      <w:r w:rsidRPr="00F32E01">
        <w:t xml:space="preserve">Graf </w:t>
      </w:r>
      <w:r>
        <w:t xml:space="preserve">2 </w:t>
      </w:r>
      <w:r w:rsidRPr="00F32E01">
        <w:t xml:space="preserve">ukazuje nárůst počtu ošetřených pacientů ve věku 75 a více let mezi </w:t>
      </w:r>
      <w:r w:rsidR="000E0528">
        <w:t>kalendářními roky</w:t>
      </w:r>
      <w:r w:rsidRPr="00F32E01">
        <w:t xml:space="preserve"> 2019 a</w:t>
      </w:r>
      <w:r w:rsidR="00936713">
        <w:t> </w:t>
      </w:r>
      <w:r w:rsidRPr="00F32E01">
        <w:t>2023</w:t>
      </w:r>
      <w:r w:rsidR="007251E8">
        <w:t>,</w:t>
      </w:r>
      <w:r w:rsidR="00F81946">
        <w:t xml:space="preserve"> </w:t>
      </w:r>
      <w:r w:rsidR="00F81946" w:rsidRPr="00F81946">
        <w:t>přičemž tento nárůst je výraznější u mužů</w:t>
      </w:r>
      <w:r w:rsidRPr="00F32E01">
        <w:t>. Počet mladších pacientů (18–74 let) zůstává stabilní nebo mírně klesá.</w:t>
      </w:r>
    </w:p>
    <w:p w14:paraId="3BEF5A01" w14:textId="02DD0C81" w:rsidR="00D53E69" w:rsidRDefault="00AA0A82" w:rsidP="008767CA">
      <w:pPr>
        <w:pStyle w:val="Nadpis3"/>
        <w:numPr>
          <w:ilvl w:val="2"/>
          <w:numId w:val="14"/>
        </w:numPr>
      </w:pPr>
      <w:r>
        <w:t xml:space="preserve">Cíl č. 1: </w:t>
      </w:r>
      <w:r w:rsidR="00D82E4C">
        <w:t>Popsat složení pacientů</w:t>
      </w:r>
      <w:r w:rsidR="00A32B3D">
        <w:t xml:space="preserve"> </w:t>
      </w:r>
      <w:r w:rsidR="002F79CA">
        <w:t xml:space="preserve">ve věku </w:t>
      </w:r>
      <w:r w:rsidR="00A32B3D">
        <w:t>75</w:t>
      </w:r>
      <w:r w:rsidR="009D7BD7">
        <w:t xml:space="preserve"> a více let</w:t>
      </w:r>
      <w:r w:rsidR="00A32B3D">
        <w:t xml:space="preserve"> ošetřených na N</w:t>
      </w:r>
      <w:r w:rsidR="009D7BD7">
        <w:t>ízkoprahovém urgentním příjmu</w:t>
      </w:r>
      <w:r w:rsidR="00A32B3D">
        <w:t xml:space="preserve"> F</w:t>
      </w:r>
      <w:r w:rsidR="009D7BD7">
        <w:t xml:space="preserve">akultní </w:t>
      </w:r>
      <w:r w:rsidR="001A2FD4">
        <w:t>nemocnice</w:t>
      </w:r>
      <w:r w:rsidR="00A32B3D">
        <w:t xml:space="preserve"> Brno v letech 2019 a 2023</w:t>
      </w:r>
      <w:r w:rsidR="004F5BEB">
        <w:t xml:space="preserve"> z hlediska základních charakteristik.</w:t>
      </w:r>
    </w:p>
    <w:p w14:paraId="76EB0A09" w14:textId="727BFE72" w:rsidR="000B6F13" w:rsidRDefault="000B6F13" w:rsidP="006D6E1A">
      <w:pPr>
        <w:pStyle w:val="Dalodstavce"/>
        <w:ind w:firstLine="0"/>
      </w:pPr>
      <w:r>
        <w:t>Popis výběrového i základního souboru pacientů ošetřených na NUP FN Brno ve věkové kategorii 75 a více let v kalendářních rocích 2019 a 2023 vycházel z:</w:t>
      </w:r>
    </w:p>
    <w:p w14:paraId="31ECE3CC" w14:textId="1F9C1290" w:rsidR="000B6F13" w:rsidRDefault="000B6F13" w:rsidP="00B94F02">
      <w:pPr>
        <w:pStyle w:val="Dalodstavce"/>
        <w:numPr>
          <w:ilvl w:val="0"/>
          <w:numId w:val="25"/>
        </w:numPr>
      </w:pPr>
      <w:r>
        <w:t xml:space="preserve">celkového počtu pacientů, </w:t>
      </w:r>
      <w:r w:rsidR="00B94F02">
        <w:t xml:space="preserve">jejich </w:t>
      </w:r>
      <w:r>
        <w:t>pohlaví a věku</w:t>
      </w:r>
      <w:r w:rsidR="002B4639">
        <w:t xml:space="preserve">, </w:t>
      </w:r>
      <w:r>
        <w:t xml:space="preserve">včetně rozdílů mezi </w:t>
      </w:r>
      <w:r w:rsidR="00983BD4">
        <w:t xml:space="preserve">sledovanými </w:t>
      </w:r>
      <w:r>
        <w:t>roky</w:t>
      </w:r>
      <w:r w:rsidR="002B4639">
        <w:t xml:space="preserve"> (</w:t>
      </w:r>
      <w:r>
        <w:t xml:space="preserve">absolutně, procentuálně a pomocí </w:t>
      </w:r>
      <w:proofErr w:type="gramStart"/>
      <w:r>
        <w:t>95%</w:t>
      </w:r>
      <w:proofErr w:type="gramEnd"/>
      <w:r>
        <w:t xml:space="preserve"> konfidenčních intervalů)</w:t>
      </w:r>
      <w:r w:rsidR="00533A9C">
        <w:t>;</w:t>
      </w:r>
    </w:p>
    <w:p w14:paraId="4AEB9B5C" w14:textId="24344C8A" w:rsidR="009D1837" w:rsidRDefault="000B6F13" w:rsidP="00B94F02">
      <w:pPr>
        <w:pStyle w:val="Dalodstavce"/>
        <w:numPr>
          <w:ilvl w:val="0"/>
          <w:numId w:val="25"/>
        </w:numPr>
      </w:pPr>
      <w:r>
        <w:t>frekvenčních statistik pro roky 2019 a 2023</w:t>
      </w:r>
      <w:r w:rsidR="00F863DF">
        <w:t xml:space="preserve">, které zahrnovaly </w:t>
      </w:r>
      <w:r>
        <w:t>objemový popis</w:t>
      </w:r>
      <w:r w:rsidR="005513B1">
        <w:t xml:space="preserve"> dle zjištěných charakteristik</w:t>
      </w:r>
      <w:r>
        <w:t xml:space="preserve">: </w:t>
      </w:r>
      <w:r w:rsidR="0018154F">
        <w:t>způsob dopravy k</w:t>
      </w:r>
      <w:r w:rsidR="00D915CE">
        <w:t> </w:t>
      </w:r>
      <w:r w:rsidR="0018154F">
        <w:t>ošetření</w:t>
      </w:r>
      <w:r w:rsidR="00D915CE">
        <w:t>, spádovost</w:t>
      </w:r>
      <w:r w:rsidR="00BF3688">
        <w:t>, doporučení k ošetření,</w:t>
      </w:r>
      <w:r w:rsidR="00B226BE">
        <w:t xml:space="preserve"> typ ošetřující ambulance</w:t>
      </w:r>
      <w:r w:rsidR="00B65D25">
        <w:t xml:space="preserve">, využití observačního lůžka, </w:t>
      </w:r>
      <w:r w:rsidR="00C2667F">
        <w:t>zobrazovacích metod</w:t>
      </w:r>
      <w:r w:rsidR="0031027A">
        <w:t xml:space="preserve"> a </w:t>
      </w:r>
      <w:r w:rsidR="007719C2">
        <w:t>konzili</w:t>
      </w:r>
      <w:r w:rsidR="00937719">
        <w:t>í</w:t>
      </w:r>
      <w:r w:rsidR="007719C2">
        <w:t xml:space="preserve"> specialist</w:t>
      </w:r>
      <w:r w:rsidR="00937719">
        <w:t>y</w:t>
      </w:r>
      <w:r w:rsidR="007719C2">
        <w:t>,</w:t>
      </w:r>
      <w:r w:rsidR="00073340">
        <w:t xml:space="preserve"> </w:t>
      </w:r>
      <w:r w:rsidR="00B10F5F">
        <w:t xml:space="preserve">způsob ukončení ošetření na </w:t>
      </w:r>
      <w:r w:rsidR="00A64A7F">
        <w:t>nízkoprahovém urgentním příjmu</w:t>
      </w:r>
      <w:r w:rsidR="00073340">
        <w:t xml:space="preserve"> a</w:t>
      </w:r>
      <w:r w:rsidR="005E600F">
        <w:t xml:space="preserve"> u části souboru taktéž zjištěná diagnóza</w:t>
      </w:r>
      <w:r>
        <w:t>).</w:t>
      </w:r>
    </w:p>
    <w:p w14:paraId="35E40A58" w14:textId="77777777" w:rsidR="00FF653E" w:rsidRDefault="00FF653E" w:rsidP="00865B79">
      <w:pPr>
        <w:pStyle w:val="Dalodstavce"/>
        <w:ind w:firstLine="0"/>
      </w:pPr>
    </w:p>
    <w:p w14:paraId="148D9774" w14:textId="2BEB676A" w:rsidR="00865B79" w:rsidRDefault="00865B79" w:rsidP="00865B79">
      <w:pPr>
        <w:pStyle w:val="Dalodstavce"/>
        <w:ind w:firstLine="0"/>
      </w:pPr>
      <w:r>
        <w:t>U způsob</w:t>
      </w:r>
      <w:r w:rsidR="00533A9C">
        <w:t>u</w:t>
      </w:r>
      <w:r>
        <w:t xml:space="preserve"> dopravy k ošetření </w:t>
      </w:r>
      <w:r w:rsidR="00533A9C">
        <w:t>bylo</w:t>
      </w:r>
      <w:r>
        <w:t xml:space="preserve"> rozliš</w:t>
      </w:r>
      <w:r w:rsidR="00533A9C">
        <w:t>ováno</w:t>
      </w:r>
      <w:r>
        <w:t xml:space="preserve"> </w:t>
      </w:r>
      <w:r w:rsidR="00B771C5">
        <w:t>pět</w:t>
      </w:r>
      <w:r>
        <w:t xml:space="preserve"> způsobů dopravy, a to zdravotnickou záchrannou službou, samostatně (příp. v doprovodu blízké osoby), zdravotnickou dopravní službou, předání</w:t>
      </w:r>
      <w:r w:rsidR="0042713A">
        <w:t xml:space="preserve"> či konzilium</w:t>
      </w:r>
      <w:r>
        <w:t xml:space="preserve"> z jiné ambulance FN Brno a předáním z jiného </w:t>
      </w:r>
      <w:r>
        <w:lastRenderedPageBreak/>
        <w:t>nemocničního zařízení. Spádovost pacienta se urč</w:t>
      </w:r>
      <w:r w:rsidR="00526415">
        <w:t>ovala</w:t>
      </w:r>
      <w:r>
        <w:t xml:space="preserve"> binárně (ano, ne). U ošetřující ambulance se rozliš</w:t>
      </w:r>
      <w:r w:rsidR="00526415">
        <w:t>ovala</w:t>
      </w:r>
      <w:r>
        <w:t xml:space="preserve">, </w:t>
      </w:r>
      <w:r w:rsidR="00526415">
        <w:t>zda</w:t>
      </w:r>
      <w:r>
        <w:t xml:space="preserve"> byl pacient vyšetřen pouze v interní ambulanci, pouze v</w:t>
      </w:r>
      <w:r w:rsidR="00526415">
        <w:t> </w:t>
      </w:r>
      <w:r>
        <w:t xml:space="preserve">neurologické ambulanci či </w:t>
      </w:r>
      <w:r w:rsidR="00E16935">
        <w:t xml:space="preserve">současně </w:t>
      </w:r>
      <w:r>
        <w:t>jak v interní, tak i v neurologické ambulanci. Využití observačního lůžka, zobrazovacích metod a konzili</w:t>
      </w:r>
      <w:r w:rsidR="00DC3B84">
        <w:t>í</w:t>
      </w:r>
      <w:r>
        <w:t xml:space="preserve"> </w:t>
      </w:r>
      <w:r w:rsidR="00E16935">
        <w:t>specialisty bylo</w:t>
      </w:r>
      <w:r>
        <w:t xml:space="preserve"> sledováno binárně (ano, ne).</w:t>
      </w:r>
      <w:r w:rsidR="00E16935">
        <w:t xml:space="preserve"> </w:t>
      </w:r>
      <w:r>
        <w:t xml:space="preserve">U způsobu ukončení </w:t>
      </w:r>
      <w:r w:rsidR="00CF20D5">
        <w:t xml:space="preserve">ošetření na </w:t>
      </w:r>
      <w:r>
        <w:t xml:space="preserve">NUP </w:t>
      </w:r>
      <w:r w:rsidR="00CF20D5">
        <w:t xml:space="preserve">FN Brno </w:t>
      </w:r>
      <w:r>
        <w:t xml:space="preserve">bylo rozlišováno </w:t>
      </w:r>
      <w:r w:rsidR="00CF20D5">
        <w:t>osm</w:t>
      </w:r>
      <w:r>
        <w:t xml:space="preserve"> kategorií</w:t>
      </w:r>
      <w:r w:rsidR="00CF20D5">
        <w:t xml:space="preserve"> – </w:t>
      </w:r>
      <w:r>
        <w:t>hospitalizace na standardním lůžku, hospitalizace na intenzivním lůžku, propuštění do domácí či jiné formy péče s převozem po vlastní ose, propuštění do domácí či jiné formy péče s převozem sanitním vozem, předání na jinou ambulanci FN</w:t>
      </w:r>
      <w:r w:rsidR="00CF20D5">
        <w:t> </w:t>
      </w:r>
      <w:r>
        <w:t>Brno, předání do jiného nemocničního zařízení, přijetí na Krizové centrum FN Brno</w:t>
      </w:r>
      <w:r w:rsidR="00BC6ED1">
        <w:t xml:space="preserve"> a </w:t>
      </w:r>
      <w:r>
        <w:t xml:space="preserve">překlad na </w:t>
      </w:r>
      <w:r w:rsidR="00BC6ED1">
        <w:t>O</w:t>
      </w:r>
      <w:r>
        <w:t xml:space="preserve">ddělení urgentního příjmu </w:t>
      </w:r>
      <w:r w:rsidR="00BC6ED1">
        <w:t>FN Brno</w:t>
      </w:r>
      <w:r w:rsidR="00AD5ACF">
        <w:t xml:space="preserve"> </w:t>
      </w:r>
      <w:r>
        <w:t>(</w:t>
      </w:r>
      <w:r w:rsidR="00AD5ACF">
        <w:t xml:space="preserve">tzv. </w:t>
      </w:r>
      <w:proofErr w:type="spellStart"/>
      <w:r>
        <w:t>vysokoprahov</w:t>
      </w:r>
      <w:r w:rsidR="00BC6ED1">
        <w:t>ou</w:t>
      </w:r>
      <w:proofErr w:type="spellEnd"/>
      <w:r>
        <w:t xml:space="preserve"> část).</w:t>
      </w:r>
    </w:p>
    <w:p w14:paraId="66792841" w14:textId="77777777" w:rsidR="003E33D1" w:rsidRDefault="003E33D1" w:rsidP="00E73497">
      <w:pPr>
        <w:pStyle w:val="Dalodstavce"/>
        <w:ind w:firstLine="0"/>
      </w:pPr>
    </w:p>
    <w:p w14:paraId="1465C978" w14:textId="03CAE561" w:rsidR="00E56D8C" w:rsidRPr="00D53E69" w:rsidRDefault="00E200E2" w:rsidP="00D53E69">
      <w:pPr>
        <w:pStyle w:val="Dalodstavce"/>
        <w:ind w:firstLine="0"/>
        <w:rPr>
          <w:b/>
          <w:bCs/>
        </w:rPr>
      </w:pPr>
      <w:r w:rsidRPr="00E200E2">
        <w:rPr>
          <w:b/>
          <w:bCs/>
        </w:rPr>
        <w:t xml:space="preserve">Následující údaje se </w:t>
      </w:r>
      <w:r w:rsidR="001A2FD4">
        <w:rPr>
          <w:b/>
          <w:bCs/>
        </w:rPr>
        <w:t>budou vztahovat</w:t>
      </w:r>
      <w:r w:rsidRPr="00E200E2">
        <w:rPr>
          <w:b/>
          <w:bCs/>
        </w:rPr>
        <w:t xml:space="preserve"> k výběrovému souboru pacientů ve věku 75 a více </w:t>
      </w:r>
      <w:r>
        <w:rPr>
          <w:b/>
          <w:bCs/>
        </w:rPr>
        <w:t xml:space="preserve">let </w:t>
      </w:r>
      <w:r w:rsidRPr="00E200E2">
        <w:rPr>
          <w:b/>
          <w:bCs/>
        </w:rPr>
        <w:t>(pokud ne</w:t>
      </w:r>
      <w:r w:rsidR="00912E9B">
        <w:rPr>
          <w:b/>
          <w:bCs/>
        </w:rPr>
        <w:t>bude</w:t>
      </w:r>
      <w:r w:rsidRPr="00E200E2">
        <w:rPr>
          <w:b/>
          <w:bCs/>
        </w:rPr>
        <w:t xml:space="preserve"> uvedeno jinak):</w:t>
      </w:r>
    </w:p>
    <w:p w14:paraId="1ADF3851" w14:textId="6BB6E18E" w:rsidR="008230D2" w:rsidRDefault="00E56D8C" w:rsidP="00BC1819">
      <w:pPr>
        <w:pStyle w:val="Titulektabulky"/>
      </w:pPr>
      <w:bookmarkStart w:id="33" w:name="_Toc129165879"/>
      <w:bookmarkStart w:id="34" w:name="_Toc195517128"/>
      <w:r>
        <w:t xml:space="preserve">Tab. </w:t>
      </w:r>
      <w:fldSimple w:instr=" SEQ Tab. \* ARABIC ">
        <w:r w:rsidR="00CA54DA">
          <w:rPr>
            <w:noProof/>
          </w:rPr>
          <w:t>3</w:t>
        </w:r>
      </w:fldSimple>
      <w:r>
        <w:t xml:space="preserve">: </w:t>
      </w:r>
      <w:r w:rsidR="002055F2">
        <w:t xml:space="preserve">Věk a pohlaví pacientů </w:t>
      </w:r>
      <w:r w:rsidR="00B03DB1">
        <w:t xml:space="preserve">ošetřených na </w:t>
      </w:r>
      <w:r w:rsidR="002055F2">
        <w:t>NUP FN Brno</w:t>
      </w:r>
      <w:r w:rsidR="00763418">
        <w:t xml:space="preserve"> </w:t>
      </w:r>
      <w:r w:rsidR="00B03DB1">
        <w:t>v</w:t>
      </w:r>
      <w:r w:rsidR="00B54B52">
        <w:t>e věkové kategorii 75 a více let</w:t>
      </w:r>
      <w:bookmarkEnd w:id="34"/>
    </w:p>
    <w:tbl>
      <w:tblPr>
        <w:tblW w:w="8642" w:type="dxa"/>
        <w:tblLayout w:type="fixed"/>
        <w:tblCellMar>
          <w:left w:w="70" w:type="dxa"/>
          <w:right w:w="70" w:type="dxa"/>
        </w:tblCellMar>
        <w:tblLook w:val="04A0" w:firstRow="1" w:lastRow="0" w:firstColumn="1" w:lastColumn="0" w:noHBand="0" w:noVBand="1"/>
      </w:tblPr>
      <w:tblGrid>
        <w:gridCol w:w="2122"/>
        <w:gridCol w:w="1134"/>
        <w:gridCol w:w="1134"/>
        <w:gridCol w:w="1134"/>
        <w:gridCol w:w="992"/>
        <w:gridCol w:w="992"/>
        <w:gridCol w:w="1134"/>
      </w:tblGrid>
      <w:tr w:rsidR="000A0203" w:rsidRPr="00E90E98" w14:paraId="4634E95F" w14:textId="77777777" w:rsidTr="00392509">
        <w:trPr>
          <w:trHeight w:val="285"/>
          <w:tblHeader/>
        </w:trPr>
        <w:tc>
          <w:tcPr>
            <w:tcW w:w="2122"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5CB5BA4C" w14:textId="41DA8E90" w:rsidR="00E90E98" w:rsidRPr="00E90E98" w:rsidRDefault="00E90E98" w:rsidP="00E90E98">
            <w:pPr>
              <w:jc w:val="center"/>
              <w:rPr>
                <w:rFonts w:ascii="Arial" w:hAnsi="Arial" w:cs="Arial"/>
                <w:b/>
                <w:bCs/>
                <w:color w:val="000000"/>
              </w:rPr>
            </w:pPr>
            <w:r w:rsidRPr="00E90E98">
              <w:rPr>
                <w:rFonts w:ascii="Arial" w:hAnsi="Arial" w:cs="Arial"/>
                <w:b/>
                <w:bCs/>
                <w:color w:val="000000"/>
              </w:rPr>
              <w:t>Věkové kategorie</w:t>
            </w:r>
            <w:r w:rsidR="000A0203">
              <w:rPr>
                <w:rFonts w:ascii="Arial" w:hAnsi="Arial" w:cs="Arial"/>
                <w:b/>
                <w:bCs/>
                <w:color w:val="000000"/>
              </w:rPr>
              <w:t xml:space="preserve"> a </w:t>
            </w:r>
            <w:r w:rsidRPr="00E90E98">
              <w:rPr>
                <w:rFonts w:ascii="Arial" w:hAnsi="Arial" w:cs="Arial"/>
                <w:b/>
                <w:bCs/>
                <w:color w:val="000000"/>
              </w:rPr>
              <w:t>pohlaví</w:t>
            </w:r>
          </w:p>
        </w:tc>
        <w:tc>
          <w:tcPr>
            <w:tcW w:w="6520" w:type="dxa"/>
            <w:gridSpan w:val="6"/>
            <w:tcBorders>
              <w:top w:val="single" w:sz="4" w:space="0" w:color="auto"/>
              <w:left w:val="nil"/>
              <w:bottom w:val="single" w:sz="4" w:space="0" w:color="auto"/>
              <w:right w:val="single" w:sz="4" w:space="0" w:color="auto"/>
            </w:tcBorders>
            <w:shd w:val="clear" w:color="000000" w:fill="DDEBF7"/>
            <w:vAlign w:val="center"/>
            <w:hideMark/>
          </w:tcPr>
          <w:p w14:paraId="42B8CA47" w14:textId="5ADB96CB" w:rsidR="00E90E98" w:rsidRPr="00E90E98" w:rsidRDefault="00373934" w:rsidP="00E90E98">
            <w:pPr>
              <w:jc w:val="center"/>
              <w:rPr>
                <w:rFonts w:ascii="Arial" w:hAnsi="Arial" w:cs="Arial"/>
                <w:b/>
                <w:bCs/>
                <w:color w:val="000000"/>
              </w:rPr>
            </w:pPr>
            <w:r>
              <w:rPr>
                <w:rFonts w:ascii="Arial" w:hAnsi="Arial" w:cs="Arial"/>
                <w:b/>
                <w:bCs/>
                <w:color w:val="000000"/>
              </w:rPr>
              <w:t xml:space="preserve">Rok </w:t>
            </w:r>
            <w:r w:rsidR="00E90E98" w:rsidRPr="00E90E98">
              <w:rPr>
                <w:rFonts w:ascii="Arial" w:hAnsi="Arial" w:cs="Arial"/>
                <w:b/>
                <w:bCs/>
                <w:color w:val="000000"/>
              </w:rPr>
              <w:t>2019</w:t>
            </w:r>
          </w:p>
        </w:tc>
      </w:tr>
      <w:tr w:rsidR="00D83DA2" w:rsidRPr="00E90E98" w14:paraId="04DA70B7" w14:textId="77777777" w:rsidTr="00392509">
        <w:trPr>
          <w:trHeight w:val="285"/>
          <w:tblHeader/>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76E9CAB5" w14:textId="77777777" w:rsidR="00E90E98" w:rsidRPr="00E90E98" w:rsidRDefault="00E90E98" w:rsidP="00E90E98">
            <w:pPr>
              <w:rPr>
                <w:rFonts w:ascii="Arial" w:hAnsi="Arial" w:cs="Arial"/>
                <w:b/>
                <w:bCs/>
                <w:color w:val="000000"/>
              </w:rPr>
            </w:pPr>
          </w:p>
        </w:tc>
        <w:tc>
          <w:tcPr>
            <w:tcW w:w="2268" w:type="dxa"/>
            <w:gridSpan w:val="2"/>
            <w:tcBorders>
              <w:top w:val="single" w:sz="4" w:space="0" w:color="auto"/>
              <w:left w:val="nil"/>
              <w:bottom w:val="single" w:sz="4" w:space="0" w:color="auto"/>
              <w:right w:val="single" w:sz="4" w:space="0" w:color="000000"/>
            </w:tcBorders>
            <w:shd w:val="clear" w:color="000000" w:fill="DDEBF7"/>
            <w:vAlign w:val="center"/>
            <w:hideMark/>
          </w:tcPr>
          <w:p w14:paraId="021282DC" w14:textId="77777777" w:rsidR="00E90E98" w:rsidRPr="00E90E98" w:rsidRDefault="00E90E98" w:rsidP="00E90E98">
            <w:pPr>
              <w:jc w:val="center"/>
              <w:rPr>
                <w:rFonts w:ascii="Arial" w:hAnsi="Arial" w:cs="Arial"/>
                <w:b/>
                <w:bCs/>
                <w:color w:val="000000"/>
              </w:rPr>
            </w:pPr>
            <w:r w:rsidRPr="00E90E98">
              <w:rPr>
                <w:rFonts w:ascii="Arial" w:hAnsi="Arial" w:cs="Arial"/>
                <w:b/>
                <w:bCs/>
                <w:color w:val="000000"/>
              </w:rPr>
              <w:t>Celkem</w:t>
            </w:r>
          </w:p>
        </w:tc>
        <w:tc>
          <w:tcPr>
            <w:tcW w:w="2126" w:type="dxa"/>
            <w:gridSpan w:val="2"/>
            <w:tcBorders>
              <w:top w:val="single" w:sz="4" w:space="0" w:color="auto"/>
              <w:left w:val="nil"/>
              <w:bottom w:val="single" w:sz="4" w:space="0" w:color="auto"/>
              <w:right w:val="single" w:sz="4" w:space="0" w:color="000000"/>
            </w:tcBorders>
            <w:shd w:val="clear" w:color="000000" w:fill="DDEBF7"/>
            <w:vAlign w:val="center"/>
            <w:hideMark/>
          </w:tcPr>
          <w:p w14:paraId="1B32E434" w14:textId="77777777" w:rsidR="00E90E98" w:rsidRPr="00E90E98" w:rsidRDefault="00E90E98" w:rsidP="00E90E98">
            <w:pPr>
              <w:jc w:val="center"/>
              <w:rPr>
                <w:rFonts w:ascii="Arial" w:hAnsi="Arial" w:cs="Arial"/>
                <w:b/>
                <w:bCs/>
                <w:color w:val="000000"/>
              </w:rPr>
            </w:pPr>
            <w:r w:rsidRPr="00E90E98">
              <w:rPr>
                <w:rFonts w:ascii="Arial" w:hAnsi="Arial" w:cs="Arial"/>
                <w:b/>
                <w:bCs/>
                <w:color w:val="000000"/>
              </w:rPr>
              <w:t>Muži</w:t>
            </w:r>
          </w:p>
        </w:tc>
        <w:tc>
          <w:tcPr>
            <w:tcW w:w="2126" w:type="dxa"/>
            <w:gridSpan w:val="2"/>
            <w:tcBorders>
              <w:top w:val="single" w:sz="4" w:space="0" w:color="auto"/>
              <w:left w:val="nil"/>
              <w:bottom w:val="single" w:sz="4" w:space="0" w:color="auto"/>
              <w:right w:val="single" w:sz="4" w:space="0" w:color="000000"/>
            </w:tcBorders>
            <w:shd w:val="clear" w:color="000000" w:fill="DDEBF7"/>
            <w:vAlign w:val="center"/>
            <w:hideMark/>
          </w:tcPr>
          <w:p w14:paraId="0A694DCD" w14:textId="77777777" w:rsidR="00E90E98" w:rsidRPr="00E90E98" w:rsidRDefault="00E90E98" w:rsidP="00E90E98">
            <w:pPr>
              <w:jc w:val="center"/>
              <w:rPr>
                <w:rFonts w:ascii="Arial" w:hAnsi="Arial" w:cs="Arial"/>
                <w:b/>
                <w:bCs/>
                <w:color w:val="000000"/>
              </w:rPr>
            </w:pPr>
            <w:r w:rsidRPr="00E90E98">
              <w:rPr>
                <w:rFonts w:ascii="Arial" w:hAnsi="Arial" w:cs="Arial"/>
                <w:b/>
                <w:bCs/>
                <w:color w:val="000000"/>
              </w:rPr>
              <w:t>Ženy</w:t>
            </w:r>
          </w:p>
        </w:tc>
      </w:tr>
      <w:tr w:rsidR="00BC1819" w:rsidRPr="00E90E98" w14:paraId="370AF740" w14:textId="77777777" w:rsidTr="00392509">
        <w:trPr>
          <w:trHeight w:val="285"/>
          <w:tblHeader/>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4B22DBA5" w14:textId="77777777" w:rsidR="00E90E98" w:rsidRPr="00E90E98" w:rsidRDefault="00E90E98" w:rsidP="00E90E98">
            <w:pPr>
              <w:rPr>
                <w:rFonts w:ascii="Arial" w:hAnsi="Arial" w:cs="Arial"/>
                <w:b/>
                <w:bCs/>
                <w:color w:val="000000"/>
              </w:rPr>
            </w:pPr>
          </w:p>
        </w:tc>
        <w:tc>
          <w:tcPr>
            <w:tcW w:w="1134" w:type="dxa"/>
            <w:tcBorders>
              <w:top w:val="nil"/>
              <w:left w:val="nil"/>
              <w:bottom w:val="single" w:sz="4" w:space="0" w:color="auto"/>
              <w:right w:val="single" w:sz="4" w:space="0" w:color="auto"/>
            </w:tcBorders>
            <w:shd w:val="clear" w:color="000000" w:fill="DDEBF7"/>
            <w:vAlign w:val="center"/>
            <w:hideMark/>
          </w:tcPr>
          <w:p w14:paraId="13512781" w14:textId="77777777" w:rsidR="00E90E98" w:rsidRPr="00E90E98" w:rsidRDefault="00E90E98" w:rsidP="00E90E98">
            <w:pPr>
              <w:jc w:val="center"/>
              <w:rPr>
                <w:rFonts w:ascii="Arial" w:hAnsi="Arial" w:cs="Arial"/>
                <w:b/>
                <w:bCs/>
                <w:color w:val="000000"/>
              </w:rPr>
            </w:pPr>
            <w:r w:rsidRPr="00E90E98">
              <w:rPr>
                <w:rFonts w:ascii="Arial" w:hAnsi="Arial" w:cs="Arial"/>
                <w:b/>
                <w:bCs/>
                <w:color w:val="000000"/>
              </w:rPr>
              <w:t>(n)</w:t>
            </w:r>
          </w:p>
        </w:tc>
        <w:tc>
          <w:tcPr>
            <w:tcW w:w="1134" w:type="dxa"/>
            <w:tcBorders>
              <w:top w:val="nil"/>
              <w:left w:val="nil"/>
              <w:bottom w:val="single" w:sz="4" w:space="0" w:color="auto"/>
              <w:right w:val="single" w:sz="4" w:space="0" w:color="auto"/>
            </w:tcBorders>
            <w:shd w:val="clear" w:color="000000" w:fill="DDEBF7"/>
            <w:vAlign w:val="center"/>
            <w:hideMark/>
          </w:tcPr>
          <w:p w14:paraId="2B653C2F" w14:textId="77777777" w:rsidR="00E90E98" w:rsidRPr="00E90E98" w:rsidRDefault="00E90E98" w:rsidP="00E90E98">
            <w:pPr>
              <w:jc w:val="center"/>
              <w:rPr>
                <w:rFonts w:ascii="Arial" w:hAnsi="Arial" w:cs="Arial"/>
                <w:b/>
                <w:bCs/>
                <w:color w:val="000000"/>
              </w:rPr>
            </w:pPr>
            <w:r w:rsidRPr="00E90E98">
              <w:rPr>
                <w:rFonts w:ascii="Arial" w:hAnsi="Arial" w:cs="Arial"/>
                <w:b/>
                <w:bCs/>
                <w:color w:val="000000"/>
              </w:rPr>
              <w:t>(%)</w:t>
            </w:r>
          </w:p>
        </w:tc>
        <w:tc>
          <w:tcPr>
            <w:tcW w:w="1134" w:type="dxa"/>
            <w:tcBorders>
              <w:top w:val="nil"/>
              <w:left w:val="nil"/>
              <w:bottom w:val="single" w:sz="4" w:space="0" w:color="auto"/>
              <w:right w:val="single" w:sz="4" w:space="0" w:color="auto"/>
            </w:tcBorders>
            <w:shd w:val="clear" w:color="000000" w:fill="DDEBF7"/>
            <w:vAlign w:val="center"/>
            <w:hideMark/>
          </w:tcPr>
          <w:p w14:paraId="65C29304" w14:textId="77777777" w:rsidR="00E90E98" w:rsidRPr="00E90E98" w:rsidRDefault="00E90E98" w:rsidP="00E90E98">
            <w:pPr>
              <w:jc w:val="center"/>
              <w:rPr>
                <w:rFonts w:ascii="Arial" w:hAnsi="Arial" w:cs="Arial"/>
                <w:b/>
                <w:bCs/>
                <w:color w:val="000000"/>
              </w:rPr>
            </w:pPr>
            <w:r w:rsidRPr="00E90E98">
              <w:rPr>
                <w:rFonts w:ascii="Arial" w:hAnsi="Arial" w:cs="Arial"/>
                <w:b/>
                <w:bCs/>
                <w:color w:val="000000"/>
              </w:rPr>
              <w:t>(n)</w:t>
            </w:r>
          </w:p>
        </w:tc>
        <w:tc>
          <w:tcPr>
            <w:tcW w:w="992" w:type="dxa"/>
            <w:tcBorders>
              <w:top w:val="nil"/>
              <w:left w:val="nil"/>
              <w:bottom w:val="single" w:sz="4" w:space="0" w:color="auto"/>
              <w:right w:val="single" w:sz="4" w:space="0" w:color="auto"/>
            </w:tcBorders>
            <w:shd w:val="clear" w:color="000000" w:fill="DDEBF7"/>
            <w:vAlign w:val="center"/>
            <w:hideMark/>
          </w:tcPr>
          <w:p w14:paraId="748EE647" w14:textId="77777777" w:rsidR="00E90E98" w:rsidRPr="00E90E98" w:rsidRDefault="00E90E98" w:rsidP="00E90E98">
            <w:pPr>
              <w:jc w:val="center"/>
              <w:rPr>
                <w:rFonts w:ascii="Arial" w:hAnsi="Arial" w:cs="Arial"/>
                <w:b/>
                <w:bCs/>
                <w:color w:val="000000"/>
              </w:rPr>
            </w:pPr>
            <w:r w:rsidRPr="00E90E98">
              <w:rPr>
                <w:rFonts w:ascii="Arial" w:hAnsi="Arial" w:cs="Arial"/>
                <w:b/>
                <w:bCs/>
                <w:color w:val="000000"/>
              </w:rPr>
              <w:t>(%)</w:t>
            </w:r>
          </w:p>
        </w:tc>
        <w:tc>
          <w:tcPr>
            <w:tcW w:w="992" w:type="dxa"/>
            <w:tcBorders>
              <w:top w:val="nil"/>
              <w:left w:val="nil"/>
              <w:bottom w:val="single" w:sz="4" w:space="0" w:color="auto"/>
              <w:right w:val="single" w:sz="4" w:space="0" w:color="auto"/>
            </w:tcBorders>
            <w:shd w:val="clear" w:color="000000" w:fill="DDEBF7"/>
            <w:vAlign w:val="center"/>
            <w:hideMark/>
          </w:tcPr>
          <w:p w14:paraId="29252C3A" w14:textId="77777777" w:rsidR="00E90E98" w:rsidRPr="00E90E98" w:rsidRDefault="00E90E98" w:rsidP="00E90E98">
            <w:pPr>
              <w:jc w:val="center"/>
              <w:rPr>
                <w:rFonts w:ascii="Arial" w:hAnsi="Arial" w:cs="Arial"/>
                <w:b/>
                <w:bCs/>
                <w:color w:val="000000"/>
              </w:rPr>
            </w:pPr>
            <w:r w:rsidRPr="00E90E98">
              <w:rPr>
                <w:rFonts w:ascii="Arial" w:hAnsi="Arial" w:cs="Arial"/>
                <w:b/>
                <w:bCs/>
                <w:color w:val="000000"/>
              </w:rPr>
              <w:t>(n)</w:t>
            </w:r>
          </w:p>
        </w:tc>
        <w:tc>
          <w:tcPr>
            <w:tcW w:w="1134" w:type="dxa"/>
            <w:tcBorders>
              <w:top w:val="nil"/>
              <w:left w:val="nil"/>
              <w:bottom w:val="single" w:sz="4" w:space="0" w:color="auto"/>
              <w:right w:val="single" w:sz="4" w:space="0" w:color="auto"/>
            </w:tcBorders>
            <w:shd w:val="clear" w:color="000000" w:fill="DDEBF7"/>
            <w:vAlign w:val="center"/>
            <w:hideMark/>
          </w:tcPr>
          <w:p w14:paraId="121E7F6B" w14:textId="77777777" w:rsidR="00E90E98" w:rsidRPr="00E90E98" w:rsidRDefault="00E90E98" w:rsidP="00E90E98">
            <w:pPr>
              <w:jc w:val="center"/>
              <w:rPr>
                <w:rFonts w:ascii="Arial" w:hAnsi="Arial" w:cs="Arial"/>
                <w:b/>
                <w:bCs/>
                <w:color w:val="000000"/>
              </w:rPr>
            </w:pPr>
            <w:r w:rsidRPr="00E90E98">
              <w:rPr>
                <w:rFonts w:ascii="Arial" w:hAnsi="Arial" w:cs="Arial"/>
                <w:b/>
                <w:bCs/>
                <w:color w:val="000000"/>
              </w:rPr>
              <w:t>(%)</w:t>
            </w:r>
          </w:p>
        </w:tc>
      </w:tr>
      <w:tr w:rsidR="00BC1819" w:rsidRPr="00E90E98" w14:paraId="0107ACE9" w14:textId="77777777" w:rsidTr="000A0203">
        <w:trPr>
          <w:trHeight w:val="300"/>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3ABC21C0" w14:textId="77777777" w:rsidR="00E90E98" w:rsidRPr="00E90E98" w:rsidRDefault="00E90E98" w:rsidP="00E90E98">
            <w:pPr>
              <w:jc w:val="center"/>
              <w:rPr>
                <w:rFonts w:ascii="Arial" w:hAnsi="Arial" w:cs="Arial"/>
              </w:rPr>
            </w:pPr>
            <w:r w:rsidRPr="00E90E98">
              <w:rPr>
                <w:rFonts w:ascii="Arial" w:hAnsi="Arial" w:cs="Arial"/>
              </w:rPr>
              <w:t>75-79 let</w:t>
            </w:r>
          </w:p>
        </w:tc>
        <w:tc>
          <w:tcPr>
            <w:tcW w:w="1134" w:type="dxa"/>
            <w:tcBorders>
              <w:top w:val="nil"/>
              <w:left w:val="nil"/>
              <w:bottom w:val="single" w:sz="4" w:space="0" w:color="auto"/>
              <w:right w:val="single" w:sz="4" w:space="0" w:color="auto"/>
            </w:tcBorders>
            <w:shd w:val="clear" w:color="auto" w:fill="auto"/>
            <w:vAlign w:val="center"/>
            <w:hideMark/>
          </w:tcPr>
          <w:p w14:paraId="5E6791DF" w14:textId="3710E91D" w:rsidR="00E90E98" w:rsidRPr="00E90E98" w:rsidRDefault="00127EAD" w:rsidP="0051674A">
            <w:pPr>
              <w:jc w:val="center"/>
              <w:rPr>
                <w:rFonts w:ascii="Arial" w:hAnsi="Arial" w:cs="Arial"/>
                <w:color w:val="000000"/>
              </w:rPr>
            </w:pPr>
            <w:r>
              <w:rPr>
                <w:rFonts w:ascii="Arial" w:hAnsi="Arial" w:cs="Arial"/>
                <w:color w:val="000000"/>
              </w:rPr>
              <w:t>188</w:t>
            </w:r>
          </w:p>
        </w:tc>
        <w:tc>
          <w:tcPr>
            <w:tcW w:w="1134" w:type="dxa"/>
            <w:tcBorders>
              <w:top w:val="nil"/>
              <w:left w:val="nil"/>
              <w:bottom w:val="single" w:sz="4" w:space="0" w:color="auto"/>
              <w:right w:val="single" w:sz="4" w:space="0" w:color="auto"/>
            </w:tcBorders>
            <w:shd w:val="clear" w:color="auto" w:fill="auto"/>
            <w:vAlign w:val="center"/>
            <w:hideMark/>
          </w:tcPr>
          <w:p w14:paraId="46541105" w14:textId="1ECBCB03" w:rsidR="00E90E98" w:rsidRPr="00E90E98" w:rsidRDefault="00271A8A" w:rsidP="0051674A">
            <w:pPr>
              <w:jc w:val="center"/>
              <w:rPr>
                <w:rFonts w:ascii="Arial" w:hAnsi="Arial" w:cs="Arial"/>
                <w:color w:val="000000"/>
              </w:rPr>
            </w:pPr>
            <w:r>
              <w:rPr>
                <w:rFonts w:ascii="Arial" w:hAnsi="Arial" w:cs="Arial"/>
                <w:color w:val="000000"/>
              </w:rPr>
              <w:t>36,94</w:t>
            </w:r>
          </w:p>
        </w:tc>
        <w:tc>
          <w:tcPr>
            <w:tcW w:w="1134" w:type="dxa"/>
            <w:tcBorders>
              <w:top w:val="nil"/>
              <w:left w:val="nil"/>
              <w:bottom w:val="single" w:sz="4" w:space="0" w:color="auto"/>
              <w:right w:val="single" w:sz="4" w:space="0" w:color="auto"/>
            </w:tcBorders>
            <w:shd w:val="clear" w:color="auto" w:fill="auto"/>
            <w:vAlign w:val="center"/>
            <w:hideMark/>
          </w:tcPr>
          <w:p w14:paraId="221DD412" w14:textId="0B3804E4" w:rsidR="00E90E98" w:rsidRPr="00E90E98" w:rsidRDefault="00B0245F" w:rsidP="0051674A">
            <w:pPr>
              <w:jc w:val="center"/>
              <w:rPr>
                <w:rFonts w:ascii="Arial" w:hAnsi="Arial" w:cs="Arial"/>
                <w:color w:val="000000"/>
              </w:rPr>
            </w:pPr>
            <w:r>
              <w:rPr>
                <w:rFonts w:ascii="Arial" w:hAnsi="Arial" w:cs="Arial"/>
                <w:color w:val="000000"/>
              </w:rPr>
              <w:t>77</w:t>
            </w:r>
          </w:p>
        </w:tc>
        <w:tc>
          <w:tcPr>
            <w:tcW w:w="992" w:type="dxa"/>
            <w:tcBorders>
              <w:top w:val="nil"/>
              <w:left w:val="nil"/>
              <w:bottom w:val="single" w:sz="4" w:space="0" w:color="auto"/>
              <w:right w:val="single" w:sz="4" w:space="0" w:color="auto"/>
            </w:tcBorders>
            <w:shd w:val="clear" w:color="auto" w:fill="auto"/>
            <w:vAlign w:val="center"/>
            <w:hideMark/>
          </w:tcPr>
          <w:p w14:paraId="6D5D758D" w14:textId="7F204749" w:rsidR="00E90E98" w:rsidRPr="00E90E98" w:rsidRDefault="008516C9" w:rsidP="0051674A">
            <w:pPr>
              <w:jc w:val="center"/>
              <w:rPr>
                <w:rFonts w:ascii="Arial" w:hAnsi="Arial" w:cs="Arial"/>
                <w:color w:val="000000"/>
              </w:rPr>
            </w:pPr>
            <w:r>
              <w:rPr>
                <w:rFonts w:ascii="Arial" w:hAnsi="Arial" w:cs="Arial"/>
                <w:color w:val="000000"/>
              </w:rPr>
              <w:t>44,51</w:t>
            </w:r>
          </w:p>
        </w:tc>
        <w:tc>
          <w:tcPr>
            <w:tcW w:w="992" w:type="dxa"/>
            <w:tcBorders>
              <w:top w:val="nil"/>
              <w:left w:val="nil"/>
              <w:bottom w:val="single" w:sz="4" w:space="0" w:color="auto"/>
              <w:right w:val="single" w:sz="4" w:space="0" w:color="auto"/>
            </w:tcBorders>
            <w:shd w:val="clear" w:color="auto" w:fill="auto"/>
            <w:vAlign w:val="center"/>
            <w:hideMark/>
          </w:tcPr>
          <w:p w14:paraId="35739936" w14:textId="145BBF06" w:rsidR="00E90E98" w:rsidRPr="00E90E98" w:rsidRDefault="00F251DB" w:rsidP="0051674A">
            <w:pPr>
              <w:jc w:val="center"/>
              <w:rPr>
                <w:rFonts w:ascii="Arial" w:hAnsi="Arial" w:cs="Arial"/>
                <w:color w:val="000000"/>
              </w:rPr>
            </w:pPr>
            <w:r>
              <w:rPr>
                <w:rFonts w:ascii="Arial" w:hAnsi="Arial" w:cs="Arial"/>
                <w:color w:val="000000"/>
              </w:rPr>
              <w:t>11</w:t>
            </w:r>
            <w:r w:rsidR="00F97A1E">
              <w:rPr>
                <w:rFonts w:ascii="Arial" w:hAnsi="Arial" w:cs="Arial"/>
                <w:color w:val="000000"/>
              </w:rPr>
              <w:t>1</w:t>
            </w:r>
          </w:p>
        </w:tc>
        <w:tc>
          <w:tcPr>
            <w:tcW w:w="1134" w:type="dxa"/>
            <w:tcBorders>
              <w:top w:val="nil"/>
              <w:left w:val="nil"/>
              <w:bottom w:val="single" w:sz="4" w:space="0" w:color="auto"/>
              <w:right w:val="single" w:sz="4" w:space="0" w:color="auto"/>
            </w:tcBorders>
            <w:shd w:val="clear" w:color="auto" w:fill="auto"/>
            <w:vAlign w:val="center"/>
            <w:hideMark/>
          </w:tcPr>
          <w:p w14:paraId="2EC9712E" w14:textId="3457C8D1" w:rsidR="00E90E98" w:rsidRPr="00E90E98" w:rsidRDefault="00F97A1E" w:rsidP="0051674A">
            <w:pPr>
              <w:jc w:val="center"/>
              <w:rPr>
                <w:rFonts w:ascii="Arial" w:hAnsi="Arial" w:cs="Arial"/>
                <w:color w:val="000000"/>
              </w:rPr>
            </w:pPr>
            <w:r>
              <w:rPr>
                <w:rFonts w:ascii="Arial" w:hAnsi="Arial" w:cs="Arial"/>
                <w:color w:val="000000"/>
              </w:rPr>
              <w:t>33</w:t>
            </w:r>
            <w:r w:rsidR="00091895">
              <w:rPr>
                <w:rFonts w:ascii="Arial" w:hAnsi="Arial" w:cs="Arial"/>
                <w:color w:val="000000"/>
              </w:rPr>
              <w:t>,04</w:t>
            </w:r>
          </w:p>
        </w:tc>
      </w:tr>
      <w:tr w:rsidR="00BC1819" w:rsidRPr="00E90E98" w14:paraId="6D329080" w14:textId="77777777" w:rsidTr="000A0203">
        <w:trPr>
          <w:trHeight w:val="300"/>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1E8106CB" w14:textId="77777777" w:rsidR="00E90E98" w:rsidRPr="00E90E98" w:rsidRDefault="00E90E98" w:rsidP="00E90E98">
            <w:pPr>
              <w:jc w:val="center"/>
              <w:rPr>
                <w:rFonts w:ascii="Arial" w:hAnsi="Arial" w:cs="Arial"/>
              </w:rPr>
            </w:pPr>
            <w:r w:rsidRPr="00E90E98">
              <w:rPr>
                <w:rFonts w:ascii="Arial" w:hAnsi="Arial" w:cs="Arial"/>
              </w:rPr>
              <w:t>80-84 let</w:t>
            </w:r>
          </w:p>
        </w:tc>
        <w:tc>
          <w:tcPr>
            <w:tcW w:w="1134" w:type="dxa"/>
            <w:tcBorders>
              <w:top w:val="nil"/>
              <w:left w:val="nil"/>
              <w:bottom w:val="single" w:sz="4" w:space="0" w:color="auto"/>
              <w:right w:val="single" w:sz="4" w:space="0" w:color="auto"/>
            </w:tcBorders>
            <w:shd w:val="clear" w:color="auto" w:fill="auto"/>
            <w:vAlign w:val="center"/>
            <w:hideMark/>
          </w:tcPr>
          <w:p w14:paraId="56EE4A4D" w14:textId="2B969930" w:rsidR="00E90E98" w:rsidRPr="00E90E98" w:rsidRDefault="00127EAD" w:rsidP="0051674A">
            <w:pPr>
              <w:jc w:val="center"/>
              <w:rPr>
                <w:rFonts w:ascii="Arial" w:hAnsi="Arial" w:cs="Arial"/>
                <w:color w:val="000000"/>
              </w:rPr>
            </w:pPr>
            <w:r>
              <w:rPr>
                <w:rFonts w:ascii="Arial" w:hAnsi="Arial" w:cs="Arial"/>
                <w:color w:val="000000"/>
              </w:rPr>
              <w:t>129</w:t>
            </w:r>
          </w:p>
        </w:tc>
        <w:tc>
          <w:tcPr>
            <w:tcW w:w="1134" w:type="dxa"/>
            <w:tcBorders>
              <w:top w:val="nil"/>
              <w:left w:val="nil"/>
              <w:bottom w:val="single" w:sz="4" w:space="0" w:color="auto"/>
              <w:right w:val="single" w:sz="4" w:space="0" w:color="auto"/>
            </w:tcBorders>
            <w:shd w:val="clear" w:color="auto" w:fill="auto"/>
            <w:vAlign w:val="center"/>
            <w:hideMark/>
          </w:tcPr>
          <w:p w14:paraId="0EA545ED" w14:textId="4B7FA107" w:rsidR="00E90E98" w:rsidRPr="00E90E98" w:rsidRDefault="00EB7EB9" w:rsidP="0051674A">
            <w:pPr>
              <w:jc w:val="center"/>
              <w:rPr>
                <w:rFonts w:ascii="Arial" w:hAnsi="Arial" w:cs="Arial"/>
                <w:color w:val="000000"/>
              </w:rPr>
            </w:pPr>
            <w:r>
              <w:rPr>
                <w:rFonts w:ascii="Arial" w:hAnsi="Arial" w:cs="Arial"/>
                <w:color w:val="000000"/>
              </w:rPr>
              <w:t>25,34</w:t>
            </w:r>
          </w:p>
        </w:tc>
        <w:tc>
          <w:tcPr>
            <w:tcW w:w="1134" w:type="dxa"/>
            <w:tcBorders>
              <w:top w:val="nil"/>
              <w:left w:val="nil"/>
              <w:bottom w:val="single" w:sz="4" w:space="0" w:color="auto"/>
              <w:right w:val="single" w:sz="4" w:space="0" w:color="auto"/>
            </w:tcBorders>
            <w:shd w:val="clear" w:color="auto" w:fill="auto"/>
            <w:vAlign w:val="center"/>
            <w:hideMark/>
          </w:tcPr>
          <w:p w14:paraId="75785E13" w14:textId="7A51542B" w:rsidR="00E90E98" w:rsidRPr="00E90E98" w:rsidRDefault="00B0245F" w:rsidP="0051674A">
            <w:pPr>
              <w:jc w:val="center"/>
              <w:rPr>
                <w:rFonts w:ascii="Arial" w:hAnsi="Arial" w:cs="Arial"/>
                <w:color w:val="000000"/>
              </w:rPr>
            </w:pPr>
            <w:r>
              <w:rPr>
                <w:rFonts w:ascii="Arial" w:hAnsi="Arial" w:cs="Arial"/>
                <w:color w:val="000000"/>
              </w:rPr>
              <w:t>37</w:t>
            </w:r>
          </w:p>
        </w:tc>
        <w:tc>
          <w:tcPr>
            <w:tcW w:w="992" w:type="dxa"/>
            <w:tcBorders>
              <w:top w:val="nil"/>
              <w:left w:val="nil"/>
              <w:bottom w:val="single" w:sz="4" w:space="0" w:color="auto"/>
              <w:right w:val="single" w:sz="4" w:space="0" w:color="auto"/>
            </w:tcBorders>
            <w:shd w:val="clear" w:color="auto" w:fill="auto"/>
            <w:vAlign w:val="center"/>
            <w:hideMark/>
          </w:tcPr>
          <w:p w14:paraId="25BDFBF6" w14:textId="1D16F287" w:rsidR="00E90E98" w:rsidRPr="00E90E98" w:rsidRDefault="008516C9" w:rsidP="0051674A">
            <w:pPr>
              <w:jc w:val="center"/>
              <w:rPr>
                <w:rFonts w:ascii="Arial" w:hAnsi="Arial" w:cs="Arial"/>
                <w:color w:val="000000"/>
              </w:rPr>
            </w:pPr>
            <w:r>
              <w:rPr>
                <w:rFonts w:ascii="Arial" w:hAnsi="Arial" w:cs="Arial"/>
                <w:color w:val="000000"/>
              </w:rPr>
              <w:t>21,39</w:t>
            </w:r>
          </w:p>
        </w:tc>
        <w:tc>
          <w:tcPr>
            <w:tcW w:w="992" w:type="dxa"/>
            <w:tcBorders>
              <w:top w:val="nil"/>
              <w:left w:val="nil"/>
              <w:bottom w:val="single" w:sz="4" w:space="0" w:color="auto"/>
              <w:right w:val="single" w:sz="4" w:space="0" w:color="auto"/>
            </w:tcBorders>
            <w:shd w:val="clear" w:color="auto" w:fill="auto"/>
            <w:vAlign w:val="center"/>
            <w:hideMark/>
          </w:tcPr>
          <w:p w14:paraId="0477C5FE" w14:textId="1462F718" w:rsidR="00E90E98" w:rsidRPr="00E90E98" w:rsidRDefault="00F251DB" w:rsidP="0051674A">
            <w:pPr>
              <w:jc w:val="center"/>
              <w:rPr>
                <w:rFonts w:ascii="Arial" w:hAnsi="Arial" w:cs="Arial"/>
                <w:color w:val="000000"/>
              </w:rPr>
            </w:pPr>
            <w:r>
              <w:rPr>
                <w:rFonts w:ascii="Arial" w:hAnsi="Arial" w:cs="Arial"/>
                <w:color w:val="000000"/>
              </w:rPr>
              <w:t>92</w:t>
            </w:r>
          </w:p>
        </w:tc>
        <w:tc>
          <w:tcPr>
            <w:tcW w:w="1134" w:type="dxa"/>
            <w:tcBorders>
              <w:top w:val="nil"/>
              <w:left w:val="nil"/>
              <w:bottom w:val="single" w:sz="4" w:space="0" w:color="auto"/>
              <w:right w:val="single" w:sz="4" w:space="0" w:color="auto"/>
            </w:tcBorders>
            <w:shd w:val="clear" w:color="auto" w:fill="auto"/>
            <w:vAlign w:val="center"/>
            <w:hideMark/>
          </w:tcPr>
          <w:p w14:paraId="01F3488A" w14:textId="33AE0339" w:rsidR="00E90E98" w:rsidRPr="00E90E98" w:rsidRDefault="007010C7" w:rsidP="0051674A">
            <w:pPr>
              <w:jc w:val="center"/>
              <w:rPr>
                <w:rFonts w:ascii="Arial" w:hAnsi="Arial" w:cs="Arial"/>
                <w:color w:val="000000"/>
              </w:rPr>
            </w:pPr>
            <w:r>
              <w:rPr>
                <w:rFonts w:ascii="Arial" w:hAnsi="Arial" w:cs="Arial"/>
                <w:color w:val="000000"/>
              </w:rPr>
              <w:t>27,38</w:t>
            </w:r>
          </w:p>
        </w:tc>
      </w:tr>
      <w:tr w:rsidR="00BC1819" w:rsidRPr="00E90E98" w14:paraId="5084B482" w14:textId="77777777" w:rsidTr="000A0203">
        <w:trPr>
          <w:trHeight w:val="300"/>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47DE6B73" w14:textId="77777777" w:rsidR="00E90E98" w:rsidRPr="00E90E98" w:rsidRDefault="00E90E98" w:rsidP="00E90E98">
            <w:pPr>
              <w:jc w:val="center"/>
              <w:rPr>
                <w:rFonts w:ascii="Arial" w:hAnsi="Arial" w:cs="Arial"/>
              </w:rPr>
            </w:pPr>
            <w:r w:rsidRPr="00E90E98">
              <w:rPr>
                <w:rFonts w:ascii="Arial" w:hAnsi="Arial" w:cs="Arial"/>
              </w:rPr>
              <w:t>85-89 let</w:t>
            </w:r>
          </w:p>
        </w:tc>
        <w:tc>
          <w:tcPr>
            <w:tcW w:w="1134" w:type="dxa"/>
            <w:tcBorders>
              <w:top w:val="nil"/>
              <w:left w:val="nil"/>
              <w:bottom w:val="single" w:sz="4" w:space="0" w:color="auto"/>
              <w:right w:val="single" w:sz="4" w:space="0" w:color="auto"/>
            </w:tcBorders>
            <w:shd w:val="clear" w:color="auto" w:fill="auto"/>
            <w:vAlign w:val="center"/>
            <w:hideMark/>
          </w:tcPr>
          <w:p w14:paraId="3ACCE961" w14:textId="35BE81B1" w:rsidR="00E90E98" w:rsidRPr="00E90E98" w:rsidRDefault="00127EAD" w:rsidP="0051674A">
            <w:pPr>
              <w:jc w:val="center"/>
              <w:rPr>
                <w:rFonts w:ascii="Arial" w:hAnsi="Arial" w:cs="Arial"/>
                <w:color w:val="000000"/>
              </w:rPr>
            </w:pPr>
            <w:r>
              <w:rPr>
                <w:rFonts w:ascii="Arial" w:hAnsi="Arial" w:cs="Arial"/>
                <w:color w:val="000000"/>
              </w:rPr>
              <w:t>109</w:t>
            </w:r>
          </w:p>
        </w:tc>
        <w:tc>
          <w:tcPr>
            <w:tcW w:w="1134" w:type="dxa"/>
            <w:tcBorders>
              <w:top w:val="nil"/>
              <w:left w:val="nil"/>
              <w:bottom w:val="single" w:sz="4" w:space="0" w:color="auto"/>
              <w:right w:val="single" w:sz="4" w:space="0" w:color="auto"/>
            </w:tcBorders>
            <w:shd w:val="clear" w:color="auto" w:fill="auto"/>
            <w:vAlign w:val="center"/>
            <w:hideMark/>
          </w:tcPr>
          <w:p w14:paraId="6221F678" w14:textId="688230ED" w:rsidR="00E90E98" w:rsidRPr="00E90E98" w:rsidRDefault="00EB7EB9" w:rsidP="0051674A">
            <w:pPr>
              <w:jc w:val="center"/>
              <w:rPr>
                <w:rFonts w:ascii="Arial" w:hAnsi="Arial" w:cs="Arial"/>
                <w:color w:val="000000"/>
              </w:rPr>
            </w:pPr>
            <w:r>
              <w:rPr>
                <w:rFonts w:ascii="Arial" w:hAnsi="Arial" w:cs="Arial"/>
                <w:color w:val="000000"/>
              </w:rPr>
              <w:t>21,41</w:t>
            </w:r>
          </w:p>
        </w:tc>
        <w:tc>
          <w:tcPr>
            <w:tcW w:w="1134" w:type="dxa"/>
            <w:tcBorders>
              <w:top w:val="nil"/>
              <w:left w:val="nil"/>
              <w:bottom w:val="single" w:sz="4" w:space="0" w:color="auto"/>
              <w:right w:val="single" w:sz="4" w:space="0" w:color="auto"/>
            </w:tcBorders>
            <w:shd w:val="clear" w:color="auto" w:fill="auto"/>
            <w:vAlign w:val="center"/>
            <w:hideMark/>
          </w:tcPr>
          <w:p w14:paraId="4BF93754" w14:textId="659BD4D4" w:rsidR="00E90E98" w:rsidRPr="00E90E98" w:rsidRDefault="00B0245F" w:rsidP="0051674A">
            <w:pPr>
              <w:jc w:val="center"/>
              <w:rPr>
                <w:rFonts w:ascii="Arial" w:hAnsi="Arial" w:cs="Arial"/>
                <w:color w:val="000000"/>
              </w:rPr>
            </w:pPr>
            <w:r>
              <w:rPr>
                <w:rFonts w:ascii="Arial" w:hAnsi="Arial" w:cs="Arial"/>
                <w:color w:val="000000"/>
              </w:rPr>
              <w:t>36</w:t>
            </w:r>
          </w:p>
        </w:tc>
        <w:tc>
          <w:tcPr>
            <w:tcW w:w="992" w:type="dxa"/>
            <w:tcBorders>
              <w:top w:val="nil"/>
              <w:left w:val="nil"/>
              <w:bottom w:val="single" w:sz="4" w:space="0" w:color="auto"/>
              <w:right w:val="single" w:sz="4" w:space="0" w:color="auto"/>
            </w:tcBorders>
            <w:shd w:val="clear" w:color="auto" w:fill="auto"/>
            <w:vAlign w:val="center"/>
            <w:hideMark/>
          </w:tcPr>
          <w:p w14:paraId="32CC7446" w14:textId="2640B5F7" w:rsidR="00E90E98" w:rsidRPr="00E90E98" w:rsidRDefault="008516C9" w:rsidP="0051674A">
            <w:pPr>
              <w:jc w:val="center"/>
              <w:rPr>
                <w:rFonts w:ascii="Arial" w:hAnsi="Arial" w:cs="Arial"/>
                <w:color w:val="000000"/>
              </w:rPr>
            </w:pPr>
            <w:r>
              <w:rPr>
                <w:rFonts w:ascii="Arial" w:hAnsi="Arial" w:cs="Arial"/>
                <w:color w:val="000000"/>
              </w:rPr>
              <w:t>20,81</w:t>
            </w:r>
          </w:p>
        </w:tc>
        <w:tc>
          <w:tcPr>
            <w:tcW w:w="992" w:type="dxa"/>
            <w:tcBorders>
              <w:top w:val="nil"/>
              <w:left w:val="nil"/>
              <w:bottom w:val="single" w:sz="4" w:space="0" w:color="auto"/>
              <w:right w:val="single" w:sz="4" w:space="0" w:color="auto"/>
            </w:tcBorders>
            <w:shd w:val="clear" w:color="auto" w:fill="auto"/>
            <w:vAlign w:val="center"/>
            <w:hideMark/>
          </w:tcPr>
          <w:p w14:paraId="68956457" w14:textId="1B917C41" w:rsidR="00E90E98" w:rsidRPr="00E90E98" w:rsidRDefault="00F251DB" w:rsidP="0051674A">
            <w:pPr>
              <w:jc w:val="center"/>
              <w:rPr>
                <w:rFonts w:ascii="Arial" w:hAnsi="Arial" w:cs="Arial"/>
                <w:color w:val="000000"/>
              </w:rPr>
            </w:pPr>
            <w:r>
              <w:rPr>
                <w:rFonts w:ascii="Arial" w:hAnsi="Arial" w:cs="Arial"/>
                <w:color w:val="000000"/>
              </w:rPr>
              <w:t>73</w:t>
            </w:r>
          </w:p>
        </w:tc>
        <w:tc>
          <w:tcPr>
            <w:tcW w:w="1134" w:type="dxa"/>
            <w:tcBorders>
              <w:top w:val="nil"/>
              <w:left w:val="nil"/>
              <w:bottom w:val="single" w:sz="4" w:space="0" w:color="auto"/>
              <w:right w:val="single" w:sz="4" w:space="0" w:color="auto"/>
            </w:tcBorders>
            <w:shd w:val="clear" w:color="auto" w:fill="auto"/>
            <w:vAlign w:val="center"/>
            <w:hideMark/>
          </w:tcPr>
          <w:p w14:paraId="46373F50" w14:textId="375893F1" w:rsidR="00E90E98" w:rsidRPr="00E90E98" w:rsidRDefault="00FB3E97" w:rsidP="0051674A">
            <w:pPr>
              <w:jc w:val="center"/>
              <w:rPr>
                <w:rFonts w:ascii="Arial" w:hAnsi="Arial" w:cs="Arial"/>
                <w:color w:val="000000"/>
              </w:rPr>
            </w:pPr>
            <w:r>
              <w:rPr>
                <w:rFonts w:ascii="Arial" w:hAnsi="Arial" w:cs="Arial"/>
                <w:color w:val="000000"/>
              </w:rPr>
              <w:t>21,73</w:t>
            </w:r>
          </w:p>
        </w:tc>
      </w:tr>
      <w:tr w:rsidR="00BC1819" w:rsidRPr="00E90E98" w14:paraId="4E8CF542" w14:textId="77777777" w:rsidTr="00485520">
        <w:trPr>
          <w:trHeight w:val="300"/>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E0DADE8" w14:textId="77777777" w:rsidR="00E90E98" w:rsidRPr="00E90E98" w:rsidRDefault="00E90E98" w:rsidP="00E90E98">
            <w:pPr>
              <w:jc w:val="center"/>
              <w:rPr>
                <w:rFonts w:ascii="Arial" w:hAnsi="Arial" w:cs="Arial"/>
              </w:rPr>
            </w:pPr>
            <w:r w:rsidRPr="00E90E98">
              <w:rPr>
                <w:rFonts w:ascii="Arial" w:hAnsi="Arial" w:cs="Arial"/>
              </w:rPr>
              <w:t>90 a více let</w:t>
            </w:r>
          </w:p>
        </w:tc>
        <w:tc>
          <w:tcPr>
            <w:tcW w:w="1134" w:type="dxa"/>
            <w:tcBorders>
              <w:top w:val="nil"/>
              <w:left w:val="nil"/>
              <w:bottom w:val="single" w:sz="4" w:space="0" w:color="auto"/>
              <w:right w:val="single" w:sz="4" w:space="0" w:color="auto"/>
            </w:tcBorders>
            <w:shd w:val="clear" w:color="auto" w:fill="auto"/>
            <w:vAlign w:val="center"/>
            <w:hideMark/>
          </w:tcPr>
          <w:p w14:paraId="3DD5461E" w14:textId="5C306595" w:rsidR="00E90E98" w:rsidRPr="00E90E98" w:rsidRDefault="00127EAD" w:rsidP="0051674A">
            <w:pPr>
              <w:jc w:val="center"/>
              <w:rPr>
                <w:rFonts w:ascii="Arial" w:hAnsi="Arial" w:cs="Arial"/>
                <w:color w:val="000000"/>
              </w:rPr>
            </w:pPr>
            <w:r>
              <w:rPr>
                <w:rFonts w:ascii="Arial" w:hAnsi="Arial" w:cs="Arial"/>
                <w:color w:val="000000"/>
              </w:rPr>
              <w:t>83</w:t>
            </w:r>
          </w:p>
        </w:tc>
        <w:tc>
          <w:tcPr>
            <w:tcW w:w="1134" w:type="dxa"/>
            <w:tcBorders>
              <w:top w:val="nil"/>
              <w:left w:val="nil"/>
              <w:bottom w:val="single" w:sz="4" w:space="0" w:color="auto"/>
              <w:right w:val="single" w:sz="4" w:space="0" w:color="auto"/>
            </w:tcBorders>
            <w:shd w:val="clear" w:color="auto" w:fill="auto"/>
            <w:vAlign w:val="center"/>
            <w:hideMark/>
          </w:tcPr>
          <w:p w14:paraId="39EFC683" w14:textId="47B5E796" w:rsidR="00E90E98" w:rsidRPr="00E90E98" w:rsidRDefault="00EB7EB9" w:rsidP="0051674A">
            <w:pPr>
              <w:jc w:val="center"/>
              <w:rPr>
                <w:rFonts w:ascii="Arial" w:hAnsi="Arial" w:cs="Arial"/>
                <w:color w:val="000000"/>
              </w:rPr>
            </w:pPr>
            <w:r>
              <w:rPr>
                <w:rFonts w:ascii="Arial" w:hAnsi="Arial" w:cs="Arial"/>
                <w:color w:val="000000"/>
              </w:rPr>
              <w:t>16,31</w:t>
            </w:r>
          </w:p>
        </w:tc>
        <w:tc>
          <w:tcPr>
            <w:tcW w:w="1134" w:type="dxa"/>
            <w:tcBorders>
              <w:top w:val="nil"/>
              <w:left w:val="nil"/>
              <w:bottom w:val="single" w:sz="4" w:space="0" w:color="auto"/>
              <w:right w:val="single" w:sz="4" w:space="0" w:color="auto"/>
            </w:tcBorders>
            <w:shd w:val="clear" w:color="auto" w:fill="auto"/>
            <w:vAlign w:val="center"/>
            <w:hideMark/>
          </w:tcPr>
          <w:p w14:paraId="3E9F72B8" w14:textId="288232E5" w:rsidR="00E90E98" w:rsidRPr="00E90E98" w:rsidRDefault="00B0245F" w:rsidP="0051674A">
            <w:pPr>
              <w:jc w:val="center"/>
              <w:rPr>
                <w:rFonts w:ascii="Arial" w:hAnsi="Arial" w:cs="Arial"/>
                <w:color w:val="000000"/>
              </w:rPr>
            </w:pPr>
            <w:r>
              <w:rPr>
                <w:rFonts w:ascii="Arial" w:hAnsi="Arial" w:cs="Arial"/>
                <w:color w:val="000000"/>
              </w:rPr>
              <w:t>23</w:t>
            </w:r>
          </w:p>
        </w:tc>
        <w:tc>
          <w:tcPr>
            <w:tcW w:w="992" w:type="dxa"/>
            <w:tcBorders>
              <w:top w:val="nil"/>
              <w:left w:val="nil"/>
              <w:bottom w:val="single" w:sz="4" w:space="0" w:color="auto"/>
              <w:right w:val="single" w:sz="4" w:space="0" w:color="auto"/>
            </w:tcBorders>
            <w:shd w:val="clear" w:color="auto" w:fill="auto"/>
            <w:vAlign w:val="center"/>
            <w:hideMark/>
          </w:tcPr>
          <w:p w14:paraId="0600E29A" w14:textId="25E74705" w:rsidR="00E90E98" w:rsidRPr="00E90E98" w:rsidRDefault="008516C9" w:rsidP="0051674A">
            <w:pPr>
              <w:jc w:val="center"/>
              <w:rPr>
                <w:rFonts w:ascii="Arial" w:hAnsi="Arial" w:cs="Arial"/>
                <w:color w:val="000000"/>
              </w:rPr>
            </w:pPr>
            <w:r>
              <w:rPr>
                <w:rFonts w:ascii="Arial" w:hAnsi="Arial" w:cs="Arial"/>
                <w:color w:val="000000"/>
              </w:rPr>
              <w:t>13,29</w:t>
            </w:r>
          </w:p>
        </w:tc>
        <w:tc>
          <w:tcPr>
            <w:tcW w:w="992" w:type="dxa"/>
            <w:tcBorders>
              <w:top w:val="nil"/>
              <w:left w:val="nil"/>
              <w:bottom w:val="single" w:sz="4" w:space="0" w:color="auto"/>
              <w:right w:val="single" w:sz="4" w:space="0" w:color="auto"/>
            </w:tcBorders>
            <w:shd w:val="clear" w:color="auto" w:fill="auto"/>
            <w:vAlign w:val="center"/>
            <w:hideMark/>
          </w:tcPr>
          <w:p w14:paraId="6B01D4AE" w14:textId="349C5DC3" w:rsidR="00E90E98" w:rsidRPr="00E90E98" w:rsidRDefault="00F251DB" w:rsidP="0051674A">
            <w:pPr>
              <w:jc w:val="center"/>
              <w:rPr>
                <w:rFonts w:ascii="Arial" w:hAnsi="Arial" w:cs="Arial"/>
                <w:color w:val="000000"/>
              </w:rPr>
            </w:pPr>
            <w:r>
              <w:rPr>
                <w:rFonts w:ascii="Arial" w:hAnsi="Arial" w:cs="Arial"/>
                <w:color w:val="000000"/>
              </w:rPr>
              <w:t>60</w:t>
            </w:r>
          </w:p>
        </w:tc>
        <w:tc>
          <w:tcPr>
            <w:tcW w:w="1134" w:type="dxa"/>
            <w:tcBorders>
              <w:top w:val="nil"/>
              <w:left w:val="nil"/>
              <w:bottom w:val="single" w:sz="4" w:space="0" w:color="auto"/>
              <w:right w:val="single" w:sz="4" w:space="0" w:color="auto"/>
            </w:tcBorders>
            <w:shd w:val="clear" w:color="auto" w:fill="auto"/>
            <w:vAlign w:val="center"/>
            <w:hideMark/>
          </w:tcPr>
          <w:p w14:paraId="404913E4" w14:textId="6DC5DE99" w:rsidR="00E90E98" w:rsidRPr="00E90E98" w:rsidRDefault="00FB3E97" w:rsidP="0051674A">
            <w:pPr>
              <w:jc w:val="center"/>
              <w:rPr>
                <w:rFonts w:ascii="Arial" w:hAnsi="Arial" w:cs="Arial"/>
                <w:color w:val="000000"/>
              </w:rPr>
            </w:pPr>
            <w:r>
              <w:rPr>
                <w:rFonts w:ascii="Arial" w:hAnsi="Arial" w:cs="Arial"/>
                <w:color w:val="000000"/>
              </w:rPr>
              <w:t>17,86</w:t>
            </w:r>
          </w:p>
        </w:tc>
      </w:tr>
      <w:tr w:rsidR="00BC1819" w:rsidRPr="00E90E98" w14:paraId="0D692918" w14:textId="77777777" w:rsidTr="00485520">
        <w:trPr>
          <w:trHeight w:val="19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9C03E" w14:textId="77777777" w:rsidR="00E90E98" w:rsidRPr="00E90E98" w:rsidRDefault="00E90E98" w:rsidP="00E90E98">
            <w:pPr>
              <w:jc w:val="center"/>
              <w:rPr>
                <w:rFonts w:ascii="Arial" w:hAnsi="Arial" w:cs="Arial"/>
                <w:b/>
                <w:bCs/>
                <w:color w:val="000000"/>
              </w:rPr>
            </w:pPr>
            <w:r w:rsidRPr="00E90E98">
              <w:rPr>
                <w:rFonts w:ascii="Arial" w:hAnsi="Arial" w:cs="Arial"/>
                <w:b/>
                <w:bCs/>
                <w:color w:val="000000"/>
              </w:rPr>
              <w:t>Celkový součet</w:t>
            </w:r>
          </w:p>
        </w:tc>
        <w:tc>
          <w:tcPr>
            <w:tcW w:w="1134" w:type="dxa"/>
            <w:tcBorders>
              <w:top w:val="nil"/>
              <w:left w:val="nil"/>
              <w:bottom w:val="single" w:sz="4" w:space="0" w:color="auto"/>
              <w:right w:val="single" w:sz="4" w:space="0" w:color="auto"/>
            </w:tcBorders>
            <w:shd w:val="clear" w:color="auto" w:fill="auto"/>
            <w:vAlign w:val="center"/>
            <w:hideMark/>
          </w:tcPr>
          <w:p w14:paraId="5B40C724" w14:textId="5AF98ED6" w:rsidR="00E90E98" w:rsidRPr="00E90E98" w:rsidRDefault="00165184" w:rsidP="0051674A">
            <w:pPr>
              <w:jc w:val="center"/>
              <w:rPr>
                <w:rFonts w:ascii="Arial" w:hAnsi="Arial" w:cs="Arial"/>
                <w:b/>
                <w:bCs/>
                <w:color w:val="000000"/>
              </w:rPr>
            </w:pPr>
            <w:r>
              <w:rPr>
                <w:rFonts w:ascii="Arial" w:hAnsi="Arial" w:cs="Arial"/>
                <w:b/>
                <w:bCs/>
                <w:color w:val="000000"/>
              </w:rPr>
              <w:t>509</w:t>
            </w:r>
          </w:p>
        </w:tc>
        <w:tc>
          <w:tcPr>
            <w:tcW w:w="1134" w:type="dxa"/>
            <w:tcBorders>
              <w:top w:val="nil"/>
              <w:left w:val="nil"/>
              <w:bottom w:val="single" w:sz="4" w:space="0" w:color="auto"/>
              <w:right w:val="single" w:sz="4" w:space="0" w:color="auto"/>
            </w:tcBorders>
            <w:shd w:val="clear" w:color="auto" w:fill="auto"/>
            <w:vAlign w:val="center"/>
            <w:hideMark/>
          </w:tcPr>
          <w:p w14:paraId="5F2487E4" w14:textId="4CB9A091" w:rsidR="00E90E98" w:rsidRPr="00E90E98" w:rsidRDefault="00E4154E" w:rsidP="0051674A">
            <w:pPr>
              <w:jc w:val="center"/>
              <w:rPr>
                <w:rFonts w:ascii="Arial" w:hAnsi="Arial" w:cs="Arial"/>
                <w:b/>
                <w:bCs/>
                <w:color w:val="000000"/>
              </w:rPr>
            </w:pPr>
            <w:r>
              <w:rPr>
                <w:rFonts w:ascii="Arial" w:hAnsi="Arial" w:cs="Arial"/>
                <w:b/>
                <w:bCs/>
                <w:color w:val="000000"/>
              </w:rPr>
              <w:t>100,00</w:t>
            </w:r>
          </w:p>
        </w:tc>
        <w:tc>
          <w:tcPr>
            <w:tcW w:w="1134" w:type="dxa"/>
            <w:tcBorders>
              <w:top w:val="nil"/>
              <w:left w:val="nil"/>
              <w:bottom w:val="single" w:sz="4" w:space="0" w:color="auto"/>
              <w:right w:val="single" w:sz="4" w:space="0" w:color="auto"/>
            </w:tcBorders>
            <w:shd w:val="clear" w:color="auto" w:fill="auto"/>
            <w:vAlign w:val="center"/>
            <w:hideMark/>
          </w:tcPr>
          <w:p w14:paraId="177E318A" w14:textId="47B78DC7" w:rsidR="00E90E98" w:rsidRPr="00E90E98" w:rsidRDefault="00A86B82" w:rsidP="0051674A">
            <w:pPr>
              <w:jc w:val="center"/>
              <w:rPr>
                <w:rFonts w:ascii="Arial" w:hAnsi="Arial" w:cs="Arial"/>
                <w:b/>
                <w:bCs/>
                <w:color w:val="000000"/>
              </w:rPr>
            </w:pPr>
            <w:r>
              <w:rPr>
                <w:rFonts w:ascii="Arial" w:hAnsi="Arial" w:cs="Arial"/>
                <w:b/>
                <w:bCs/>
                <w:color w:val="000000"/>
              </w:rPr>
              <w:t>173</w:t>
            </w:r>
          </w:p>
        </w:tc>
        <w:tc>
          <w:tcPr>
            <w:tcW w:w="992" w:type="dxa"/>
            <w:tcBorders>
              <w:top w:val="nil"/>
              <w:left w:val="nil"/>
              <w:bottom w:val="single" w:sz="4" w:space="0" w:color="auto"/>
              <w:right w:val="single" w:sz="4" w:space="0" w:color="auto"/>
            </w:tcBorders>
            <w:shd w:val="clear" w:color="auto" w:fill="auto"/>
            <w:vAlign w:val="center"/>
            <w:hideMark/>
          </w:tcPr>
          <w:p w14:paraId="5F3F2A56" w14:textId="11BA9CBC" w:rsidR="00E90E98" w:rsidRPr="00E90E98" w:rsidRDefault="00E4154E" w:rsidP="0051674A">
            <w:pPr>
              <w:jc w:val="center"/>
              <w:rPr>
                <w:rFonts w:ascii="Arial" w:hAnsi="Arial" w:cs="Arial"/>
                <w:b/>
                <w:bCs/>
                <w:color w:val="000000"/>
              </w:rPr>
            </w:pPr>
            <w:r>
              <w:rPr>
                <w:rFonts w:ascii="Arial" w:hAnsi="Arial" w:cs="Arial"/>
                <w:b/>
                <w:bCs/>
                <w:color w:val="000000"/>
              </w:rPr>
              <w:t>100,00</w:t>
            </w:r>
          </w:p>
        </w:tc>
        <w:tc>
          <w:tcPr>
            <w:tcW w:w="992" w:type="dxa"/>
            <w:tcBorders>
              <w:top w:val="nil"/>
              <w:left w:val="nil"/>
              <w:bottom w:val="single" w:sz="4" w:space="0" w:color="auto"/>
              <w:right w:val="single" w:sz="4" w:space="0" w:color="auto"/>
            </w:tcBorders>
            <w:shd w:val="clear" w:color="auto" w:fill="auto"/>
            <w:vAlign w:val="center"/>
            <w:hideMark/>
          </w:tcPr>
          <w:p w14:paraId="15480FB8" w14:textId="54009EA5" w:rsidR="00E90E98" w:rsidRPr="00E90E98" w:rsidRDefault="00A86B82" w:rsidP="0051674A">
            <w:pPr>
              <w:jc w:val="center"/>
              <w:rPr>
                <w:rFonts w:ascii="Arial" w:hAnsi="Arial" w:cs="Arial"/>
                <w:b/>
                <w:bCs/>
                <w:color w:val="000000"/>
              </w:rPr>
            </w:pPr>
            <w:r>
              <w:rPr>
                <w:rFonts w:ascii="Arial" w:hAnsi="Arial" w:cs="Arial"/>
                <w:b/>
                <w:bCs/>
                <w:color w:val="000000"/>
              </w:rPr>
              <w:t>336</w:t>
            </w:r>
          </w:p>
        </w:tc>
        <w:tc>
          <w:tcPr>
            <w:tcW w:w="1134" w:type="dxa"/>
            <w:tcBorders>
              <w:top w:val="nil"/>
              <w:left w:val="nil"/>
              <w:bottom w:val="single" w:sz="4" w:space="0" w:color="auto"/>
              <w:right w:val="single" w:sz="4" w:space="0" w:color="auto"/>
            </w:tcBorders>
            <w:shd w:val="clear" w:color="auto" w:fill="auto"/>
            <w:vAlign w:val="center"/>
            <w:hideMark/>
          </w:tcPr>
          <w:p w14:paraId="088FBD98" w14:textId="7803FCA6" w:rsidR="00E90E98" w:rsidRPr="00E90E98" w:rsidRDefault="00E4154E" w:rsidP="0051674A">
            <w:pPr>
              <w:jc w:val="center"/>
              <w:rPr>
                <w:rFonts w:ascii="Arial" w:hAnsi="Arial" w:cs="Arial"/>
                <w:b/>
                <w:bCs/>
                <w:color w:val="000000"/>
              </w:rPr>
            </w:pPr>
            <w:r>
              <w:rPr>
                <w:rFonts w:ascii="Arial" w:hAnsi="Arial" w:cs="Arial"/>
                <w:b/>
                <w:bCs/>
                <w:color w:val="000000"/>
              </w:rPr>
              <w:t>100,00</w:t>
            </w:r>
          </w:p>
        </w:tc>
      </w:tr>
      <w:tr w:rsidR="00D83DA2" w:rsidRPr="00E90E98" w14:paraId="6E4A8CAC" w14:textId="77777777" w:rsidTr="00485520">
        <w:trPr>
          <w:trHeight w:val="305"/>
        </w:trPr>
        <w:tc>
          <w:tcPr>
            <w:tcW w:w="2122" w:type="dxa"/>
            <w:tcBorders>
              <w:top w:val="single" w:sz="4" w:space="0" w:color="auto"/>
              <w:left w:val="single" w:sz="4" w:space="0" w:color="auto"/>
              <w:bottom w:val="single" w:sz="4" w:space="0" w:color="auto"/>
              <w:right w:val="single" w:sz="4" w:space="0" w:color="auto"/>
              <w:tr2bl w:val="single" w:sz="4" w:space="0" w:color="auto"/>
            </w:tcBorders>
            <w:shd w:val="clear" w:color="000000" w:fill="DDEBF7"/>
            <w:vAlign w:val="center"/>
            <w:hideMark/>
          </w:tcPr>
          <w:p w14:paraId="165A2C07" w14:textId="77777777" w:rsidR="00E90E98" w:rsidRPr="00E90E98" w:rsidRDefault="00E90E98" w:rsidP="00E90E98">
            <w:pPr>
              <w:jc w:val="center"/>
              <w:rPr>
                <w:rFonts w:ascii="Arial" w:hAnsi="Arial" w:cs="Arial"/>
                <w:color w:val="000000"/>
              </w:rPr>
            </w:pPr>
            <w:r w:rsidRPr="00E90E98">
              <w:rPr>
                <w:rFonts w:ascii="Arial" w:hAnsi="Arial" w:cs="Arial"/>
                <w:color w:val="000000"/>
              </w:rPr>
              <w:t> </w:t>
            </w:r>
          </w:p>
        </w:tc>
        <w:tc>
          <w:tcPr>
            <w:tcW w:w="6520" w:type="dxa"/>
            <w:gridSpan w:val="6"/>
            <w:tcBorders>
              <w:top w:val="single" w:sz="4" w:space="0" w:color="auto"/>
              <w:left w:val="nil"/>
              <w:bottom w:val="single" w:sz="4" w:space="0" w:color="auto"/>
              <w:right w:val="single" w:sz="4" w:space="0" w:color="auto"/>
            </w:tcBorders>
            <w:shd w:val="clear" w:color="000000" w:fill="DDEBF7"/>
            <w:vAlign w:val="center"/>
            <w:hideMark/>
          </w:tcPr>
          <w:p w14:paraId="1C57C5C3" w14:textId="5F6CE954" w:rsidR="00E90E98" w:rsidRPr="00E90E98" w:rsidRDefault="00373934" w:rsidP="00E90E98">
            <w:pPr>
              <w:jc w:val="center"/>
              <w:rPr>
                <w:rFonts w:ascii="Arial" w:hAnsi="Arial" w:cs="Arial"/>
                <w:b/>
                <w:bCs/>
                <w:color w:val="000000"/>
              </w:rPr>
            </w:pPr>
            <w:r>
              <w:rPr>
                <w:rFonts w:ascii="Arial" w:hAnsi="Arial" w:cs="Arial"/>
                <w:b/>
                <w:bCs/>
                <w:color w:val="000000"/>
              </w:rPr>
              <w:t xml:space="preserve">Rok </w:t>
            </w:r>
            <w:r w:rsidR="00E90E98" w:rsidRPr="00E90E98">
              <w:rPr>
                <w:rFonts w:ascii="Arial" w:hAnsi="Arial" w:cs="Arial"/>
                <w:b/>
                <w:bCs/>
                <w:color w:val="000000"/>
              </w:rPr>
              <w:t>2023</w:t>
            </w:r>
          </w:p>
        </w:tc>
      </w:tr>
      <w:tr w:rsidR="00BC1819" w:rsidRPr="00E90E98" w14:paraId="0241B114" w14:textId="77777777" w:rsidTr="000A0203">
        <w:trPr>
          <w:trHeight w:val="300"/>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3D03A396" w14:textId="77777777" w:rsidR="00E90E98" w:rsidRPr="00E90E98" w:rsidRDefault="00E90E98" w:rsidP="00E90E98">
            <w:pPr>
              <w:jc w:val="center"/>
              <w:rPr>
                <w:rFonts w:ascii="Arial" w:hAnsi="Arial" w:cs="Arial"/>
              </w:rPr>
            </w:pPr>
            <w:r w:rsidRPr="00E90E98">
              <w:rPr>
                <w:rFonts w:ascii="Arial" w:hAnsi="Arial" w:cs="Arial"/>
              </w:rPr>
              <w:t>75-79 let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FA78A22" w14:textId="12A2C89D" w:rsidR="00E90E98" w:rsidRPr="00E90E98" w:rsidRDefault="005346E7" w:rsidP="0051674A">
            <w:pPr>
              <w:jc w:val="center"/>
              <w:rPr>
                <w:rFonts w:ascii="Arial" w:hAnsi="Arial" w:cs="Arial"/>
                <w:color w:val="000000"/>
              </w:rPr>
            </w:pPr>
            <w:r>
              <w:rPr>
                <w:rFonts w:ascii="Arial" w:hAnsi="Arial" w:cs="Arial"/>
                <w:color w:val="000000"/>
              </w:rPr>
              <w:t>217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96B0F9E" w14:textId="09F6E5D0" w:rsidR="00E90E98" w:rsidRPr="00E90E98" w:rsidRDefault="00C90ED5" w:rsidP="0051674A">
            <w:pPr>
              <w:jc w:val="center"/>
              <w:rPr>
                <w:rFonts w:ascii="Arial" w:hAnsi="Arial" w:cs="Arial"/>
                <w:color w:val="000000"/>
              </w:rPr>
            </w:pPr>
            <w:r>
              <w:rPr>
                <w:rFonts w:ascii="Arial" w:hAnsi="Arial" w:cs="Arial"/>
                <w:color w:val="000000"/>
              </w:rPr>
              <w:t>36,29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B43155C" w14:textId="5FDB0792" w:rsidR="00E90E98" w:rsidRPr="00E90E98" w:rsidRDefault="00DF5076" w:rsidP="0051674A">
            <w:pPr>
              <w:jc w:val="center"/>
              <w:rPr>
                <w:rFonts w:ascii="Arial" w:hAnsi="Arial" w:cs="Arial"/>
                <w:color w:val="000000"/>
              </w:rPr>
            </w:pPr>
            <w:r>
              <w:rPr>
                <w:rFonts w:ascii="Arial" w:hAnsi="Arial" w:cs="Arial"/>
                <w:color w:val="000000"/>
              </w:rPr>
              <w:t>94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7975904" w14:textId="70BE4FEA" w:rsidR="00E90E98" w:rsidRPr="00E90E98" w:rsidRDefault="00DF5076" w:rsidP="0051674A">
            <w:pPr>
              <w:jc w:val="center"/>
              <w:rPr>
                <w:rFonts w:ascii="Arial" w:hAnsi="Arial" w:cs="Arial"/>
                <w:color w:val="000000"/>
              </w:rPr>
            </w:pPr>
            <w:r>
              <w:rPr>
                <w:rFonts w:ascii="Arial" w:hAnsi="Arial" w:cs="Arial"/>
                <w:color w:val="000000"/>
              </w:rPr>
              <w:t>40,69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43ECC31" w14:textId="500CC914" w:rsidR="00E90E98" w:rsidRPr="00E90E98" w:rsidRDefault="00EA4FD1" w:rsidP="0051674A">
            <w:pPr>
              <w:jc w:val="center"/>
              <w:rPr>
                <w:rFonts w:ascii="Arial" w:hAnsi="Arial" w:cs="Arial"/>
                <w:color w:val="000000"/>
              </w:rPr>
            </w:pPr>
            <w:r>
              <w:rPr>
                <w:rFonts w:ascii="Arial" w:hAnsi="Arial" w:cs="Arial"/>
                <w:color w:val="000000"/>
              </w:rPr>
              <w:t>123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82C3031" w14:textId="158AF4E3" w:rsidR="00E90E98" w:rsidRPr="00E90E98" w:rsidRDefault="00EA4FD1" w:rsidP="0051674A">
            <w:pPr>
              <w:jc w:val="center"/>
              <w:rPr>
                <w:rFonts w:ascii="Arial" w:hAnsi="Arial" w:cs="Arial"/>
                <w:color w:val="000000"/>
              </w:rPr>
            </w:pPr>
            <w:r>
              <w:rPr>
                <w:rFonts w:ascii="Arial" w:hAnsi="Arial" w:cs="Arial"/>
                <w:color w:val="000000"/>
              </w:rPr>
              <w:t>33,51</w:t>
            </w:r>
          </w:p>
        </w:tc>
      </w:tr>
      <w:tr w:rsidR="00BC1819" w:rsidRPr="00E90E98" w14:paraId="351AF332" w14:textId="77777777" w:rsidTr="000A0203">
        <w:trPr>
          <w:trHeight w:val="300"/>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2D33079C" w14:textId="77777777" w:rsidR="00E90E98" w:rsidRPr="00E90E98" w:rsidRDefault="00E90E98" w:rsidP="00E90E98">
            <w:pPr>
              <w:jc w:val="center"/>
              <w:rPr>
                <w:rFonts w:ascii="Arial" w:hAnsi="Arial" w:cs="Arial"/>
              </w:rPr>
            </w:pPr>
            <w:r w:rsidRPr="00E90E98">
              <w:rPr>
                <w:rFonts w:ascii="Arial" w:hAnsi="Arial" w:cs="Arial"/>
              </w:rPr>
              <w:t>80-84 let</w:t>
            </w:r>
          </w:p>
        </w:tc>
        <w:tc>
          <w:tcPr>
            <w:tcW w:w="1134" w:type="dxa"/>
            <w:tcBorders>
              <w:top w:val="nil"/>
              <w:left w:val="nil"/>
              <w:bottom w:val="single" w:sz="4" w:space="0" w:color="auto"/>
              <w:right w:val="single" w:sz="4" w:space="0" w:color="auto"/>
            </w:tcBorders>
            <w:shd w:val="clear" w:color="auto" w:fill="auto"/>
            <w:vAlign w:val="center"/>
            <w:hideMark/>
          </w:tcPr>
          <w:p w14:paraId="19B7C01F" w14:textId="0EE15C2B" w:rsidR="00E90E98" w:rsidRPr="00E90E98" w:rsidRDefault="005346E7" w:rsidP="0051674A">
            <w:pPr>
              <w:jc w:val="center"/>
              <w:rPr>
                <w:rFonts w:ascii="Arial" w:hAnsi="Arial" w:cs="Arial"/>
                <w:color w:val="000000"/>
              </w:rPr>
            </w:pPr>
            <w:r>
              <w:rPr>
                <w:rFonts w:ascii="Arial" w:hAnsi="Arial" w:cs="Arial"/>
                <w:color w:val="000000"/>
              </w:rPr>
              <w:t>207</w:t>
            </w:r>
          </w:p>
        </w:tc>
        <w:tc>
          <w:tcPr>
            <w:tcW w:w="1134" w:type="dxa"/>
            <w:tcBorders>
              <w:top w:val="nil"/>
              <w:left w:val="nil"/>
              <w:bottom w:val="single" w:sz="4" w:space="0" w:color="auto"/>
              <w:right w:val="single" w:sz="4" w:space="0" w:color="auto"/>
            </w:tcBorders>
            <w:shd w:val="clear" w:color="auto" w:fill="auto"/>
            <w:vAlign w:val="center"/>
            <w:hideMark/>
          </w:tcPr>
          <w:p w14:paraId="39522494" w14:textId="76999DD5" w:rsidR="00E90E98" w:rsidRPr="00E90E98" w:rsidRDefault="00C90ED5" w:rsidP="0051674A">
            <w:pPr>
              <w:jc w:val="center"/>
              <w:rPr>
                <w:rFonts w:ascii="Arial" w:hAnsi="Arial" w:cs="Arial"/>
                <w:color w:val="000000"/>
              </w:rPr>
            </w:pPr>
            <w:r>
              <w:rPr>
                <w:rFonts w:ascii="Arial" w:hAnsi="Arial" w:cs="Arial"/>
                <w:color w:val="000000"/>
              </w:rPr>
              <w:t>34,62</w:t>
            </w:r>
          </w:p>
        </w:tc>
        <w:tc>
          <w:tcPr>
            <w:tcW w:w="1134" w:type="dxa"/>
            <w:tcBorders>
              <w:top w:val="nil"/>
              <w:left w:val="nil"/>
              <w:bottom w:val="single" w:sz="4" w:space="0" w:color="auto"/>
              <w:right w:val="single" w:sz="4" w:space="0" w:color="auto"/>
            </w:tcBorders>
            <w:shd w:val="clear" w:color="auto" w:fill="auto"/>
            <w:vAlign w:val="center"/>
            <w:hideMark/>
          </w:tcPr>
          <w:p w14:paraId="1F5207E7" w14:textId="7E48E7C4" w:rsidR="00E90E98" w:rsidRPr="00E90E98" w:rsidRDefault="00DF5076" w:rsidP="0051674A">
            <w:pPr>
              <w:jc w:val="center"/>
              <w:rPr>
                <w:rFonts w:ascii="Arial" w:hAnsi="Arial" w:cs="Arial"/>
                <w:color w:val="000000"/>
              </w:rPr>
            </w:pPr>
            <w:r>
              <w:rPr>
                <w:rFonts w:ascii="Arial" w:hAnsi="Arial" w:cs="Arial"/>
                <w:color w:val="000000"/>
              </w:rPr>
              <w:t>85</w:t>
            </w:r>
          </w:p>
        </w:tc>
        <w:tc>
          <w:tcPr>
            <w:tcW w:w="992" w:type="dxa"/>
            <w:tcBorders>
              <w:top w:val="nil"/>
              <w:left w:val="nil"/>
              <w:bottom w:val="single" w:sz="4" w:space="0" w:color="auto"/>
              <w:right w:val="single" w:sz="4" w:space="0" w:color="auto"/>
            </w:tcBorders>
            <w:shd w:val="clear" w:color="auto" w:fill="auto"/>
            <w:vAlign w:val="center"/>
            <w:hideMark/>
          </w:tcPr>
          <w:p w14:paraId="2905DCFF" w14:textId="4DF03FEA" w:rsidR="00E90E98" w:rsidRPr="00E90E98" w:rsidRDefault="00DF5076" w:rsidP="0051674A">
            <w:pPr>
              <w:jc w:val="center"/>
              <w:rPr>
                <w:rFonts w:ascii="Arial" w:hAnsi="Arial" w:cs="Arial"/>
                <w:color w:val="000000"/>
              </w:rPr>
            </w:pPr>
            <w:r>
              <w:rPr>
                <w:rFonts w:ascii="Arial" w:hAnsi="Arial" w:cs="Arial"/>
                <w:color w:val="000000"/>
              </w:rPr>
              <w:t>36,80</w:t>
            </w:r>
          </w:p>
        </w:tc>
        <w:tc>
          <w:tcPr>
            <w:tcW w:w="992" w:type="dxa"/>
            <w:tcBorders>
              <w:top w:val="nil"/>
              <w:left w:val="nil"/>
              <w:bottom w:val="single" w:sz="4" w:space="0" w:color="auto"/>
              <w:right w:val="single" w:sz="4" w:space="0" w:color="auto"/>
            </w:tcBorders>
            <w:shd w:val="clear" w:color="auto" w:fill="auto"/>
            <w:vAlign w:val="center"/>
            <w:hideMark/>
          </w:tcPr>
          <w:p w14:paraId="60FBDF54" w14:textId="14D0DBA3" w:rsidR="00E90E98" w:rsidRPr="00E90E98" w:rsidRDefault="00EA4FD1" w:rsidP="0051674A">
            <w:pPr>
              <w:jc w:val="center"/>
              <w:rPr>
                <w:rFonts w:ascii="Arial" w:hAnsi="Arial" w:cs="Arial"/>
                <w:color w:val="000000"/>
              </w:rPr>
            </w:pPr>
            <w:r>
              <w:rPr>
                <w:rFonts w:ascii="Arial" w:hAnsi="Arial" w:cs="Arial"/>
                <w:color w:val="000000"/>
              </w:rPr>
              <w:t>122</w:t>
            </w:r>
          </w:p>
        </w:tc>
        <w:tc>
          <w:tcPr>
            <w:tcW w:w="1134" w:type="dxa"/>
            <w:tcBorders>
              <w:top w:val="nil"/>
              <w:left w:val="nil"/>
              <w:bottom w:val="single" w:sz="4" w:space="0" w:color="auto"/>
              <w:right w:val="single" w:sz="4" w:space="0" w:color="auto"/>
            </w:tcBorders>
            <w:shd w:val="clear" w:color="auto" w:fill="auto"/>
            <w:vAlign w:val="center"/>
            <w:hideMark/>
          </w:tcPr>
          <w:p w14:paraId="39B3784D" w14:textId="2B86B7B6" w:rsidR="00E90E98" w:rsidRPr="00E90E98" w:rsidRDefault="00EA4FD1" w:rsidP="0051674A">
            <w:pPr>
              <w:jc w:val="center"/>
              <w:rPr>
                <w:rFonts w:ascii="Arial" w:hAnsi="Arial" w:cs="Arial"/>
                <w:color w:val="000000"/>
              </w:rPr>
            </w:pPr>
            <w:r>
              <w:rPr>
                <w:rFonts w:ascii="Arial" w:hAnsi="Arial" w:cs="Arial"/>
                <w:color w:val="000000"/>
              </w:rPr>
              <w:t>33,24</w:t>
            </w:r>
          </w:p>
        </w:tc>
      </w:tr>
      <w:tr w:rsidR="00BC1819" w:rsidRPr="00E90E98" w14:paraId="620F677C" w14:textId="77777777" w:rsidTr="000A0203">
        <w:trPr>
          <w:trHeight w:val="300"/>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65F09B1B" w14:textId="77777777" w:rsidR="00E90E98" w:rsidRPr="00E90E98" w:rsidRDefault="00E90E98" w:rsidP="00E90E98">
            <w:pPr>
              <w:jc w:val="center"/>
              <w:rPr>
                <w:rFonts w:ascii="Arial" w:hAnsi="Arial" w:cs="Arial"/>
              </w:rPr>
            </w:pPr>
            <w:r w:rsidRPr="00E90E98">
              <w:rPr>
                <w:rFonts w:ascii="Arial" w:hAnsi="Arial" w:cs="Arial"/>
              </w:rPr>
              <w:t>85-89 let</w:t>
            </w:r>
          </w:p>
        </w:tc>
        <w:tc>
          <w:tcPr>
            <w:tcW w:w="1134" w:type="dxa"/>
            <w:tcBorders>
              <w:top w:val="nil"/>
              <w:left w:val="nil"/>
              <w:bottom w:val="single" w:sz="4" w:space="0" w:color="auto"/>
              <w:right w:val="single" w:sz="4" w:space="0" w:color="auto"/>
            </w:tcBorders>
            <w:shd w:val="clear" w:color="auto" w:fill="auto"/>
            <w:vAlign w:val="center"/>
            <w:hideMark/>
          </w:tcPr>
          <w:p w14:paraId="5A7B41C2" w14:textId="6A427D22" w:rsidR="00E90E98" w:rsidRPr="00C90ED5" w:rsidRDefault="005346E7" w:rsidP="0051674A">
            <w:pPr>
              <w:jc w:val="center"/>
              <w:rPr>
                <w:rFonts w:ascii="Arial" w:hAnsi="Arial" w:cs="Arial"/>
                <w:color w:val="000000"/>
              </w:rPr>
            </w:pPr>
            <w:r w:rsidRPr="00C90ED5">
              <w:rPr>
                <w:rFonts w:ascii="Arial" w:hAnsi="Arial" w:cs="Arial"/>
                <w:color w:val="000000"/>
              </w:rPr>
              <w:t>101</w:t>
            </w:r>
          </w:p>
        </w:tc>
        <w:tc>
          <w:tcPr>
            <w:tcW w:w="1134" w:type="dxa"/>
            <w:tcBorders>
              <w:top w:val="nil"/>
              <w:left w:val="nil"/>
              <w:bottom w:val="single" w:sz="4" w:space="0" w:color="auto"/>
              <w:right w:val="single" w:sz="4" w:space="0" w:color="auto"/>
            </w:tcBorders>
            <w:shd w:val="clear" w:color="auto" w:fill="auto"/>
            <w:vAlign w:val="center"/>
            <w:hideMark/>
          </w:tcPr>
          <w:p w14:paraId="45969F58" w14:textId="13C76E27" w:rsidR="00E90E98" w:rsidRPr="00EA4FD1" w:rsidRDefault="00C90ED5" w:rsidP="0051674A">
            <w:pPr>
              <w:jc w:val="center"/>
              <w:rPr>
                <w:rFonts w:ascii="Arial" w:hAnsi="Arial" w:cs="Arial"/>
                <w:color w:val="000000"/>
              </w:rPr>
            </w:pPr>
            <w:r w:rsidRPr="00EA4FD1">
              <w:rPr>
                <w:rFonts w:ascii="Arial" w:hAnsi="Arial" w:cs="Arial"/>
                <w:color w:val="000000"/>
              </w:rPr>
              <w:t>16,89</w:t>
            </w:r>
          </w:p>
        </w:tc>
        <w:tc>
          <w:tcPr>
            <w:tcW w:w="1134" w:type="dxa"/>
            <w:tcBorders>
              <w:top w:val="nil"/>
              <w:left w:val="nil"/>
              <w:bottom w:val="single" w:sz="4" w:space="0" w:color="auto"/>
              <w:right w:val="single" w:sz="4" w:space="0" w:color="auto"/>
            </w:tcBorders>
            <w:shd w:val="clear" w:color="auto" w:fill="auto"/>
            <w:vAlign w:val="center"/>
            <w:hideMark/>
          </w:tcPr>
          <w:p w14:paraId="3E6BD414" w14:textId="64D977C0" w:rsidR="00E90E98" w:rsidRPr="00E90E98" w:rsidRDefault="00DF5076" w:rsidP="0051674A">
            <w:pPr>
              <w:jc w:val="center"/>
              <w:rPr>
                <w:rFonts w:ascii="Arial" w:hAnsi="Arial" w:cs="Arial"/>
                <w:color w:val="000000"/>
              </w:rPr>
            </w:pPr>
            <w:r>
              <w:rPr>
                <w:rFonts w:ascii="Arial" w:hAnsi="Arial" w:cs="Arial"/>
                <w:color w:val="000000"/>
              </w:rPr>
              <w:t>32</w:t>
            </w:r>
          </w:p>
        </w:tc>
        <w:tc>
          <w:tcPr>
            <w:tcW w:w="992" w:type="dxa"/>
            <w:tcBorders>
              <w:top w:val="nil"/>
              <w:left w:val="nil"/>
              <w:bottom w:val="single" w:sz="4" w:space="0" w:color="auto"/>
              <w:right w:val="single" w:sz="4" w:space="0" w:color="auto"/>
            </w:tcBorders>
            <w:shd w:val="clear" w:color="auto" w:fill="auto"/>
            <w:vAlign w:val="center"/>
            <w:hideMark/>
          </w:tcPr>
          <w:p w14:paraId="49B3C654" w14:textId="05D3F9B0" w:rsidR="00E90E98" w:rsidRPr="00E90E98" w:rsidRDefault="00DF5076" w:rsidP="0051674A">
            <w:pPr>
              <w:jc w:val="center"/>
              <w:rPr>
                <w:rFonts w:ascii="Arial" w:hAnsi="Arial" w:cs="Arial"/>
                <w:color w:val="000000"/>
              </w:rPr>
            </w:pPr>
            <w:r>
              <w:rPr>
                <w:rFonts w:ascii="Arial" w:hAnsi="Arial" w:cs="Arial"/>
                <w:color w:val="000000"/>
              </w:rPr>
              <w:t>13,85</w:t>
            </w:r>
          </w:p>
        </w:tc>
        <w:tc>
          <w:tcPr>
            <w:tcW w:w="992" w:type="dxa"/>
            <w:tcBorders>
              <w:top w:val="nil"/>
              <w:left w:val="nil"/>
              <w:bottom w:val="single" w:sz="4" w:space="0" w:color="auto"/>
              <w:right w:val="single" w:sz="4" w:space="0" w:color="auto"/>
            </w:tcBorders>
            <w:shd w:val="clear" w:color="auto" w:fill="auto"/>
            <w:vAlign w:val="center"/>
            <w:hideMark/>
          </w:tcPr>
          <w:p w14:paraId="10CC4DCC" w14:textId="301E8EDC" w:rsidR="00E90E98" w:rsidRPr="00E90E98" w:rsidRDefault="00EA4FD1" w:rsidP="0051674A">
            <w:pPr>
              <w:jc w:val="center"/>
              <w:rPr>
                <w:rFonts w:ascii="Arial" w:hAnsi="Arial" w:cs="Arial"/>
                <w:color w:val="000000"/>
              </w:rPr>
            </w:pPr>
            <w:r>
              <w:rPr>
                <w:rFonts w:ascii="Arial" w:hAnsi="Arial" w:cs="Arial"/>
                <w:color w:val="000000"/>
              </w:rPr>
              <w:t>69</w:t>
            </w:r>
          </w:p>
        </w:tc>
        <w:tc>
          <w:tcPr>
            <w:tcW w:w="1134" w:type="dxa"/>
            <w:tcBorders>
              <w:top w:val="nil"/>
              <w:left w:val="nil"/>
              <w:bottom w:val="single" w:sz="4" w:space="0" w:color="auto"/>
              <w:right w:val="single" w:sz="4" w:space="0" w:color="auto"/>
            </w:tcBorders>
            <w:shd w:val="clear" w:color="auto" w:fill="auto"/>
            <w:vAlign w:val="center"/>
            <w:hideMark/>
          </w:tcPr>
          <w:p w14:paraId="08D15751" w14:textId="1F5B510F" w:rsidR="00E90E98" w:rsidRPr="00E90E98" w:rsidRDefault="00EA4FD1" w:rsidP="0051674A">
            <w:pPr>
              <w:jc w:val="center"/>
              <w:rPr>
                <w:rFonts w:ascii="Arial" w:hAnsi="Arial" w:cs="Arial"/>
                <w:color w:val="000000"/>
              </w:rPr>
            </w:pPr>
            <w:r>
              <w:rPr>
                <w:rFonts w:ascii="Arial" w:hAnsi="Arial" w:cs="Arial"/>
                <w:color w:val="000000"/>
              </w:rPr>
              <w:t>18,80</w:t>
            </w:r>
          </w:p>
        </w:tc>
      </w:tr>
      <w:tr w:rsidR="00BC1819" w:rsidRPr="00E90E98" w14:paraId="79BA88CD" w14:textId="77777777" w:rsidTr="000A0203">
        <w:trPr>
          <w:trHeight w:val="300"/>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401EE92" w14:textId="77777777" w:rsidR="00E90E98" w:rsidRPr="00E90E98" w:rsidRDefault="00E90E98" w:rsidP="00E90E98">
            <w:pPr>
              <w:jc w:val="center"/>
              <w:rPr>
                <w:rFonts w:ascii="Arial" w:hAnsi="Arial" w:cs="Arial"/>
              </w:rPr>
            </w:pPr>
            <w:r w:rsidRPr="00E90E98">
              <w:rPr>
                <w:rFonts w:ascii="Arial" w:hAnsi="Arial" w:cs="Arial"/>
              </w:rPr>
              <w:t>90 a více let</w:t>
            </w:r>
          </w:p>
        </w:tc>
        <w:tc>
          <w:tcPr>
            <w:tcW w:w="1134" w:type="dxa"/>
            <w:tcBorders>
              <w:top w:val="nil"/>
              <w:left w:val="nil"/>
              <w:bottom w:val="single" w:sz="4" w:space="0" w:color="auto"/>
              <w:right w:val="single" w:sz="4" w:space="0" w:color="auto"/>
            </w:tcBorders>
            <w:shd w:val="clear" w:color="auto" w:fill="auto"/>
            <w:noWrap/>
            <w:vAlign w:val="center"/>
            <w:hideMark/>
          </w:tcPr>
          <w:p w14:paraId="592A0771" w14:textId="0D417CB3" w:rsidR="00E90E98" w:rsidRPr="00E90E98" w:rsidRDefault="005346E7" w:rsidP="0051674A">
            <w:pPr>
              <w:jc w:val="center"/>
              <w:rPr>
                <w:rFonts w:ascii="Arial" w:hAnsi="Arial" w:cs="Arial"/>
                <w:color w:val="000000"/>
              </w:rPr>
            </w:pPr>
            <w:r>
              <w:rPr>
                <w:rFonts w:ascii="Arial" w:hAnsi="Arial" w:cs="Arial"/>
                <w:color w:val="000000"/>
              </w:rPr>
              <w:t>73</w:t>
            </w:r>
          </w:p>
        </w:tc>
        <w:tc>
          <w:tcPr>
            <w:tcW w:w="1134" w:type="dxa"/>
            <w:tcBorders>
              <w:top w:val="nil"/>
              <w:left w:val="nil"/>
              <w:bottom w:val="single" w:sz="4" w:space="0" w:color="auto"/>
              <w:right w:val="single" w:sz="4" w:space="0" w:color="auto"/>
            </w:tcBorders>
            <w:shd w:val="clear" w:color="auto" w:fill="auto"/>
            <w:noWrap/>
            <w:vAlign w:val="center"/>
            <w:hideMark/>
          </w:tcPr>
          <w:p w14:paraId="3C6C60EE" w14:textId="2459A71C" w:rsidR="00E90E98" w:rsidRPr="00E90E98" w:rsidRDefault="00C90ED5" w:rsidP="0051674A">
            <w:pPr>
              <w:jc w:val="center"/>
              <w:rPr>
                <w:rFonts w:ascii="Arial" w:hAnsi="Arial" w:cs="Arial"/>
                <w:color w:val="000000"/>
              </w:rPr>
            </w:pPr>
            <w:r>
              <w:rPr>
                <w:rFonts w:ascii="Arial" w:hAnsi="Arial" w:cs="Arial"/>
                <w:color w:val="000000"/>
              </w:rPr>
              <w:t>12,21</w:t>
            </w:r>
          </w:p>
        </w:tc>
        <w:tc>
          <w:tcPr>
            <w:tcW w:w="1134" w:type="dxa"/>
            <w:tcBorders>
              <w:top w:val="nil"/>
              <w:left w:val="nil"/>
              <w:bottom w:val="single" w:sz="4" w:space="0" w:color="auto"/>
              <w:right w:val="single" w:sz="4" w:space="0" w:color="auto"/>
            </w:tcBorders>
            <w:shd w:val="clear" w:color="auto" w:fill="auto"/>
            <w:noWrap/>
            <w:vAlign w:val="center"/>
            <w:hideMark/>
          </w:tcPr>
          <w:p w14:paraId="24CF4D00" w14:textId="1E6CACF9" w:rsidR="00E90E98" w:rsidRPr="00E90E98" w:rsidRDefault="00DF5076" w:rsidP="0051674A">
            <w:pPr>
              <w:jc w:val="center"/>
              <w:rPr>
                <w:rFonts w:ascii="Arial" w:hAnsi="Arial" w:cs="Arial"/>
                <w:color w:val="000000"/>
              </w:rPr>
            </w:pPr>
            <w:r>
              <w:rPr>
                <w:rFonts w:ascii="Arial" w:hAnsi="Arial" w:cs="Arial"/>
                <w:color w:val="000000"/>
              </w:rPr>
              <w:t>20</w:t>
            </w:r>
          </w:p>
        </w:tc>
        <w:tc>
          <w:tcPr>
            <w:tcW w:w="992" w:type="dxa"/>
            <w:tcBorders>
              <w:top w:val="nil"/>
              <w:left w:val="nil"/>
              <w:bottom w:val="single" w:sz="4" w:space="0" w:color="auto"/>
              <w:right w:val="single" w:sz="4" w:space="0" w:color="auto"/>
            </w:tcBorders>
            <w:shd w:val="clear" w:color="auto" w:fill="auto"/>
            <w:noWrap/>
            <w:vAlign w:val="center"/>
            <w:hideMark/>
          </w:tcPr>
          <w:p w14:paraId="3FC9B7DD" w14:textId="4A349117" w:rsidR="00E90E98" w:rsidRPr="00E90E98" w:rsidRDefault="00DF5076" w:rsidP="0051674A">
            <w:pPr>
              <w:jc w:val="center"/>
              <w:rPr>
                <w:rFonts w:ascii="Arial" w:hAnsi="Arial" w:cs="Arial"/>
                <w:color w:val="000000"/>
              </w:rPr>
            </w:pPr>
            <w:r>
              <w:rPr>
                <w:rFonts w:ascii="Arial" w:hAnsi="Arial" w:cs="Arial"/>
                <w:color w:val="000000"/>
              </w:rPr>
              <w:t>8,66</w:t>
            </w:r>
          </w:p>
        </w:tc>
        <w:tc>
          <w:tcPr>
            <w:tcW w:w="992" w:type="dxa"/>
            <w:tcBorders>
              <w:top w:val="nil"/>
              <w:left w:val="nil"/>
              <w:bottom w:val="single" w:sz="4" w:space="0" w:color="auto"/>
              <w:right w:val="single" w:sz="4" w:space="0" w:color="auto"/>
            </w:tcBorders>
            <w:shd w:val="clear" w:color="auto" w:fill="auto"/>
            <w:noWrap/>
            <w:vAlign w:val="center"/>
            <w:hideMark/>
          </w:tcPr>
          <w:p w14:paraId="389F8256" w14:textId="5DAF07E1" w:rsidR="00E90E98" w:rsidRPr="00E90E98" w:rsidRDefault="00EA4FD1" w:rsidP="0051674A">
            <w:pPr>
              <w:jc w:val="center"/>
              <w:rPr>
                <w:rFonts w:ascii="Arial" w:hAnsi="Arial" w:cs="Arial"/>
                <w:color w:val="000000"/>
              </w:rPr>
            </w:pPr>
            <w:r>
              <w:rPr>
                <w:rFonts w:ascii="Arial" w:hAnsi="Arial" w:cs="Arial"/>
                <w:color w:val="000000"/>
              </w:rPr>
              <w:t>53</w:t>
            </w:r>
          </w:p>
        </w:tc>
        <w:tc>
          <w:tcPr>
            <w:tcW w:w="1134" w:type="dxa"/>
            <w:tcBorders>
              <w:top w:val="nil"/>
              <w:left w:val="nil"/>
              <w:bottom w:val="single" w:sz="4" w:space="0" w:color="auto"/>
              <w:right w:val="single" w:sz="4" w:space="0" w:color="auto"/>
            </w:tcBorders>
            <w:shd w:val="clear" w:color="auto" w:fill="auto"/>
            <w:noWrap/>
            <w:vAlign w:val="center"/>
            <w:hideMark/>
          </w:tcPr>
          <w:p w14:paraId="5A57EA0B" w14:textId="1ECE2B7E" w:rsidR="00E90E98" w:rsidRPr="00E90E98" w:rsidRDefault="00EA4FD1" w:rsidP="0051674A">
            <w:pPr>
              <w:jc w:val="center"/>
              <w:rPr>
                <w:rFonts w:ascii="Arial" w:hAnsi="Arial" w:cs="Arial"/>
                <w:color w:val="000000"/>
              </w:rPr>
            </w:pPr>
            <w:r>
              <w:rPr>
                <w:rFonts w:ascii="Arial" w:hAnsi="Arial" w:cs="Arial"/>
                <w:color w:val="000000"/>
              </w:rPr>
              <w:t>14,44</w:t>
            </w:r>
          </w:p>
        </w:tc>
      </w:tr>
      <w:tr w:rsidR="00BC1819" w:rsidRPr="00E90E98" w14:paraId="3C20173C" w14:textId="77777777" w:rsidTr="000A0203">
        <w:trPr>
          <w:trHeight w:val="285"/>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41F1464" w14:textId="77777777" w:rsidR="00E90E98" w:rsidRPr="00E90E98" w:rsidRDefault="00E90E98" w:rsidP="00E90E98">
            <w:pPr>
              <w:jc w:val="center"/>
              <w:rPr>
                <w:rFonts w:ascii="Arial" w:hAnsi="Arial" w:cs="Arial"/>
                <w:b/>
                <w:bCs/>
                <w:color w:val="000000"/>
              </w:rPr>
            </w:pPr>
            <w:r w:rsidRPr="00E90E98">
              <w:rPr>
                <w:rFonts w:ascii="Arial" w:hAnsi="Arial" w:cs="Arial"/>
                <w:b/>
                <w:bCs/>
                <w:color w:val="000000"/>
              </w:rPr>
              <w:t>Celkový součet</w:t>
            </w:r>
          </w:p>
        </w:tc>
        <w:tc>
          <w:tcPr>
            <w:tcW w:w="1134" w:type="dxa"/>
            <w:tcBorders>
              <w:top w:val="nil"/>
              <w:left w:val="nil"/>
              <w:bottom w:val="single" w:sz="4" w:space="0" w:color="auto"/>
              <w:right w:val="single" w:sz="4" w:space="0" w:color="auto"/>
            </w:tcBorders>
            <w:shd w:val="clear" w:color="auto" w:fill="auto"/>
            <w:noWrap/>
            <w:vAlign w:val="center"/>
            <w:hideMark/>
          </w:tcPr>
          <w:p w14:paraId="375DF3CE" w14:textId="666731B3" w:rsidR="00E90E98" w:rsidRPr="00C90ED5" w:rsidRDefault="005346E7" w:rsidP="0051674A">
            <w:pPr>
              <w:jc w:val="center"/>
              <w:rPr>
                <w:rFonts w:ascii="Arial" w:hAnsi="Arial" w:cs="Arial"/>
                <w:b/>
                <w:bCs/>
                <w:color w:val="000000"/>
              </w:rPr>
            </w:pPr>
            <w:r w:rsidRPr="00C90ED5">
              <w:rPr>
                <w:rFonts w:ascii="Arial" w:hAnsi="Arial" w:cs="Arial"/>
                <w:b/>
                <w:bCs/>
                <w:color w:val="000000"/>
              </w:rPr>
              <w:t>598</w:t>
            </w:r>
          </w:p>
        </w:tc>
        <w:tc>
          <w:tcPr>
            <w:tcW w:w="1134" w:type="dxa"/>
            <w:tcBorders>
              <w:top w:val="nil"/>
              <w:left w:val="nil"/>
              <w:bottom w:val="single" w:sz="4" w:space="0" w:color="auto"/>
              <w:right w:val="single" w:sz="4" w:space="0" w:color="auto"/>
            </w:tcBorders>
            <w:shd w:val="clear" w:color="auto" w:fill="auto"/>
            <w:noWrap/>
            <w:vAlign w:val="center"/>
            <w:hideMark/>
          </w:tcPr>
          <w:p w14:paraId="2A5EF782" w14:textId="1FEA9152" w:rsidR="00E90E98" w:rsidRPr="00EA4FD1" w:rsidRDefault="00C90ED5" w:rsidP="0051674A">
            <w:pPr>
              <w:jc w:val="center"/>
              <w:rPr>
                <w:rFonts w:ascii="Arial" w:hAnsi="Arial" w:cs="Arial"/>
                <w:b/>
                <w:bCs/>
                <w:color w:val="000000"/>
              </w:rPr>
            </w:pPr>
            <w:r w:rsidRPr="00EA4FD1">
              <w:rPr>
                <w:rFonts w:ascii="Arial" w:hAnsi="Arial" w:cs="Arial"/>
                <w:b/>
                <w:bCs/>
                <w:color w:val="000000"/>
              </w:rPr>
              <w:t>100,00</w:t>
            </w:r>
          </w:p>
        </w:tc>
        <w:tc>
          <w:tcPr>
            <w:tcW w:w="1134" w:type="dxa"/>
            <w:tcBorders>
              <w:top w:val="nil"/>
              <w:left w:val="nil"/>
              <w:bottom w:val="single" w:sz="4" w:space="0" w:color="auto"/>
              <w:right w:val="single" w:sz="4" w:space="0" w:color="auto"/>
            </w:tcBorders>
            <w:shd w:val="clear" w:color="auto" w:fill="auto"/>
            <w:noWrap/>
            <w:vAlign w:val="center"/>
            <w:hideMark/>
          </w:tcPr>
          <w:p w14:paraId="184A0F9E" w14:textId="04D5C2D8" w:rsidR="00E90E98" w:rsidRPr="00EA4FD1" w:rsidRDefault="00DF5076" w:rsidP="0051674A">
            <w:pPr>
              <w:jc w:val="center"/>
              <w:rPr>
                <w:rFonts w:ascii="Arial" w:hAnsi="Arial" w:cs="Arial"/>
                <w:b/>
                <w:bCs/>
                <w:color w:val="000000"/>
              </w:rPr>
            </w:pPr>
            <w:r w:rsidRPr="00EA4FD1">
              <w:rPr>
                <w:rFonts w:ascii="Arial" w:hAnsi="Arial" w:cs="Arial"/>
                <w:b/>
                <w:bCs/>
                <w:color w:val="000000"/>
              </w:rPr>
              <w:t>231</w:t>
            </w:r>
          </w:p>
        </w:tc>
        <w:tc>
          <w:tcPr>
            <w:tcW w:w="992" w:type="dxa"/>
            <w:tcBorders>
              <w:top w:val="nil"/>
              <w:left w:val="nil"/>
              <w:bottom w:val="single" w:sz="4" w:space="0" w:color="auto"/>
              <w:right w:val="single" w:sz="4" w:space="0" w:color="auto"/>
            </w:tcBorders>
            <w:shd w:val="clear" w:color="auto" w:fill="auto"/>
            <w:noWrap/>
            <w:vAlign w:val="center"/>
            <w:hideMark/>
          </w:tcPr>
          <w:p w14:paraId="6C45EE9F" w14:textId="17A099F5" w:rsidR="00E90E98" w:rsidRPr="00EA4FD1" w:rsidRDefault="00DF5076" w:rsidP="0051674A">
            <w:pPr>
              <w:jc w:val="center"/>
              <w:rPr>
                <w:rFonts w:ascii="Arial" w:hAnsi="Arial" w:cs="Arial"/>
                <w:b/>
                <w:bCs/>
                <w:color w:val="000000"/>
              </w:rPr>
            </w:pPr>
            <w:r w:rsidRPr="00EA4FD1">
              <w:rPr>
                <w:rFonts w:ascii="Arial" w:hAnsi="Arial" w:cs="Arial"/>
                <w:b/>
                <w:bCs/>
                <w:color w:val="000000"/>
              </w:rPr>
              <w:t>100,00</w:t>
            </w:r>
          </w:p>
        </w:tc>
        <w:tc>
          <w:tcPr>
            <w:tcW w:w="992" w:type="dxa"/>
            <w:tcBorders>
              <w:top w:val="nil"/>
              <w:left w:val="nil"/>
              <w:bottom w:val="single" w:sz="4" w:space="0" w:color="auto"/>
              <w:right w:val="single" w:sz="4" w:space="0" w:color="auto"/>
            </w:tcBorders>
            <w:shd w:val="clear" w:color="auto" w:fill="auto"/>
            <w:noWrap/>
            <w:vAlign w:val="center"/>
            <w:hideMark/>
          </w:tcPr>
          <w:p w14:paraId="51E03BE0" w14:textId="073F1C68" w:rsidR="00E90E98" w:rsidRPr="00EA4FD1" w:rsidRDefault="00EA4FD1" w:rsidP="0051674A">
            <w:pPr>
              <w:jc w:val="center"/>
              <w:rPr>
                <w:rFonts w:ascii="Arial" w:hAnsi="Arial" w:cs="Arial"/>
                <w:b/>
                <w:bCs/>
                <w:color w:val="000000"/>
              </w:rPr>
            </w:pPr>
            <w:r w:rsidRPr="00EA4FD1">
              <w:rPr>
                <w:rFonts w:ascii="Arial" w:hAnsi="Arial" w:cs="Arial"/>
                <w:b/>
                <w:bCs/>
                <w:color w:val="000000"/>
              </w:rPr>
              <w:t>367</w:t>
            </w:r>
          </w:p>
        </w:tc>
        <w:tc>
          <w:tcPr>
            <w:tcW w:w="1134" w:type="dxa"/>
            <w:tcBorders>
              <w:top w:val="nil"/>
              <w:left w:val="nil"/>
              <w:bottom w:val="single" w:sz="4" w:space="0" w:color="auto"/>
              <w:right w:val="single" w:sz="4" w:space="0" w:color="auto"/>
            </w:tcBorders>
            <w:shd w:val="clear" w:color="auto" w:fill="auto"/>
            <w:noWrap/>
            <w:vAlign w:val="center"/>
            <w:hideMark/>
          </w:tcPr>
          <w:p w14:paraId="2265F2CB" w14:textId="1B317170" w:rsidR="00E90E98" w:rsidRPr="00EA4FD1" w:rsidRDefault="00EA4FD1" w:rsidP="0051674A">
            <w:pPr>
              <w:jc w:val="center"/>
              <w:rPr>
                <w:rFonts w:ascii="Arial" w:hAnsi="Arial" w:cs="Arial"/>
                <w:b/>
                <w:bCs/>
                <w:color w:val="000000"/>
              </w:rPr>
            </w:pPr>
            <w:r w:rsidRPr="00EA4FD1">
              <w:rPr>
                <w:rFonts w:ascii="Arial" w:hAnsi="Arial" w:cs="Arial"/>
                <w:b/>
                <w:bCs/>
                <w:color w:val="000000"/>
              </w:rPr>
              <w:t>100,00</w:t>
            </w:r>
          </w:p>
        </w:tc>
      </w:tr>
    </w:tbl>
    <w:p w14:paraId="081F1A76" w14:textId="77777777" w:rsidR="002275FF" w:rsidRDefault="002275FF" w:rsidP="004135F7">
      <w:pPr>
        <w:pStyle w:val="Popisobrzku"/>
      </w:pPr>
    </w:p>
    <w:p w14:paraId="12B96F87" w14:textId="6C8D69C2" w:rsidR="00A00382" w:rsidRPr="004135F7" w:rsidRDefault="00E173FA" w:rsidP="002275FF">
      <w:pPr>
        <w:pStyle w:val="Dalodstavce"/>
        <w:ind w:firstLine="0"/>
      </w:pPr>
      <w:r w:rsidRPr="004135F7">
        <w:t>Počet pacientů v jednotlivých věkových kategoriích klesá s rostoucím věkem u obou pohlaví, a to v obou sledovaných ročnících</w:t>
      </w:r>
      <w:r w:rsidR="0075145A" w:rsidRPr="004135F7">
        <w:t>.</w:t>
      </w:r>
      <w:r w:rsidR="00F06817" w:rsidRPr="004135F7">
        <w:t xml:space="preserve"> </w:t>
      </w:r>
      <w:r w:rsidR="0039022A" w:rsidRPr="004135F7">
        <w:t>Pořadí početního zastoupení pacientů v</w:t>
      </w:r>
      <w:r w:rsidR="00A47B9E" w:rsidRPr="004135F7">
        <w:t> </w:t>
      </w:r>
      <w:r w:rsidR="0039022A" w:rsidRPr="004135F7">
        <w:t>jednotlivých věkových skupinách zůstává stejné pro obě pohlaví i oba kalendářní roky.</w:t>
      </w:r>
      <w:r w:rsidR="00F06817" w:rsidRPr="004135F7">
        <w:t xml:space="preserve"> </w:t>
      </w:r>
      <w:r w:rsidR="001A371F" w:rsidRPr="004135F7">
        <w:t xml:space="preserve">V meziročním srovnání převažovaly ženy nad muži ve všech věkových kategoriích. </w:t>
      </w:r>
      <w:r w:rsidR="001953AA" w:rsidRPr="004135F7">
        <w:t>Veškeré hodnoty jsou uvedeny v</w:t>
      </w:r>
      <w:r w:rsidR="00071481" w:rsidRPr="004135F7">
        <w:t xml:space="preserve"> </w:t>
      </w:r>
      <w:r w:rsidR="001953AA" w:rsidRPr="004135F7">
        <w:t>Tabulce 3.</w:t>
      </w:r>
      <w:r w:rsidR="001F7424" w:rsidRPr="004135F7">
        <w:t xml:space="preserve"> </w:t>
      </w:r>
      <w:r w:rsidR="00650B1A" w:rsidRPr="004135F7">
        <w:t>Počty pacientů ošetřených na NUP FN</w:t>
      </w:r>
      <w:r w:rsidR="00C3643F" w:rsidRPr="004135F7">
        <w:t> </w:t>
      </w:r>
      <w:r w:rsidR="00650B1A" w:rsidRPr="004135F7">
        <w:t xml:space="preserve">Brno v letech 2019 a 2023 jsou uvedeny </w:t>
      </w:r>
      <w:r w:rsidR="00C3643F" w:rsidRPr="004135F7">
        <w:t xml:space="preserve">níže </w:t>
      </w:r>
      <w:r w:rsidR="00650B1A" w:rsidRPr="004135F7">
        <w:t xml:space="preserve">v Grafu </w:t>
      </w:r>
      <w:r w:rsidR="00BE314E">
        <w:t>3</w:t>
      </w:r>
      <w:r w:rsidR="00650B1A" w:rsidRPr="004135F7">
        <w:t>.</w:t>
      </w:r>
    </w:p>
    <w:p w14:paraId="671BBA8A" w14:textId="77777777" w:rsidR="00BD614D" w:rsidRPr="00BD614D" w:rsidRDefault="00BD614D" w:rsidP="00BD614D">
      <w:pPr>
        <w:pStyle w:val="Dalodstavce"/>
        <w:ind w:firstLine="0"/>
        <w:rPr>
          <w:lang w:eastAsia="sk-SK"/>
        </w:rPr>
      </w:pPr>
    </w:p>
    <w:p w14:paraId="33C311DB" w14:textId="4B3220A0" w:rsidR="00757345" w:rsidRDefault="00B03DB1" w:rsidP="00BD614D">
      <w:pPr>
        <w:pStyle w:val="Titulek"/>
        <w:keepNext/>
        <w:spacing w:before="240"/>
      </w:pPr>
      <w:bookmarkStart w:id="35" w:name="_Toc195517155"/>
      <w:r>
        <w:lastRenderedPageBreak/>
        <w:t xml:space="preserve">Graf </w:t>
      </w:r>
      <w:fldSimple w:instr=" SEQ Graf \* ARABIC ">
        <w:r w:rsidR="00915264">
          <w:rPr>
            <w:noProof/>
          </w:rPr>
          <w:t>3</w:t>
        </w:r>
      </w:fldSimple>
      <w:r>
        <w:t>: Věk a pohlaví pacientů</w:t>
      </w:r>
      <w:r w:rsidR="00F9781F">
        <w:t xml:space="preserve"> </w:t>
      </w:r>
      <w:r>
        <w:t>ošetřených na NUP FN Brno v</w:t>
      </w:r>
      <w:r w:rsidR="006537F4">
        <w:t>e věk</w:t>
      </w:r>
      <w:r w:rsidR="008722AF">
        <w:t>ové kategorii 75 a více let</w:t>
      </w:r>
      <w:bookmarkEnd w:id="35"/>
    </w:p>
    <w:p w14:paraId="76B097A4" w14:textId="2C1F26F6" w:rsidR="00DF7E7E" w:rsidRDefault="00C053DF" w:rsidP="00D51B2F">
      <w:pPr>
        <w:pStyle w:val="Dalodstavce"/>
        <w:ind w:firstLine="0"/>
        <w:jc w:val="center"/>
      </w:pPr>
      <w:r>
        <w:rPr>
          <w:noProof/>
        </w:rPr>
        <w:drawing>
          <wp:inline distT="0" distB="0" distL="0" distR="0" wp14:anchorId="42268249" wp14:editId="25FF57B1">
            <wp:extent cx="5576888" cy="3109913"/>
            <wp:effectExtent l="0" t="0" r="5080" b="14605"/>
            <wp:docPr id="122208648" name="Graf 1">
              <a:extLst xmlns:a="http://schemas.openxmlformats.org/drawingml/2006/main">
                <a:ext uri="{FF2B5EF4-FFF2-40B4-BE49-F238E27FC236}">
                  <a16:creationId xmlns:a16="http://schemas.microsoft.com/office/drawing/2014/main" id="{6EF64C35-1AC4-10E6-990F-782E82CCFA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F6B23C4" w14:textId="77777777" w:rsidR="00D51B2F" w:rsidRDefault="00D51B2F" w:rsidP="00D51B2F">
      <w:pPr>
        <w:pStyle w:val="Dalodstavce"/>
        <w:ind w:firstLine="0"/>
        <w:jc w:val="center"/>
      </w:pPr>
    </w:p>
    <w:p w14:paraId="589C88F5" w14:textId="042A5185" w:rsidR="000311FE" w:rsidRDefault="000311FE" w:rsidP="002E2B4E">
      <w:pPr>
        <w:pStyle w:val="Titulektabulky"/>
      </w:pPr>
      <w:bookmarkStart w:id="36" w:name="_Toc195517129"/>
      <w:r>
        <w:t xml:space="preserve">Tab. </w:t>
      </w:r>
      <w:fldSimple w:instr=" SEQ Tab. \* ARABIC ">
        <w:r w:rsidR="00D4233F">
          <w:rPr>
            <w:noProof/>
          </w:rPr>
          <w:t>4</w:t>
        </w:r>
      </w:fldSimple>
      <w:r>
        <w:t xml:space="preserve">: </w:t>
      </w:r>
      <w:r w:rsidR="00064052">
        <w:t xml:space="preserve">Průměrný věk </w:t>
      </w:r>
      <w:r w:rsidR="00D94F14">
        <w:t>pacientů NUP FN Brno ve věkové kategorii 75 a více let</w:t>
      </w:r>
      <w:bookmarkEnd w:id="36"/>
    </w:p>
    <w:tbl>
      <w:tblPr>
        <w:tblW w:w="8642" w:type="dxa"/>
        <w:jc w:val="center"/>
        <w:tblCellMar>
          <w:left w:w="70" w:type="dxa"/>
          <w:right w:w="70" w:type="dxa"/>
        </w:tblCellMar>
        <w:tblLook w:val="04A0" w:firstRow="1" w:lastRow="0" w:firstColumn="1" w:lastColumn="0" w:noHBand="0" w:noVBand="1"/>
      </w:tblPr>
      <w:tblGrid>
        <w:gridCol w:w="1838"/>
        <w:gridCol w:w="1134"/>
        <w:gridCol w:w="1134"/>
        <w:gridCol w:w="1134"/>
        <w:gridCol w:w="1134"/>
        <w:gridCol w:w="1134"/>
        <w:gridCol w:w="1134"/>
      </w:tblGrid>
      <w:tr w:rsidR="004C5678" w:rsidRPr="00D83A02" w14:paraId="74B38381" w14:textId="77777777" w:rsidTr="001C7A6B">
        <w:trPr>
          <w:trHeight w:val="285"/>
          <w:tblHeader/>
          <w:jc w:val="center"/>
        </w:trPr>
        <w:tc>
          <w:tcPr>
            <w:tcW w:w="1838" w:type="dxa"/>
            <w:vMerge w:val="restart"/>
            <w:tcBorders>
              <w:top w:val="single" w:sz="4" w:space="0" w:color="auto"/>
              <w:left w:val="single" w:sz="4" w:space="0" w:color="auto"/>
              <w:bottom w:val="single" w:sz="4" w:space="0" w:color="000000"/>
              <w:right w:val="single" w:sz="4" w:space="0" w:color="auto"/>
              <w:tr2bl w:val="single" w:sz="4" w:space="0" w:color="auto"/>
            </w:tcBorders>
            <w:shd w:val="clear" w:color="000000" w:fill="DDEBF7"/>
            <w:vAlign w:val="center"/>
            <w:hideMark/>
          </w:tcPr>
          <w:p w14:paraId="1074129A" w14:textId="37BABA3E" w:rsidR="005639DC" w:rsidRPr="00D67206" w:rsidRDefault="005639DC" w:rsidP="001C7A6B">
            <w:pPr>
              <w:jc w:val="center"/>
              <w:rPr>
                <w:rFonts w:ascii="Arial" w:hAnsi="Arial" w:cs="Arial"/>
                <w:b/>
                <w:bCs/>
                <w:color w:val="000000"/>
              </w:rPr>
            </w:pPr>
          </w:p>
        </w:tc>
        <w:tc>
          <w:tcPr>
            <w:tcW w:w="3402" w:type="dxa"/>
            <w:gridSpan w:val="3"/>
            <w:tcBorders>
              <w:top w:val="single" w:sz="4" w:space="0" w:color="auto"/>
              <w:left w:val="nil"/>
              <w:bottom w:val="single" w:sz="4" w:space="0" w:color="auto"/>
              <w:right w:val="single" w:sz="4" w:space="0" w:color="000000"/>
            </w:tcBorders>
            <w:shd w:val="clear" w:color="000000" w:fill="DDEBF7"/>
            <w:noWrap/>
            <w:vAlign w:val="center"/>
            <w:hideMark/>
          </w:tcPr>
          <w:p w14:paraId="4FFA45E2" w14:textId="78C4C19C" w:rsidR="005639DC" w:rsidRPr="00D67206" w:rsidRDefault="00373934" w:rsidP="00C74784">
            <w:pPr>
              <w:jc w:val="center"/>
              <w:rPr>
                <w:rFonts w:ascii="Arial" w:hAnsi="Arial" w:cs="Arial"/>
                <w:b/>
                <w:bCs/>
                <w:color w:val="000000"/>
              </w:rPr>
            </w:pPr>
            <w:r>
              <w:rPr>
                <w:rFonts w:ascii="Arial" w:hAnsi="Arial" w:cs="Arial"/>
                <w:b/>
                <w:bCs/>
                <w:color w:val="000000"/>
              </w:rPr>
              <w:t xml:space="preserve">Rok </w:t>
            </w:r>
            <w:r w:rsidR="005639DC" w:rsidRPr="00D67206">
              <w:rPr>
                <w:rFonts w:ascii="Arial" w:hAnsi="Arial" w:cs="Arial"/>
                <w:b/>
                <w:bCs/>
                <w:color w:val="000000"/>
              </w:rPr>
              <w:t>2019</w:t>
            </w:r>
          </w:p>
        </w:tc>
        <w:tc>
          <w:tcPr>
            <w:tcW w:w="3402" w:type="dxa"/>
            <w:gridSpan w:val="3"/>
            <w:tcBorders>
              <w:top w:val="single" w:sz="4" w:space="0" w:color="auto"/>
              <w:left w:val="nil"/>
              <w:bottom w:val="single" w:sz="4" w:space="0" w:color="auto"/>
              <w:right w:val="single" w:sz="4" w:space="0" w:color="000000"/>
            </w:tcBorders>
            <w:shd w:val="clear" w:color="000000" w:fill="DDEBF7"/>
            <w:noWrap/>
            <w:vAlign w:val="center"/>
            <w:hideMark/>
          </w:tcPr>
          <w:p w14:paraId="4F57C1D2" w14:textId="28FFA700" w:rsidR="005639DC" w:rsidRPr="00D67206" w:rsidRDefault="00373934" w:rsidP="00C74784">
            <w:pPr>
              <w:jc w:val="center"/>
              <w:rPr>
                <w:rFonts w:ascii="Arial" w:hAnsi="Arial" w:cs="Arial"/>
                <w:b/>
                <w:bCs/>
                <w:color w:val="000000"/>
              </w:rPr>
            </w:pPr>
            <w:r>
              <w:rPr>
                <w:rFonts w:ascii="Arial" w:hAnsi="Arial" w:cs="Arial"/>
                <w:b/>
                <w:bCs/>
                <w:color w:val="000000"/>
              </w:rPr>
              <w:t xml:space="preserve">Rok </w:t>
            </w:r>
            <w:r w:rsidR="005639DC" w:rsidRPr="00D67206">
              <w:rPr>
                <w:rFonts w:ascii="Arial" w:hAnsi="Arial" w:cs="Arial"/>
                <w:b/>
                <w:bCs/>
                <w:color w:val="000000"/>
              </w:rPr>
              <w:t>2023</w:t>
            </w:r>
          </w:p>
        </w:tc>
      </w:tr>
      <w:tr w:rsidR="008B29FD" w:rsidRPr="00D83A02" w14:paraId="364A79B3" w14:textId="77777777" w:rsidTr="001C7A6B">
        <w:trPr>
          <w:trHeight w:val="285"/>
          <w:tblHeader/>
          <w:jc w:val="center"/>
        </w:trPr>
        <w:tc>
          <w:tcPr>
            <w:tcW w:w="1838" w:type="dxa"/>
            <w:vMerge/>
            <w:tcBorders>
              <w:top w:val="single" w:sz="4" w:space="0" w:color="000000"/>
              <w:left w:val="single" w:sz="4" w:space="0" w:color="auto"/>
              <w:bottom w:val="single" w:sz="4" w:space="0" w:color="000000"/>
              <w:right w:val="single" w:sz="4" w:space="0" w:color="auto"/>
              <w:tr2bl w:val="single" w:sz="4" w:space="0" w:color="auto"/>
            </w:tcBorders>
            <w:vAlign w:val="center"/>
            <w:hideMark/>
          </w:tcPr>
          <w:p w14:paraId="25C8F37C" w14:textId="77777777" w:rsidR="005639DC" w:rsidRPr="00D67206" w:rsidRDefault="005639DC" w:rsidP="00C74784">
            <w:pPr>
              <w:jc w:val="center"/>
              <w:rPr>
                <w:rFonts w:ascii="Arial" w:hAnsi="Arial" w:cs="Arial"/>
                <w:b/>
                <w:bCs/>
                <w:color w:val="000000"/>
              </w:rPr>
            </w:pPr>
          </w:p>
        </w:tc>
        <w:tc>
          <w:tcPr>
            <w:tcW w:w="1134" w:type="dxa"/>
            <w:tcBorders>
              <w:top w:val="nil"/>
              <w:left w:val="nil"/>
              <w:bottom w:val="single" w:sz="4" w:space="0" w:color="auto"/>
              <w:right w:val="single" w:sz="4" w:space="0" w:color="auto"/>
            </w:tcBorders>
            <w:shd w:val="clear" w:color="000000" w:fill="DDEBF7"/>
            <w:vAlign w:val="center"/>
            <w:hideMark/>
          </w:tcPr>
          <w:p w14:paraId="2931AD32" w14:textId="77777777" w:rsidR="005639DC" w:rsidRPr="00D67206" w:rsidRDefault="005639DC" w:rsidP="00C74784">
            <w:pPr>
              <w:jc w:val="center"/>
              <w:rPr>
                <w:rFonts w:ascii="Arial" w:hAnsi="Arial" w:cs="Arial"/>
                <w:b/>
                <w:bCs/>
                <w:color w:val="000000"/>
              </w:rPr>
            </w:pPr>
            <w:r w:rsidRPr="00D67206">
              <w:rPr>
                <w:rFonts w:ascii="Arial" w:hAnsi="Arial" w:cs="Arial"/>
                <w:b/>
                <w:bCs/>
                <w:color w:val="000000"/>
              </w:rPr>
              <w:t>Celkem</w:t>
            </w:r>
          </w:p>
        </w:tc>
        <w:tc>
          <w:tcPr>
            <w:tcW w:w="1134" w:type="dxa"/>
            <w:tcBorders>
              <w:top w:val="nil"/>
              <w:left w:val="nil"/>
              <w:bottom w:val="single" w:sz="4" w:space="0" w:color="auto"/>
              <w:right w:val="single" w:sz="4" w:space="0" w:color="auto"/>
            </w:tcBorders>
            <w:shd w:val="clear" w:color="000000" w:fill="DDEBF7"/>
            <w:vAlign w:val="center"/>
            <w:hideMark/>
          </w:tcPr>
          <w:p w14:paraId="71CE2623" w14:textId="77777777" w:rsidR="005639DC" w:rsidRPr="00D67206" w:rsidRDefault="005639DC" w:rsidP="00C74784">
            <w:pPr>
              <w:jc w:val="center"/>
              <w:rPr>
                <w:rFonts w:ascii="Arial" w:hAnsi="Arial" w:cs="Arial"/>
                <w:b/>
                <w:bCs/>
                <w:color w:val="000000"/>
              </w:rPr>
            </w:pPr>
            <w:r w:rsidRPr="00D67206">
              <w:rPr>
                <w:rFonts w:ascii="Arial" w:hAnsi="Arial" w:cs="Arial"/>
                <w:b/>
                <w:bCs/>
                <w:color w:val="000000"/>
              </w:rPr>
              <w:t>Muži</w:t>
            </w:r>
          </w:p>
        </w:tc>
        <w:tc>
          <w:tcPr>
            <w:tcW w:w="1134" w:type="dxa"/>
            <w:tcBorders>
              <w:top w:val="nil"/>
              <w:left w:val="nil"/>
              <w:bottom w:val="single" w:sz="4" w:space="0" w:color="auto"/>
              <w:right w:val="single" w:sz="4" w:space="0" w:color="auto"/>
            </w:tcBorders>
            <w:shd w:val="clear" w:color="000000" w:fill="DDEBF7"/>
            <w:noWrap/>
            <w:vAlign w:val="center"/>
            <w:hideMark/>
          </w:tcPr>
          <w:p w14:paraId="0C99F7CA" w14:textId="77777777" w:rsidR="005639DC" w:rsidRPr="00D67206" w:rsidRDefault="005639DC" w:rsidP="00C74784">
            <w:pPr>
              <w:jc w:val="center"/>
              <w:rPr>
                <w:rFonts w:ascii="Arial" w:hAnsi="Arial" w:cs="Arial"/>
                <w:b/>
                <w:bCs/>
                <w:color w:val="000000"/>
              </w:rPr>
            </w:pPr>
            <w:r w:rsidRPr="00D67206">
              <w:rPr>
                <w:rFonts w:ascii="Arial" w:hAnsi="Arial" w:cs="Arial"/>
                <w:b/>
                <w:bCs/>
                <w:color w:val="000000"/>
              </w:rPr>
              <w:t>Ženy</w:t>
            </w:r>
          </w:p>
        </w:tc>
        <w:tc>
          <w:tcPr>
            <w:tcW w:w="1134" w:type="dxa"/>
            <w:tcBorders>
              <w:top w:val="nil"/>
              <w:left w:val="nil"/>
              <w:bottom w:val="single" w:sz="4" w:space="0" w:color="auto"/>
              <w:right w:val="single" w:sz="4" w:space="0" w:color="auto"/>
            </w:tcBorders>
            <w:shd w:val="clear" w:color="000000" w:fill="DDEBF7"/>
            <w:vAlign w:val="center"/>
            <w:hideMark/>
          </w:tcPr>
          <w:p w14:paraId="09C3C997" w14:textId="77777777" w:rsidR="005639DC" w:rsidRPr="00D67206" w:rsidRDefault="005639DC" w:rsidP="00C74784">
            <w:pPr>
              <w:jc w:val="center"/>
              <w:rPr>
                <w:rFonts w:ascii="Arial" w:hAnsi="Arial" w:cs="Arial"/>
                <w:b/>
                <w:bCs/>
                <w:color w:val="000000"/>
              </w:rPr>
            </w:pPr>
            <w:r w:rsidRPr="00D67206">
              <w:rPr>
                <w:rFonts w:ascii="Arial" w:hAnsi="Arial" w:cs="Arial"/>
                <w:b/>
                <w:bCs/>
                <w:color w:val="000000"/>
              </w:rPr>
              <w:t>Celkem</w:t>
            </w:r>
          </w:p>
        </w:tc>
        <w:tc>
          <w:tcPr>
            <w:tcW w:w="1134" w:type="dxa"/>
            <w:tcBorders>
              <w:top w:val="nil"/>
              <w:left w:val="nil"/>
              <w:bottom w:val="single" w:sz="4" w:space="0" w:color="auto"/>
              <w:right w:val="single" w:sz="4" w:space="0" w:color="auto"/>
            </w:tcBorders>
            <w:shd w:val="clear" w:color="000000" w:fill="DDEBF7"/>
            <w:vAlign w:val="center"/>
            <w:hideMark/>
          </w:tcPr>
          <w:p w14:paraId="37196B17" w14:textId="77777777" w:rsidR="005639DC" w:rsidRPr="00D67206" w:rsidRDefault="005639DC" w:rsidP="00C74784">
            <w:pPr>
              <w:jc w:val="center"/>
              <w:rPr>
                <w:rFonts w:ascii="Arial" w:hAnsi="Arial" w:cs="Arial"/>
                <w:b/>
                <w:bCs/>
                <w:color w:val="000000"/>
              </w:rPr>
            </w:pPr>
            <w:r w:rsidRPr="00D67206">
              <w:rPr>
                <w:rFonts w:ascii="Arial" w:hAnsi="Arial" w:cs="Arial"/>
                <w:b/>
                <w:bCs/>
                <w:color w:val="000000"/>
              </w:rPr>
              <w:t>Muži</w:t>
            </w:r>
          </w:p>
        </w:tc>
        <w:tc>
          <w:tcPr>
            <w:tcW w:w="1134" w:type="dxa"/>
            <w:tcBorders>
              <w:top w:val="nil"/>
              <w:left w:val="nil"/>
              <w:bottom w:val="single" w:sz="4" w:space="0" w:color="auto"/>
              <w:right w:val="single" w:sz="4" w:space="0" w:color="auto"/>
            </w:tcBorders>
            <w:shd w:val="clear" w:color="000000" w:fill="DDEBF7"/>
            <w:noWrap/>
            <w:vAlign w:val="center"/>
            <w:hideMark/>
          </w:tcPr>
          <w:p w14:paraId="652E24E6" w14:textId="77777777" w:rsidR="005639DC" w:rsidRPr="00D67206" w:rsidRDefault="005639DC" w:rsidP="00C74784">
            <w:pPr>
              <w:jc w:val="center"/>
              <w:rPr>
                <w:rFonts w:ascii="Arial" w:hAnsi="Arial" w:cs="Arial"/>
                <w:b/>
                <w:bCs/>
                <w:color w:val="000000"/>
              </w:rPr>
            </w:pPr>
            <w:r w:rsidRPr="00D67206">
              <w:rPr>
                <w:rFonts w:ascii="Arial" w:hAnsi="Arial" w:cs="Arial"/>
                <w:b/>
                <w:bCs/>
                <w:color w:val="000000"/>
              </w:rPr>
              <w:t>Ženy</w:t>
            </w:r>
          </w:p>
        </w:tc>
      </w:tr>
      <w:tr w:rsidR="004C5678" w:rsidRPr="00D83A02" w14:paraId="1DD60428" w14:textId="77777777" w:rsidTr="00C74784">
        <w:trPr>
          <w:trHeight w:val="285"/>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622BA250" w14:textId="77777777" w:rsidR="005639DC" w:rsidRPr="00D67206" w:rsidRDefault="005639DC" w:rsidP="00C74784">
            <w:pPr>
              <w:jc w:val="center"/>
              <w:rPr>
                <w:rFonts w:ascii="Arial" w:hAnsi="Arial" w:cs="Arial"/>
                <w:b/>
                <w:bCs/>
                <w:color w:val="000000"/>
              </w:rPr>
            </w:pPr>
            <w:r w:rsidRPr="00D67206">
              <w:rPr>
                <w:rFonts w:ascii="Arial" w:hAnsi="Arial" w:cs="Arial"/>
                <w:b/>
                <w:bCs/>
                <w:color w:val="000000"/>
              </w:rPr>
              <w:t>Průměr</w:t>
            </w:r>
          </w:p>
        </w:tc>
        <w:tc>
          <w:tcPr>
            <w:tcW w:w="1134" w:type="dxa"/>
            <w:tcBorders>
              <w:top w:val="nil"/>
              <w:left w:val="nil"/>
              <w:bottom w:val="single" w:sz="4" w:space="0" w:color="auto"/>
              <w:right w:val="single" w:sz="4" w:space="0" w:color="auto"/>
            </w:tcBorders>
            <w:shd w:val="clear" w:color="auto" w:fill="auto"/>
            <w:vAlign w:val="center"/>
            <w:hideMark/>
          </w:tcPr>
          <w:p w14:paraId="3EFED28B" w14:textId="79872034" w:rsidR="005639DC" w:rsidRPr="00D67206" w:rsidRDefault="00AA5ED5" w:rsidP="00C74784">
            <w:pPr>
              <w:jc w:val="center"/>
              <w:rPr>
                <w:rFonts w:ascii="Arial" w:hAnsi="Arial" w:cs="Arial"/>
                <w:color w:val="000000"/>
              </w:rPr>
            </w:pPr>
            <w:r>
              <w:rPr>
                <w:rFonts w:ascii="Arial" w:hAnsi="Arial" w:cs="Arial"/>
                <w:color w:val="000000"/>
              </w:rPr>
              <w:t>82,99</w:t>
            </w:r>
          </w:p>
        </w:tc>
        <w:tc>
          <w:tcPr>
            <w:tcW w:w="1134" w:type="dxa"/>
            <w:tcBorders>
              <w:top w:val="nil"/>
              <w:left w:val="nil"/>
              <w:bottom w:val="single" w:sz="4" w:space="0" w:color="auto"/>
              <w:right w:val="single" w:sz="4" w:space="0" w:color="auto"/>
            </w:tcBorders>
            <w:shd w:val="clear" w:color="auto" w:fill="auto"/>
            <w:vAlign w:val="center"/>
            <w:hideMark/>
          </w:tcPr>
          <w:p w14:paraId="50E00586" w14:textId="6F0B6FCD" w:rsidR="005639DC" w:rsidRPr="00D67206" w:rsidRDefault="007448C3" w:rsidP="00C74784">
            <w:pPr>
              <w:jc w:val="center"/>
              <w:rPr>
                <w:rFonts w:ascii="Arial" w:hAnsi="Arial" w:cs="Arial"/>
                <w:color w:val="000000"/>
              </w:rPr>
            </w:pPr>
            <w:r>
              <w:rPr>
                <w:rFonts w:ascii="Arial" w:hAnsi="Arial" w:cs="Arial"/>
                <w:color w:val="000000"/>
              </w:rPr>
              <w:t>81,96</w:t>
            </w:r>
          </w:p>
        </w:tc>
        <w:tc>
          <w:tcPr>
            <w:tcW w:w="1134" w:type="dxa"/>
            <w:tcBorders>
              <w:top w:val="nil"/>
              <w:left w:val="nil"/>
              <w:bottom w:val="single" w:sz="4" w:space="0" w:color="auto"/>
              <w:right w:val="single" w:sz="4" w:space="0" w:color="auto"/>
            </w:tcBorders>
            <w:shd w:val="clear" w:color="auto" w:fill="auto"/>
            <w:vAlign w:val="center"/>
            <w:hideMark/>
          </w:tcPr>
          <w:p w14:paraId="3D40B627" w14:textId="289622BC" w:rsidR="005639DC" w:rsidRPr="00D67206" w:rsidRDefault="00EF2C32" w:rsidP="00C74784">
            <w:pPr>
              <w:jc w:val="center"/>
              <w:rPr>
                <w:rFonts w:ascii="Arial" w:hAnsi="Arial" w:cs="Arial"/>
                <w:color w:val="000000"/>
              </w:rPr>
            </w:pPr>
            <w:r>
              <w:rPr>
                <w:rFonts w:ascii="Arial" w:hAnsi="Arial" w:cs="Arial"/>
                <w:color w:val="000000"/>
              </w:rPr>
              <w:t>83,52</w:t>
            </w:r>
          </w:p>
        </w:tc>
        <w:tc>
          <w:tcPr>
            <w:tcW w:w="1134" w:type="dxa"/>
            <w:tcBorders>
              <w:top w:val="nil"/>
              <w:left w:val="nil"/>
              <w:bottom w:val="single" w:sz="4" w:space="0" w:color="auto"/>
              <w:right w:val="single" w:sz="4" w:space="0" w:color="auto"/>
            </w:tcBorders>
            <w:shd w:val="clear" w:color="auto" w:fill="auto"/>
            <w:vAlign w:val="center"/>
            <w:hideMark/>
          </w:tcPr>
          <w:p w14:paraId="7698D327" w14:textId="04156E40" w:rsidR="005639DC" w:rsidRPr="00D67206" w:rsidRDefault="00533857" w:rsidP="00C74784">
            <w:pPr>
              <w:jc w:val="center"/>
              <w:rPr>
                <w:rFonts w:ascii="Arial" w:hAnsi="Arial" w:cs="Arial"/>
                <w:color w:val="000000"/>
              </w:rPr>
            </w:pPr>
            <w:r>
              <w:rPr>
                <w:rFonts w:ascii="Arial" w:hAnsi="Arial" w:cs="Arial"/>
                <w:color w:val="000000"/>
              </w:rPr>
              <w:t>82,33</w:t>
            </w:r>
          </w:p>
        </w:tc>
        <w:tc>
          <w:tcPr>
            <w:tcW w:w="1134" w:type="dxa"/>
            <w:tcBorders>
              <w:top w:val="nil"/>
              <w:left w:val="nil"/>
              <w:bottom w:val="single" w:sz="4" w:space="0" w:color="auto"/>
              <w:right w:val="single" w:sz="4" w:space="0" w:color="auto"/>
            </w:tcBorders>
            <w:shd w:val="clear" w:color="auto" w:fill="auto"/>
            <w:noWrap/>
            <w:vAlign w:val="center"/>
            <w:hideMark/>
          </w:tcPr>
          <w:p w14:paraId="5FE968F7" w14:textId="453341A0" w:rsidR="005639DC" w:rsidRPr="00D67206" w:rsidRDefault="00802861" w:rsidP="00C74784">
            <w:pPr>
              <w:jc w:val="center"/>
              <w:rPr>
                <w:rFonts w:ascii="Arial" w:hAnsi="Arial" w:cs="Arial"/>
                <w:color w:val="000000"/>
              </w:rPr>
            </w:pPr>
            <w:r>
              <w:rPr>
                <w:rFonts w:ascii="Arial" w:hAnsi="Arial" w:cs="Arial"/>
                <w:color w:val="000000"/>
              </w:rPr>
              <w:t>81,47</w:t>
            </w:r>
          </w:p>
        </w:tc>
        <w:tc>
          <w:tcPr>
            <w:tcW w:w="1134" w:type="dxa"/>
            <w:tcBorders>
              <w:top w:val="nil"/>
              <w:left w:val="nil"/>
              <w:bottom w:val="single" w:sz="4" w:space="0" w:color="auto"/>
              <w:right w:val="single" w:sz="4" w:space="0" w:color="auto"/>
            </w:tcBorders>
            <w:shd w:val="clear" w:color="auto" w:fill="auto"/>
            <w:noWrap/>
            <w:vAlign w:val="center"/>
            <w:hideMark/>
          </w:tcPr>
          <w:p w14:paraId="186CB7DB" w14:textId="5A696FB0" w:rsidR="005639DC" w:rsidRPr="00D67206" w:rsidRDefault="00FA5335" w:rsidP="00C74784">
            <w:pPr>
              <w:jc w:val="center"/>
              <w:rPr>
                <w:rFonts w:ascii="Arial" w:hAnsi="Arial" w:cs="Arial"/>
                <w:color w:val="000000"/>
              </w:rPr>
            </w:pPr>
            <w:r>
              <w:rPr>
                <w:rFonts w:ascii="Arial" w:hAnsi="Arial" w:cs="Arial"/>
                <w:color w:val="000000"/>
              </w:rPr>
              <w:t>82,87</w:t>
            </w:r>
          </w:p>
        </w:tc>
      </w:tr>
      <w:tr w:rsidR="004C5678" w:rsidRPr="00D83A02" w14:paraId="589EBCDC" w14:textId="77777777" w:rsidTr="00C74784">
        <w:trPr>
          <w:trHeight w:val="300"/>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5301AAE0" w14:textId="77777777" w:rsidR="005639DC" w:rsidRPr="00D67206" w:rsidRDefault="005639DC" w:rsidP="00C74784">
            <w:pPr>
              <w:jc w:val="center"/>
              <w:rPr>
                <w:rFonts w:ascii="Arial" w:hAnsi="Arial" w:cs="Arial"/>
                <w:b/>
                <w:bCs/>
                <w:color w:val="000000"/>
              </w:rPr>
            </w:pPr>
            <w:r w:rsidRPr="00D67206">
              <w:rPr>
                <w:rFonts w:ascii="Arial" w:hAnsi="Arial" w:cs="Arial"/>
                <w:b/>
                <w:bCs/>
                <w:color w:val="000000"/>
              </w:rPr>
              <w:t>Min. hodnota</w:t>
            </w:r>
          </w:p>
        </w:tc>
        <w:tc>
          <w:tcPr>
            <w:tcW w:w="1134" w:type="dxa"/>
            <w:tcBorders>
              <w:top w:val="nil"/>
              <w:left w:val="nil"/>
              <w:bottom w:val="single" w:sz="4" w:space="0" w:color="auto"/>
              <w:right w:val="single" w:sz="4" w:space="0" w:color="auto"/>
            </w:tcBorders>
            <w:shd w:val="clear" w:color="auto" w:fill="auto"/>
            <w:vAlign w:val="center"/>
            <w:hideMark/>
          </w:tcPr>
          <w:p w14:paraId="0205237A" w14:textId="39E68C0B" w:rsidR="005639DC" w:rsidRPr="00D67206" w:rsidRDefault="00FF3678" w:rsidP="00C74784">
            <w:pPr>
              <w:jc w:val="center"/>
              <w:rPr>
                <w:rFonts w:ascii="Arial" w:hAnsi="Arial" w:cs="Arial"/>
                <w:color w:val="000000"/>
              </w:rPr>
            </w:pPr>
            <w:r>
              <w:rPr>
                <w:rFonts w:ascii="Arial" w:hAnsi="Arial" w:cs="Arial"/>
                <w:color w:val="000000"/>
              </w:rPr>
              <w:t>75</w:t>
            </w:r>
          </w:p>
        </w:tc>
        <w:tc>
          <w:tcPr>
            <w:tcW w:w="1134" w:type="dxa"/>
            <w:tcBorders>
              <w:top w:val="nil"/>
              <w:left w:val="nil"/>
              <w:bottom w:val="single" w:sz="4" w:space="0" w:color="auto"/>
              <w:right w:val="single" w:sz="4" w:space="0" w:color="auto"/>
            </w:tcBorders>
            <w:shd w:val="clear" w:color="auto" w:fill="auto"/>
            <w:vAlign w:val="center"/>
            <w:hideMark/>
          </w:tcPr>
          <w:p w14:paraId="1A2EB978" w14:textId="29CF3DF3" w:rsidR="005639DC" w:rsidRPr="00D67206" w:rsidRDefault="007448C3" w:rsidP="00C74784">
            <w:pPr>
              <w:jc w:val="center"/>
              <w:rPr>
                <w:rFonts w:ascii="Arial" w:hAnsi="Arial" w:cs="Arial"/>
                <w:color w:val="000000"/>
              </w:rPr>
            </w:pPr>
            <w:r>
              <w:rPr>
                <w:rFonts w:ascii="Arial" w:hAnsi="Arial" w:cs="Arial"/>
                <w:color w:val="000000"/>
              </w:rPr>
              <w:t>75</w:t>
            </w:r>
          </w:p>
        </w:tc>
        <w:tc>
          <w:tcPr>
            <w:tcW w:w="1134" w:type="dxa"/>
            <w:tcBorders>
              <w:top w:val="nil"/>
              <w:left w:val="nil"/>
              <w:bottom w:val="single" w:sz="4" w:space="0" w:color="auto"/>
              <w:right w:val="single" w:sz="4" w:space="0" w:color="auto"/>
            </w:tcBorders>
            <w:shd w:val="clear" w:color="auto" w:fill="auto"/>
            <w:vAlign w:val="center"/>
            <w:hideMark/>
          </w:tcPr>
          <w:p w14:paraId="0D8DE247" w14:textId="06ED79F9" w:rsidR="005639DC" w:rsidRPr="00D67206" w:rsidRDefault="002C1AF9" w:rsidP="00C74784">
            <w:pPr>
              <w:jc w:val="center"/>
              <w:rPr>
                <w:rFonts w:ascii="Arial" w:hAnsi="Arial" w:cs="Arial"/>
                <w:color w:val="000000"/>
              </w:rPr>
            </w:pPr>
            <w:r>
              <w:rPr>
                <w:rFonts w:ascii="Arial" w:hAnsi="Arial" w:cs="Arial"/>
                <w:color w:val="000000"/>
              </w:rPr>
              <w:t>75</w:t>
            </w:r>
          </w:p>
        </w:tc>
        <w:tc>
          <w:tcPr>
            <w:tcW w:w="1134" w:type="dxa"/>
            <w:tcBorders>
              <w:top w:val="nil"/>
              <w:left w:val="nil"/>
              <w:bottom w:val="single" w:sz="4" w:space="0" w:color="auto"/>
              <w:right w:val="single" w:sz="4" w:space="0" w:color="auto"/>
            </w:tcBorders>
            <w:shd w:val="clear" w:color="auto" w:fill="auto"/>
            <w:noWrap/>
            <w:vAlign w:val="center"/>
            <w:hideMark/>
          </w:tcPr>
          <w:p w14:paraId="172E7252" w14:textId="5097629F" w:rsidR="005639DC" w:rsidRPr="00D67206" w:rsidRDefault="002B0414" w:rsidP="00C74784">
            <w:pPr>
              <w:jc w:val="center"/>
              <w:rPr>
                <w:rFonts w:ascii="Arial" w:hAnsi="Arial" w:cs="Arial"/>
                <w:color w:val="000000"/>
              </w:rPr>
            </w:pPr>
            <w:r>
              <w:rPr>
                <w:rFonts w:ascii="Arial" w:hAnsi="Arial" w:cs="Arial"/>
                <w:color w:val="000000"/>
              </w:rPr>
              <w:t>75</w:t>
            </w:r>
          </w:p>
        </w:tc>
        <w:tc>
          <w:tcPr>
            <w:tcW w:w="1134" w:type="dxa"/>
            <w:tcBorders>
              <w:top w:val="nil"/>
              <w:left w:val="nil"/>
              <w:bottom w:val="single" w:sz="4" w:space="0" w:color="auto"/>
              <w:right w:val="single" w:sz="4" w:space="0" w:color="auto"/>
            </w:tcBorders>
            <w:shd w:val="clear" w:color="auto" w:fill="auto"/>
            <w:noWrap/>
            <w:vAlign w:val="center"/>
            <w:hideMark/>
          </w:tcPr>
          <w:p w14:paraId="6BE473ED" w14:textId="5AAF3F22" w:rsidR="005639DC" w:rsidRPr="00D67206" w:rsidRDefault="00BC0003" w:rsidP="00C74784">
            <w:pPr>
              <w:jc w:val="center"/>
              <w:rPr>
                <w:rFonts w:ascii="Arial" w:hAnsi="Arial" w:cs="Arial"/>
                <w:color w:val="000000"/>
              </w:rPr>
            </w:pPr>
            <w:r>
              <w:rPr>
                <w:rFonts w:ascii="Arial" w:hAnsi="Arial" w:cs="Arial"/>
                <w:color w:val="000000"/>
              </w:rPr>
              <w:t>75</w:t>
            </w:r>
          </w:p>
        </w:tc>
        <w:tc>
          <w:tcPr>
            <w:tcW w:w="1134" w:type="dxa"/>
            <w:tcBorders>
              <w:top w:val="nil"/>
              <w:left w:val="nil"/>
              <w:bottom w:val="single" w:sz="4" w:space="0" w:color="auto"/>
              <w:right w:val="single" w:sz="4" w:space="0" w:color="auto"/>
            </w:tcBorders>
            <w:shd w:val="clear" w:color="auto" w:fill="auto"/>
            <w:noWrap/>
            <w:vAlign w:val="center"/>
            <w:hideMark/>
          </w:tcPr>
          <w:p w14:paraId="36403785" w14:textId="1015DF3C" w:rsidR="005639DC" w:rsidRPr="00D67206" w:rsidRDefault="00785296" w:rsidP="00C74784">
            <w:pPr>
              <w:jc w:val="center"/>
              <w:rPr>
                <w:rFonts w:ascii="Arial" w:hAnsi="Arial" w:cs="Arial"/>
                <w:color w:val="000000"/>
              </w:rPr>
            </w:pPr>
            <w:r>
              <w:rPr>
                <w:rFonts w:ascii="Arial" w:hAnsi="Arial" w:cs="Arial"/>
                <w:color w:val="000000"/>
              </w:rPr>
              <w:t>75</w:t>
            </w:r>
          </w:p>
        </w:tc>
      </w:tr>
      <w:tr w:rsidR="004C5678" w:rsidRPr="00D83A02" w14:paraId="50F9D990" w14:textId="77777777" w:rsidTr="00C74784">
        <w:trPr>
          <w:trHeight w:val="300"/>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5CC03211" w14:textId="77777777" w:rsidR="005639DC" w:rsidRPr="00D67206" w:rsidRDefault="005639DC" w:rsidP="00C74784">
            <w:pPr>
              <w:jc w:val="center"/>
              <w:rPr>
                <w:rFonts w:ascii="Arial" w:hAnsi="Arial" w:cs="Arial"/>
                <w:b/>
                <w:bCs/>
                <w:color w:val="000000"/>
              </w:rPr>
            </w:pPr>
            <w:r w:rsidRPr="00D67206">
              <w:rPr>
                <w:rFonts w:ascii="Arial" w:hAnsi="Arial" w:cs="Arial"/>
                <w:b/>
                <w:bCs/>
                <w:color w:val="000000"/>
              </w:rPr>
              <w:t>Max. hodnota</w:t>
            </w:r>
          </w:p>
        </w:tc>
        <w:tc>
          <w:tcPr>
            <w:tcW w:w="1134" w:type="dxa"/>
            <w:tcBorders>
              <w:top w:val="nil"/>
              <w:left w:val="nil"/>
              <w:bottom w:val="single" w:sz="4" w:space="0" w:color="auto"/>
              <w:right w:val="single" w:sz="4" w:space="0" w:color="auto"/>
            </w:tcBorders>
            <w:shd w:val="clear" w:color="auto" w:fill="auto"/>
            <w:vAlign w:val="center"/>
            <w:hideMark/>
          </w:tcPr>
          <w:p w14:paraId="544D9077" w14:textId="4A2A0DBF" w:rsidR="005639DC" w:rsidRPr="00364FAA" w:rsidRDefault="00FF3678" w:rsidP="00C74784">
            <w:pPr>
              <w:jc w:val="center"/>
              <w:rPr>
                <w:rFonts w:ascii="Arial" w:hAnsi="Arial" w:cs="Arial"/>
                <w:color w:val="000000"/>
              </w:rPr>
            </w:pPr>
            <w:r w:rsidRPr="00364FAA">
              <w:rPr>
                <w:rFonts w:ascii="Arial" w:hAnsi="Arial" w:cs="Arial"/>
                <w:color w:val="000000"/>
              </w:rPr>
              <w:t>103</w:t>
            </w:r>
          </w:p>
        </w:tc>
        <w:tc>
          <w:tcPr>
            <w:tcW w:w="1134" w:type="dxa"/>
            <w:tcBorders>
              <w:top w:val="nil"/>
              <w:left w:val="nil"/>
              <w:bottom w:val="single" w:sz="4" w:space="0" w:color="auto"/>
              <w:right w:val="single" w:sz="4" w:space="0" w:color="auto"/>
            </w:tcBorders>
            <w:shd w:val="clear" w:color="auto" w:fill="auto"/>
            <w:vAlign w:val="center"/>
            <w:hideMark/>
          </w:tcPr>
          <w:p w14:paraId="3EABFA59" w14:textId="5472E176" w:rsidR="005639DC" w:rsidRPr="007448C3" w:rsidRDefault="007448C3" w:rsidP="00C74784">
            <w:pPr>
              <w:jc w:val="center"/>
              <w:rPr>
                <w:rFonts w:ascii="Arial" w:hAnsi="Arial" w:cs="Arial"/>
                <w:color w:val="000000"/>
              </w:rPr>
            </w:pPr>
            <w:r w:rsidRPr="007448C3">
              <w:rPr>
                <w:rFonts w:ascii="Arial" w:hAnsi="Arial" w:cs="Arial"/>
                <w:color w:val="000000"/>
              </w:rPr>
              <w:t>98</w:t>
            </w:r>
          </w:p>
        </w:tc>
        <w:tc>
          <w:tcPr>
            <w:tcW w:w="1134" w:type="dxa"/>
            <w:tcBorders>
              <w:top w:val="nil"/>
              <w:left w:val="nil"/>
              <w:bottom w:val="single" w:sz="4" w:space="0" w:color="auto"/>
              <w:right w:val="single" w:sz="4" w:space="0" w:color="auto"/>
            </w:tcBorders>
            <w:shd w:val="clear" w:color="auto" w:fill="auto"/>
            <w:vAlign w:val="center"/>
            <w:hideMark/>
          </w:tcPr>
          <w:p w14:paraId="66B00F5B" w14:textId="1823329A" w:rsidR="005639DC" w:rsidRPr="002C1AF9" w:rsidRDefault="002C1AF9" w:rsidP="00C74784">
            <w:pPr>
              <w:jc w:val="center"/>
              <w:rPr>
                <w:rFonts w:ascii="Arial" w:hAnsi="Arial" w:cs="Arial"/>
                <w:color w:val="000000"/>
              </w:rPr>
            </w:pPr>
            <w:r w:rsidRPr="002C1AF9">
              <w:rPr>
                <w:rFonts w:ascii="Arial" w:hAnsi="Arial" w:cs="Arial"/>
                <w:color w:val="000000"/>
              </w:rPr>
              <w:t>103</w:t>
            </w:r>
          </w:p>
        </w:tc>
        <w:tc>
          <w:tcPr>
            <w:tcW w:w="1134" w:type="dxa"/>
            <w:tcBorders>
              <w:top w:val="nil"/>
              <w:left w:val="nil"/>
              <w:bottom w:val="single" w:sz="4" w:space="0" w:color="auto"/>
              <w:right w:val="single" w:sz="4" w:space="0" w:color="auto"/>
            </w:tcBorders>
            <w:shd w:val="clear" w:color="auto" w:fill="auto"/>
            <w:noWrap/>
            <w:vAlign w:val="center"/>
            <w:hideMark/>
          </w:tcPr>
          <w:p w14:paraId="0B4A0CE6" w14:textId="59BECE25" w:rsidR="005639DC" w:rsidRPr="00D67206" w:rsidRDefault="00232D59" w:rsidP="00C74784">
            <w:pPr>
              <w:jc w:val="center"/>
              <w:rPr>
                <w:rFonts w:ascii="Arial" w:hAnsi="Arial" w:cs="Arial"/>
                <w:color w:val="000000"/>
              </w:rPr>
            </w:pPr>
            <w:r>
              <w:rPr>
                <w:rFonts w:ascii="Arial" w:hAnsi="Arial" w:cs="Arial"/>
                <w:color w:val="000000"/>
              </w:rPr>
              <w:t>101</w:t>
            </w:r>
          </w:p>
        </w:tc>
        <w:tc>
          <w:tcPr>
            <w:tcW w:w="1134" w:type="dxa"/>
            <w:tcBorders>
              <w:top w:val="nil"/>
              <w:left w:val="nil"/>
              <w:bottom w:val="single" w:sz="4" w:space="0" w:color="auto"/>
              <w:right w:val="single" w:sz="4" w:space="0" w:color="auto"/>
            </w:tcBorders>
            <w:shd w:val="clear" w:color="auto" w:fill="auto"/>
            <w:noWrap/>
            <w:vAlign w:val="center"/>
            <w:hideMark/>
          </w:tcPr>
          <w:p w14:paraId="32DD8A2E" w14:textId="07F754E9" w:rsidR="005639DC" w:rsidRPr="00D67206" w:rsidRDefault="00BC0003" w:rsidP="00C74784">
            <w:pPr>
              <w:jc w:val="center"/>
              <w:rPr>
                <w:rFonts w:ascii="Arial" w:hAnsi="Arial" w:cs="Arial"/>
                <w:color w:val="000000"/>
              </w:rPr>
            </w:pPr>
            <w:r>
              <w:rPr>
                <w:rFonts w:ascii="Arial" w:hAnsi="Arial" w:cs="Arial"/>
                <w:color w:val="000000"/>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780ACA25" w14:textId="36811E99" w:rsidR="005639DC" w:rsidRPr="00D67206" w:rsidRDefault="00785296" w:rsidP="00C74784">
            <w:pPr>
              <w:jc w:val="center"/>
              <w:rPr>
                <w:rFonts w:ascii="Arial" w:hAnsi="Arial" w:cs="Arial"/>
                <w:color w:val="000000"/>
              </w:rPr>
            </w:pPr>
            <w:r>
              <w:rPr>
                <w:rFonts w:ascii="Arial" w:hAnsi="Arial" w:cs="Arial"/>
                <w:color w:val="000000"/>
              </w:rPr>
              <w:t>101</w:t>
            </w:r>
          </w:p>
        </w:tc>
      </w:tr>
      <w:tr w:rsidR="004C5678" w:rsidRPr="00D83A02" w14:paraId="1EE88C4D" w14:textId="77777777" w:rsidTr="00C74784">
        <w:trPr>
          <w:trHeight w:val="294"/>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1C1C475A" w14:textId="77777777" w:rsidR="005639DC" w:rsidRPr="00D67206" w:rsidRDefault="005639DC" w:rsidP="00C74784">
            <w:pPr>
              <w:jc w:val="center"/>
              <w:rPr>
                <w:rFonts w:ascii="Arial" w:hAnsi="Arial" w:cs="Arial"/>
                <w:b/>
                <w:bCs/>
                <w:color w:val="000000"/>
              </w:rPr>
            </w:pPr>
            <w:r w:rsidRPr="00D67206">
              <w:rPr>
                <w:rFonts w:ascii="Arial" w:hAnsi="Arial" w:cs="Arial"/>
                <w:b/>
                <w:bCs/>
                <w:color w:val="000000"/>
              </w:rPr>
              <w:t>Směrodatná odchylka</w:t>
            </w:r>
          </w:p>
        </w:tc>
        <w:tc>
          <w:tcPr>
            <w:tcW w:w="1134" w:type="dxa"/>
            <w:tcBorders>
              <w:top w:val="nil"/>
              <w:left w:val="nil"/>
              <w:bottom w:val="single" w:sz="4" w:space="0" w:color="auto"/>
              <w:right w:val="single" w:sz="4" w:space="0" w:color="auto"/>
            </w:tcBorders>
            <w:shd w:val="clear" w:color="auto" w:fill="auto"/>
            <w:noWrap/>
            <w:vAlign w:val="center"/>
            <w:hideMark/>
          </w:tcPr>
          <w:p w14:paraId="03E9F99A" w14:textId="53305EF7" w:rsidR="005639DC" w:rsidRPr="00D67206" w:rsidRDefault="00AA5ED5" w:rsidP="00C74784">
            <w:pPr>
              <w:jc w:val="center"/>
              <w:rPr>
                <w:rFonts w:ascii="Arial" w:hAnsi="Arial" w:cs="Arial"/>
                <w:color w:val="000000"/>
              </w:rPr>
            </w:pPr>
            <w:r>
              <w:rPr>
                <w:rFonts w:ascii="Arial" w:hAnsi="Arial" w:cs="Arial"/>
                <w:color w:val="000000"/>
              </w:rPr>
              <w:t>5,904</w:t>
            </w:r>
          </w:p>
        </w:tc>
        <w:tc>
          <w:tcPr>
            <w:tcW w:w="1134" w:type="dxa"/>
            <w:tcBorders>
              <w:top w:val="nil"/>
              <w:left w:val="nil"/>
              <w:bottom w:val="single" w:sz="4" w:space="0" w:color="auto"/>
              <w:right w:val="single" w:sz="4" w:space="0" w:color="auto"/>
            </w:tcBorders>
            <w:shd w:val="clear" w:color="auto" w:fill="auto"/>
            <w:noWrap/>
            <w:vAlign w:val="center"/>
            <w:hideMark/>
          </w:tcPr>
          <w:p w14:paraId="42193B5F" w14:textId="7ED0A646" w:rsidR="005639DC" w:rsidRPr="00D67206" w:rsidRDefault="007448C3" w:rsidP="00C74784">
            <w:pPr>
              <w:jc w:val="center"/>
              <w:rPr>
                <w:rFonts w:ascii="Arial" w:hAnsi="Arial" w:cs="Arial"/>
                <w:color w:val="000000"/>
              </w:rPr>
            </w:pPr>
            <w:r>
              <w:rPr>
                <w:rFonts w:ascii="Arial" w:hAnsi="Arial" w:cs="Arial"/>
                <w:color w:val="000000"/>
              </w:rPr>
              <w:t>5,911</w:t>
            </w:r>
          </w:p>
        </w:tc>
        <w:tc>
          <w:tcPr>
            <w:tcW w:w="1134" w:type="dxa"/>
            <w:tcBorders>
              <w:top w:val="nil"/>
              <w:left w:val="nil"/>
              <w:bottom w:val="single" w:sz="4" w:space="0" w:color="auto"/>
              <w:right w:val="single" w:sz="4" w:space="0" w:color="auto"/>
            </w:tcBorders>
            <w:shd w:val="clear" w:color="auto" w:fill="auto"/>
            <w:noWrap/>
            <w:vAlign w:val="center"/>
            <w:hideMark/>
          </w:tcPr>
          <w:p w14:paraId="5D078EB7" w14:textId="03EEAD0B" w:rsidR="005639DC" w:rsidRPr="00D67206" w:rsidRDefault="002C1AF9" w:rsidP="00C74784">
            <w:pPr>
              <w:jc w:val="center"/>
              <w:rPr>
                <w:rFonts w:ascii="Arial" w:hAnsi="Arial" w:cs="Arial"/>
                <w:color w:val="000000"/>
              </w:rPr>
            </w:pPr>
            <w:r>
              <w:rPr>
                <w:rFonts w:ascii="Arial" w:hAnsi="Arial" w:cs="Arial"/>
                <w:color w:val="000000"/>
              </w:rPr>
              <w:t>5,848</w:t>
            </w:r>
          </w:p>
        </w:tc>
        <w:tc>
          <w:tcPr>
            <w:tcW w:w="1134" w:type="dxa"/>
            <w:tcBorders>
              <w:top w:val="nil"/>
              <w:left w:val="nil"/>
              <w:bottom w:val="single" w:sz="4" w:space="0" w:color="auto"/>
              <w:right w:val="single" w:sz="4" w:space="0" w:color="auto"/>
            </w:tcBorders>
            <w:shd w:val="clear" w:color="auto" w:fill="auto"/>
            <w:noWrap/>
            <w:vAlign w:val="center"/>
            <w:hideMark/>
          </w:tcPr>
          <w:p w14:paraId="05FAEF35" w14:textId="185418AB" w:rsidR="005639DC" w:rsidRPr="00D67206" w:rsidRDefault="00232D59" w:rsidP="00C74784">
            <w:pPr>
              <w:jc w:val="center"/>
              <w:rPr>
                <w:rFonts w:ascii="Arial" w:hAnsi="Arial" w:cs="Arial"/>
                <w:color w:val="000000"/>
              </w:rPr>
            </w:pPr>
            <w:r>
              <w:rPr>
                <w:rFonts w:ascii="Arial" w:hAnsi="Arial" w:cs="Arial"/>
                <w:color w:val="000000"/>
              </w:rPr>
              <w:t>5,592</w:t>
            </w:r>
          </w:p>
        </w:tc>
        <w:tc>
          <w:tcPr>
            <w:tcW w:w="1134" w:type="dxa"/>
            <w:tcBorders>
              <w:top w:val="nil"/>
              <w:left w:val="nil"/>
              <w:bottom w:val="single" w:sz="4" w:space="0" w:color="auto"/>
              <w:right w:val="single" w:sz="4" w:space="0" w:color="auto"/>
            </w:tcBorders>
            <w:shd w:val="clear" w:color="auto" w:fill="auto"/>
            <w:noWrap/>
            <w:vAlign w:val="center"/>
            <w:hideMark/>
          </w:tcPr>
          <w:p w14:paraId="06B766E0" w14:textId="6D430719" w:rsidR="005639DC" w:rsidRPr="00D67206" w:rsidRDefault="00BC0003" w:rsidP="00C74784">
            <w:pPr>
              <w:jc w:val="center"/>
              <w:rPr>
                <w:rFonts w:ascii="Arial" w:hAnsi="Arial" w:cs="Arial"/>
                <w:color w:val="000000"/>
              </w:rPr>
            </w:pPr>
            <w:r>
              <w:rPr>
                <w:rFonts w:ascii="Arial" w:hAnsi="Arial" w:cs="Arial"/>
                <w:color w:val="000000"/>
              </w:rPr>
              <w:t>5,332</w:t>
            </w:r>
          </w:p>
        </w:tc>
        <w:tc>
          <w:tcPr>
            <w:tcW w:w="1134" w:type="dxa"/>
            <w:tcBorders>
              <w:top w:val="nil"/>
              <w:left w:val="nil"/>
              <w:bottom w:val="single" w:sz="4" w:space="0" w:color="auto"/>
              <w:right w:val="single" w:sz="4" w:space="0" w:color="auto"/>
            </w:tcBorders>
            <w:shd w:val="clear" w:color="auto" w:fill="auto"/>
            <w:noWrap/>
            <w:vAlign w:val="center"/>
            <w:hideMark/>
          </w:tcPr>
          <w:p w14:paraId="44F24FB4" w14:textId="3F744604" w:rsidR="005639DC" w:rsidRPr="00D67206" w:rsidRDefault="002F07E0" w:rsidP="00C74784">
            <w:pPr>
              <w:jc w:val="center"/>
              <w:rPr>
                <w:rFonts w:ascii="Arial" w:hAnsi="Arial" w:cs="Arial"/>
                <w:color w:val="000000"/>
              </w:rPr>
            </w:pPr>
            <w:r>
              <w:rPr>
                <w:rFonts w:ascii="Arial" w:hAnsi="Arial" w:cs="Arial"/>
                <w:color w:val="000000"/>
              </w:rPr>
              <w:t>5,689</w:t>
            </w:r>
          </w:p>
        </w:tc>
      </w:tr>
      <w:bookmarkEnd w:id="33"/>
    </w:tbl>
    <w:p w14:paraId="01B4B7C2" w14:textId="77777777" w:rsidR="00673DE3" w:rsidRDefault="00673DE3" w:rsidP="004135F7">
      <w:pPr>
        <w:pStyle w:val="Popisobrzku"/>
      </w:pPr>
    </w:p>
    <w:p w14:paraId="14D39C13" w14:textId="16F4C260" w:rsidR="001A0B74" w:rsidRDefault="00BA5B2B" w:rsidP="00673DE3">
      <w:pPr>
        <w:pStyle w:val="Dalodstavce"/>
        <w:ind w:firstLine="0"/>
      </w:pPr>
      <w:r w:rsidRPr="00BA5B2B">
        <w:t>Mírné snížení průměrného věku naznačuje, že v meziročním srovnání došlo k omlazení analyzovaného vzorku pacientů. Muži měli nižší průměrný věk než ženy, což odpovídá demografickým trendům. Věkové rozmezí pacientů se mírně zmenšilo, což ukazuje na menší variabilitu oproti roku 2019. Veškeré hodnoty jsou uvedeny v Tabulce 4.</w:t>
      </w:r>
      <w:r w:rsidR="00C9365D">
        <w:t xml:space="preserve"> </w:t>
      </w:r>
      <w:r w:rsidR="00C9365D" w:rsidRPr="00C9365D">
        <w:t>Zjištěný meziroční rozdíl v průměrném věku však podle použitého</w:t>
      </w:r>
      <w:r w:rsidR="00673DE3">
        <w:t xml:space="preserve"> </w:t>
      </w:r>
      <w:r w:rsidR="00C9365D" w:rsidRPr="00C9365D">
        <w:t>t-testu nebyl statisticky významný (p=0,059)</w:t>
      </w:r>
      <w:r w:rsidR="00C9365D">
        <w:t>.</w:t>
      </w:r>
    </w:p>
    <w:p w14:paraId="58877DE5" w14:textId="77777777" w:rsidR="002F7F23" w:rsidRDefault="002F7F23" w:rsidP="004C0A8E">
      <w:pPr>
        <w:pStyle w:val="Dalodstavce"/>
        <w:spacing w:after="240" w:line="260" w:lineRule="atLeast"/>
        <w:ind w:firstLine="0"/>
        <w:rPr>
          <w:lang w:eastAsia="sk-SK"/>
        </w:rPr>
      </w:pPr>
    </w:p>
    <w:p w14:paraId="250831C2" w14:textId="223E675D" w:rsidR="002F7F23" w:rsidRDefault="002F7F23" w:rsidP="002F7F23">
      <w:pPr>
        <w:pStyle w:val="Titulektabulky"/>
      </w:pPr>
      <w:bookmarkStart w:id="37" w:name="_Toc195517130"/>
      <w:r>
        <w:lastRenderedPageBreak/>
        <w:t xml:space="preserve">Tab. </w:t>
      </w:r>
      <w:fldSimple w:instr=" SEQ Tab. \* ARABIC ">
        <w:r w:rsidR="0022490D">
          <w:rPr>
            <w:noProof/>
          </w:rPr>
          <w:t>5</w:t>
        </w:r>
      </w:fldSimple>
      <w:r>
        <w:t xml:space="preserve">: Věk a pohlaví pacientů </w:t>
      </w:r>
      <w:r w:rsidR="00A26E47">
        <w:t xml:space="preserve">ve věku </w:t>
      </w:r>
      <w:r w:rsidR="00765044">
        <w:t>75</w:t>
      </w:r>
      <w:r w:rsidR="00A26E47">
        <w:t xml:space="preserve"> a více let </w:t>
      </w:r>
      <w:r>
        <w:t>ošetřených na NUP FN Brno v letech 2019 a</w:t>
      </w:r>
      <w:r w:rsidR="00A26E47">
        <w:t> </w:t>
      </w:r>
      <w:r>
        <w:t>2023 (řádková %</w:t>
      </w:r>
      <w:r w:rsidR="00E23011">
        <w:t xml:space="preserve">; </w:t>
      </w:r>
      <w:r w:rsidR="00E23011" w:rsidRPr="00E23011">
        <w:t>*</w:t>
      </w:r>
      <w:proofErr w:type="gramStart"/>
      <w:r w:rsidR="00E23011" w:rsidRPr="00E23011">
        <w:t>N</w:t>
      </w:r>
      <w:r w:rsidR="00F6560B" w:rsidRPr="00F6560B">
        <w:rPr>
          <w:vertAlign w:val="subscript"/>
        </w:rPr>
        <w:t>(2019)</w:t>
      </w:r>
      <w:r w:rsidR="00E23011" w:rsidRPr="00E23011">
        <w:t>=</w:t>
      </w:r>
      <w:proofErr w:type="gramEnd"/>
      <w:r w:rsidR="00E23011" w:rsidRPr="00E23011">
        <w:t>509; **</w:t>
      </w:r>
      <w:proofErr w:type="gramStart"/>
      <w:r w:rsidR="00E23011" w:rsidRPr="00E23011">
        <w:t>N</w:t>
      </w:r>
      <w:r w:rsidR="00E23011" w:rsidRPr="00F6560B">
        <w:rPr>
          <w:vertAlign w:val="subscript"/>
        </w:rPr>
        <w:t>(2023)</w:t>
      </w:r>
      <w:r w:rsidR="00E23011" w:rsidRPr="00E23011">
        <w:t>=</w:t>
      </w:r>
      <w:proofErr w:type="gramEnd"/>
      <w:r w:rsidR="00E23011" w:rsidRPr="00E23011">
        <w:t>598</w:t>
      </w:r>
      <w:r>
        <w:t>)</w:t>
      </w:r>
      <w:bookmarkEnd w:id="37"/>
    </w:p>
    <w:tbl>
      <w:tblPr>
        <w:tblW w:w="8784" w:type="dxa"/>
        <w:tblCellMar>
          <w:left w:w="70" w:type="dxa"/>
          <w:right w:w="70" w:type="dxa"/>
        </w:tblCellMar>
        <w:tblLook w:val="04A0" w:firstRow="1" w:lastRow="0" w:firstColumn="1" w:lastColumn="0" w:noHBand="0" w:noVBand="1"/>
      </w:tblPr>
      <w:tblGrid>
        <w:gridCol w:w="1555"/>
        <w:gridCol w:w="1896"/>
        <w:gridCol w:w="954"/>
        <w:gridCol w:w="851"/>
        <w:gridCol w:w="1843"/>
        <w:gridCol w:w="834"/>
        <w:gridCol w:w="851"/>
      </w:tblGrid>
      <w:tr w:rsidR="002F7F23" w:rsidRPr="00694891" w14:paraId="251DB603" w14:textId="77777777" w:rsidTr="00BE2C6F">
        <w:trPr>
          <w:trHeight w:val="308"/>
          <w:tblHeader/>
        </w:trPr>
        <w:tc>
          <w:tcPr>
            <w:tcW w:w="1555"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4669A6E2" w14:textId="77777777" w:rsidR="002F7F23" w:rsidRDefault="002F7F23" w:rsidP="009438AD">
            <w:pPr>
              <w:jc w:val="center"/>
              <w:rPr>
                <w:rFonts w:ascii="Arial" w:hAnsi="Arial" w:cs="Arial"/>
                <w:b/>
                <w:bCs/>
                <w:color w:val="000000"/>
              </w:rPr>
            </w:pPr>
            <w:r w:rsidRPr="00694891">
              <w:rPr>
                <w:rFonts w:ascii="Arial" w:hAnsi="Arial" w:cs="Arial"/>
                <w:b/>
                <w:bCs/>
                <w:color w:val="000000"/>
              </w:rPr>
              <w:t xml:space="preserve">Věkové </w:t>
            </w:r>
          </w:p>
          <w:p w14:paraId="5E3409E9" w14:textId="77777777" w:rsidR="002F7F23" w:rsidRDefault="002F7F23" w:rsidP="009438AD">
            <w:pPr>
              <w:jc w:val="center"/>
              <w:rPr>
                <w:rFonts w:ascii="Arial" w:hAnsi="Arial" w:cs="Arial"/>
                <w:b/>
                <w:bCs/>
                <w:color w:val="000000"/>
              </w:rPr>
            </w:pPr>
            <w:r w:rsidRPr="00694891">
              <w:rPr>
                <w:rFonts w:ascii="Arial" w:hAnsi="Arial" w:cs="Arial"/>
                <w:b/>
                <w:bCs/>
                <w:color w:val="000000"/>
              </w:rPr>
              <w:t xml:space="preserve">kategorie </w:t>
            </w:r>
          </w:p>
          <w:p w14:paraId="0D6D195F" w14:textId="77777777" w:rsidR="002F7F23" w:rsidRPr="00694891" w:rsidRDefault="002F7F23" w:rsidP="009438AD">
            <w:pPr>
              <w:jc w:val="center"/>
              <w:rPr>
                <w:rFonts w:ascii="Arial" w:hAnsi="Arial" w:cs="Arial"/>
                <w:b/>
                <w:bCs/>
                <w:color w:val="000000"/>
              </w:rPr>
            </w:pPr>
            <w:r w:rsidRPr="00694891">
              <w:rPr>
                <w:rFonts w:ascii="Arial" w:hAnsi="Arial" w:cs="Arial"/>
                <w:b/>
                <w:bCs/>
                <w:color w:val="000000"/>
              </w:rPr>
              <w:t>a pohlaví</w:t>
            </w:r>
          </w:p>
        </w:tc>
        <w:tc>
          <w:tcPr>
            <w:tcW w:w="3701" w:type="dxa"/>
            <w:gridSpan w:val="3"/>
            <w:tcBorders>
              <w:top w:val="single" w:sz="4" w:space="0" w:color="auto"/>
              <w:left w:val="nil"/>
              <w:bottom w:val="single" w:sz="4" w:space="0" w:color="auto"/>
              <w:right w:val="single" w:sz="4" w:space="0" w:color="auto"/>
            </w:tcBorders>
            <w:shd w:val="clear" w:color="000000" w:fill="DDEBF7"/>
            <w:vAlign w:val="center"/>
            <w:hideMark/>
          </w:tcPr>
          <w:p w14:paraId="2D73104E" w14:textId="04609A7E" w:rsidR="002F7F23" w:rsidRPr="00694891" w:rsidRDefault="00F711DD" w:rsidP="009438AD">
            <w:pPr>
              <w:jc w:val="center"/>
              <w:rPr>
                <w:rFonts w:ascii="Arial" w:hAnsi="Arial" w:cs="Arial"/>
                <w:b/>
                <w:bCs/>
                <w:color w:val="000000"/>
              </w:rPr>
            </w:pPr>
            <w:r>
              <w:rPr>
                <w:rFonts w:ascii="Arial" w:hAnsi="Arial" w:cs="Arial"/>
                <w:b/>
                <w:bCs/>
                <w:color w:val="000000"/>
              </w:rPr>
              <w:t>*</w:t>
            </w:r>
            <w:r w:rsidR="002F7F23">
              <w:rPr>
                <w:rFonts w:ascii="Arial" w:hAnsi="Arial" w:cs="Arial"/>
                <w:b/>
                <w:bCs/>
                <w:color w:val="000000"/>
              </w:rPr>
              <w:t>R</w:t>
            </w:r>
            <w:r w:rsidR="002F7F23" w:rsidRPr="00694891">
              <w:rPr>
                <w:rFonts w:ascii="Arial" w:hAnsi="Arial" w:cs="Arial"/>
                <w:b/>
                <w:bCs/>
                <w:color w:val="000000"/>
              </w:rPr>
              <w:t>ok 2019</w:t>
            </w:r>
          </w:p>
        </w:tc>
        <w:tc>
          <w:tcPr>
            <w:tcW w:w="3528" w:type="dxa"/>
            <w:gridSpan w:val="3"/>
            <w:tcBorders>
              <w:top w:val="single" w:sz="4" w:space="0" w:color="auto"/>
              <w:left w:val="nil"/>
              <w:bottom w:val="single" w:sz="4" w:space="0" w:color="auto"/>
              <w:right w:val="single" w:sz="4" w:space="0" w:color="auto"/>
            </w:tcBorders>
            <w:shd w:val="clear" w:color="000000" w:fill="DDEBF7"/>
            <w:vAlign w:val="center"/>
            <w:hideMark/>
          </w:tcPr>
          <w:p w14:paraId="32453C0E" w14:textId="04DEA1F6" w:rsidR="002F7F23" w:rsidRPr="00694891" w:rsidRDefault="00F711DD" w:rsidP="009438AD">
            <w:pPr>
              <w:jc w:val="center"/>
              <w:rPr>
                <w:rFonts w:ascii="Arial" w:hAnsi="Arial" w:cs="Arial"/>
                <w:b/>
                <w:bCs/>
                <w:color w:val="000000"/>
              </w:rPr>
            </w:pPr>
            <w:r>
              <w:rPr>
                <w:rFonts w:ascii="Arial" w:hAnsi="Arial" w:cs="Arial"/>
                <w:b/>
                <w:bCs/>
                <w:color w:val="000000"/>
              </w:rPr>
              <w:t>**</w:t>
            </w:r>
            <w:r w:rsidR="002F7F23">
              <w:rPr>
                <w:rFonts w:ascii="Arial" w:hAnsi="Arial" w:cs="Arial"/>
                <w:b/>
                <w:bCs/>
                <w:color w:val="000000"/>
              </w:rPr>
              <w:t>R</w:t>
            </w:r>
            <w:r w:rsidR="002F7F23" w:rsidRPr="00694891">
              <w:rPr>
                <w:rFonts w:ascii="Arial" w:hAnsi="Arial" w:cs="Arial"/>
                <w:b/>
                <w:bCs/>
                <w:color w:val="000000"/>
              </w:rPr>
              <w:t>ok 2023</w:t>
            </w:r>
          </w:p>
        </w:tc>
      </w:tr>
      <w:tr w:rsidR="002F7F23" w:rsidRPr="00694891" w14:paraId="2FDA8359" w14:textId="77777777" w:rsidTr="00BE2C6F">
        <w:trPr>
          <w:trHeight w:val="285"/>
          <w:tblHeader/>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7FDC4B28" w14:textId="77777777" w:rsidR="002F7F23" w:rsidRPr="00694891" w:rsidRDefault="002F7F23" w:rsidP="009438AD">
            <w:pPr>
              <w:rPr>
                <w:rFonts w:ascii="Arial" w:hAnsi="Arial" w:cs="Arial"/>
                <w:b/>
                <w:bCs/>
                <w:color w:val="000000"/>
              </w:rPr>
            </w:pPr>
          </w:p>
        </w:tc>
        <w:tc>
          <w:tcPr>
            <w:tcW w:w="1896" w:type="dxa"/>
            <w:tcBorders>
              <w:top w:val="nil"/>
              <w:left w:val="nil"/>
              <w:bottom w:val="single" w:sz="4" w:space="0" w:color="auto"/>
              <w:right w:val="single" w:sz="4" w:space="0" w:color="auto"/>
            </w:tcBorders>
            <w:shd w:val="clear" w:color="000000" w:fill="DDEBF7"/>
            <w:noWrap/>
            <w:vAlign w:val="center"/>
            <w:hideMark/>
          </w:tcPr>
          <w:p w14:paraId="413C34F8" w14:textId="77777777" w:rsidR="002F7F23" w:rsidRPr="00694891" w:rsidRDefault="002F7F23" w:rsidP="009438AD">
            <w:pPr>
              <w:jc w:val="center"/>
              <w:rPr>
                <w:rFonts w:ascii="Arial" w:hAnsi="Arial" w:cs="Arial"/>
                <w:b/>
                <w:bCs/>
                <w:color w:val="000000"/>
              </w:rPr>
            </w:pPr>
            <w:r w:rsidRPr="00694891">
              <w:rPr>
                <w:rFonts w:ascii="Arial" w:hAnsi="Arial" w:cs="Arial"/>
                <w:b/>
                <w:bCs/>
                <w:color w:val="000000"/>
              </w:rPr>
              <w:t>Celkem</w:t>
            </w:r>
          </w:p>
        </w:tc>
        <w:tc>
          <w:tcPr>
            <w:tcW w:w="954" w:type="dxa"/>
            <w:tcBorders>
              <w:top w:val="nil"/>
              <w:left w:val="nil"/>
              <w:bottom w:val="single" w:sz="4" w:space="0" w:color="auto"/>
              <w:right w:val="single" w:sz="4" w:space="0" w:color="auto"/>
            </w:tcBorders>
            <w:shd w:val="clear" w:color="000000" w:fill="DDEBF7"/>
            <w:vAlign w:val="center"/>
            <w:hideMark/>
          </w:tcPr>
          <w:p w14:paraId="3DC8D640" w14:textId="77777777" w:rsidR="002F7F23" w:rsidRPr="00694891" w:rsidRDefault="002F7F23" w:rsidP="009438AD">
            <w:pPr>
              <w:jc w:val="center"/>
              <w:rPr>
                <w:rFonts w:ascii="Arial" w:hAnsi="Arial" w:cs="Arial"/>
                <w:b/>
                <w:bCs/>
                <w:color w:val="000000"/>
              </w:rPr>
            </w:pPr>
            <w:r w:rsidRPr="00694891">
              <w:rPr>
                <w:rFonts w:ascii="Arial" w:hAnsi="Arial" w:cs="Arial"/>
                <w:b/>
                <w:bCs/>
                <w:color w:val="000000"/>
              </w:rPr>
              <w:t>Muži</w:t>
            </w:r>
          </w:p>
        </w:tc>
        <w:tc>
          <w:tcPr>
            <w:tcW w:w="851" w:type="dxa"/>
            <w:tcBorders>
              <w:top w:val="nil"/>
              <w:left w:val="nil"/>
              <w:bottom w:val="single" w:sz="4" w:space="0" w:color="auto"/>
              <w:right w:val="single" w:sz="4" w:space="0" w:color="auto"/>
            </w:tcBorders>
            <w:shd w:val="clear" w:color="000000" w:fill="DDEBF7"/>
            <w:vAlign w:val="center"/>
            <w:hideMark/>
          </w:tcPr>
          <w:p w14:paraId="5CD02C04" w14:textId="77777777" w:rsidR="002F7F23" w:rsidRPr="00694891" w:rsidRDefault="002F7F23" w:rsidP="009438AD">
            <w:pPr>
              <w:jc w:val="center"/>
              <w:rPr>
                <w:rFonts w:ascii="Arial" w:hAnsi="Arial" w:cs="Arial"/>
                <w:b/>
                <w:bCs/>
                <w:color w:val="000000"/>
              </w:rPr>
            </w:pPr>
            <w:r w:rsidRPr="00694891">
              <w:rPr>
                <w:rFonts w:ascii="Arial" w:hAnsi="Arial" w:cs="Arial"/>
                <w:b/>
                <w:bCs/>
                <w:color w:val="000000"/>
              </w:rPr>
              <w:t>Ženy</w:t>
            </w:r>
          </w:p>
        </w:tc>
        <w:tc>
          <w:tcPr>
            <w:tcW w:w="1843" w:type="dxa"/>
            <w:tcBorders>
              <w:top w:val="nil"/>
              <w:left w:val="nil"/>
              <w:bottom w:val="single" w:sz="4" w:space="0" w:color="auto"/>
              <w:right w:val="single" w:sz="4" w:space="0" w:color="auto"/>
            </w:tcBorders>
            <w:shd w:val="clear" w:color="000000" w:fill="DDEBF7"/>
            <w:noWrap/>
            <w:vAlign w:val="center"/>
            <w:hideMark/>
          </w:tcPr>
          <w:p w14:paraId="39357C55" w14:textId="77777777" w:rsidR="002F7F23" w:rsidRPr="00694891" w:rsidRDefault="002F7F23" w:rsidP="009438AD">
            <w:pPr>
              <w:jc w:val="center"/>
              <w:rPr>
                <w:rFonts w:ascii="Arial" w:hAnsi="Arial" w:cs="Arial"/>
                <w:b/>
                <w:bCs/>
                <w:color w:val="000000"/>
              </w:rPr>
            </w:pPr>
            <w:r w:rsidRPr="00694891">
              <w:rPr>
                <w:rFonts w:ascii="Arial" w:hAnsi="Arial" w:cs="Arial"/>
                <w:b/>
                <w:bCs/>
                <w:color w:val="000000"/>
              </w:rPr>
              <w:t>Celkem</w:t>
            </w:r>
          </w:p>
        </w:tc>
        <w:tc>
          <w:tcPr>
            <w:tcW w:w="834" w:type="dxa"/>
            <w:tcBorders>
              <w:top w:val="nil"/>
              <w:left w:val="nil"/>
              <w:bottom w:val="single" w:sz="4" w:space="0" w:color="auto"/>
              <w:right w:val="single" w:sz="4" w:space="0" w:color="auto"/>
            </w:tcBorders>
            <w:shd w:val="clear" w:color="000000" w:fill="DDEBF7"/>
            <w:vAlign w:val="center"/>
            <w:hideMark/>
          </w:tcPr>
          <w:p w14:paraId="53EF8B6A" w14:textId="77777777" w:rsidR="002F7F23" w:rsidRPr="00694891" w:rsidRDefault="002F7F23" w:rsidP="009438AD">
            <w:pPr>
              <w:jc w:val="center"/>
              <w:rPr>
                <w:rFonts w:ascii="Arial" w:hAnsi="Arial" w:cs="Arial"/>
                <w:b/>
                <w:bCs/>
                <w:color w:val="000000"/>
              </w:rPr>
            </w:pPr>
            <w:r w:rsidRPr="00694891">
              <w:rPr>
                <w:rFonts w:ascii="Arial" w:hAnsi="Arial" w:cs="Arial"/>
                <w:b/>
                <w:bCs/>
                <w:color w:val="000000"/>
              </w:rPr>
              <w:t>Muži</w:t>
            </w:r>
          </w:p>
        </w:tc>
        <w:tc>
          <w:tcPr>
            <w:tcW w:w="851" w:type="dxa"/>
            <w:tcBorders>
              <w:top w:val="nil"/>
              <w:left w:val="nil"/>
              <w:bottom w:val="single" w:sz="4" w:space="0" w:color="auto"/>
              <w:right w:val="single" w:sz="4" w:space="0" w:color="auto"/>
            </w:tcBorders>
            <w:shd w:val="clear" w:color="000000" w:fill="DDEBF7"/>
            <w:vAlign w:val="center"/>
            <w:hideMark/>
          </w:tcPr>
          <w:p w14:paraId="27C446BD" w14:textId="77777777" w:rsidR="002F7F23" w:rsidRPr="00694891" w:rsidRDefault="002F7F23" w:rsidP="009438AD">
            <w:pPr>
              <w:jc w:val="center"/>
              <w:rPr>
                <w:rFonts w:ascii="Arial" w:hAnsi="Arial" w:cs="Arial"/>
                <w:b/>
                <w:bCs/>
                <w:color w:val="000000"/>
              </w:rPr>
            </w:pPr>
            <w:r w:rsidRPr="00694891">
              <w:rPr>
                <w:rFonts w:ascii="Arial" w:hAnsi="Arial" w:cs="Arial"/>
                <w:b/>
                <w:bCs/>
                <w:color w:val="000000"/>
              </w:rPr>
              <w:t>Ženy</w:t>
            </w:r>
          </w:p>
        </w:tc>
      </w:tr>
      <w:tr w:rsidR="002F7F23" w:rsidRPr="00694891" w14:paraId="4DE166C4" w14:textId="77777777" w:rsidTr="009438AD">
        <w:trPr>
          <w:trHeight w:val="285"/>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6CEDBA22" w14:textId="77777777" w:rsidR="002F7F23" w:rsidRPr="00694891" w:rsidRDefault="002F7F23" w:rsidP="009438AD">
            <w:pPr>
              <w:jc w:val="center"/>
              <w:rPr>
                <w:rFonts w:ascii="Arial" w:hAnsi="Arial" w:cs="Arial"/>
                <w:color w:val="000000"/>
              </w:rPr>
            </w:pPr>
            <w:r w:rsidRPr="00694891">
              <w:rPr>
                <w:rFonts w:ascii="Arial" w:hAnsi="Arial" w:cs="Arial"/>
                <w:color w:val="000000"/>
              </w:rPr>
              <w:t>75-79 let</w:t>
            </w:r>
          </w:p>
        </w:tc>
        <w:tc>
          <w:tcPr>
            <w:tcW w:w="1896" w:type="dxa"/>
            <w:tcBorders>
              <w:top w:val="nil"/>
              <w:left w:val="nil"/>
              <w:bottom w:val="single" w:sz="4" w:space="0" w:color="auto"/>
              <w:right w:val="single" w:sz="4" w:space="0" w:color="auto"/>
            </w:tcBorders>
            <w:shd w:val="clear" w:color="auto" w:fill="auto"/>
            <w:noWrap/>
            <w:vAlign w:val="center"/>
            <w:hideMark/>
          </w:tcPr>
          <w:p w14:paraId="770A8B28" w14:textId="77777777" w:rsidR="002F7F23" w:rsidRPr="00694891" w:rsidRDefault="002F7F23" w:rsidP="009438AD">
            <w:pPr>
              <w:jc w:val="center"/>
              <w:rPr>
                <w:rFonts w:ascii="Arial" w:hAnsi="Arial" w:cs="Arial"/>
                <w:color w:val="000000"/>
              </w:rPr>
            </w:pPr>
            <w:r w:rsidRPr="00694891">
              <w:rPr>
                <w:rFonts w:ascii="Arial" w:hAnsi="Arial" w:cs="Arial"/>
                <w:color w:val="000000"/>
              </w:rPr>
              <w:t>100 % (188)</w:t>
            </w:r>
          </w:p>
        </w:tc>
        <w:tc>
          <w:tcPr>
            <w:tcW w:w="954" w:type="dxa"/>
            <w:tcBorders>
              <w:top w:val="nil"/>
              <w:left w:val="nil"/>
              <w:bottom w:val="single" w:sz="4" w:space="0" w:color="auto"/>
              <w:right w:val="single" w:sz="4" w:space="0" w:color="auto"/>
            </w:tcBorders>
            <w:shd w:val="clear" w:color="auto" w:fill="auto"/>
            <w:vAlign w:val="center"/>
            <w:hideMark/>
          </w:tcPr>
          <w:p w14:paraId="6A897171" w14:textId="6BFF925B" w:rsidR="002F7F23" w:rsidRPr="00694891" w:rsidRDefault="002F7F23" w:rsidP="009438AD">
            <w:pPr>
              <w:jc w:val="center"/>
              <w:rPr>
                <w:rFonts w:ascii="Arial" w:hAnsi="Arial" w:cs="Arial"/>
                <w:color w:val="000000"/>
              </w:rPr>
            </w:pPr>
            <w:r w:rsidRPr="00694891">
              <w:rPr>
                <w:rFonts w:ascii="Arial" w:hAnsi="Arial" w:cs="Arial"/>
                <w:color w:val="000000"/>
              </w:rPr>
              <w:t>41</w:t>
            </w:r>
            <w:r w:rsidR="00562162">
              <w:rPr>
                <w:rFonts w:ascii="Arial" w:hAnsi="Arial" w:cs="Arial"/>
                <w:color w:val="00000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35D1FC41" w14:textId="5FD3D365" w:rsidR="002F7F23" w:rsidRPr="00694891" w:rsidRDefault="002F7F23" w:rsidP="009438AD">
            <w:pPr>
              <w:jc w:val="center"/>
              <w:rPr>
                <w:rFonts w:ascii="Arial" w:hAnsi="Arial" w:cs="Arial"/>
                <w:color w:val="000000"/>
              </w:rPr>
            </w:pPr>
            <w:r w:rsidRPr="00694891">
              <w:rPr>
                <w:rFonts w:ascii="Arial" w:hAnsi="Arial" w:cs="Arial"/>
                <w:color w:val="000000"/>
              </w:rPr>
              <w:t>59</w:t>
            </w:r>
            <w:r w:rsidR="00562162">
              <w:rPr>
                <w:rFonts w:ascii="Arial" w:hAnsi="Arial" w:cs="Arial"/>
                <w:color w:val="000000"/>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14:paraId="53C71B49" w14:textId="77777777" w:rsidR="002F7F23" w:rsidRPr="00694891" w:rsidRDefault="002F7F23" w:rsidP="009438AD">
            <w:pPr>
              <w:jc w:val="center"/>
              <w:rPr>
                <w:rFonts w:ascii="Arial" w:hAnsi="Arial" w:cs="Arial"/>
                <w:color w:val="000000"/>
              </w:rPr>
            </w:pPr>
            <w:r w:rsidRPr="00694891">
              <w:rPr>
                <w:rFonts w:ascii="Arial" w:hAnsi="Arial" w:cs="Arial"/>
                <w:color w:val="000000"/>
              </w:rPr>
              <w:t>100 % (217)</w:t>
            </w:r>
          </w:p>
        </w:tc>
        <w:tc>
          <w:tcPr>
            <w:tcW w:w="834" w:type="dxa"/>
            <w:tcBorders>
              <w:top w:val="nil"/>
              <w:left w:val="nil"/>
              <w:bottom w:val="single" w:sz="4" w:space="0" w:color="auto"/>
              <w:right w:val="single" w:sz="4" w:space="0" w:color="auto"/>
            </w:tcBorders>
            <w:shd w:val="clear" w:color="auto" w:fill="auto"/>
            <w:vAlign w:val="center"/>
            <w:hideMark/>
          </w:tcPr>
          <w:p w14:paraId="186E98E9" w14:textId="00B6AE38" w:rsidR="002F7F23" w:rsidRPr="00694891" w:rsidRDefault="002F7F23" w:rsidP="009438AD">
            <w:pPr>
              <w:jc w:val="center"/>
              <w:rPr>
                <w:rFonts w:ascii="Arial" w:hAnsi="Arial" w:cs="Arial"/>
                <w:color w:val="000000"/>
              </w:rPr>
            </w:pPr>
            <w:r w:rsidRPr="00694891">
              <w:rPr>
                <w:rFonts w:ascii="Arial" w:hAnsi="Arial" w:cs="Arial"/>
                <w:color w:val="000000"/>
              </w:rPr>
              <w:t>43</w:t>
            </w:r>
            <w:r w:rsidR="00562162">
              <w:rPr>
                <w:rFonts w:ascii="Arial" w:hAnsi="Arial" w:cs="Arial"/>
                <w:color w:val="00000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65ECF0DE" w14:textId="0DCB27C6" w:rsidR="002F7F23" w:rsidRPr="00694891" w:rsidRDefault="002F7F23" w:rsidP="009438AD">
            <w:pPr>
              <w:jc w:val="center"/>
              <w:rPr>
                <w:rFonts w:ascii="Arial" w:hAnsi="Arial" w:cs="Arial"/>
                <w:color w:val="000000"/>
              </w:rPr>
            </w:pPr>
            <w:r w:rsidRPr="00694891">
              <w:rPr>
                <w:rFonts w:ascii="Arial" w:hAnsi="Arial" w:cs="Arial"/>
                <w:color w:val="000000"/>
              </w:rPr>
              <w:t>57</w:t>
            </w:r>
            <w:r w:rsidR="00562162">
              <w:rPr>
                <w:rFonts w:ascii="Arial" w:hAnsi="Arial" w:cs="Arial"/>
                <w:color w:val="000000"/>
              </w:rPr>
              <w:t xml:space="preserve"> %</w:t>
            </w:r>
          </w:p>
        </w:tc>
      </w:tr>
      <w:tr w:rsidR="002F7F23" w:rsidRPr="00694891" w14:paraId="44FE6F89" w14:textId="77777777" w:rsidTr="009438AD">
        <w:trPr>
          <w:trHeight w:val="285"/>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5B30392E" w14:textId="77777777" w:rsidR="002F7F23" w:rsidRPr="00694891" w:rsidRDefault="002F7F23" w:rsidP="009438AD">
            <w:pPr>
              <w:jc w:val="center"/>
              <w:rPr>
                <w:rFonts w:ascii="Arial" w:hAnsi="Arial" w:cs="Arial"/>
                <w:color w:val="000000"/>
              </w:rPr>
            </w:pPr>
            <w:r w:rsidRPr="00694891">
              <w:rPr>
                <w:rFonts w:ascii="Arial" w:hAnsi="Arial" w:cs="Arial"/>
                <w:color w:val="000000"/>
              </w:rPr>
              <w:t>80-84 let</w:t>
            </w:r>
          </w:p>
        </w:tc>
        <w:tc>
          <w:tcPr>
            <w:tcW w:w="1896" w:type="dxa"/>
            <w:tcBorders>
              <w:top w:val="single" w:sz="4" w:space="0" w:color="auto"/>
              <w:left w:val="nil"/>
              <w:bottom w:val="single" w:sz="4" w:space="0" w:color="auto"/>
              <w:right w:val="single" w:sz="4" w:space="0" w:color="auto"/>
            </w:tcBorders>
            <w:shd w:val="clear" w:color="auto" w:fill="auto"/>
            <w:noWrap/>
            <w:vAlign w:val="center"/>
            <w:hideMark/>
          </w:tcPr>
          <w:p w14:paraId="640E7A97" w14:textId="77777777" w:rsidR="002F7F23" w:rsidRPr="00694891" w:rsidRDefault="002F7F23" w:rsidP="009438AD">
            <w:pPr>
              <w:jc w:val="center"/>
              <w:rPr>
                <w:rFonts w:ascii="Arial" w:hAnsi="Arial" w:cs="Arial"/>
                <w:color w:val="000000"/>
              </w:rPr>
            </w:pPr>
            <w:r w:rsidRPr="00694891">
              <w:rPr>
                <w:rFonts w:ascii="Arial" w:hAnsi="Arial" w:cs="Arial"/>
                <w:color w:val="000000"/>
              </w:rPr>
              <w:t>100 % (129)</w:t>
            </w:r>
          </w:p>
        </w:tc>
        <w:tc>
          <w:tcPr>
            <w:tcW w:w="954" w:type="dxa"/>
            <w:tcBorders>
              <w:top w:val="single" w:sz="4" w:space="0" w:color="auto"/>
              <w:left w:val="nil"/>
              <w:bottom w:val="single" w:sz="4" w:space="0" w:color="auto"/>
              <w:right w:val="single" w:sz="4" w:space="0" w:color="auto"/>
            </w:tcBorders>
            <w:shd w:val="clear" w:color="auto" w:fill="auto"/>
            <w:vAlign w:val="center"/>
            <w:hideMark/>
          </w:tcPr>
          <w:p w14:paraId="1A81EDBE" w14:textId="3343EC69" w:rsidR="002F7F23" w:rsidRPr="0021020F" w:rsidRDefault="002F7F23" w:rsidP="009438AD">
            <w:pPr>
              <w:jc w:val="center"/>
              <w:rPr>
                <w:rFonts w:ascii="Arial" w:hAnsi="Arial" w:cs="Arial"/>
              </w:rPr>
            </w:pPr>
            <w:r w:rsidRPr="0021020F">
              <w:rPr>
                <w:rFonts w:ascii="Arial" w:hAnsi="Arial" w:cs="Arial"/>
              </w:rPr>
              <w:t>29</w:t>
            </w:r>
            <w:r w:rsidR="00562162" w:rsidRPr="0021020F">
              <w:rPr>
                <w:rFonts w:ascii="Arial" w:hAnsi="Arial" w:cs="Arial"/>
              </w:rPr>
              <w:t xml:space="preserve">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58A414F" w14:textId="125B8FE2" w:rsidR="002F7F23" w:rsidRPr="0021020F" w:rsidRDefault="002F7F23" w:rsidP="009438AD">
            <w:pPr>
              <w:jc w:val="center"/>
              <w:rPr>
                <w:rFonts w:ascii="Arial" w:hAnsi="Arial" w:cs="Arial"/>
              </w:rPr>
            </w:pPr>
            <w:r w:rsidRPr="0021020F">
              <w:rPr>
                <w:rFonts w:ascii="Arial" w:hAnsi="Arial" w:cs="Arial"/>
              </w:rPr>
              <w:t>71</w:t>
            </w:r>
            <w:r w:rsidR="00562162" w:rsidRPr="0021020F">
              <w:rPr>
                <w:rFonts w:ascii="Arial" w:hAnsi="Arial" w:cs="Arial"/>
              </w:rPr>
              <w:t xml:space="preserve">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23F8186B" w14:textId="77777777" w:rsidR="002F7F23" w:rsidRPr="0021020F" w:rsidRDefault="002F7F23" w:rsidP="009438AD">
            <w:pPr>
              <w:jc w:val="center"/>
              <w:rPr>
                <w:rFonts w:ascii="Arial" w:hAnsi="Arial" w:cs="Arial"/>
              </w:rPr>
            </w:pPr>
            <w:r w:rsidRPr="0021020F">
              <w:rPr>
                <w:rFonts w:ascii="Arial" w:hAnsi="Arial" w:cs="Arial"/>
              </w:rPr>
              <w:t>100 % (207)</w:t>
            </w:r>
          </w:p>
        </w:tc>
        <w:tc>
          <w:tcPr>
            <w:tcW w:w="834" w:type="dxa"/>
            <w:tcBorders>
              <w:top w:val="single" w:sz="4" w:space="0" w:color="auto"/>
              <w:left w:val="nil"/>
              <w:bottom w:val="single" w:sz="4" w:space="0" w:color="auto"/>
              <w:right w:val="single" w:sz="4" w:space="0" w:color="auto"/>
            </w:tcBorders>
            <w:shd w:val="clear" w:color="auto" w:fill="auto"/>
            <w:vAlign w:val="center"/>
            <w:hideMark/>
          </w:tcPr>
          <w:p w14:paraId="7FCD747E" w14:textId="05069B9F" w:rsidR="002F7F23" w:rsidRPr="0021020F" w:rsidRDefault="002F7F23" w:rsidP="009438AD">
            <w:pPr>
              <w:jc w:val="center"/>
              <w:rPr>
                <w:rFonts w:ascii="Arial" w:hAnsi="Arial" w:cs="Arial"/>
              </w:rPr>
            </w:pPr>
            <w:r w:rsidRPr="0021020F">
              <w:rPr>
                <w:rFonts w:ascii="Arial" w:hAnsi="Arial" w:cs="Arial"/>
              </w:rPr>
              <w:t>41</w:t>
            </w:r>
            <w:r w:rsidR="00562162" w:rsidRPr="0021020F">
              <w:rPr>
                <w:rFonts w:ascii="Arial" w:hAnsi="Arial" w:cs="Arial"/>
              </w:rPr>
              <w:t xml:space="preserve">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FB0BC0" w14:textId="46081AE0" w:rsidR="002F7F23" w:rsidRPr="0021020F" w:rsidRDefault="002F7F23" w:rsidP="009438AD">
            <w:pPr>
              <w:jc w:val="center"/>
              <w:rPr>
                <w:rFonts w:ascii="Arial" w:hAnsi="Arial" w:cs="Arial"/>
              </w:rPr>
            </w:pPr>
            <w:r w:rsidRPr="0021020F">
              <w:rPr>
                <w:rFonts w:ascii="Arial" w:hAnsi="Arial" w:cs="Arial"/>
              </w:rPr>
              <w:t>59</w:t>
            </w:r>
            <w:r w:rsidR="00562162" w:rsidRPr="0021020F">
              <w:rPr>
                <w:rFonts w:ascii="Arial" w:hAnsi="Arial" w:cs="Arial"/>
              </w:rPr>
              <w:t xml:space="preserve"> %</w:t>
            </w:r>
          </w:p>
        </w:tc>
      </w:tr>
      <w:tr w:rsidR="002F7F23" w:rsidRPr="00694891" w14:paraId="17FD7343" w14:textId="77777777" w:rsidTr="009438AD">
        <w:trPr>
          <w:trHeight w:val="285"/>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7009A9BE" w14:textId="77777777" w:rsidR="002F7F23" w:rsidRPr="00694891" w:rsidRDefault="002F7F23" w:rsidP="009438AD">
            <w:pPr>
              <w:jc w:val="center"/>
              <w:rPr>
                <w:rFonts w:ascii="Arial" w:hAnsi="Arial" w:cs="Arial"/>
                <w:color w:val="000000"/>
              </w:rPr>
            </w:pPr>
            <w:r w:rsidRPr="00694891">
              <w:rPr>
                <w:rFonts w:ascii="Arial" w:hAnsi="Arial" w:cs="Arial"/>
                <w:color w:val="000000"/>
              </w:rPr>
              <w:t>85-89 let</w:t>
            </w:r>
          </w:p>
        </w:tc>
        <w:tc>
          <w:tcPr>
            <w:tcW w:w="1896" w:type="dxa"/>
            <w:tcBorders>
              <w:top w:val="single" w:sz="4" w:space="0" w:color="auto"/>
              <w:left w:val="nil"/>
              <w:bottom w:val="single" w:sz="4" w:space="0" w:color="auto"/>
              <w:right w:val="single" w:sz="4" w:space="0" w:color="auto"/>
            </w:tcBorders>
            <w:shd w:val="clear" w:color="auto" w:fill="auto"/>
            <w:noWrap/>
            <w:vAlign w:val="center"/>
            <w:hideMark/>
          </w:tcPr>
          <w:p w14:paraId="3DC1C919" w14:textId="77777777" w:rsidR="002F7F23" w:rsidRPr="00694891" w:rsidRDefault="002F7F23" w:rsidP="009438AD">
            <w:pPr>
              <w:jc w:val="center"/>
              <w:rPr>
                <w:rFonts w:ascii="Arial" w:hAnsi="Arial" w:cs="Arial"/>
                <w:color w:val="000000"/>
              </w:rPr>
            </w:pPr>
            <w:r w:rsidRPr="00694891">
              <w:rPr>
                <w:rFonts w:ascii="Arial" w:hAnsi="Arial" w:cs="Arial"/>
                <w:color w:val="000000"/>
              </w:rPr>
              <w:t>100 % (109)</w:t>
            </w: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4C8D49" w14:textId="487AD92A" w:rsidR="002F7F23" w:rsidRPr="00694891" w:rsidRDefault="002F7F23" w:rsidP="009438AD">
            <w:pPr>
              <w:jc w:val="center"/>
              <w:rPr>
                <w:rFonts w:ascii="Arial" w:hAnsi="Arial" w:cs="Arial"/>
                <w:color w:val="000000"/>
              </w:rPr>
            </w:pPr>
            <w:r w:rsidRPr="00694891">
              <w:rPr>
                <w:rFonts w:ascii="Arial" w:hAnsi="Arial" w:cs="Arial"/>
                <w:color w:val="000000"/>
              </w:rPr>
              <w:t>33</w:t>
            </w:r>
            <w:r w:rsidR="00562162">
              <w:rPr>
                <w:rFonts w:ascii="Arial" w:hAnsi="Arial" w:cs="Arial"/>
                <w:color w:val="000000"/>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5151D" w14:textId="77285AE8" w:rsidR="002F7F23" w:rsidRPr="00694891" w:rsidRDefault="002F7F23" w:rsidP="009438AD">
            <w:pPr>
              <w:jc w:val="center"/>
              <w:rPr>
                <w:rFonts w:ascii="Arial" w:hAnsi="Arial" w:cs="Arial"/>
                <w:color w:val="000000"/>
              </w:rPr>
            </w:pPr>
            <w:r w:rsidRPr="00694891">
              <w:rPr>
                <w:rFonts w:ascii="Arial" w:hAnsi="Arial" w:cs="Arial"/>
                <w:color w:val="000000"/>
              </w:rPr>
              <w:t>67</w:t>
            </w:r>
            <w:r w:rsidR="00562162">
              <w:rPr>
                <w:rFonts w:ascii="Arial" w:hAnsi="Arial" w:cs="Arial"/>
                <w:color w:val="000000"/>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97F372" w14:textId="77777777" w:rsidR="002F7F23" w:rsidRPr="00694891" w:rsidRDefault="002F7F23" w:rsidP="009438AD">
            <w:pPr>
              <w:jc w:val="center"/>
              <w:rPr>
                <w:rFonts w:ascii="Arial" w:hAnsi="Arial" w:cs="Arial"/>
                <w:color w:val="000000"/>
              </w:rPr>
            </w:pPr>
            <w:r w:rsidRPr="00694891">
              <w:rPr>
                <w:rFonts w:ascii="Arial" w:hAnsi="Arial" w:cs="Arial"/>
                <w:color w:val="000000"/>
              </w:rPr>
              <w:t>100 % (101)</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32433" w14:textId="28242233" w:rsidR="002F7F23" w:rsidRPr="00694891" w:rsidRDefault="002F7F23" w:rsidP="009438AD">
            <w:pPr>
              <w:jc w:val="center"/>
              <w:rPr>
                <w:rFonts w:ascii="Arial" w:hAnsi="Arial" w:cs="Arial"/>
                <w:color w:val="000000"/>
              </w:rPr>
            </w:pPr>
            <w:r w:rsidRPr="00694891">
              <w:rPr>
                <w:rFonts w:ascii="Arial" w:hAnsi="Arial" w:cs="Arial"/>
                <w:color w:val="000000"/>
              </w:rPr>
              <w:t>32</w:t>
            </w:r>
            <w:r w:rsidR="00562162">
              <w:rPr>
                <w:rFonts w:ascii="Arial" w:hAnsi="Arial" w:cs="Arial"/>
                <w:color w:val="000000"/>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06C73" w14:textId="29774436" w:rsidR="002F7F23" w:rsidRPr="00694891" w:rsidRDefault="002F7F23" w:rsidP="009438AD">
            <w:pPr>
              <w:jc w:val="center"/>
              <w:rPr>
                <w:rFonts w:ascii="Arial" w:hAnsi="Arial" w:cs="Arial"/>
                <w:color w:val="000000"/>
              </w:rPr>
            </w:pPr>
            <w:r w:rsidRPr="00694891">
              <w:rPr>
                <w:rFonts w:ascii="Arial" w:hAnsi="Arial" w:cs="Arial"/>
                <w:color w:val="000000"/>
              </w:rPr>
              <w:t>68</w:t>
            </w:r>
            <w:r w:rsidR="00562162">
              <w:rPr>
                <w:rFonts w:ascii="Arial" w:hAnsi="Arial" w:cs="Arial"/>
                <w:color w:val="000000"/>
              </w:rPr>
              <w:t xml:space="preserve"> %</w:t>
            </w:r>
          </w:p>
        </w:tc>
      </w:tr>
      <w:tr w:rsidR="002F7F23" w:rsidRPr="00694891" w14:paraId="0EE1F9D5" w14:textId="77777777" w:rsidTr="009438AD">
        <w:trPr>
          <w:trHeight w:val="285"/>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713B9200" w14:textId="77777777" w:rsidR="002F7F23" w:rsidRPr="00694891" w:rsidRDefault="002F7F23" w:rsidP="009438AD">
            <w:pPr>
              <w:jc w:val="center"/>
              <w:rPr>
                <w:rFonts w:ascii="Arial" w:hAnsi="Arial" w:cs="Arial"/>
                <w:color w:val="000000"/>
              </w:rPr>
            </w:pPr>
            <w:r w:rsidRPr="00694891">
              <w:rPr>
                <w:rFonts w:ascii="Arial" w:hAnsi="Arial" w:cs="Arial"/>
                <w:color w:val="000000"/>
              </w:rPr>
              <w:t>90 a více let</w:t>
            </w:r>
          </w:p>
        </w:tc>
        <w:tc>
          <w:tcPr>
            <w:tcW w:w="1896" w:type="dxa"/>
            <w:tcBorders>
              <w:top w:val="single" w:sz="4" w:space="0" w:color="auto"/>
              <w:left w:val="nil"/>
              <w:bottom w:val="single" w:sz="4" w:space="0" w:color="auto"/>
              <w:right w:val="single" w:sz="4" w:space="0" w:color="auto"/>
            </w:tcBorders>
            <w:shd w:val="clear" w:color="auto" w:fill="auto"/>
            <w:noWrap/>
            <w:vAlign w:val="center"/>
            <w:hideMark/>
          </w:tcPr>
          <w:p w14:paraId="155D00D7" w14:textId="77777777" w:rsidR="002F7F23" w:rsidRPr="00694891" w:rsidRDefault="002F7F23" w:rsidP="009438AD">
            <w:pPr>
              <w:jc w:val="center"/>
              <w:rPr>
                <w:rFonts w:ascii="Arial" w:hAnsi="Arial" w:cs="Arial"/>
                <w:color w:val="000000"/>
              </w:rPr>
            </w:pPr>
            <w:r w:rsidRPr="00694891">
              <w:rPr>
                <w:rFonts w:ascii="Arial" w:hAnsi="Arial" w:cs="Arial"/>
                <w:color w:val="000000"/>
              </w:rPr>
              <w:t>100 % (83)</w:t>
            </w:r>
          </w:p>
        </w:tc>
        <w:tc>
          <w:tcPr>
            <w:tcW w:w="954" w:type="dxa"/>
            <w:tcBorders>
              <w:top w:val="single" w:sz="4" w:space="0" w:color="auto"/>
              <w:left w:val="nil"/>
              <w:bottom w:val="single" w:sz="4" w:space="0" w:color="auto"/>
              <w:right w:val="single" w:sz="4" w:space="0" w:color="auto"/>
            </w:tcBorders>
            <w:shd w:val="clear" w:color="auto" w:fill="auto"/>
            <w:vAlign w:val="center"/>
            <w:hideMark/>
          </w:tcPr>
          <w:p w14:paraId="2BF5EEE1" w14:textId="3B07FD4F" w:rsidR="002F7F23" w:rsidRPr="00694891" w:rsidRDefault="002F7F23" w:rsidP="009438AD">
            <w:pPr>
              <w:jc w:val="center"/>
              <w:rPr>
                <w:rFonts w:ascii="Arial" w:hAnsi="Arial" w:cs="Arial"/>
                <w:color w:val="000000"/>
              </w:rPr>
            </w:pPr>
            <w:r w:rsidRPr="00694891">
              <w:rPr>
                <w:rFonts w:ascii="Arial" w:hAnsi="Arial" w:cs="Arial"/>
                <w:color w:val="000000"/>
              </w:rPr>
              <w:t>28</w:t>
            </w:r>
            <w:r w:rsidR="00562162">
              <w:rPr>
                <w:rFonts w:ascii="Arial" w:hAnsi="Arial" w:cs="Arial"/>
                <w:color w:val="000000"/>
              </w:rPr>
              <w:t xml:space="preserve">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4D9FF1D" w14:textId="15B86ED3" w:rsidR="002F7F23" w:rsidRPr="00694891" w:rsidRDefault="002F7F23" w:rsidP="009438AD">
            <w:pPr>
              <w:jc w:val="center"/>
              <w:rPr>
                <w:rFonts w:ascii="Arial" w:hAnsi="Arial" w:cs="Arial"/>
                <w:color w:val="000000"/>
              </w:rPr>
            </w:pPr>
            <w:r w:rsidRPr="00694891">
              <w:rPr>
                <w:rFonts w:ascii="Arial" w:hAnsi="Arial" w:cs="Arial"/>
                <w:color w:val="000000"/>
              </w:rPr>
              <w:t>72</w:t>
            </w:r>
            <w:r w:rsidR="00562162">
              <w:rPr>
                <w:rFonts w:ascii="Arial" w:hAnsi="Arial" w:cs="Arial"/>
                <w:color w:val="000000"/>
              </w:rPr>
              <w:t xml:space="preserve">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0A1CB90E" w14:textId="77777777" w:rsidR="002F7F23" w:rsidRPr="00694891" w:rsidRDefault="002F7F23" w:rsidP="009438AD">
            <w:pPr>
              <w:jc w:val="center"/>
              <w:rPr>
                <w:rFonts w:ascii="Arial" w:hAnsi="Arial" w:cs="Arial"/>
                <w:color w:val="000000"/>
              </w:rPr>
            </w:pPr>
            <w:r w:rsidRPr="00694891">
              <w:rPr>
                <w:rFonts w:ascii="Arial" w:hAnsi="Arial" w:cs="Arial"/>
                <w:color w:val="000000"/>
              </w:rPr>
              <w:t>100 % (73)</w:t>
            </w:r>
          </w:p>
        </w:tc>
        <w:tc>
          <w:tcPr>
            <w:tcW w:w="834" w:type="dxa"/>
            <w:tcBorders>
              <w:top w:val="single" w:sz="4" w:space="0" w:color="auto"/>
              <w:left w:val="nil"/>
              <w:bottom w:val="single" w:sz="4" w:space="0" w:color="auto"/>
              <w:right w:val="single" w:sz="4" w:space="0" w:color="auto"/>
            </w:tcBorders>
            <w:shd w:val="clear" w:color="auto" w:fill="auto"/>
            <w:vAlign w:val="center"/>
            <w:hideMark/>
          </w:tcPr>
          <w:p w14:paraId="0AF40670" w14:textId="4593D309" w:rsidR="002F7F23" w:rsidRPr="00694891" w:rsidRDefault="002F7F23" w:rsidP="009438AD">
            <w:pPr>
              <w:jc w:val="center"/>
              <w:rPr>
                <w:rFonts w:ascii="Arial" w:hAnsi="Arial" w:cs="Arial"/>
                <w:color w:val="000000"/>
              </w:rPr>
            </w:pPr>
            <w:r w:rsidRPr="00694891">
              <w:rPr>
                <w:rFonts w:ascii="Arial" w:hAnsi="Arial" w:cs="Arial"/>
                <w:color w:val="000000"/>
              </w:rPr>
              <w:t>27</w:t>
            </w:r>
            <w:r w:rsidR="00562162">
              <w:rPr>
                <w:rFonts w:ascii="Arial" w:hAnsi="Arial" w:cs="Arial"/>
                <w:color w:val="000000"/>
              </w:rPr>
              <w:t xml:space="preserve">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EA79A94" w14:textId="608DA0AE" w:rsidR="002F7F23" w:rsidRPr="00694891" w:rsidRDefault="002F7F23" w:rsidP="009438AD">
            <w:pPr>
              <w:jc w:val="center"/>
              <w:rPr>
                <w:rFonts w:ascii="Arial" w:hAnsi="Arial" w:cs="Arial"/>
                <w:color w:val="000000"/>
              </w:rPr>
            </w:pPr>
            <w:r w:rsidRPr="00694891">
              <w:rPr>
                <w:rFonts w:ascii="Arial" w:hAnsi="Arial" w:cs="Arial"/>
                <w:color w:val="000000"/>
              </w:rPr>
              <w:t>73</w:t>
            </w:r>
            <w:r w:rsidR="00562162">
              <w:rPr>
                <w:rFonts w:ascii="Arial" w:hAnsi="Arial" w:cs="Arial"/>
                <w:color w:val="000000"/>
              </w:rPr>
              <w:t xml:space="preserve"> %</w:t>
            </w:r>
          </w:p>
        </w:tc>
      </w:tr>
    </w:tbl>
    <w:p w14:paraId="5D76226F" w14:textId="77777777" w:rsidR="00450AF0" w:rsidRDefault="002F7F23" w:rsidP="00E04C2C">
      <w:pPr>
        <w:pStyle w:val="Popisobrzku"/>
      </w:pPr>
      <w:r w:rsidRPr="00E04C2C">
        <w:t xml:space="preserve">Jako věcně podstatný je označen takový procentuální rozdíl (epsilon, ε), který se přiblíží k hodnotě 10 %. </w:t>
      </w:r>
    </w:p>
    <w:p w14:paraId="502F82E4" w14:textId="7CB8ED57" w:rsidR="002F7F23" w:rsidRPr="00E04C2C" w:rsidRDefault="002F7F23" w:rsidP="00450AF0">
      <w:pPr>
        <w:pStyle w:val="Dalodstavce"/>
        <w:ind w:firstLine="0"/>
      </w:pPr>
      <w:r w:rsidRPr="00E04C2C">
        <w:t xml:space="preserve">Z údajů uvedených v Tabulce </w:t>
      </w:r>
      <w:r w:rsidR="00BE314E">
        <w:t>5</w:t>
      </w:r>
      <w:r w:rsidRPr="00E04C2C">
        <w:t xml:space="preserve"> tak lze vyčíst, že věcně podstatný rozdíl je v meziročním srovnání patrný pouze ve věkové kategorii 80</w:t>
      </w:r>
      <w:r w:rsidR="00424863">
        <w:t>–</w:t>
      </w:r>
      <w:r w:rsidRPr="00E04C2C">
        <w:t>84 let, a to jak u mužů (meziroční nár</w:t>
      </w:r>
      <w:r w:rsidR="0083234C" w:rsidRPr="00E04C2C">
        <w:t>ů</w:t>
      </w:r>
      <w:r w:rsidRPr="00E04C2C">
        <w:t>st), tak u žen (zde naopak meziroční pokles). Zastoupení seniorních pacientů dle pohlaví se ve zbylých věkových skupinách mezi lety 2019 a</w:t>
      </w:r>
      <w:r w:rsidR="00BE314E">
        <w:t> </w:t>
      </w:r>
      <w:r w:rsidRPr="00E04C2C">
        <w:t>2023 podstatně nelišilo.</w:t>
      </w:r>
      <w:r w:rsidR="00DE0B97">
        <w:t xml:space="preserve"> </w:t>
      </w:r>
      <w:r w:rsidR="00DE0B97" w:rsidRPr="00DE0B97">
        <w:t>Po výpočtu chí-kvadrátu pro Tabulku 5 bylo zjištěno, že statisticky významný rozdíl se vyskytl pouze ve věkové kategorii 80–84 let, kde statisticky významně narostl podíl mužů (p=0,022).</w:t>
      </w:r>
    </w:p>
    <w:p w14:paraId="49BD384C" w14:textId="77777777" w:rsidR="002F7F23" w:rsidRDefault="002F7F23" w:rsidP="002F7F23">
      <w:pPr>
        <w:pStyle w:val="Dalodstavce"/>
        <w:ind w:firstLine="0"/>
        <w:rPr>
          <w:lang w:eastAsia="sk-SK"/>
        </w:rPr>
      </w:pPr>
    </w:p>
    <w:p w14:paraId="7B25A2C8" w14:textId="4DB34089" w:rsidR="002F7F23" w:rsidRDefault="002F7F23" w:rsidP="002F7F23">
      <w:pPr>
        <w:pStyle w:val="Titulektabulky"/>
      </w:pPr>
      <w:bookmarkStart w:id="38" w:name="_Toc195517131"/>
      <w:r>
        <w:t xml:space="preserve">Tab. </w:t>
      </w:r>
      <w:fldSimple w:instr=" SEQ Tab. \* ARABIC ">
        <w:r w:rsidR="0022490D">
          <w:rPr>
            <w:noProof/>
          </w:rPr>
          <w:t>6</w:t>
        </w:r>
      </w:fldSimple>
      <w:r>
        <w:t>: P</w:t>
      </w:r>
      <w:r w:rsidRPr="003D31B4">
        <w:t>odíl</w:t>
      </w:r>
      <w:r>
        <w:t xml:space="preserve"> všech pacientů </w:t>
      </w:r>
      <w:r w:rsidRPr="003D31B4">
        <w:t xml:space="preserve">ošetřených </w:t>
      </w:r>
      <w:r>
        <w:t xml:space="preserve">na NUP FN Brno </w:t>
      </w:r>
      <w:r w:rsidRPr="003D31B4">
        <w:t>v letech 2019 a 2023</w:t>
      </w:r>
      <w:r>
        <w:t xml:space="preserve"> dle pohlaví</w:t>
      </w:r>
      <w:bookmarkEnd w:id="38"/>
    </w:p>
    <w:tbl>
      <w:tblPr>
        <w:tblW w:w="8642" w:type="dxa"/>
        <w:jc w:val="center"/>
        <w:tblCellMar>
          <w:left w:w="70" w:type="dxa"/>
          <w:right w:w="70" w:type="dxa"/>
        </w:tblCellMar>
        <w:tblLook w:val="04A0" w:firstRow="1" w:lastRow="0" w:firstColumn="1" w:lastColumn="0" w:noHBand="0" w:noVBand="1"/>
      </w:tblPr>
      <w:tblGrid>
        <w:gridCol w:w="3397"/>
        <w:gridCol w:w="3119"/>
        <w:gridCol w:w="2126"/>
      </w:tblGrid>
      <w:tr w:rsidR="002F7F23" w:rsidRPr="00D23816" w14:paraId="14DD3624" w14:textId="77777777" w:rsidTr="009438AD">
        <w:trPr>
          <w:trHeight w:val="285"/>
          <w:jc w:val="center"/>
        </w:trPr>
        <w:tc>
          <w:tcPr>
            <w:tcW w:w="3397" w:type="dxa"/>
            <w:tcBorders>
              <w:top w:val="single" w:sz="4" w:space="0" w:color="auto"/>
              <w:left w:val="single" w:sz="4" w:space="0" w:color="auto"/>
              <w:bottom w:val="single" w:sz="4" w:space="0" w:color="auto"/>
              <w:right w:val="single" w:sz="4" w:space="0" w:color="auto"/>
              <w:tr2bl w:val="single" w:sz="4" w:space="0" w:color="auto"/>
            </w:tcBorders>
            <w:shd w:val="clear" w:color="000000" w:fill="DDEBF7"/>
            <w:noWrap/>
            <w:vAlign w:val="center"/>
            <w:hideMark/>
          </w:tcPr>
          <w:p w14:paraId="6DE2D76D" w14:textId="77777777" w:rsidR="002F7F23" w:rsidRPr="00D23816" w:rsidRDefault="002F7F23" w:rsidP="009438AD">
            <w:pPr>
              <w:jc w:val="center"/>
              <w:rPr>
                <w:rFonts w:ascii="Arial" w:hAnsi="Arial" w:cs="Arial"/>
                <w:b/>
                <w:bCs/>
                <w:color w:val="000000"/>
              </w:rPr>
            </w:pPr>
            <w:r w:rsidRPr="00D23816">
              <w:rPr>
                <w:rFonts w:ascii="Arial" w:hAnsi="Arial" w:cs="Arial"/>
                <w:b/>
                <w:bCs/>
                <w:color w:val="000000"/>
              </w:rPr>
              <w:t> </w:t>
            </w:r>
          </w:p>
        </w:tc>
        <w:tc>
          <w:tcPr>
            <w:tcW w:w="3119" w:type="dxa"/>
            <w:tcBorders>
              <w:top w:val="single" w:sz="4" w:space="0" w:color="auto"/>
              <w:left w:val="nil"/>
              <w:bottom w:val="single" w:sz="4" w:space="0" w:color="auto"/>
              <w:right w:val="single" w:sz="4" w:space="0" w:color="auto"/>
            </w:tcBorders>
            <w:shd w:val="clear" w:color="000000" w:fill="DDEBF7"/>
            <w:vAlign w:val="center"/>
            <w:hideMark/>
          </w:tcPr>
          <w:p w14:paraId="326F6BB5" w14:textId="77777777" w:rsidR="002F7F23" w:rsidRPr="00D23816" w:rsidRDefault="002F7F23" w:rsidP="009438AD">
            <w:pPr>
              <w:jc w:val="center"/>
              <w:rPr>
                <w:rFonts w:ascii="Arial" w:hAnsi="Arial" w:cs="Arial"/>
                <w:b/>
                <w:bCs/>
                <w:color w:val="000000"/>
              </w:rPr>
            </w:pPr>
            <w:r w:rsidRPr="00D23816">
              <w:rPr>
                <w:rFonts w:ascii="Arial" w:hAnsi="Arial" w:cs="Arial"/>
                <w:b/>
                <w:bCs/>
                <w:color w:val="000000"/>
              </w:rPr>
              <w:t xml:space="preserve">% </w:t>
            </w:r>
            <w:r>
              <w:rPr>
                <w:rFonts w:ascii="Arial" w:hAnsi="Arial" w:cs="Arial"/>
                <w:b/>
                <w:bCs/>
                <w:color w:val="000000"/>
              </w:rPr>
              <w:t xml:space="preserve">podíl </w:t>
            </w:r>
            <w:r w:rsidRPr="00D23816">
              <w:rPr>
                <w:rFonts w:ascii="Arial" w:hAnsi="Arial" w:cs="Arial"/>
                <w:b/>
                <w:bCs/>
                <w:color w:val="000000"/>
              </w:rPr>
              <w:t xml:space="preserve">mužů  </w:t>
            </w:r>
          </w:p>
        </w:tc>
        <w:tc>
          <w:tcPr>
            <w:tcW w:w="2126" w:type="dxa"/>
            <w:tcBorders>
              <w:top w:val="single" w:sz="4" w:space="0" w:color="auto"/>
              <w:left w:val="nil"/>
              <w:bottom w:val="single" w:sz="4" w:space="0" w:color="auto"/>
              <w:right w:val="single" w:sz="4" w:space="0" w:color="auto"/>
            </w:tcBorders>
            <w:shd w:val="clear" w:color="000000" w:fill="DDEBF7"/>
            <w:noWrap/>
            <w:vAlign w:val="center"/>
            <w:hideMark/>
          </w:tcPr>
          <w:p w14:paraId="7783C303" w14:textId="3C418FB1" w:rsidR="002F7F23" w:rsidRPr="00D23816" w:rsidRDefault="002F7F23" w:rsidP="009438AD">
            <w:pPr>
              <w:jc w:val="center"/>
              <w:rPr>
                <w:rFonts w:ascii="Arial" w:hAnsi="Arial" w:cs="Arial"/>
                <w:b/>
                <w:bCs/>
                <w:color w:val="000000"/>
              </w:rPr>
            </w:pPr>
            <w:proofErr w:type="gramStart"/>
            <w:r w:rsidRPr="00D23816">
              <w:rPr>
                <w:rFonts w:ascii="Arial" w:hAnsi="Arial" w:cs="Arial"/>
                <w:b/>
                <w:bCs/>
                <w:color w:val="000000"/>
              </w:rPr>
              <w:t>95%</w:t>
            </w:r>
            <w:proofErr w:type="gramEnd"/>
            <w:r w:rsidRPr="00D23816">
              <w:rPr>
                <w:rFonts w:ascii="Arial" w:hAnsi="Arial" w:cs="Arial"/>
                <w:b/>
                <w:bCs/>
                <w:color w:val="000000"/>
              </w:rPr>
              <w:t xml:space="preserve"> CI</w:t>
            </w:r>
          </w:p>
        </w:tc>
      </w:tr>
      <w:tr w:rsidR="002F7F23" w:rsidRPr="00D23816" w14:paraId="38587513" w14:textId="77777777" w:rsidTr="009438AD">
        <w:trPr>
          <w:trHeight w:val="285"/>
          <w:jc w:val="center"/>
        </w:trPr>
        <w:tc>
          <w:tcPr>
            <w:tcW w:w="3397" w:type="dxa"/>
            <w:tcBorders>
              <w:top w:val="nil"/>
              <w:left w:val="single" w:sz="4" w:space="0" w:color="auto"/>
              <w:bottom w:val="single" w:sz="4" w:space="0" w:color="auto"/>
              <w:right w:val="single" w:sz="4" w:space="0" w:color="auto"/>
            </w:tcBorders>
            <w:shd w:val="clear" w:color="000000" w:fill="DDEBF7"/>
            <w:noWrap/>
            <w:vAlign w:val="center"/>
            <w:hideMark/>
          </w:tcPr>
          <w:p w14:paraId="0572B3DC" w14:textId="77777777" w:rsidR="002F7F23" w:rsidRPr="00AC583D" w:rsidRDefault="002F7F23" w:rsidP="009438AD">
            <w:pPr>
              <w:jc w:val="center"/>
              <w:rPr>
                <w:rFonts w:ascii="Arial" w:hAnsi="Arial" w:cs="Arial"/>
                <w:color w:val="000000"/>
              </w:rPr>
            </w:pPr>
            <w:r w:rsidRPr="00AC583D">
              <w:rPr>
                <w:rFonts w:ascii="Arial" w:hAnsi="Arial" w:cs="Arial"/>
                <w:color w:val="000000"/>
              </w:rPr>
              <w:t>Rok 2019</w:t>
            </w:r>
          </w:p>
        </w:tc>
        <w:tc>
          <w:tcPr>
            <w:tcW w:w="3119" w:type="dxa"/>
            <w:tcBorders>
              <w:top w:val="nil"/>
              <w:left w:val="nil"/>
              <w:bottom w:val="single" w:sz="4" w:space="0" w:color="auto"/>
              <w:right w:val="single" w:sz="4" w:space="0" w:color="auto"/>
            </w:tcBorders>
            <w:shd w:val="clear" w:color="auto" w:fill="auto"/>
            <w:noWrap/>
            <w:vAlign w:val="center"/>
            <w:hideMark/>
          </w:tcPr>
          <w:p w14:paraId="1C6ABBEA" w14:textId="77777777" w:rsidR="002F7F23" w:rsidRPr="00D23816" w:rsidRDefault="002F7F23" w:rsidP="009438AD">
            <w:pPr>
              <w:jc w:val="center"/>
              <w:rPr>
                <w:rFonts w:ascii="Arial" w:hAnsi="Arial" w:cs="Arial"/>
                <w:color w:val="000000"/>
              </w:rPr>
            </w:pPr>
            <w:r w:rsidRPr="00D23816">
              <w:rPr>
                <w:rFonts w:ascii="Arial" w:hAnsi="Arial" w:cs="Arial"/>
                <w:color w:val="000000"/>
              </w:rPr>
              <w:t>45,89</w:t>
            </w:r>
          </w:p>
        </w:tc>
        <w:tc>
          <w:tcPr>
            <w:tcW w:w="2126" w:type="dxa"/>
            <w:tcBorders>
              <w:top w:val="nil"/>
              <w:left w:val="nil"/>
              <w:bottom w:val="single" w:sz="4" w:space="0" w:color="auto"/>
              <w:right w:val="single" w:sz="4" w:space="0" w:color="auto"/>
            </w:tcBorders>
            <w:shd w:val="clear" w:color="auto" w:fill="auto"/>
            <w:noWrap/>
            <w:vAlign w:val="center"/>
            <w:hideMark/>
          </w:tcPr>
          <w:p w14:paraId="45B7D44D" w14:textId="77777777" w:rsidR="002F7F23" w:rsidRPr="00D23816" w:rsidRDefault="002F7F23" w:rsidP="009438AD">
            <w:pPr>
              <w:jc w:val="center"/>
              <w:rPr>
                <w:rFonts w:ascii="Arial" w:hAnsi="Arial" w:cs="Arial"/>
                <w:color w:val="000000"/>
              </w:rPr>
            </w:pPr>
            <w:r w:rsidRPr="00D23816">
              <w:rPr>
                <w:rFonts w:ascii="Arial" w:hAnsi="Arial" w:cs="Arial"/>
                <w:color w:val="000000"/>
              </w:rPr>
              <w:t>(0,43; 0,48)</w:t>
            </w:r>
          </w:p>
        </w:tc>
      </w:tr>
      <w:tr w:rsidR="002F7F23" w:rsidRPr="00D23816" w14:paraId="297AA7D3" w14:textId="77777777" w:rsidTr="009438AD">
        <w:trPr>
          <w:trHeight w:val="285"/>
          <w:jc w:val="center"/>
        </w:trPr>
        <w:tc>
          <w:tcPr>
            <w:tcW w:w="3397" w:type="dxa"/>
            <w:tcBorders>
              <w:top w:val="nil"/>
              <w:left w:val="single" w:sz="4" w:space="0" w:color="auto"/>
              <w:bottom w:val="single" w:sz="4" w:space="0" w:color="auto"/>
              <w:right w:val="single" w:sz="4" w:space="0" w:color="auto"/>
            </w:tcBorders>
            <w:shd w:val="clear" w:color="000000" w:fill="DDEBF7"/>
            <w:noWrap/>
            <w:vAlign w:val="center"/>
            <w:hideMark/>
          </w:tcPr>
          <w:p w14:paraId="34903158" w14:textId="77777777" w:rsidR="002F7F23" w:rsidRPr="00AC583D" w:rsidRDefault="002F7F23" w:rsidP="009438AD">
            <w:pPr>
              <w:jc w:val="center"/>
              <w:rPr>
                <w:rFonts w:ascii="Arial" w:hAnsi="Arial" w:cs="Arial"/>
                <w:color w:val="000000"/>
              </w:rPr>
            </w:pPr>
            <w:r w:rsidRPr="00AC583D">
              <w:rPr>
                <w:rFonts w:ascii="Arial" w:hAnsi="Arial" w:cs="Arial"/>
                <w:color w:val="000000"/>
              </w:rPr>
              <w:t>Rok 2023</w:t>
            </w:r>
          </w:p>
        </w:tc>
        <w:tc>
          <w:tcPr>
            <w:tcW w:w="3119" w:type="dxa"/>
            <w:tcBorders>
              <w:top w:val="nil"/>
              <w:left w:val="nil"/>
              <w:bottom w:val="single" w:sz="4" w:space="0" w:color="auto"/>
              <w:right w:val="single" w:sz="4" w:space="0" w:color="auto"/>
            </w:tcBorders>
            <w:shd w:val="clear" w:color="auto" w:fill="auto"/>
            <w:noWrap/>
            <w:vAlign w:val="center"/>
            <w:hideMark/>
          </w:tcPr>
          <w:p w14:paraId="1AC1D5D6" w14:textId="77777777" w:rsidR="002F7F23" w:rsidRPr="00D23816" w:rsidRDefault="002F7F23" w:rsidP="009438AD">
            <w:pPr>
              <w:jc w:val="center"/>
              <w:rPr>
                <w:rFonts w:ascii="Arial" w:hAnsi="Arial" w:cs="Arial"/>
                <w:color w:val="000000"/>
              </w:rPr>
            </w:pPr>
            <w:r w:rsidRPr="00D23816">
              <w:rPr>
                <w:rFonts w:ascii="Arial" w:hAnsi="Arial" w:cs="Arial"/>
                <w:color w:val="000000"/>
              </w:rPr>
              <w:t>45,00</w:t>
            </w:r>
          </w:p>
        </w:tc>
        <w:tc>
          <w:tcPr>
            <w:tcW w:w="2126" w:type="dxa"/>
            <w:tcBorders>
              <w:top w:val="nil"/>
              <w:left w:val="nil"/>
              <w:bottom w:val="single" w:sz="4" w:space="0" w:color="auto"/>
              <w:right w:val="single" w:sz="4" w:space="0" w:color="auto"/>
            </w:tcBorders>
            <w:shd w:val="clear" w:color="auto" w:fill="auto"/>
            <w:noWrap/>
            <w:vAlign w:val="center"/>
            <w:hideMark/>
          </w:tcPr>
          <w:p w14:paraId="1935368E" w14:textId="77777777" w:rsidR="002F7F23" w:rsidRPr="00D23816" w:rsidRDefault="002F7F23" w:rsidP="009438AD">
            <w:pPr>
              <w:jc w:val="center"/>
              <w:rPr>
                <w:rFonts w:ascii="Arial" w:hAnsi="Arial" w:cs="Arial"/>
                <w:color w:val="000000"/>
              </w:rPr>
            </w:pPr>
            <w:r w:rsidRPr="00D23816">
              <w:rPr>
                <w:rFonts w:ascii="Arial" w:hAnsi="Arial" w:cs="Arial"/>
                <w:color w:val="000000"/>
              </w:rPr>
              <w:t>(0,43; 0,47)</w:t>
            </w:r>
          </w:p>
        </w:tc>
      </w:tr>
      <w:tr w:rsidR="002F7F23" w:rsidRPr="00D23816" w14:paraId="14C67075" w14:textId="77777777" w:rsidTr="009438AD">
        <w:trPr>
          <w:trHeight w:val="285"/>
          <w:jc w:val="center"/>
        </w:trPr>
        <w:tc>
          <w:tcPr>
            <w:tcW w:w="3397" w:type="dxa"/>
            <w:tcBorders>
              <w:top w:val="nil"/>
              <w:left w:val="single" w:sz="4" w:space="0" w:color="auto"/>
              <w:bottom w:val="single" w:sz="4" w:space="0" w:color="auto"/>
              <w:right w:val="single" w:sz="4" w:space="0" w:color="auto"/>
              <w:tr2bl w:val="single" w:sz="4" w:space="0" w:color="auto"/>
            </w:tcBorders>
            <w:shd w:val="clear" w:color="000000" w:fill="DDEBF7"/>
            <w:noWrap/>
            <w:vAlign w:val="center"/>
            <w:hideMark/>
          </w:tcPr>
          <w:p w14:paraId="61851301" w14:textId="77777777" w:rsidR="002F7F23" w:rsidRPr="00D23816" w:rsidRDefault="002F7F23" w:rsidP="009438AD">
            <w:pPr>
              <w:jc w:val="center"/>
              <w:rPr>
                <w:rFonts w:ascii="Arial" w:hAnsi="Arial" w:cs="Arial"/>
                <w:b/>
                <w:bCs/>
                <w:color w:val="000000"/>
              </w:rPr>
            </w:pPr>
            <w:r w:rsidRPr="00D23816">
              <w:rPr>
                <w:rFonts w:ascii="Arial" w:hAnsi="Arial" w:cs="Arial"/>
                <w:b/>
                <w:bCs/>
                <w:color w:val="000000"/>
              </w:rPr>
              <w:t> </w:t>
            </w:r>
          </w:p>
        </w:tc>
        <w:tc>
          <w:tcPr>
            <w:tcW w:w="3119" w:type="dxa"/>
            <w:tcBorders>
              <w:top w:val="nil"/>
              <w:left w:val="nil"/>
              <w:bottom w:val="single" w:sz="4" w:space="0" w:color="auto"/>
              <w:right w:val="single" w:sz="4" w:space="0" w:color="auto"/>
            </w:tcBorders>
            <w:shd w:val="clear" w:color="000000" w:fill="DDEBF7"/>
            <w:vAlign w:val="center"/>
            <w:hideMark/>
          </w:tcPr>
          <w:p w14:paraId="493706E6" w14:textId="77777777" w:rsidR="002F7F23" w:rsidRPr="00D23816" w:rsidRDefault="002F7F23" w:rsidP="009438AD">
            <w:pPr>
              <w:jc w:val="center"/>
              <w:rPr>
                <w:rFonts w:ascii="Arial" w:hAnsi="Arial" w:cs="Arial"/>
                <w:b/>
                <w:bCs/>
                <w:color w:val="000000"/>
              </w:rPr>
            </w:pPr>
            <w:r w:rsidRPr="00D23816">
              <w:rPr>
                <w:rFonts w:ascii="Arial" w:hAnsi="Arial" w:cs="Arial"/>
                <w:b/>
                <w:bCs/>
                <w:color w:val="000000"/>
              </w:rPr>
              <w:t xml:space="preserve">% </w:t>
            </w:r>
            <w:r>
              <w:rPr>
                <w:rFonts w:ascii="Arial" w:hAnsi="Arial" w:cs="Arial"/>
                <w:b/>
                <w:bCs/>
                <w:color w:val="000000"/>
              </w:rPr>
              <w:t xml:space="preserve">podíl </w:t>
            </w:r>
            <w:r w:rsidRPr="00D23816">
              <w:rPr>
                <w:rFonts w:ascii="Arial" w:hAnsi="Arial" w:cs="Arial"/>
                <w:b/>
                <w:bCs/>
                <w:color w:val="000000"/>
              </w:rPr>
              <w:t xml:space="preserve">žen </w:t>
            </w:r>
          </w:p>
        </w:tc>
        <w:tc>
          <w:tcPr>
            <w:tcW w:w="2126" w:type="dxa"/>
            <w:tcBorders>
              <w:top w:val="nil"/>
              <w:left w:val="nil"/>
              <w:bottom w:val="single" w:sz="4" w:space="0" w:color="auto"/>
              <w:right w:val="single" w:sz="4" w:space="0" w:color="auto"/>
            </w:tcBorders>
            <w:shd w:val="clear" w:color="000000" w:fill="DDEBF7"/>
            <w:noWrap/>
            <w:vAlign w:val="center"/>
            <w:hideMark/>
          </w:tcPr>
          <w:p w14:paraId="5F1070DB" w14:textId="77777777" w:rsidR="002F7F23" w:rsidRPr="00D23816" w:rsidRDefault="002F7F23" w:rsidP="009438AD">
            <w:pPr>
              <w:jc w:val="center"/>
              <w:rPr>
                <w:rFonts w:ascii="Arial" w:hAnsi="Arial" w:cs="Arial"/>
                <w:b/>
                <w:bCs/>
                <w:color w:val="000000"/>
              </w:rPr>
            </w:pPr>
            <w:proofErr w:type="gramStart"/>
            <w:r w:rsidRPr="00D23816">
              <w:rPr>
                <w:rFonts w:ascii="Arial" w:hAnsi="Arial" w:cs="Arial"/>
                <w:b/>
                <w:bCs/>
                <w:color w:val="000000"/>
              </w:rPr>
              <w:t>95%</w:t>
            </w:r>
            <w:proofErr w:type="gramEnd"/>
            <w:r w:rsidRPr="00D23816">
              <w:rPr>
                <w:rFonts w:ascii="Arial" w:hAnsi="Arial" w:cs="Arial"/>
                <w:b/>
                <w:bCs/>
                <w:color w:val="000000"/>
              </w:rPr>
              <w:t xml:space="preserve"> CI</w:t>
            </w:r>
          </w:p>
        </w:tc>
      </w:tr>
      <w:tr w:rsidR="002F7F23" w:rsidRPr="00D23816" w14:paraId="5B575DA8" w14:textId="77777777" w:rsidTr="009438AD">
        <w:trPr>
          <w:trHeight w:val="285"/>
          <w:jc w:val="center"/>
        </w:trPr>
        <w:tc>
          <w:tcPr>
            <w:tcW w:w="3397" w:type="dxa"/>
            <w:tcBorders>
              <w:top w:val="nil"/>
              <w:left w:val="single" w:sz="4" w:space="0" w:color="auto"/>
              <w:bottom w:val="single" w:sz="4" w:space="0" w:color="auto"/>
              <w:right w:val="single" w:sz="4" w:space="0" w:color="auto"/>
            </w:tcBorders>
            <w:shd w:val="clear" w:color="000000" w:fill="DDEBF7"/>
            <w:noWrap/>
            <w:vAlign w:val="center"/>
            <w:hideMark/>
          </w:tcPr>
          <w:p w14:paraId="1BD4E563" w14:textId="77777777" w:rsidR="002F7F23" w:rsidRPr="00AC583D" w:rsidRDefault="002F7F23" w:rsidP="009438AD">
            <w:pPr>
              <w:jc w:val="center"/>
              <w:rPr>
                <w:rFonts w:ascii="Arial" w:hAnsi="Arial" w:cs="Arial"/>
                <w:color w:val="000000"/>
              </w:rPr>
            </w:pPr>
            <w:r w:rsidRPr="00AC583D">
              <w:rPr>
                <w:rFonts w:ascii="Arial" w:hAnsi="Arial" w:cs="Arial"/>
                <w:color w:val="000000"/>
              </w:rPr>
              <w:t>Rok 2019</w:t>
            </w:r>
          </w:p>
        </w:tc>
        <w:tc>
          <w:tcPr>
            <w:tcW w:w="3119" w:type="dxa"/>
            <w:tcBorders>
              <w:top w:val="nil"/>
              <w:left w:val="nil"/>
              <w:bottom w:val="single" w:sz="4" w:space="0" w:color="auto"/>
              <w:right w:val="single" w:sz="4" w:space="0" w:color="auto"/>
            </w:tcBorders>
            <w:shd w:val="clear" w:color="auto" w:fill="auto"/>
            <w:noWrap/>
            <w:vAlign w:val="center"/>
            <w:hideMark/>
          </w:tcPr>
          <w:p w14:paraId="5170D93C" w14:textId="77777777" w:rsidR="002F7F23" w:rsidRPr="00D23816" w:rsidRDefault="002F7F23" w:rsidP="009438AD">
            <w:pPr>
              <w:jc w:val="center"/>
              <w:rPr>
                <w:rFonts w:ascii="Arial" w:hAnsi="Arial" w:cs="Arial"/>
                <w:color w:val="000000"/>
              </w:rPr>
            </w:pPr>
            <w:r w:rsidRPr="00D23816">
              <w:rPr>
                <w:rFonts w:ascii="Arial" w:hAnsi="Arial" w:cs="Arial"/>
                <w:color w:val="000000"/>
              </w:rPr>
              <w:t>54,11</w:t>
            </w:r>
          </w:p>
        </w:tc>
        <w:tc>
          <w:tcPr>
            <w:tcW w:w="2126" w:type="dxa"/>
            <w:tcBorders>
              <w:top w:val="nil"/>
              <w:left w:val="nil"/>
              <w:bottom w:val="single" w:sz="4" w:space="0" w:color="auto"/>
              <w:right w:val="single" w:sz="4" w:space="0" w:color="auto"/>
            </w:tcBorders>
            <w:shd w:val="clear" w:color="auto" w:fill="auto"/>
            <w:noWrap/>
            <w:vAlign w:val="center"/>
            <w:hideMark/>
          </w:tcPr>
          <w:p w14:paraId="714ABD91" w14:textId="77777777" w:rsidR="002F7F23" w:rsidRPr="00D23816" w:rsidRDefault="002F7F23" w:rsidP="009438AD">
            <w:pPr>
              <w:jc w:val="center"/>
              <w:rPr>
                <w:rFonts w:ascii="Arial" w:hAnsi="Arial" w:cs="Arial"/>
                <w:color w:val="000000"/>
              </w:rPr>
            </w:pPr>
            <w:r w:rsidRPr="00D23816">
              <w:rPr>
                <w:rFonts w:ascii="Arial" w:hAnsi="Arial" w:cs="Arial"/>
                <w:color w:val="000000"/>
              </w:rPr>
              <w:t>(0,52; 0,57)</w:t>
            </w:r>
          </w:p>
        </w:tc>
      </w:tr>
      <w:tr w:rsidR="002F7F23" w:rsidRPr="00D23816" w14:paraId="3A568CC3" w14:textId="77777777" w:rsidTr="009438AD">
        <w:trPr>
          <w:trHeight w:val="285"/>
          <w:jc w:val="center"/>
        </w:trPr>
        <w:tc>
          <w:tcPr>
            <w:tcW w:w="3397"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1B0EB25" w14:textId="77777777" w:rsidR="002F7F23" w:rsidRPr="00AC583D" w:rsidRDefault="002F7F23" w:rsidP="009438AD">
            <w:pPr>
              <w:jc w:val="center"/>
              <w:rPr>
                <w:rFonts w:ascii="Arial" w:hAnsi="Arial" w:cs="Arial"/>
                <w:color w:val="000000"/>
              </w:rPr>
            </w:pPr>
            <w:r w:rsidRPr="00AC583D">
              <w:rPr>
                <w:rFonts w:ascii="Arial" w:hAnsi="Arial" w:cs="Arial"/>
                <w:color w:val="000000"/>
              </w:rPr>
              <w:t>Rok 2023</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3B39C09C" w14:textId="77777777" w:rsidR="002F7F23" w:rsidRPr="00D23816" w:rsidRDefault="002F7F23" w:rsidP="009438AD">
            <w:pPr>
              <w:jc w:val="center"/>
              <w:rPr>
                <w:rFonts w:ascii="Arial" w:hAnsi="Arial" w:cs="Arial"/>
                <w:color w:val="000000"/>
              </w:rPr>
            </w:pPr>
            <w:r w:rsidRPr="00D23816">
              <w:rPr>
                <w:rFonts w:ascii="Arial" w:hAnsi="Arial" w:cs="Arial"/>
                <w:color w:val="000000"/>
              </w:rPr>
              <w:t>55,00</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319EF62B" w14:textId="77777777" w:rsidR="002F7F23" w:rsidRPr="00D23816" w:rsidRDefault="002F7F23" w:rsidP="009438AD">
            <w:pPr>
              <w:jc w:val="center"/>
              <w:rPr>
                <w:rFonts w:ascii="Arial" w:hAnsi="Arial" w:cs="Arial"/>
                <w:color w:val="000000"/>
              </w:rPr>
            </w:pPr>
            <w:r w:rsidRPr="00D23816">
              <w:rPr>
                <w:rFonts w:ascii="Arial" w:hAnsi="Arial" w:cs="Arial"/>
                <w:color w:val="000000"/>
              </w:rPr>
              <w:t>(0,53; 0,57)</w:t>
            </w:r>
          </w:p>
        </w:tc>
      </w:tr>
    </w:tbl>
    <w:p w14:paraId="3EAD52C0" w14:textId="77777777" w:rsidR="00CB0E4C" w:rsidRDefault="00CB0E4C" w:rsidP="00E04C2C">
      <w:pPr>
        <w:pStyle w:val="Popisobrzku"/>
      </w:pPr>
    </w:p>
    <w:p w14:paraId="573F6614" w14:textId="3CCD7FFE" w:rsidR="002F7F23" w:rsidRDefault="002F7F23" w:rsidP="002F7F23">
      <w:pPr>
        <w:pStyle w:val="Dalodstavce"/>
        <w:ind w:firstLine="0"/>
      </w:pPr>
      <w:proofErr w:type="gramStart"/>
      <w:r w:rsidRPr="00CD787B">
        <w:t>95%</w:t>
      </w:r>
      <w:proofErr w:type="gramEnd"/>
      <w:r w:rsidRPr="00CD787B">
        <w:t xml:space="preserve"> CI říká, v jakém rozmezí se s </w:t>
      </w:r>
      <w:proofErr w:type="gramStart"/>
      <w:r w:rsidRPr="00CD787B">
        <w:t>95%</w:t>
      </w:r>
      <w:proofErr w:type="gramEnd"/>
      <w:r w:rsidRPr="00CD787B">
        <w:t xml:space="preserve"> p</w:t>
      </w:r>
      <w:r>
        <w:t>ravděpodobno</w:t>
      </w:r>
      <w:r w:rsidRPr="00CD787B">
        <w:t>stí pohybuje podíl mužů a žen v celkovém počtu ošetřených pacientů v letech 2019 a 2023.</w:t>
      </w:r>
      <w:r>
        <w:t xml:space="preserve"> Z Tabulky </w:t>
      </w:r>
      <w:r w:rsidR="00047AC8">
        <w:t>6</w:t>
      </w:r>
      <w:r>
        <w:t xml:space="preserve"> vyplývá, že v</w:t>
      </w:r>
      <w:r w:rsidR="00CB0E4C">
        <w:t> </w:t>
      </w:r>
      <w:r w:rsidRPr="00CC2DB6">
        <w:t>obou letech mírně převažovaly mezi pacienty ženy. Protože se v jednotlivých letech konfidenční intervaly mužů a žen nepřekrývají, je tento závěr zobecnitelný na všechny pac</w:t>
      </w:r>
      <w:r>
        <w:t>i</w:t>
      </w:r>
      <w:r w:rsidRPr="00CC2DB6">
        <w:t xml:space="preserve">enty NUP </w:t>
      </w:r>
      <w:r>
        <w:t xml:space="preserve">FN Brno </w:t>
      </w:r>
      <w:r w:rsidRPr="00CC2DB6">
        <w:t>v letech 2019 a 2023.</w:t>
      </w:r>
    </w:p>
    <w:p w14:paraId="089896C4" w14:textId="77777777" w:rsidR="00DF77B4" w:rsidRDefault="00DF77B4" w:rsidP="002F7F23">
      <w:pPr>
        <w:pStyle w:val="Dalodstavce"/>
        <w:ind w:firstLine="0"/>
      </w:pPr>
    </w:p>
    <w:p w14:paraId="36DBF002" w14:textId="77777777" w:rsidR="000974B5" w:rsidRDefault="000974B5" w:rsidP="002F7F23">
      <w:pPr>
        <w:pStyle w:val="Dalodstavce"/>
        <w:ind w:firstLine="0"/>
      </w:pPr>
    </w:p>
    <w:p w14:paraId="11532BDE" w14:textId="77777777" w:rsidR="000974B5" w:rsidRDefault="000974B5" w:rsidP="002F7F23">
      <w:pPr>
        <w:pStyle w:val="Dalodstavce"/>
        <w:ind w:firstLine="0"/>
      </w:pPr>
    </w:p>
    <w:p w14:paraId="363BF99D" w14:textId="5D89DF3E" w:rsidR="002F7F23" w:rsidRDefault="002F7F23" w:rsidP="002F7F23">
      <w:pPr>
        <w:pStyle w:val="Titulektabulky"/>
      </w:pPr>
      <w:bookmarkStart w:id="39" w:name="_Toc195517132"/>
      <w:r>
        <w:lastRenderedPageBreak/>
        <w:t xml:space="preserve">Tab. </w:t>
      </w:r>
      <w:fldSimple w:instr=" SEQ Tab. \* ARABIC ">
        <w:r w:rsidR="0022490D">
          <w:rPr>
            <w:noProof/>
          </w:rPr>
          <w:t>7</w:t>
        </w:r>
      </w:fldSimple>
      <w:r>
        <w:t xml:space="preserve">: </w:t>
      </w:r>
      <w:r w:rsidRPr="008D3CCC">
        <w:t xml:space="preserve">Podíl pacientů </w:t>
      </w:r>
      <w:r>
        <w:t xml:space="preserve">ve věku 75 a více let v celkovém počtu pacientů </w:t>
      </w:r>
      <w:r w:rsidRPr="008D3CCC">
        <w:t>ošetřených na NUP FN</w:t>
      </w:r>
      <w:r>
        <w:t> </w:t>
      </w:r>
      <w:r w:rsidRPr="008D3CCC">
        <w:t>Brno v letech 2019 a 2023</w:t>
      </w:r>
      <w:bookmarkEnd w:id="39"/>
    </w:p>
    <w:tbl>
      <w:tblPr>
        <w:tblW w:w="8642" w:type="dxa"/>
        <w:jc w:val="center"/>
        <w:tblCellMar>
          <w:left w:w="70" w:type="dxa"/>
          <w:right w:w="70" w:type="dxa"/>
        </w:tblCellMar>
        <w:tblLook w:val="04A0" w:firstRow="1" w:lastRow="0" w:firstColumn="1" w:lastColumn="0" w:noHBand="0" w:noVBand="1"/>
      </w:tblPr>
      <w:tblGrid>
        <w:gridCol w:w="3397"/>
        <w:gridCol w:w="3119"/>
        <w:gridCol w:w="2126"/>
      </w:tblGrid>
      <w:tr w:rsidR="002F7F23" w:rsidRPr="00CE6EB2" w14:paraId="5F47A4F5" w14:textId="77777777" w:rsidTr="009438AD">
        <w:trPr>
          <w:trHeight w:val="285"/>
          <w:jc w:val="center"/>
        </w:trPr>
        <w:tc>
          <w:tcPr>
            <w:tcW w:w="3397" w:type="dxa"/>
            <w:tcBorders>
              <w:top w:val="single" w:sz="4" w:space="0" w:color="auto"/>
              <w:left w:val="single" w:sz="4" w:space="0" w:color="auto"/>
              <w:bottom w:val="single" w:sz="4" w:space="0" w:color="auto"/>
              <w:right w:val="single" w:sz="4" w:space="0" w:color="auto"/>
              <w:tr2bl w:val="single" w:sz="4" w:space="0" w:color="auto"/>
            </w:tcBorders>
            <w:shd w:val="clear" w:color="000000" w:fill="DDEBF7"/>
            <w:noWrap/>
            <w:vAlign w:val="center"/>
            <w:hideMark/>
          </w:tcPr>
          <w:p w14:paraId="35E3C88A" w14:textId="77777777" w:rsidR="002F7F23" w:rsidRPr="00CE6EB2" w:rsidRDefault="002F7F23" w:rsidP="009438AD">
            <w:pPr>
              <w:jc w:val="center"/>
              <w:rPr>
                <w:rFonts w:ascii="Arial" w:hAnsi="Arial" w:cs="Arial"/>
                <w:b/>
                <w:bCs/>
                <w:color w:val="000000"/>
              </w:rPr>
            </w:pPr>
            <w:r w:rsidRPr="00CE6EB2">
              <w:rPr>
                <w:rFonts w:ascii="Arial" w:hAnsi="Arial" w:cs="Arial"/>
                <w:b/>
                <w:bCs/>
                <w:color w:val="000000"/>
              </w:rPr>
              <w:t> </w:t>
            </w:r>
          </w:p>
        </w:tc>
        <w:tc>
          <w:tcPr>
            <w:tcW w:w="3119" w:type="dxa"/>
            <w:tcBorders>
              <w:top w:val="single" w:sz="4" w:space="0" w:color="auto"/>
              <w:left w:val="nil"/>
              <w:bottom w:val="single" w:sz="4" w:space="0" w:color="auto"/>
              <w:right w:val="single" w:sz="4" w:space="0" w:color="auto"/>
            </w:tcBorders>
            <w:shd w:val="clear" w:color="000000" w:fill="DDEBF7"/>
            <w:vAlign w:val="center"/>
            <w:hideMark/>
          </w:tcPr>
          <w:p w14:paraId="7E911B10" w14:textId="77777777" w:rsidR="002F7F23" w:rsidRPr="00CE6EB2" w:rsidRDefault="002F7F23" w:rsidP="009438AD">
            <w:pPr>
              <w:jc w:val="center"/>
              <w:rPr>
                <w:rFonts w:ascii="Arial" w:hAnsi="Arial" w:cs="Arial"/>
                <w:b/>
                <w:bCs/>
                <w:color w:val="000000"/>
              </w:rPr>
            </w:pPr>
            <w:r w:rsidRPr="00CE6EB2">
              <w:rPr>
                <w:rFonts w:ascii="Arial" w:hAnsi="Arial" w:cs="Arial"/>
                <w:b/>
                <w:bCs/>
                <w:color w:val="000000"/>
              </w:rPr>
              <w:t>%</w:t>
            </w:r>
            <w:r>
              <w:rPr>
                <w:rFonts w:ascii="Arial" w:hAnsi="Arial" w:cs="Arial"/>
                <w:b/>
                <w:bCs/>
                <w:color w:val="000000"/>
              </w:rPr>
              <w:t xml:space="preserve"> podíl </w:t>
            </w:r>
            <w:r w:rsidRPr="00CE6EB2">
              <w:rPr>
                <w:rFonts w:ascii="Arial" w:hAnsi="Arial" w:cs="Arial"/>
                <w:b/>
                <w:bCs/>
                <w:color w:val="000000"/>
              </w:rPr>
              <w:t>všech</w:t>
            </w:r>
            <w:r>
              <w:rPr>
                <w:rFonts w:ascii="Arial" w:hAnsi="Arial" w:cs="Arial"/>
                <w:b/>
                <w:bCs/>
                <w:color w:val="000000"/>
              </w:rPr>
              <w:t xml:space="preserve"> pacientů ve věku </w:t>
            </w:r>
            <w:r w:rsidRPr="00CE6EB2">
              <w:rPr>
                <w:rFonts w:ascii="Arial" w:hAnsi="Arial" w:cs="Arial"/>
                <w:b/>
                <w:bCs/>
                <w:color w:val="000000"/>
              </w:rPr>
              <w:t>75</w:t>
            </w:r>
            <w:r>
              <w:rPr>
                <w:rFonts w:ascii="Arial" w:hAnsi="Arial" w:cs="Arial"/>
                <w:b/>
                <w:bCs/>
                <w:color w:val="000000"/>
              </w:rPr>
              <w:t xml:space="preserve"> a více let</w:t>
            </w:r>
          </w:p>
        </w:tc>
        <w:tc>
          <w:tcPr>
            <w:tcW w:w="2126" w:type="dxa"/>
            <w:tcBorders>
              <w:top w:val="single" w:sz="4" w:space="0" w:color="auto"/>
              <w:left w:val="nil"/>
              <w:bottom w:val="single" w:sz="4" w:space="0" w:color="auto"/>
              <w:right w:val="single" w:sz="4" w:space="0" w:color="auto"/>
            </w:tcBorders>
            <w:shd w:val="clear" w:color="000000" w:fill="DDEBF7"/>
            <w:noWrap/>
            <w:vAlign w:val="center"/>
            <w:hideMark/>
          </w:tcPr>
          <w:p w14:paraId="1FC83937" w14:textId="77777777" w:rsidR="002F7F23" w:rsidRPr="00CE6EB2" w:rsidRDefault="002F7F23" w:rsidP="009438AD">
            <w:pPr>
              <w:jc w:val="center"/>
              <w:rPr>
                <w:rFonts w:ascii="Arial" w:hAnsi="Arial" w:cs="Arial"/>
                <w:b/>
                <w:bCs/>
                <w:color w:val="000000"/>
              </w:rPr>
            </w:pPr>
            <w:proofErr w:type="gramStart"/>
            <w:r w:rsidRPr="00CE6EB2">
              <w:rPr>
                <w:rFonts w:ascii="Arial" w:hAnsi="Arial" w:cs="Arial"/>
                <w:b/>
                <w:bCs/>
                <w:color w:val="000000"/>
              </w:rPr>
              <w:t>95%</w:t>
            </w:r>
            <w:proofErr w:type="gramEnd"/>
            <w:r w:rsidRPr="00CE6EB2">
              <w:rPr>
                <w:rFonts w:ascii="Arial" w:hAnsi="Arial" w:cs="Arial"/>
                <w:b/>
                <w:bCs/>
                <w:color w:val="000000"/>
              </w:rPr>
              <w:t xml:space="preserve"> CI</w:t>
            </w:r>
          </w:p>
        </w:tc>
      </w:tr>
      <w:tr w:rsidR="002F7F23" w:rsidRPr="00CE6EB2" w14:paraId="3A5B73D7" w14:textId="77777777" w:rsidTr="009438AD">
        <w:trPr>
          <w:trHeight w:val="285"/>
          <w:jc w:val="center"/>
        </w:trPr>
        <w:tc>
          <w:tcPr>
            <w:tcW w:w="3397" w:type="dxa"/>
            <w:tcBorders>
              <w:top w:val="nil"/>
              <w:left w:val="single" w:sz="4" w:space="0" w:color="auto"/>
              <w:bottom w:val="single" w:sz="4" w:space="0" w:color="auto"/>
              <w:right w:val="single" w:sz="4" w:space="0" w:color="auto"/>
            </w:tcBorders>
            <w:shd w:val="clear" w:color="000000" w:fill="DDEBF7"/>
            <w:noWrap/>
            <w:vAlign w:val="center"/>
            <w:hideMark/>
          </w:tcPr>
          <w:p w14:paraId="5A902AC3" w14:textId="77777777" w:rsidR="002F7F23" w:rsidRPr="00106B02" w:rsidRDefault="002F7F23" w:rsidP="009438AD">
            <w:pPr>
              <w:jc w:val="center"/>
              <w:rPr>
                <w:rFonts w:ascii="Arial" w:hAnsi="Arial" w:cs="Arial"/>
                <w:color w:val="000000"/>
              </w:rPr>
            </w:pPr>
            <w:r w:rsidRPr="00106B02">
              <w:rPr>
                <w:rFonts w:ascii="Arial" w:hAnsi="Arial" w:cs="Arial"/>
                <w:color w:val="000000"/>
              </w:rPr>
              <w:t>Rok 2019</w:t>
            </w:r>
          </w:p>
        </w:tc>
        <w:tc>
          <w:tcPr>
            <w:tcW w:w="3119" w:type="dxa"/>
            <w:tcBorders>
              <w:top w:val="nil"/>
              <w:left w:val="nil"/>
              <w:bottom w:val="single" w:sz="4" w:space="0" w:color="auto"/>
              <w:right w:val="single" w:sz="4" w:space="0" w:color="auto"/>
            </w:tcBorders>
            <w:shd w:val="clear" w:color="auto" w:fill="auto"/>
            <w:noWrap/>
            <w:vAlign w:val="center"/>
            <w:hideMark/>
          </w:tcPr>
          <w:p w14:paraId="67C559EC" w14:textId="77777777" w:rsidR="002F7F23" w:rsidRPr="00CE6EB2" w:rsidRDefault="002F7F23" w:rsidP="009438AD">
            <w:pPr>
              <w:jc w:val="center"/>
              <w:rPr>
                <w:rFonts w:ascii="Arial" w:hAnsi="Arial" w:cs="Arial"/>
                <w:color w:val="000000"/>
              </w:rPr>
            </w:pPr>
            <w:r w:rsidRPr="00CE6EB2">
              <w:rPr>
                <w:rFonts w:ascii="Arial" w:hAnsi="Arial" w:cs="Arial"/>
                <w:color w:val="000000"/>
              </w:rPr>
              <w:t>30,18</w:t>
            </w:r>
          </w:p>
        </w:tc>
        <w:tc>
          <w:tcPr>
            <w:tcW w:w="2126" w:type="dxa"/>
            <w:tcBorders>
              <w:top w:val="nil"/>
              <w:left w:val="nil"/>
              <w:bottom w:val="single" w:sz="4" w:space="0" w:color="auto"/>
              <w:right w:val="single" w:sz="4" w:space="0" w:color="auto"/>
            </w:tcBorders>
            <w:shd w:val="clear" w:color="auto" w:fill="auto"/>
            <w:noWrap/>
            <w:vAlign w:val="center"/>
            <w:hideMark/>
          </w:tcPr>
          <w:p w14:paraId="19179FD5" w14:textId="77777777" w:rsidR="002F7F23" w:rsidRPr="00CE6EB2" w:rsidRDefault="002F7F23" w:rsidP="009438AD">
            <w:pPr>
              <w:jc w:val="center"/>
              <w:rPr>
                <w:rFonts w:ascii="Arial" w:hAnsi="Arial" w:cs="Arial"/>
                <w:color w:val="000000"/>
              </w:rPr>
            </w:pPr>
            <w:r w:rsidRPr="00CE6EB2">
              <w:rPr>
                <w:rFonts w:ascii="Arial" w:hAnsi="Arial" w:cs="Arial"/>
                <w:color w:val="000000"/>
              </w:rPr>
              <w:t>(0,28; 0,32)</w:t>
            </w:r>
          </w:p>
        </w:tc>
      </w:tr>
      <w:tr w:rsidR="002F7F23" w:rsidRPr="00CE6EB2" w14:paraId="70F8380C" w14:textId="77777777" w:rsidTr="009438AD">
        <w:trPr>
          <w:trHeight w:val="285"/>
          <w:jc w:val="center"/>
        </w:trPr>
        <w:tc>
          <w:tcPr>
            <w:tcW w:w="3397"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177C131" w14:textId="77777777" w:rsidR="002F7F23" w:rsidRPr="00106B02" w:rsidRDefault="002F7F23" w:rsidP="009438AD">
            <w:pPr>
              <w:jc w:val="center"/>
              <w:rPr>
                <w:rFonts w:ascii="Arial" w:hAnsi="Arial" w:cs="Arial"/>
                <w:color w:val="000000"/>
              </w:rPr>
            </w:pPr>
            <w:r w:rsidRPr="00106B02">
              <w:rPr>
                <w:rFonts w:ascii="Arial" w:hAnsi="Arial" w:cs="Arial"/>
                <w:color w:val="000000"/>
              </w:rPr>
              <w:t>Rok 2023</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4A3B5695" w14:textId="77777777" w:rsidR="002F7F23" w:rsidRPr="00CE6EB2" w:rsidRDefault="002F7F23" w:rsidP="009438AD">
            <w:pPr>
              <w:jc w:val="center"/>
              <w:rPr>
                <w:rFonts w:ascii="Arial" w:hAnsi="Arial" w:cs="Arial"/>
                <w:color w:val="000000"/>
              </w:rPr>
            </w:pPr>
            <w:r w:rsidRPr="00CE6EB2">
              <w:rPr>
                <w:rFonts w:ascii="Arial" w:hAnsi="Arial" w:cs="Arial"/>
                <w:color w:val="000000"/>
              </w:rPr>
              <w:t>34,55</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1756D8A" w14:textId="77777777" w:rsidR="002F7F23" w:rsidRPr="00CE6EB2" w:rsidRDefault="002F7F23" w:rsidP="009438AD">
            <w:pPr>
              <w:jc w:val="center"/>
              <w:rPr>
                <w:rFonts w:ascii="Arial" w:hAnsi="Arial" w:cs="Arial"/>
                <w:color w:val="000000"/>
              </w:rPr>
            </w:pPr>
            <w:r w:rsidRPr="00CE6EB2">
              <w:rPr>
                <w:rFonts w:ascii="Arial" w:hAnsi="Arial" w:cs="Arial"/>
                <w:color w:val="000000"/>
              </w:rPr>
              <w:t>(0,32; 0,37)</w:t>
            </w:r>
          </w:p>
        </w:tc>
      </w:tr>
    </w:tbl>
    <w:p w14:paraId="5085F8DB" w14:textId="77777777" w:rsidR="00DF77B4" w:rsidRDefault="00DF77B4" w:rsidP="00E04C2C">
      <w:pPr>
        <w:pStyle w:val="Popisobrzku"/>
      </w:pPr>
    </w:p>
    <w:p w14:paraId="79DE3A48" w14:textId="1F5D11F0" w:rsidR="002F7F23" w:rsidRDefault="002F7F23" w:rsidP="000974B5">
      <w:pPr>
        <w:pStyle w:val="Dalodstavce"/>
        <w:ind w:firstLine="0"/>
      </w:pPr>
      <w:proofErr w:type="gramStart"/>
      <w:r w:rsidRPr="009E4010">
        <w:t>95%</w:t>
      </w:r>
      <w:proofErr w:type="gramEnd"/>
      <w:r w:rsidRPr="009E4010">
        <w:t xml:space="preserve"> CI říká, v jakém rozmezí se s </w:t>
      </w:r>
      <w:proofErr w:type="gramStart"/>
      <w:r w:rsidRPr="009E4010">
        <w:t>95%</w:t>
      </w:r>
      <w:proofErr w:type="gramEnd"/>
      <w:r w:rsidRPr="009E4010">
        <w:t xml:space="preserve"> p</w:t>
      </w:r>
      <w:r>
        <w:t>ravděpodobno</w:t>
      </w:r>
      <w:r w:rsidRPr="009E4010">
        <w:t xml:space="preserve">stí pohybuje celkový podíl pacientů </w:t>
      </w:r>
      <w:r>
        <w:t xml:space="preserve">ve věku </w:t>
      </w:r>
      <w:r w:rsidRPr="009E4010">
        <w:t>75</w:t>
      </w:r>
      <w:r>
        <w:t xml:space="preserve"> a více let </w:t>
      </w:r>
      <w:r w:rsidRPr="009E4010">
        <w:t>v celkovém počtu ošetřených pacientů v</w:t>
      </w:r>
      <w:r>
        <w:t> </w:t>
      </w:r>
      <w:r w:rsidRPr="009E4010">
        <w:t>letech</w:t>
      </w:r>
      <w:r>
        <w:t xml:space="preserve"> 2019 a 2023</w:t>
      </w:r>
      <w:r w:rsidRPr="009E4010">
        <w:t>.</w:t>
      </w:r>
      <w:r>
        <w:t xml:space="preserve"> </w:t>
      </w:r>
      <w:r w:rsidRPr="009E4010">
        <w:t>Protože se konfidenční intervaly hraničně překrývají, je rozdíl na hranici statistické významnosti. V pod</w:t>
      </w:r>
      <w:r>
        <w:t>s</w:t>
      </w:r>
      <w:r w:rsidRPr="009E4010">
        <w:t xml:space="preserve">tatě </w:t>
      </w:r>
      <w:r>
        <w:t>však lze konstatovat</w:t>
      </w:r>
      <w:r w:rsidRPr="009E4010">
        <w:t>, že</w:t>
      </w:r>
      <w:r>
        <w:t xml:space="preserve"> </w:t>
      </w:r>
      <w:r w:rsidRPr="009E4010">
        <w:t xml:space="preserve">rozdíl v podílu pacientů </w:t>
      </w:r>
      <w:r>
        <w:t xml:space="preserve">ve věkové kategorii </w:t>
      </w:r>
      <w:r w:rsidRPr="009E4010">
        <w:t>75</w:t>
      </w:r>
      <w:r>
        <w:t xml:space="preserve"> a více let</w:t>
      </w:r>
      <w:r w:rsidRPr="009E4010">
        <w:t xml:space="preserve"> mezi sledovanými roky</w:t>
      </w:r>
      <w:r>
        <w:t xml:space="preserve"> je (viz Tabulka </w:t>
      </w:r>
      <w:r w:rsidR="00047AC8">
        <w:t>7</w:t>
      </w:r>
      <w:r>
        <w:t>)</w:t>
      </w:r>
      <w:r w:rsidRPr="009E4010">
        <w:t>.</w:t>
      </w:r>
    </w:p>
    <w:p w14:paraId="5D6EE101" w14:textId="77777777" w:rsidR="002F7F23" w:rsidRDefault="002F7F23" w:rsidP="002F7F23">
      <w:pPr>
        <w:pStyle w:val="Dalodstavce"/>
        <w:ind w:firstLine="0"/>
        <w:rPr>
          <w:lang w:eastAsia="sk-SK"/>
        </w:rPr>
      </w:pPr>
    </w:p>
    <w:p w14:paraId="01BABF28" w14:textId="3B550EA4" w:rsidR="002F7F23" w:rsidRDefault="002F7F23" w:rsidP="002F7F23">
      <w:pPr>
        <w:pStyle w:val="Titulektabulky"/>
      </w:pPr>
      <w:bookmarkStart w:id="40" w:name="_Toc195517133"/>
      <w:r>
        <w:t xml:space="preserve">Tab. </w:t>
      </w:r>
      <w:fldSimple w:instr=" SEQ Tab. \* ARABIC ">
        <w:r w:rsidR="0022490D">
          <w:rPr>
            <w:noProof/>
          </w:rPr>
          <w:t>8</w:t>
        </w:r>
      </w:fldSimple>
      <w:r>
        <w:t xml:space="preserve">: </w:t>
      </w:r>
      <w:r w:rsidRPr="00BE01CD">
        <w:t>Podíl pacientů</w:t>
      </w:r>
      <w:r>
        <w:t xml:space="preserve"> ve věku 75 a více let v celkovém počtu pacientů</w:t>
      </w:r>
      <w:r w:rsidRPr="00BE01CD">
        <w:t xml:space="preserve"> ošetřených na NUP FN</w:t>
      </w:r>
      <w:r>
        <w:t> </w:t>
      </w:r>
      <w:r w:rsidRPr="00BE01CD">
        <w:t>Brno v letech 2019 a 2023 dle pohlaví</w:t>
      </w:r>
      <w:bookmarkEnd w:id="40"/>
    </w:p>
    <w:tbl>
      <w:tblPr>
        <w:tblW w:w="8653" w:type="dxa"/>
        <w:jc w:val="center"/>
        <w:tblCellMar>
          <w:left w:w="70" w:type="dxa"/>
          <w:right w:w="70" w:type="dxa"/>
        </w:tblCellMar>
        <w:tblLook w:val="04A0" w:firstRow="1" w:lastRow="0" w:firstColumn="1" w:lastColumn="0" w:noHBand="0" w:noVBand="1"/>
      </w:tblPr>
      <w:tblGrid>
        <w:gridCol w:w="3397"/>
        <w:gridCol w:w="3119"/>
        <w:gridCol w:w="2137"/>
      </w:tblGrid>
      <w:tr w:rsidR="002F7F23" w:rsidRPr="001A0C5E" w14:paraId="7C310A1D" w14:textId="77777777" w:rsidTr="00351930">
        <w:trPr>
          <w:trHeight w:val="285"/>
          <w:tblHeader/>
          <w:jc w:val="center"/>
        </w:trPr>
        <w:tc>
          <w:tcPr>
            <w:tcW w:w="3397" w:type="dxa"/>
            <w:tcBorders>
              <w:top w:val="single" w:sz="4" w:space="0" w:color="auto"/>
              <w:left w:val="single" w:sz="4" w:space="0" w:color="auto"/>
              <w:bottom w:val="single" w:sz="4" w:space="0" w:color="auto"/>
              <w:right w:val="single" w:sz="4" w:space="0" w:color="auto"/>
              <w:tr2bl w:val="single" w:sz="4" w:space="0" w:color="auto"/>
            </w:tcBorders>
            <w:shd w:val="clear" w:color="000000" w:fill="DDEBF7"/>
            <w:noWrap/>
            <w:vAlign w:val="center"/>
            <w:hideMark/>
          </w:tcPr>
          <w:p w14:paraId="74440232" w14:textId="77777777" w:rsidR="002F7F23" w:rsidRPr="001A0C5E" w:rsidRDefault="002F7F23" w:rsidP="009438AD">
            <w:pPr>
              <w:jc w:val="center"/>
              <w:rPr>
                <w:rFonts w:ascii="Arial" w:hAnsi="Arial" w:cs="Arial"/>
                <w:b/>
                <w:bCs/>
                <w:color w:val="000000"/>
              </w:rPr>
            </w:pPr>
            <w:r w:rsidRPr="001A0C5E">
              <w:rPr>
                <w:rFonts w:ascii="Arial" w:hAnsi="Arial" w:cs="Arial"/>
                <w:b/>
                <w:bCs/>
                <w:color w:val="000000"/>
              </w:rPr>
              <w:t> </w:t>
            </w:r>
          </w:p>
        </w:tc>
        <w:tc>
          <w:tcPr>
            <w:tcW w:w="3119" w:type="dxa"/>
            <w:tcBorders>
              <w:top w:val="single" w:sz="4" w:space="0" w:color="auto"/>
              <w:left w:val="nil"/>
              <w:bottom w:val="single" w:sz="4" w:space="0" w:color="auto"/>
              <w:right w:val="single" w:sz="4" w:space="0" w:color="auto"/>
            </w:tcBorders>
            <w:shd w:val="clear" w:color="000000" w:fill="DDEBF7"/>
            <w:vAlign w:val="center"/>
            <w:hideMark/>
          </w:tcPr>
          <w:p w14:paraId="70153FDC" w14:textId="77777777" w:rsidR="002F7F23" w:rsidRPr="001A0C5E" w:rsidRDefault="002F7F23" w:rsidP="009438AD">
            <w:pPr>
              <w:jc w:val="center"/>
              <w:rPr>
                <w:rFonts w:ascii="Arial" w:hAnsi="Arial" w:cs="Arial"/>
                <w:b/>
                <w:bCs/>
                <w:color w:val="000000"/>
              </w:rPr>
            </w:pPr>
            <w:r w:rsidRPr="001A0C5E">
              <w:rPr>
                <w:rFonts w:ascii="Arial" w:hAnsi="Arial" w:cs="Arial"/>
                <w:b/>
                <w:bCs/>
                <w:color w:val="000000"/>
              </w:rPr>
              <w:t xml:space="preserve">% </w:t>
            </w:r>
            <w:r>
              <w:rPr>
                <w:rFonts w:ascii="Arial" w:hAnsi="Arial" w:cs="Arial"/>
                <w:b/>
                <w:bCs/>
                <w:color w:val="000000"/>
              </w:rPr>
              <w:t xml:space="preserve">podíl </w:t>
            </w:r>
            <w:r w:rsidRPr="001A0C5E">
              <w:rPr>
                <w:rFonts w:ascii="Arial" w:hAnsi="Arial" w:cs="Arial"/>
                <w:b/>
                <w:bCs/>
                <w:color w:val="000000"/>
              </w:rPr>
              <w:t>mužů 75</w:t>
            </w:r>
            <w:r>
              <w:rPr>
                <w:rFonts w:ascii="Arial" w:hAnsi="Arial" w:cs="Arial"/>
                <w:b/>
                <w:bCs/>
                <w:color w:val="000000"/>
              </w:rPr>
              <w:t xml:space="preserve"> a více let</w:t>
            </w:r>
          </w:p>
        </w:tc>
        <w:tc>
          <w:tcPr>
            <w:tcW w:w="2137" w:type="dxa"/>
            <w:tcBorders>
              <w:top w:val="single" w:sz="4" w:space="0" w:color="auto"/>
              <w:left w:val="nil"/>
              <w:bottom w:val="single" w:sz="4" w:space="0" w:color="auto"/>
              <w:right w:val="single" w:sz="4" w:space="0" w:color="auto"/>
            </w:tcBorders>
            <w:shd w:val="clear" w:color="000000" w:fill="DDEBF7"/>
            <w:noWrap/>
            <w:vAlign w:val="center"/>
            <w:hideMark/>
          </w:tcPr>
          <w:p w14:paraId="7A3FC9E3" w14:textId="77777777" w:rsidR="002F7F23" w:rsidRPr="001A0C5E" w:rsidRDefault="002F7F23" w:rsidP="009438AD">
            <w:pPr>
              <w:jc w:val="center"/>
              <w:rPr>
                <w:rFonts w:ascii="Arial" w:hAnsi="Arial" w:cs="Arial"/>
                <w:b/>
                <w:bCs/>
                <w:color w:val="000000"/>
              </w:rPr>
            </w:pPr>
            <w:proofErr w:type="gramStart"/>
            <w:r w:rsidRPr="001A0C5E">
              <w:rPr>
                <w:rFonts w:ascii="Arial" w:hAnsi="Arial" w:cs="Arial"/>
                <w:b/>
                <w:bCs/>
                <w:color w:val="000000"/>
              </w:rPr>
              <w:t>95%</w:t>
            </w:r>
            <w:proofErr w:type="gramEnd"/>
            <w:r w:rsidRPr="001A0C5E">
              <w:rPr>
                <w:rFonts w:ascii="Arial" w:hAnsi="Arial" w:cs="Arial"/>
                <w:b/>
                <w:bCs/>
                <w:color w:val="000000"/>
              </w:rPr>
              <w:t xml:space="preserve"> CI</w:t>
            </w:r>
          </w:p>
        </w:tc>
      </w:tr>
      <w:tr w:rsidR="002F7F23" w:rsidRPr="001A0C5E" w14:paraId="6B78D4FF" w14:textId="77777777" w:rsidTr="009438AD">
        <w:trPr>
          <w:trHeight w:val="285"/>
          <w:jc w:val="center"/>
        </w:trPr>
        <w:tc>
          <w:tcPr>
            <w:tcW w:w="3397" w:type="dxa"/>
            <w:tcBorders>
              <w:top w:val="nil"/>
              <w:left w:val="single" w:sz="4" w:space="0" w:color="auto"/>
              <w:bottom w:val="single" w:sz="4" w:space="0" w:color="auto"/>
              <w:right w:val="single" w:sz="4" w:space="0" w:color="auto"/>
            </w:tcBorders>
            <w:shd w:val="clear" w:color="000000" w:fill="DDEBF7"/>
            <w:noWrap/>
            <w:vAlign w:val="center"/>
            <w:hideMark/>
          </w:tcPr>
          <w:p w14:paraId="005DF619" w14:textId="77777777" w:rsidR="002F7F23" w:rsidRPr="00106B02" w:rsidRDefault="002F7F23" w:rsidP="009438AD">
            <w:pPr>
              <w:jc w:val="center"/>
              <w:rPr>
                <w:rFonts w:ascii="Arial" w:hAnsi="Arial" w:cs="Arial"/>
                <w:color w:val="000000"/>
              </w:rPr>
            </w:pPr>
            <w:r w:rsidRPr="00106B02">
              <w:rPr>
                <w:rFonts w:ascii="Arial" w:hAnsi="Arial" w:cs="Arial"/>
                <w:color w:val="000000"/>
              </w:rPr>
              <w:t>Rok 2019</w:t>
            </w:r>
          </w:p>
        </w:tc>
        <w:tc>
          <w:tcPr>
            <w:tcW w:w="3119" w:type="dxa"/>
            <w:tcBorders>
              <w:top w:val="nil"/>
              <w:left w:val="nil"/>
              <w:bottom w:val="single" w:sz="4" w:space="0" w:color="auto"/>
              <w:right w:val="single" w:sz="4" w:space="0" w:color="auto"/>
            </w:tcBorders>
            <w:shd w:val="clear" w:color="auto" w:fill="auto"/>
            <w:noWrap/>
            <w:vAlign w:val="center"/>
            <w:hideMark/>
          </w:tcPr>
          <w:p w14:paraId="2FB6BE6D" w14:textId="77777777" w:rsidR="002F7F23" w:rsidRPr="001A0C5E" w:rsidRDefault="002F7F23" w:rsidP="009438AD">
            <w:pPr>
              <w:jc w:val="center"/>
              <w:rPr>
                <w:rFonts w:ascii="Arial" w:hAnsi="Arial" w:cs="Arial"/>
                <w:color w:val="000000"/>
              </w:rPr>
            </w:pPr>
            <w:r w:rsidRPr="001A0C5E">
              <w:rPr>
                <w:rFonts w:ascii="Arial" w:hAnsi="Arial" w:cs="Arial"/>
                <w:color w:val="000000"/>
              </w:rPr>
              <w:t>22,32</w:t>
            </w:r>
          </w:p>
        </w:tc>
        <w:tc>
          <w:tcPr>
            <w:tcW w:w="2137" w:type="dxa"/>
            <w:tcBorders>
              <w:top w:val="nil"/>
              <w:left w:val="nil"/>
              <w:bottom w:val="single" w:sz="4" w:space="0" w:color="auto"/>
              <w:right w:val="single" w:sz="4" w:space="0" w:color="auto"/>
            </w:tcBorders>
            <w:shd w:val="clear" w:color="auto" w:fill="auto"/>
            <w:noWrap/>
            <w:vAlign w:val="center"/>
            <w:hideMark/>
          </w:tcPr>
          <w:p w14:paraId="10B42EEC" w14:textId="77777777" w:rsidR="002F7F23" w:rsidRPr="001A0C5E" w:rsidRDefault="002F7F23" w:rsidP="009438AD">
            <w:pPr>
              <w:jc w:val="center"/>
              <w:rPr>
                <w:rFonts w:ascii="Arial" w:hAnsi="Arial" w:cs="Arial"/>
                <w:color w:val="000000"/>
              </w:rPr>
            </w:pPr>
            <w:r w:rsidRPr="001A0C5E">
              <w:rPr>
                <w:rFonts w:ascii="Arial" w:hAnsi="Arial" w:cs="Arial"/>
                <w:color w:val="000000"/>
              </w:rPr>
              <w:t>(0,19; 0,25)</w:t>
            </w:r>
          </w:p>
        </w:tc>
      </w:tr>
      <w:tr w:rsidR="002F7F23" w:rsidRPr="001A0C5E" w14:paraId="27FD4B76" w14:textId="77777777" w:rsidTr="009438AD">
        <w:trPr>
          <w:trHeight w:val="285"/>
          <w:jc w:val="center"/>
        </w:trPr>
        <w:tc>
          <w:tcPr>
            <w:tcW w:w="3397" w:type="dxa"/>
            <w:tcBorders>
              <w:top w:val="nil"/>
              <w:left w:val="single" w:sz="4" w:space="0" w:color="auto"/>
              <w:bottom w:val="single" w:sz="4" w:space="0" w:color="auto"/>
              <w:right w:val="single" w:sz="4" w:space="0" w:color="auto"/>
            </w:tcBorders>
            <w:shd w:val="clear" w:color="000000" w:fill="DDEBF7"/>
            <w:noWrap/>
            <w:vAlign w:val="center"/>
            <w:hideMark/>
          </w:tcPr>
          <w:p w14:paraId="15901C7F" w14:textId="77777777" w:rsidR="002F7F23" w:rsidRPr="00106B02" w:rsidRDefault="002F7F23" w:rsidP="009438AD">
            <w:pPr>
              <w:jc w:val="center"/>
              <w:rPr>
                <w:rFonts w:ascii="Arial" w:hAnsi="Arial" w:cs="Arial"/>
                <w:color w:val="000000"/>
              </w:rPr>
            </w:pPr>
            <w:r w:rsidRPr="00106B02">
              <w:rPr>
                <w:rFonts w:ascii="Arial" w:hAnsi="Arial" w:cs="Arial"/>
                <w:color w:val="000000"/>
              </w:rPr>
              <w:t>Rok 2023</w:t>
            </w:r>
          </w:p>
        </w:tc>
        <w:tc>
          <w:tcPr>
            <w:tcW w:w="3119" w:type="dxa"/>
            <w:tcBorders>
              <w:top w:val="nil"/>
              <w:left w:val="nil"/>
              <w:bottom w:val="single" w:sz="4" w:space="0" w:color="auto"/>
              <w:right w:val="single" w:sz="4" w:space="0" w:color="auto"/>
            </w:tcBorders>
            <w:shd w:val="clear" w:color="auto" w:fill="auto"/>
            <w:noWrap/>
            <w:vAlign w:val="center"/>
            <w:hideMark/>
          </w:tcPr>
          <w:p w14:paraId="54A1F04E" w14:textId="77777777" w:rsidR="002F7F23" w:rsidRPr="001A0C5E" w:rsidRDefault="002F7F23" w:rsidP="009438AD">
            <w:pPr>
              <w:jc w:val="center"/>
              <w:rPr>
                <w:rFonts w:ascii="Arial" w:hAnsi="Arial" w:cs="Arial"/>
                <w:color w:val="000000"/>
              </w:rPr>
            </w:pPr>
            <w:r w:rsidRPr="001A0C5E">
              <w:rPr>
                <w:rFonts w:ascii="Arial" w:hAnsi="Arial" w:cs="Arial"/>
                <w:color w:val="000000"/>
              </w:rPr>
              <w:t>29,65</w:t>
            </w:r>
          </w:p>
        </w:tc>
        <w:tc>
          <w:tcPr>
            <w:tcW w:w="2137" w:type="dxa"/>
            <w:tcBorders>
              <w:top w:val="nil"/>
              <w:left w:val="nil"/>
              <w:bottom w:val="single" w:sz="4" w:space="0" w:color="auto"/>
              <w:right w:val="single" w:sz="4" w:space="0" w:color="auto"/>
            </w:tcBorders>
            <w:shd w:val="clear" w:color="auto" w:fill="auto"/>
            <w:noWrap/>
            <w:vAlign w:val="center"/>
            <w:hideMark/>
          </w:tcPr>
          <w:p w14:paraId="638CB4B4" w14:textId="77777777" w:rsidR="002F7F23" w:rsidRPr="001A0C5E" w:rsidRDefault="002F7F23" w:rsidP="009438AD">
            <w:pPr>
              <w:jc w:val="center"/>
              <w:rPr>
                <w:rFonts w:ascii="Arial" w:hAnsi="Arial" w:cs="Arial"/>
                <w:color w:val="000000"/>
              </w:rPr>
            </w:pPr>
            <w:r w:rsidRPr="001A0C5E">
              <w:rPr>
                <w:rFonts w:ascii="Arial" w:hAnsi="Arial" w:cs="Arial"/>
                <w:color w:val="000000"/>
              </w:rPr>
              <w:t>(0,26; 0,33)</w:t>
            </w:r>
          </w:p>
        </w:tc>
      </w:tr>
      <w:tr w:rsidR="002F7F23" w:rsidRPr="001A0C5E" w14:paraId="31CA487F" w14:textId="77777777" w:rsidTr="009438AD">
        <w:trPr>
          <w:trHeight w:val="285"/>
          <w:jc w:val="center"/>
        </w:trPr>
        <w:tc>
          <w:tcPr>
            <w:tcW w:w="3397" w:type="dxa"/>
            <w:tcBorders>
              <w:top w:val="nil"/>
              <w:left w:val="single" w:sz="4" w:space="0" w:color="auto"/>
              <w:bottom w:val="single" w:sz="4" w:space="0" w:color="auto"/>
              <w:right w:val="single" w:sz="4" w:space="0" w:color="auto"/>
              <w:tr2bl w:val="single" w:sz="4" w:space="0" w:color="auto"/>
            </w:tcBorders>
            <w:shd w:val="clear" w:color="000000" w:fill="DDEBF7"/>
            <w:noWrap/>
            <w:vAlign w:val="center"/>
            <w:hideMark/>
          </w:tcPr>
          <w:p w14:paraId="3B44C130" w14:textId="77777777" w:rsidR="002F7F23" w:rsidRPr="001A0C5E" w:rsidRDefault="002F7F23" w:rsidP="009438AD">
            <w:pPr>
              <w:jc w:val="center"/>
              <w:rPr>
                <w:rFonts w:ascii="Arial" w:hAnsi="Arial" w:cs="Arial"/>
                <w:b/>
                <w:bCs/>
                <w:color w:val="000000"/>
              </w:rPr>
            </w:pPr>
            <w:r w:rsidRPr="001A0C5E">
              <w:rPr>
                <w:rFonts w:ascii="Arial" w:hAnsi="Arial" w:cs="Arial"/>
                <w:b/>
                <w:bCs/>
                <w:color w:val="000000"/>
              </w:rPr>
              <w:t> </w:t>
            </w:r>
          </w:p>
        </w:tc>
        <w:tc>
          <w:tcPr>
            <w:tcW w:w="3119" w:type="dxa"/>
            <w:tcBorders>
              <w:top w:val="nil"/>
              <w:left w:val="nil"/>
              <w:bottom w:val="single" w:sz="4" w:space="0" w:color="auto"/>
              <w:right w:val="single" w:sz="4" w:space="0" w:color="auto"/>
            </w:tcBorders>
            <w:shd w:val="clear" w:color="000000" w:fill="DDEBF7"/>
            <w:vAlign w:val="center"/>
            <w:hideMark/>
          </w:tcPr>
          <w:p w14:paraId="57B427AD" w14:textId="77777777" w:rsidR="002F7F23" w:rsidRPr="001A0C5E" w:rsidRDefault="002F7F23" w:rsidP="009438AD">
            <w:pPr>
              <w:jc w:val="center"/>
              <w:rPr>
                <w:rFonts w:ascii="Arial" w:hAnsi="Arial" w:cs="Arial"/>
                <w:b/>
                <w:bCs/>
                <w:color w:val="000000"/>
              </w:rPr>
            </w:pPr>
            <w:r w:rsidRPr="001A0C5E">
              <w:rPr>
                <w:rFonts w:ascii="Arial" w:hAnsi="Arial" w:cs="Arial"/>
                <w:b/>
                <w:bCs/>
                <w:color w:val="000000"/>
              </w:rPr>
              <w:t>%</w:t>
            </w:r>
            <w:r>
              <w:rPr>
                <w:rFonts w:ascii="Arial" w:hAnsi="Arial" w:cs="Arial"/>
                <w:b/>
                <w:bCs/>
                <w:color w:val="000000"/>
              </w:rPr>
              <w:t xml:space="preserve"> podíl</w:t>
            </w:r>
            <w:r w:rsidRPr="001A0C5E">
              <w:rPr>
                <w:rFonts w:ascii="Arial" w:hAnsi="Arial" w:cs="Arial"/>
                <w:b/>
                <w:bCs/>
                <w:color w:val="000000"/>
              </w:rPr>
              <w:t xml:space="preserve"> žen 75</w:t>
            </w:r>
            <w:r>
              <w:rPr>
                <w:rFonts w:ascii="Arial" w:hAnsi="Arial" w:cs="Arial"/>
                <w:b/>
                <w:bCs/>
                <w:color w:val="000000"/>
              </w:rPr>
              <w:t xml:space="preserve"> a více let</w:t>
            </w:r>
          </w:p>
        </w:tc>
        <w:tc>
          <w:tcPr>
            <w:tcW w:w="2137" w:type="dxa"/>
            <w:tcBorders>
              <w:top w:val="nil"/>
              <w:left w:val="nil"/>
              <w:bottom w:val="single" w:sz="4" w:space="0" w:color="auto"/>
              <w:right w:val="single" w:sz="4" w:space="0" w:color="auto"/>
            </w:tcBorders>
            <w:shd w:val="clear" w:color="000000" w:fill="DDEBF7"/>
            <w:noWrap/>
            <w:vAlign w:val="center"/>
            <w:hideMark/>
          </w:tcPr>
          <w:p w14:paraId="3562FE80" w14:textId="77777777" w:rsidR="002F7F23" w:rsidRPr="001A0C5E" w:rsidRDefault="002F7F23" w:rsidP="009438AD">
            <w:pPr>
              <w:jc w:val="center"/>
              <w:rPr>
                <w:rFonts w:ascii="Arial" w:hAnsi="Arial" w:cs="Arial"/>
                <w:b/>
                <w:bCs/>
                <w:color w:val="000000"/>
              </w:rPr>
            </w:pPr>
            <w:proofErr w:type="gramStart"/>
            <w:r w:rsidRPr="001A0C5E">
              <w:rPr>
                <w:rFonts w:ascii="Arial" w:hAnsi="Arial" w:cs="Arial"/>
                <w:b/>
                <w:bCs/>
                <w:color w:val="000000"/>
              </w:rPr>
              <w:t>95%</w:t>
            </w:r>
            <w:proofErr w:type="gramEnd"/>
            <w:r w:rsidRPr="001A0C5E">
              <w:rPr>
                <w:rFonts w:ascii="Arial" w:hAnsi="Arial" w:cs="Arial"/>
                <w:b/>
                <w:bCs/>
                <w:color w:val="000000"/>
              </w:rPr>
              <w:t xml:space="preserve"> CI</w:t>
            </w:r>
          </w:p>
        </w:tc>
      </w:tr>
      <w:tr w:rsidR="002F7F23" w:rsidRPr="001A0C5E" w14:paraId="4561A5F2" w14:textId="77777777" w:rsidTr="009438AD">
        <w:trPr>
          <w:trHeight w:val="285"/>
          <w:jc w:val="center"/>
        </w:trPr>
        <w:tc>
          <w:tcPr>
            <w:tcW w:w="3397" w:type="dxa"/>
            <w:tcBorders>
              <w:top w:val="nil"/>
              <w:left w:val="single" w:sz="4" w:space="0" w:color="auto"/>
              <w:bottom w:val="single" w:sz="4" w:space="0" w:color="auto"/>
              <w:right w:val="single" w:sz="4" w:space="0" w:color="auto"/>
            </w:tcBorders>
            <w:shd w:val="clear" w:color="000000" w:fill="DDEBF7"/>
            <w:noWrap/>
            <w:vAlign w:val="center"/>
            <w:hideMark/>
          </w:tcPr>
          <w:p w14:paraId="384BFB5E" w14:textId="77777777" w:rsidR="002F7F23" w:rsidRPr="00106B02" w:rsidRDefault="002F7F23" w:rsidP="009438AD">
            <w:pPr>
              <w:jc w:val="center"/>
              <w:rPr>
                <w:rFonts w:ascii="Arial" w:hAnsi="Arial" w:cs="Arial"/>
                <w:color w:val="000000"/>
              </w:rPr>
            </w:pPr>
            <w:r w:rsidRPr="00106B02">
              <w:rPr>
                <w:rFonts w:ascii="Arial" w:hAnsi="Arial" w:cs="Arial"/>
                <w:color w:val="000000"/>
              </w:rPr>
              <w:t>Rok 2019</w:t>
            </w:r>
          </w:p>
        </w:tc>
        <w:tc>
          <w:tcPr>
            <w:tcW w:w="3119" w:type="dxa"/>
            <w:tcBorders>
              <w:top w:val="nil"/>
              <w:left w:val="nil"/>
              <w:bottom w:val="single" w:sz="4" w:space="0" w:color="auto"/>
              <w:right w:val="single" w:sz="4" w:space="0" w:color="auto"/>
            </w:tcBorders>
            <w:shd w:val="clear" w:color="auto" w:fill="auto"/>
            <w:noWrap/>
            <w:vAlign w:val="center"/>
            <w:hideMark/>
          </w:tcPr>
          <w:p w14:paraId="55F706B6" w14:textId="77777777" w:rsidR="002F7F23" w:rsidRPr="001A0C5E" w:rsidRDefault="002F7F23" w:rsidP="009438AD">
            <w:pPr>
              <w:jc w:val="center"/>
              <w:rPr>
                <w:rFonts w:ascii="Arial" w:hAnsi="Arial" w:cs="Arial"/>
                <w:color w:val="000000"/>
              </w:rPr>
            </w:pPr>
            <w:r w:rsidRPr="001A0C5E">
              <w:rPr>
                <w:rFonts w:ascii="Arial" w:hAnsi="Arial" w:cs="Arial"/>
                <w:color w:val="000000"/>
              </w:rPr>
              <w:t>36,65</w:t>
            </w:r>
          </w:p>
        </w:tc>
        <w:tc>
          <w:tcPr>
            <w:tcW w:w="2137" w:type="dxa"/>
            <w:tcBorders>
              <w:top w:val="nil"/>
              <w:left w:val="nil"/>
              <w:bottom w:val="single" w:sz="4" w:space="0" w:color="auto"/>
              <w:right w:val="single" w:sz="4" w:space="0" w:color="auto"/>
            </w:tcBorders>
            <w:shd w:val="clear" w:color="auto" w:fill="auto"/>
            <w:noWrap/>
            <w:vAlign w:val="center"/>
            <w:hideMark/>
          </w:tcPr>
          <w:p w14:paraId="00C94B7D" w14:textId="77777777" w:rsidR="002F7F23" w:rsidRPr="001A0C5E" w:rsidRDefault="002F7F23" w:rsidP="009438AD">
            <w:pPr>
              <w:jc w:val="center"/>
              <w:rPr>
                <w:rFonts w:ascii="Arial" w:hAnsi="Arial" w:cs="Arial"/>
                <w:color w:val="000000"/>
              </w:rPr>
            </w:pPr>
            <w:r w:rsidRPr="001A0C5E">
              <w:rPr>
                <w:rFonts w:ascii="Arial" w:hAnsi="Arial" w:cs="Arial"/>
                <w:color w:val="000000"/>
              </w:rPr>
              <w:t>(0,34; 0,40)</w:t>
            </w:r>
          </w:p>
        </w:tc>
      </w:tr>
      <w:tr w:rsidR="002F7F23" w:rsidRPr="001A0C5E" w14:paraId="3165B642" w14:textId="77777777" w:rsidTr="009438AD">
        <w:trPr>
          <w:trHeight w:val="285"/>
          <w:jc w:val="center"/>
        </w:trPr>
        <w:tc>
          <w:tcPr>
            <w:tcW w:w="3397"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E27FCD9" w14:textId="77777777" w:rsidR="002F7F23" w:rsidRPr="00106B02" w:rsidRDefault="002F7F23" w:rsidP="009438AD">
            <w:pPr>
              <w:jc w:val="center"/>
              <w:rPr>
                <w:rFonts w:ascii="Arial" w:hAnsi="Arial" w:cs="Arial"/>
                <w:color w:val="000000"/>
              </w:rPr>
            </w:pPr>
            <w:r w:rsidRPr="00106B02">
              <w:rPr>
                <w:rFonts w:ascii="Arial" w:hAnsi="Arial" w:cs="Arial"/>
                <w:color w:val="000000"/>
              </w:rPr>
              <w:t>Rok 2023</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6F1BDE28" w14:textId="77777777" w:rsidR="002F7F23" w:rsidRPr="001A0C5E" w:rsidRDefault="002F7F23" w:rsidP="009438AD">
            <w:pPr>
              <w:jc w:val="center"/>
              <w:rPr>
                <w:rFonts w:ascii="Arial" w:hAnsi="Arial" w:cs="Arial"/>
                <w:color w:val="000000"/>
              </w:rPr>
            </w:pPr>
            <w:r w:rsidRPr="001A0C5E">
              <w:rPr>
                <w:rFonts w:ascii="Arial" w:hAnsi="Arial" w:cs="Arial"/>
                <w:color w:val="000000"/>
              </w:rPr>
              <w:t>38,55</w:t>
            </w:r>
          </w:p>
        </w:tc>
        <w:tc>
          <w:tcPr>
            <w:tcW w:w="2137" w:type="dxa"/>
            <w:tcBorders>
              <w:top w:val="single" w:sz="4" w:space="0" w:color="auto"/>
              <w:left w:val="nil"/>
              <w:bottom w:val="single" w:sz="4" w:space="0" w:color="auto"/>
              <w:right w:val="single" w:sz="4" w:space="0" w:color="auto"/>
            </w:tcBorders>
            <w:shd w:val="clear" w:color="auto" w:fill="auto"/>
            <w:noWrap/>
            <w:vAlign w:val="center"/>
            <w:hideMark/>
          </w:tcPr>
          <w:p w14:paraId="1B268FC2" w14:textId="77777777" w:rsidR="002F7F23" w:rsidRPr="001A0C5E" w:rsidRDefault="002F7F23" w:rsidP="009438AD">
            <w:pPr>
              <w:jc w:val="center"/>
              <w:rPr>
                <w:rFonts w:ascii="Arial" w:hAnsi="Arial" w:cs="Arial"/>
                <w:color w:val="000000"/>
              </w:rPr>
            </w:pPr>
            <w:r w:rsidRPr="001A0C5E">
              <w:rPr>
                <w:rFonts w:ascii="Arial" w:hAnsi="Arial" w:cs="Arial"/>
                <w:color w:val="000000"/>
              </w:rPr>
              <w:t>(0,35; 0,42)</w:t>
            </w:r>
          </w:p>
        </w:tc>
      </w:tr>
    </w:tbl>
    <w:p w14:paraId="04E2F374" w14:textId="77777777" w:rsidR="000974B5" w:rsidRDefault="000974B5" w:rsidP="00E9010C">
      <w:pPr>
        <w:pStyle w:val="Popisobrzku"/>
      </w:pPr>
    </w:p>
    <w:p w14:paraId="69D39E98" w14:textId="7A2BFF02" w:rsidR="0086282E" w:rsidRDefault="002F7F23" w:rsidP="000974B5">
      <w:pPr>
        <w:pStyle w:val="Dalodstavce"/>
        <w:ind w:firstLine="0"/>
      </w:pPr>
      <w:r>
        <w:t xml:space="preserve">Tabulka </w:t>
      </w:r>
      <w:r w:rsidR="00047AC8">
        <w:t>8</w:t>
      </w:r>
      <w:r>
        <w:t xml:space="preserve"> zachycuje</w:t>
      </w:r>
      <w:r w:rsidRPr="00472FCB">
        <w:t xml:space="preserve"> podíl mužů</w:t>
      </w:r>
      <w:r>
        <w:t xml:space="preserve"> věkové kategorie </w:t>
      </w:r>
      <w:r w:rsidRPr="00472FCB">
        <w:t>75</w:t>
      </w:r>
      <w:r>
        <w:t>+</w:t>
      </w:r>
      <w:r w:rsidRPr="00472FCB">
        <w:t xml:space="preserve"> z celkového počtu mužů a podíl žen </w:t>
      </w:r>
      <w:r>
        <w:t xml:space="preserve">věkové kategorie </w:t>
      </w:r>
      <w:r w:rsidRPr="00472FCB">
        <w:t>75</w:t>
      </w:r>
      <w:r>
        <w:t>+</w:t>
      </w:r>
      <w:r w:rsidRPr="00472FCB">
        <w:t xml:space="preserve"> z celkového počtu žen v letech 2019 a</w:t>
      </w:r>
      <w:r>
        <w:t> </w:t>
      </w:r>
      <w:r w:rsidRPr="00472FCB">
        <w:t>2023.</w:t>
      </w:r>
      <w:r>
        <w:t xml:space="preserve"> </w:t>
      </w:r>
      <w:r w:rsidRPr="007A5CAF">
        <w:t xml:space="preserve">Na navýšení podílu pacientů </w:t>
      </w:r>
      <w:r>
        <w:t xml:space="preserve">ve věku </w:t>
      </w:r>
      <w:r w:rsidRPr="007A5CAF">
        <w:t>75</w:t>
      </w:r>
      <w:r>
        <w:t xml:space="preserve"> a více let</w:t>
      </w:r>
      <w:r w:rsidRPr="007A5CAF">
        <w:t xml:space="preserve"> mezi roky 2019 a 2023 se více podíleli muži, u</w:t>
      </w:r>
      <w:r>
        <w:t> </w:t>
      </w:r>
      <w:r w:rsidRPr="007A5CAF">
        <w:t>nichž je nárůst podílu paci</w:t>
      </w:r>
      <w:r>
        <w:t>e</w:t>
      </w:r>
      <w:r w:rsidRPr="007A5CAF">
        <w:t xml:space="preserve">ntů </w:t>
      </w:r>
      <w:r>
        <w:t xml:space="preserve">věkové kategorie </w:t>
      </w:r>
      <w:r w:rsidRPr="007A5CAF">
        <w:t>75</w:t>
      </w:r>
      <w:r>
        <w:t xml:space="preserve"> a</w:t>
      </w:r>
      <w:r w:rsidR="00E9010C">
        <w:t> </w:t>
      </w:r>
      <w:r>
        <w:t>více let</w:t>
      </w:r>
      <w:r w:rsidRPr="007A5CAF">
        <w:t xml:space="preserve"> výraznější a statisticky významný (CI se u nich nepřekrývají).</w:t>
      </w:r>
    </w:p>
    <w:p w14:paraId="75E4C980" w14:textId="77777777" w:rsidR="00374D85" w:rsidRDefault="00374D85" w:rsidP="00374D85">
      <w:pPr>
        <w:pStyle w:val="Dalodstavce"/>
        <w:spacing w:after="240" w:line="260" w:lineRule="atLeast"/>
        <w:ind w:firstLine="0"/>
        <w:rPr>
          <w:lang w:eastAsia="sk-SK"/>
        </w:rPr>
      </w:pPr>
    </w:p>
    <w:p w14:paraId="33A66808" w14:textId="77777777" w:rsidR="000974B5" w:rsidRDefault="000974B5" w:rsidP="00374D85">
      <w:pPr>
        <w:pStyle w:val="Dalodstavce"/>
        <w:spacing w:after="240" w:line="260" w:lineRule="atLeast"/>
        <w:ind w:firstLine="0"/>
        <w:rPr>
          <w:lang w:eastAsia="sk-SK"/>
        </w:rPr>
      </w:pPr>
    </w:p>
    <w:p w14:paraId="6E34B39F" w14:textId="77777777" w:rsidR="000974B5" w:rsidRDefault="000974B5" w:rsidP="00374D85">
      <w:pPr>
        <w:pStyle w:val="Dalodstavce"/>
        <w:spacing w:after="240" w:line="260" w:lineRule="atLeast"/>
        <w:ind w:firstLine="0"/>
        <w:rPr>
          <w:lang w:eastAsia="sk-SK"/>
        </w:rPr>
      </w:pPr>
    </w:p>
    <w:p w14:paraId="7CA44BB7" w14:textId="77777777" w:rsidR="000974B5" w:rsidRDefault="000974B5" w:rsidP="00374D85">
      <w:pPr>
        <w:pStyle w:val="Dalodstavce"/>
        <w:spacing w:after="240" w:line="260" w:lineRule="atLeast"/>
        <w:ind w:firstLine="0"/>
        <w:rPr>
          <w:lang w:eastAsia="sk-SK"/>
        </w:rPr>
      </w:pPr>
    </w:p>
    <w:p w14:paraId="38599587" w14:textId="77777777" w:rsidR="000974B5" w:rsidRDefault="000974B5" w:rsidP="00374D85">
      <w:pPr>
        <w:pStyle w:val="Dalodstavce"/>
        <w:spacing w:after="240" w:line="260" w:lineRule="atLeast"/>
        <w:ind w:firstLine="0"/>
        <w:rPr>
          <w:lang w:eastAsia="sk-SK"/>
        </w:rPr>
      </w:pPr>
    </w:p>
    <w:p w14:paraId="4840816E" w14:textId="77777777" w:rsidR="000974B5" w:rsidRPr="000D6E14" w:rsidRDefault="000974B5" w:rsidP="00374D85">
      <w:pPr>
        <w:pStyle w:val="Dalodstavce"/>
        <w:spacing w:after="240" w:line="260" w:lineRule="atLeast"/>
        <w:ind w:firstLine="0"/>
        <w:rPr>
          <w:lang w:eastAsia="sk-SK"/>
        </w:rPr>
      </w:pPr>
    </w:p>
    <w:p w14:paraId="4BD0FAA6" w14:textId="63184552" w:rsidR="00CD57D6" w:rsidRPr="00EE22D1" w:rsidRDefault="00CD57D6" w:rsidP="003B0990">
      <w:pPr>
        <w:pStyle w:val="Titulektabulky"/>
      </w:pPr>
      <w:bookmarkStart w:id="41" w:name="_Toc126517070"/>
      <w:bookmarkStart w:id="42" w:name="_Toc195517134"/>
      <w:r>
        <w:lastRenderedPageBreak/>
        <w:t xml:space="preserve">Tab. </w:t>
      </w:r>
      <w:fldSimple w:instr=" SEQ Tab. \* ARABIC ">
        <w:r w:rsidR="0022490D">
          <w:rPr>
            <w:noProof/>
          </w:rPr>
          <w:t>9</w:t>
        </w:r>
      </w:fldSimple>
      <w:r>
        <w:t xml:space="preserve">: </w:t>
      </w:r>
      <w:bookmarkEnd w:id="41"/>
      <w:r w:rsidR="004C2A85">
        <w:t>Způsob dopra</w:t>
      </w:r>
      <w:r w:rsidR="00D03D9A">
        <w:t>v</w:t>
      </w:r>
      <w:r w:rsidR="007D6D5C">
        <w:t>y</w:t>
      </w:r>
      <w:r w:rsidR="004C2A85">
        <w:t xml:space="preserve"> </w:t>
      </w:r>
      <w:r w:rsidR="00437A1B">
        <w:t xml:space="preserve">k ošetření na NUP FN Brno u </w:t>
      </w:r>
      <w:r w:rsidR="004C2A85">
        <w:t>pacientů ve věkové kategorii 75 a</w:t>
      </w:r>
      <w:r w:rsidR="0035321F">
        <w:t> </w:t>
      </w:r>
      <w:r w:rsidR="004C2A85">
        <w:t>více</w:t>
      </w:r>
      <w:r w:rsidR="0049235A">
        <w:t xml:space="preserve"> let</w:t>
      </w:r>
      <w:bookmarkEnd w:id="42"/>
    </w:p>
    <w:tbl>
      <w:tblPr>
        <w:tblW w:w="8642" w:type="dxa"/>
        <w:jc w:val="center"/>
        <w:tblCellMar>
          <w:left w:w="0" w:type="dxa"/>
          <w:right w:w="0" w:type="dxa"/>
        </w:tblCellMar>
        <w:tblLook w:val="04A0" w:firstRow="1" w:lastRow="0" w:firstColumn="1" w:lastColumn="0" w:noHBand="0" w:noVBand="1"/>
      </w:tblPr>
      <w:tblGrid>
        <w:gridCol w:w="3256"/>
        <w:gridCol w:w="1275"/>
        <w:gridCol w:w="1418"/>
        <w:gridCol w:w="1276"/>
        <w:gridCol w:w="1417"/>
      </w:tblGrid>
      <w:tr w:rsidR="007C2A8E" w14:paraId="0D5C065E" w14:textId="77777777" w:rsidTr="003B0990">
        <w:trPr>
          <w:trHeight w:val="373"/>
          <w:jc w:val="center"/>
        </w:trPr>
        <w:tc>
          <w:tcPr>
            <w:tcW w:w="3256" w:type="dxa"/>
            <w:vMerge w:val="restart"/>
            <w:tcBorders>
              <w:top w:val="single" w:sz="4" w:space="0" w:color="auto"/>
              <w:left w:val="single" w:sz="4" w:space="0" w:color="auto"/>
              <w:bottom w:val="single" w:sz="4" w:space="0" w:color="auto"/>
              <w:right w:val="single" w:sz="4" w:space="0" w:color="auto"/>
            </w:tcBorders>
            <w:shd w:val="clear" w:color="000000" w:fill="DDEBF7"/>
            <w:tcMar>
              <w:top w:w="15" w:type="dxa"/>
              <w:left w:w="15" w:type="dxa"/>
              <w:bottom w:w="0" w:type="dxa"/>
              <w:right w:w="15" w:type="dxa"/>
            </w:tcMar>
            <w:vAlign w:val="center"/>
            <w:hideMark/>
          </w:tcPr>
          <w:p w14:paraId="21D4A2B8" w14:textId="70865FD2" w:rsidR="00F216BA" w:rsidRPr="00BA5F16" w:rsidRDefault="00F216BA" w:rsidP="0075626F">
            <w:pPr>
              <w:jc w:val="center"/>
              <w:rPr>
                <w:rFonts w:ascii="Arial" w:hAnsi="Arial" w:cs="Arial"/>
                <w:b/>
                <w:bCs/>
                <w:color w:val="000000"/>
              </w:rPr>
            </w:pPr>
            <w:r w:rsidRPr="00BA5F16">
              <w:rPr>
                <w:rFonts w:ascii="Arial" w:hAnsi="Arial" w:cs="Arial"/>
                <w:b/>
                <w:bCs/>
                <w:color w:val="000000"/>
              </w:rPr>
              <w:t>Způsob dopravy</w:t>
            </w:r>
            <w:r w:rsidR="007C2A8E">
              <w:rPr>
                <w:rFonts w:ascii="Arial" w:hAnsi="Arial" w:cs="Arial"/>
                <w:b/>
                <w:bCs/>
                <w:color w:val="000000"/>
              </w:rPr>
              <w:t xml:space="preserve"> k ošetření</w:t>
            </w:r>
          </w:p>
        </w:tc>
        <w:tc>
          <w:tcPr>
            <w:tcW w:w="2693" w:type="dxa"/>
            <w:gridSpan w:val="2"/>
            <w:tcBorders>
              <w:top w:val="single" w:sz="4" w:space="0" w:color="auto"/>
              <w:left w:val="nil"/>
              <w:bottom w:val="single" w:sz="4" w:space="0" w:color="auto"/>
              <w:right w:val="single" w:sz="4" w:space="0" w:color="auto"/>
            </w:tcBorders>
            <w:shd w:val="clear" w:color="000000" w:fill="DDEBF7"/>
            <w:tcMar>
              <w:top w:w="15" w:type="dxa"/>
              <w:left w:w="15" w:type="dxa"/>
              <w:bottom w:w="0" w:type="dxa"/>
              <w:right w:w="15" w:type="dxa"/>
            </w:tcMar>
            <w:vAlign w:val="center"/>
            <w:hideMark/>
          </w:tcPr>
          <w:p w14:paraId="75733DC3" w14:textId="501F8EE4" w:rsidR="00F216BA" w:rsidRPr="00BA5F16" w:rsidRDefault="00373934" w:rsidP="0075626F">
            <w:pPr>
              <w:jc w:val="center"/>
              <w:rPr>
                <w:rFonts w:ascii="Arial" w:hAnsi="Arial" w:cs="Arial"/>
                <w:b/>
                <w:bCs/>
                <w:color w:val="000000"/>
              </w:rPr>
            </w:pPr>
            <w:r>
              <w:rPr>
                <w:rFonts w:ascii="Arial" w:hAnsi="Arial" w:cs="Arial"/>
                <w:b/>
                <w:bCs/>
                <w:color w:val="000000"/>
              </w:rPr>
              <w:t xml:space="preserve">Rok </w:t>
            </w:r>
            <w:r w:rsidR="00F216BA" w:rsidRPr="00BA5F16">
              <w:rPr>
                <w:rFonts w:ascii="Arial" w:hAnsi="Arial" w:cs="Arial"/>
                <w:b/>
                <w:bCs/>
                <w:color w:val="000000"/>
              </w:rPr>
              <w:t>2019</w:t>
            </w:r>
          </w:p>
        </w:tc>
        <w:tc>
          <w:tcPr>
            <w:tcW w:w="2693" w:type="dxa"/>
            <w:gridSpan w:val="2"/>
            <w:tcBorders>
              <w:top w:val="single" w:sz="4" w:space="0" w:color="auto"/>
              <w:left w:val="nil"/>
              <w:bottom w:val="single" w:sz="4" w:space="0" w:color="auto"/>
              <w:right w:val="single" w:sz="4" w:space="0" w:color="auto"/>
            </w:tcBorders>
            <w:shd w:val="clear" w:color="000000" w:fill="DDEBF7"/>
            <w:tcMar>
              <w:top w:w="15" w:type="dxa"/>
              <w:left w:w="15" w:type="dxa"/>
              <w:bottom w:w="0" w:type="dxa"/>
              <w:right w:w="15" w:type="dxa"/>
            </w:tcMar>
            <w:vAlign w:val="center"/>
            <w:hideMark/>
          </w:tcPr>
          <w:p w14:paraId="611568A2" w14:textId="26962A74" w:rsidR="00F216BA" w:rsidRPr="00BA5F16" w:rsidRDefault="00373934" w:rsidP="0075626F">
            <w:pPr>
              <w:jc w:val="center"/>
              <w:rPr>
                <w:rFonts w:ascii="Arial" w:hAnsi="Arial" w:cs="Arial"/>
                <w:b/>
                <w:bCs/>
                <w:color w:val="000000"/>
              </w:rPr>
            </w:pPr>
            <w:r>
              <w:rPr>
                <w:rFonts w:ascii="Arial" w:hAnsi="Arial" w:cs="Arial"/>
                <w:b/>
                <w:bCs/>
                <w:color w:val="000000"/>
              </w:rPr>
              <w:t xml:space="preserve">Rok </w:t>
            </w:r>
            <w:r w:rsidR="00F216BA" w:rsidRPr="00BA5F16">
              <w:rPr>
                <w:rFonts w:ascii="Arial" w:hAnsi="Arial" w:cs="Arial"/>
                <w:b/>
                <w:bCs/>
                <w:color w:val="000000"/>
              </w:rPr>
              <w:t>2023</w:t>
            </w:r>
          </w:p>
        </w:tc>
      </w:tr>
      <w:tr w:rsidR="007C2A8E" w14:paraId="7AEACEB1" w14:textId="77777777" w:rsidTr="003B0990">
        <w:trPr>
          <w:trHeight w:val="404"/>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1E6CECC3" w14:textId="77777777" w:rsidR="00F216BA" w:rsidRPr="00BA5F16" w:rsidRDefault="00F216BA" w:rsidP="0075626F">
            <w:pPr>
              <w:jc w:val="center"/>
              <w:rPr>
                <w:rFonts w:ascii="Arial" w:hAnsi="Arial" w:cs="Arial"/>
                <w:b/>
                <w:bCs/>
                <w:color w:val="000000"/>
              </w:rPr>
            </w:pPr>
          </w:p>
        </w:tc>
        <w:tc>
          <w:tcPr>
            <w:tcW w:w="1275" w:type="dxa"/>
            <w:tcBorders>
              <w:top w:val="nil"/>
              <w:left w:val="nil"/>
              <w:bottom w:val="single" w:sz="4" w:space="0" w:color="auto"/>
              <w:right w:val="single" w:sz="4" w:space="0" w:color="auto"/>
            </w:tcBorders>
            <w:shd w:val="clear" w:color="000000" w:fill="DDEBF7"/>
            <w:tcMar>
              <w:top w:w="15" w:type="dxa"/>
              <w:left w:w="15" w:type="dxa"/>
              <w:bottom w:w="0" w:type="dxa"/>
              <w:right w:w="15" w:type="dxa"/>
            </w:tcMar>
            <w:vAlign w:val="center"/>
            <w:hideMark/>
          </w:tcPr>
          <w:p w14:paraId="53C3B98C" w14:textId="77777777" w:rsidR="00F216BA" w:rsidRPr="00BA5F16" w:rsidRDefault="00F216BA" w:rsidP="0075626F">
            <w:pPr>
              <w:jc w:val="center"/>
              <w:rPr>
                <w:rFonts w:ascii="Arial" w:hAnsi="Arial" w:cs="Arial"/>
                <w:b/>
                <w:bCs/>
                <w:color w:val="000000"/>
              </w:rPr>
            </w:pPr>
            <w:r w:rsidRPr="00BA5F16">
              <w:rPr>
                <w:rFonts w:ascii="Arial" w:hAnsi="Arial" w:cs="Arial"/>
                <w:b/>
                <w:bCs/>
                <w:color w:val="000000"/>
              </w:rPr>
              <w:t>(n)</w:t>
            </w:r>
          </w:p>
        </w:tc>
        <w:tc>
          <w:tcPr>
            <w:tcW w:w="1418" w:type="dxa"/>
            <w:tcBorders>
              <w:top w:val="nil"/>
              <w:left w:val="nil"/>
              <w:bottom w:val="single" w:sz="4" w:space="0" w:color="auto"/>
              <w:right w:val="single" w:sz="4" w:space="0" w:color="auto"/>
            </w:tcBorders>
            <w:shd w:val="clear" w:color="000000" w:fill="DDEBF7"/>
            <w:tcMar>
              <w:top w:w="15" w:type="dxa"/>
              <w:left w:w="15" w:type="dxa"/>
              <w:bottom w:w="0" w:type="dxa"/>
              <w:right w:w="15" w:type="dxa"/>
            </w:tcMar>
            <w:vAlign w:val="center"/>
            <w:hideMark/>
          </w:tcPr>
          <w:p w14:paraId="16B21F5B" w14:textId="77777777" w:rsidR="00F216BA" w:rsidRPr="00BA5F16" w:rsidRDefault="00F216BA" w:rsidP="0075626F">
            <w:pPr>
              <w:jc w:val="center"/>
              <w:rPr>
                <w:rFonts w:ascii="Arial" w:hAnsi="Arial" w:cs="Arial"/>
                <w:b/>
                <w:bCs/>
                <w:color w:val="000000"/>
              </w:rPr>
            </w:pPr>
            <w:r w:rsidRPr="00BA5F16">
              <w:rPr>
                <w:rFonts w:ascii="Arial" w:hAnsi="Arial" w:cs="Arial"/>
                <w:b/>
                <w:bCs/>
                <w:color w:val="000000"/>
              </w:rPr>
              <w:t>(%)</w:t>
            </w:r>
          </w:p>
        </w:tc>
        <w:tc>
          <w:tcPr>
            <w:tcW w:w="1276" w:type="dxa"/>
            <w:tcBorders>
              <w:top w:val="nil"/>
              <w:left w:val="nil"/>
              <w:bottom w:val="single" w:sz="4" w:space="0" w:color="auto"/>
              <w:right w:val="single" w:sz="4" w:space="0" w:color="auto"/>
            </w:tcBorders>
            <w:shd w:val="clear" w:color="000000" w:fill="DDEBF7"/>
            <w:tcMar>
              <w:top w:w="15" w:type="dxa"/>
              <w:left w:w="15" w:type="dxa"/>
              <w:bottom w:w="0" w:type="dxa"/>
              <w:right w:w="15" w:type="dxa"/>
            </w:tcMar>
            <w:vAlign w:val="center"/>
            <w:hideMark/>
          </w:tcPr>
          <w:p w14:paraId="4A69A453" w14:textId="77777777" w:rsidR="00F216BA" w:rsidRPr="00BA5F16" w:rsidRDefault="00F216BA" w:rsidP="0075626F">
            <w:pPr>
              <w:jc w:val="center"/>
              <w:rPr>
                <w:rFonts w:ascii="Arial" w:hAnsi="Arial" w:cs="Arial"/>
                <w:b/>
                <w:bCs/>
                <w:color w:val="000000"/>
              </w:rPr>
            </w:pPr>
            <w:r w:rsidRPr="00BA5F16">
              <w:rPr>
                <w:rFonts w:ascii="Arial" w:hAnsi="Arial" w:cs="Arial"/>
                <w:b/>
                <w:bCs/>
                <w:color w:val="000000"/>
              </w:rPr>
              <w:t>(n)</w:t>
            </w:r>
          </w:p>
        </w:tc>
        <w:tc>
          <w:tcPr>
            <w:tcW w:w="1417" w:type="dxa"/>
            <w:tcBorders>
              <w:top w:val="nil"/>
              <w:left w:val="nil"/>
              <w:bottom w:val="single" w:sz="4" w:space="0" w:color="auto"/>
              <w:right w:val="single" w:sz="4" w:space="0" w:color="auto"/>
            </w:tcBorders>
            <w:shd w:val="clear" w:color="000000" w:fill="DDEBF7"/>
            <w:tcMar>
              <w:top w:w="15" w:type="dxa"/>
              <w:left w:w="15" w:type="dxa"/>
              <w:bottom w:w="0" w:type="dxa"/>
              <w:right w:w="15" w:type="dxa"/>
            </w:tcMar>
            <w:vAlign w:val="center"/>
            <w:hideMark/>
          </w:tcPr>
          <w:p w14:paraId="51D1DBD1" w14:textId="77777777" w:rsidR="00F216BA" w:rsidRPr="00BA5F16" w:rsidRDefault="00F216BA" w:rsidP="0075626F">
            <w:pPr>
              <w:jc w:val="center"/>
              <w:rPr>
                <w:rFonts w:ascii="Arial" w:hAnsi="Arial" w:cs="Arial"/>
                <w:b/>
                <w:bCs/>
                <w:color w:val="000000"/>
              </w:rPr>
            </w:pPr>
            <w:r w:rsidRPr="00BA5F16">
              <w:rPr>
                <w:rFonts w:ascii="Arial" w:hAnsi="Arial" w:cs="Arial"/>
                <w:b/>
                <w:bCs/>
                <w:color w:val="000000"/>
              </w:rPr>
              <w:t>(%)</w:t>
            </w:r>
          </w:p>
        </w:tc>
      </w:tr>
      <w:tr w:rsidR="007C2A8E" w14:paraId="7FE22E78" w14:textId="77777777" w:rsidTr="003B0990">
        <w:trPr>
          <w:trHeight w:val="552"/>
          <w:jc w:val="center"/>
        </w:trPr>
        <w:tc>
          <w:tcPr>
            <w:tcW w:w="32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D08607A" w14:textId="0E5918D3" w:rsidR="00F216BA" w:rsidRPr="00BA5F16" w:rsidRDefault="00F216BA" w:rsidP="0075626F">
            <w:pPr>
              <w:jc w:val="center"/>
              <w:rPr>
                <w:rFonts w:ascii="Arial" w:hAnsi="Arial" w:cs="Arial"/>
                <w:color w:val="000000"/>
              </w:rPr>
            </w:pPr>
            <w:r w:rsidRPr="00BA5F16">
              <w:rPr>
                <w:rFonts w:ascii="Arial" w:hAnsi="Arial" w:cs="Arial"/>
                <w:color w:val="000000"/>
              </w:rPr>
              <w:t>Z</w:t>
            </w:r>
            <w:r w:rsidR="00A8167C">
              <w:rPr>
                <w:rFonts w:ascii="Arial" w:hAnsi="Arial" w:cs="Arial"/>
                <w:color w:val="000000"/>
              </w:rPr>
              <w:t>dravotnická záchranná služba</w:t>
            </w:r>
          </w:p>
        </w:tc>
        <w:tc>
          <w:tcPr>
            <w:tcW w:w="127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569EBAE" w14:textId="77777777" w:rsidR="00F216BA" w:rsidRPr="00BA5F16" w:rsidRDefault="00F216BA" w:rsidP="0075626F">
            <w:pPr>
              <w:jc w:val="center"/>
              <w:rPr>
                <w:rFonts w:ascii="Arial" w:hAnsi="Arial" w:cs="Arial"/>
                <w:color w:val="000000"/>
              </w:rPr>
            </w:pPr>
            <w:r w:rsidRPr="00BA5F16">
              <w:rPr>
                <w:rFonts w:ascii="Arial" w:hAnsi="Arial" w:cs="Arial"/>
                <w:color w:val="000000"/>
              </w:rPr>
              <w:t>305</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B83575E" w14:textId="06CA0A40" w:rsidR="00F216BA" w:rsidRPr="00BA5F16" w:rsidRDefault="00F216BA" w:rsidP="0075626F">
            <w:pPr>
              <w:jc w:val="center"/>
              <w:rPr>
                <w:rFonts w:ascii="Arial" w:hAnsi="Arial" w:cs="Arial"/>
                <w:color w:val="000000"/>
              </w:rPr>
            </w:pPr>
            <w:r w:rsidRPr="00BA5F16">
              <w:rPr>
                <w:rFonts w:ascii="Arial" w:hAnsi="Arial" w:cs="Arial"/>
                <w:color w:val="000000"/>
              </w:rPr>
              <w:t>59,92</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8BB6CDD" w14:textId="77777777" w:rsidR="00F216BA" w:rsidRPr="00BA5F16" w:rsidRDefault="00F216BA" w:rsidP="0075626F">
            <w:pPr>
              <w:jc w:val="center"/>
              <w:rPr>
                <w:rFonts w:ascii="Arial" w:hAnsi="Arial" w:cs="Arial"/>
                <w:color w:val="000000"/>
              </w:rPr>
            </w:pPr>
            <w:r w:rsidRPr="00BA5F16">
              <w:rPr>
                <w:rFonts w:ascii="Arial" w:hAnsi="Arial" w:cs="Arial"/>
                <w:color w:val="000000"/>
              </w:rPr>
              <w:t>369</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94C5191" w14:textId="26E3F4B9" w:rsidR="00F216BA" w:rsidRPr="00BA5F16" w:rsidRDefault="00F216BA" w:rsidP="0075626F">
            <w:pPr>
              <w:jc w:val="center"/>
              <w:rPr>
                <w:rFonts w:ascii="Arial" w:hAnsi="Arial" w:cs="Arial"/>
                <w:color w:val="000000"/>
              </w:rPr>
            </w:pPr>
            <w:r w:rsidRPr="00BA5F16">
              <w:rPr>
                <w:rFonts w:ascii="Arial" w:hAnsi="Arial" w:cs="Arial"/>
                <w:color w:val="000000"/>
              </w:rPr>
              <w:t>61,71</w:t>
            </w:r>
          </w:p>
        </w:tc>
      </w:tr>
      <w:tr w:rsidR="007C2A8E" w14:paraId="0B60C4F6" w14:textId="77777777" w:rsidTr="003B0990">
        <w:trPr>
          <w:trHeight w:val="552"/>
          <w:jc w:val="center"/>
        </w:trPr>
        <w:tc>
          <w:tcPr>
            <w:tcW w:w="32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31DA91B" w14:textId="2E8BC3C9" w:rsidR="00F216BA" w:rsidRPr="00BA5F16" w:rsidRDefault="00F216BA" w:rsidP="0075626F">
            <w:pPr>
              <w:jc w:val="center"/>
              <w:rPr>
                <w:rFonts w:ascii="Arial" w:hAnsi="Arial" w:cs="Arial"/>
                <w:color w:val="000000"/>
              </w:rPr>
            </w:pPr>
            <w:r w:rsidRPr="00BA5F16">
              <w:rPr>
                <w:rFonts w:ascii="Arial" w:hAnsi="Arial" w:cs="Arial"/>
                <w:color w:val="000000"/>
              </w:rPr>
              <w:t>Sám</w:t>
            </w:r>
            <w:r w:rsidR="00354529">
              <w:rPr>
                <w:rFonts w:ascii="Arial" w:hAnsi="Arial" w:cs="Arial"/>
                <w:color w:val="000000"/>
              </w:rPr>
              <w:t>/doprovod blízké osoby</w:t>
            </w:r>
          </w:p>
        </w:tc>
        <w:tc>
          <w:tcPr>
            <w:tcW w:w="127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3ED3FDC" w14:textId="77777777" w:rsidR="00F216BA" w:rsidRPr="00BA5F16" w:rsidRDefault="00F216BA" w:rsidP="0075626F">
            <w:pPr>
              <w:jc w:val="center"/>
              <w:rPr>
                <w:rFonts w:ascii="Arial" w:hAnsi="Arial" w:cs="Arial"/>
                <w:color w:val="000000"/>
              </w:rPr>
            </w:pPr>
            <w:r w:rsidRPr="00BA5F16">
              <w:rPr>
                <w:rFonts w:ascii="Arial" w:hAnsi="Arial" w:cs="Arial"/>
                <w:color w:val="000000"/>
              </w:rPr>
              <w:t>100</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FB7A699" w14:textId="6302CCE4" w:rsidR="00F216BA" w:rsidRPr="00BA5F16" w:rsidRDefault="00F216BA" w:rsidP="0075626F">
            <w:pPr>
              <w:jc w:val="center"/>
              <w:rPr>
                <w:rFonts w:ascii="Arial" w:hAnsi="Arial" w:cs="Arial"/>
                <w:color w:val="000000"/>
              </w:rPr>
            </w:pPr>
            <w:r w:rsidRPr="00BA5F16">
              <w:rPr>
                <w:rFonts w:ascii="Arial" w:hAnsi="Arial" w:cs="Arial"/>
                <w:color w:val="000000"/>
              </w:rPr>
              <w:t>19,65</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37F26F4" w14:textId="77777777" w:rsidR="00F216BA" w:rsidRPr="00BA5F16" w:rsidRDefault="00F216BA" w:rsidP="0075626F">
            <w:pPr>
              <w:jc w:val="center"/>
              <w:rPr>
                <w:rFonts w:ascii="Arial" w:hAnsi="Arial" w:cs="Arial"/>
                <w:color w:val="000000"/>
              </w:rPr>
            </w:pPr>
            <w:r w:rsidRPr="00BA5F16">
              <w:rPr>
                <w:rFonts w:ascii="Arial" w:hAnsi="Arial" w:cs="Arial"/>
                <w:color w:val="000000"/>
              </w:rPr>
              <w:t>105</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0643B9" w14:textId="42EAB5E1" w:rsidR="00F216BA" w:rsidRPr="00BA5F16" w:rsidRDefault="00F216BA" w:rsidP="0075626F">
            <w:pPr>
              <w:jc w:val="center"/>
              <w:rPr>
                <w:rFonts w:ascii="Arial" w:hAnsi="Arial" w:cs="Arial"/>
                <w:color w:val="000000"/>
              </w:rPr>
            </w:pPr>
            <w:r w:rsidRPr="00BA5F16">
              <w:rPr>
                <w:rFonts w:ascii="Arial" w:hAnsi="Arial" w:cs="Arial"/>
                <w:color w:val="000000"/>
              </w:rPr>
              <w:t>17,56</w:t>
            </w:r>
          </w:p>
        </w:tc>
      </w:tr>
      <w:tr w:rsidR="007C2A8E" w14:paraId="7C463960" w14:textId="77777777" w:rsidTr="003B0990">
        <w:trPr>
          <w:trHeight w:val="552"/>
          <w:jc w:val="center"/>
        </w:trPr>
        <w:tc>
          <w:tcPr>
            <w:tcW w:w="32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A70C00D" w14:textId="168B7DA2" w:rsidR="00F216BA" w:rsidRPr="00BA5F16" w:rsidRDefault="00A8167C" w:rsidP="0075626F">
            <w:pPr>
              <w:jc w:val="center"/>
              <w:rPr>
                <w:rFonts w:ascii="Arial" w:hAnsi="Arial" w:cs="Arial"/>
                <w:color w:val="000000"/>
              </w:rPr>
            </w:pPr>
            <w:r>
              <w:rPr>
                <w:rFonts w:ascii="Arial" w:hAnsi="Arial" w:cs="Arial"/>
                <w:color w:val="000000"/>
              </w:rPr>
              <w:t>Zdravotnická dopravní služba</w:t>
            </w:r>
          </w:p>
        </w:tc>
        <w:tc>
          <w:tcPr>
            <w:tcW w:w="127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2847A12" w14:textId="77777777" w:rsidR="00F216BA" w:rsidRPr="00BA5F16" w:rsidRDefault="00F216BA" w:rsidP="0075626F">
            <w:pPr>
              <w:jc w:val="center"/>
              <w:rPr>
                <w:rFonts w:ascii="Arial" w:hAnsi="Arial" w:cs="Arial"/>
                <w:color w:val="000000"/>
              </w:rPr>
            </w:pPr>
            <w:r w:rsidRPr="00BA5F16">
              <w:rPr>
                <w:rFonts w:ascii="Arial" w:hAnsi="Arial" w:cs="Arial"/>
                <w:color w:val="000000"/>
              </w:rPr>
              <w:t>63</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F4BF9E5" w14:textId="6E975448" w:rsidR="00F216BA" w:rsidRPr="00BA5F16" w:rsidRDefault="00F216BA" w:rsidP="0075626F">
            <w:pPr>
              <w:jc w:val="center"/>
              <w:rPr>
                <w:rFonts w:ascii="Arial" w:hAnsi="Arial" w:cs="Arial"/>
                <w:color w:val="000000"/>
              </w:rPr>
            </w:pPr>
            <w:r w:rsidRPr="00BA5F16">
              <w:rPr>
                <w:rFonts w:ascii="Arial" w:hAnsi="Arial" w:cs="Arial"/>
                <w:color w:val="000000"/>
              </w:rPr>
              <w:t>12,38</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BEA97A" w14:textId="77777777" w:rsidR="00F216BA" w:rsidRPr="00BA5F16" w:rsidRDefault="00F216BA" w:rsidP="0075626F">
            <w:pPr>
              <w:jc w:val="center"/>
              <w:rPr>
                <w:rFonts w:ascii="Arial" w:hAnsi="Arial" w:cs="Arial"/>
                <w:color w:val="000000"/>
              </w:rPr>
            </w:pPr>
            <w:r w:rsidRPr="00BA5F16">
              <w:rPr>
                <w:rFonts w:ascii="Arial" w:hAnsi="Arial" w:cs="Arial"/>
                <w:color w:val="000000"/>
              </w:rPr>
              <w:t>43</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D785449" w14:textId="0C594687" w:rsidR="00F216BA" w:rsidRPr="00BA5F16" w:rsidRDefault="00F216BA" w:rsidP="0075626F">
            <w:pPr>
              <w:jc w:val="center"/>
              <w:rPr>
                <w:rFonts w:ascii="Arial" w:hAnsi="Arial" w:cs="Arial"/>
                <w:color w:val="000000"/>
              </w:rPr>
            </w:pPr>
            <w:r w:rsidRPr="00BA5F16">
              <w:rPr>
                <w:rFonts w:ascii="Arial" w:hAnsi="Arial" w:cs="Arial"/>
                <w:color w:val="000000"/>
              </w:rPr>
              <w:t>7,19</w:t>
            </w:r>
          </w:p>
        </w:tc>
      </w:tr>
      <w:tr w:rsidR="007C2A8E" w14:paraId="4216CDCE" w14:textId="77777777" w:rsidTr="003B0990">
        <w:trPr>
          <w:trHeight w:val="552"/>
          <w:jc w:val="center"/>
        </w:trPr>
        <w:tc>
          <w:tcPr>
            <w:tcW w:w="32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A572585" w14:textId="77777777" w:rsidR="00D911B7" w:rsidRDefault="00F216BA" w:rsidP="0075626F">
            <w:pPr>
              <w:jc w:val="center"/>
              <w:rPr>
                <w:rFonts w:ascii="Arial" w:hAnsi="Arial" w:cs="Arial"/>
                <w:color w:val="000000"/>
              </w:rPr>
            </w:pPr>
            <w:r w:rsidRPr="00BA5F16">
              <w:rPr>
                <w:rFonts w:ascii="Arial" w:hAnsi="Arial" w:cs="Arial"/>
                <w:color w:val="000000"/>
              </w:rPr>
              <w:t>Konzilium/předání z</w:t>
            </w:r>
            <w:r w:rsidR="00565BB2">
              <w:rPr>
                <w:rFonts w:ascii="Arial" w:hAnsi="Arial" w:cs="Arial"/>
                <w:color w:val="000000"/>
              </w:rPr>
              <w:t> </w:t>
            </w:r>
            <w:r w:rsidRPr="00BA5F16">
              <w:rPr>
                <w:rFonts w:ascii="Arial" w:hAnsi="Arial" w:cs="Arial"/>
                <w:color w:val="000000"/>
              </w:rPr>
              <w:t>jiné</w:t>
            </w:r>
            <w:r w:rsidR="00565BB2">
              <w:rPr>
                <w:rFonts w:ascii="Arial" w:hAnsi="Arial" w:cs="Arial"/>
                <w:color w:val="000000"/>
              </w:rPr>
              <w:t xml:space="preserve"> </w:t>
            </w:r>
          </w:p>
          <w:p w14:paraId="2D1420CF" w14:textId="699B6AA5" w:rsidR="00F216BA" w:rsidRPr="00BA5F16" w:rsidRDefault="004202E2" w:rsidP="0075626F">
            <w:pPr>
              <w:jc w:val="center"/>
              <w:rPr>
                <w:rFonts w:ascii="Arial" w:hAnsi="Arial" w:cs="Arial"/>
                <w:color w:val="000000"/>
              </w:rPr>
            </w:pPr>
            <w:r>
              <w:rPr>
                <w:rFonts w:ascii="Arial" w:hAnsi="Arial" w:cs="Arial"/>
                <w:color w:val="000000"/>
              </w:rPr>
              <w:t>ambulance FN Brno</w:t>
            </w:r>
          </w:p>
        </w:tc>
        <w:tc>
          <w:tcPr>
            <w:tcW w:w="127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83B69E8" w14:textId="77777777" w:rsidR="00F216BA" w:rsidRPr="00BA5F16" w:rsidRDefault="00F216BA" w:rsidP="0075626F">
            <w:pPr>
              <w:jc w:val="center"/>
              <w:rPr>
                <w:rFonts w:ascii="Arial" w:hAnsi="Arial" w:cs="Arial"/>
                <w:color w:val="000000"/>
              </w:rPr>
            </w:pPr>
            <w:r w:rsidRPr="00BA5F16">
              <w:rPr>
                <w:rFonts w:ascii="Arial" w:hAnsi="Arial" w:cs="Arial"/>
                <w:color w:val="000000"/>
              </w:rPr>
              <w:t>40</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A5AD8C7" w14:textId="2CE93423" w:rsidR="00F216BA" w:rsidRPr="00BA5F16" w:rsidRDefault="00F216BA" w:rsidP="0075626F">
            <w:pPr>
              <w:jc w:val="center"/>
              <w:rPr>
                <w:rFonts w:ascii="Arial" w:hAnsi="Arial" w:cs="Arial"/>
                <w:color w:val="000000"/>
              </w:rPr>
            </w:pPr>
            <w:r w:rsidRPr="00BA5F16">
              <w:rPr>
                <w:rFonts w:ascii="Arial" w:hAnsi="Arial" w:cs="Arial"/>
                <w:color w:val="000000"/>
              </w:rPr>
              <w:t>7,86</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A3B088F" w14:textId="77777777" w:rsidR="00F216BA" w:rsidRPr="00BA5F16" w:rsidRDefault="00F216BA" w:rsidP="0075626F">
            <w:pPr>
              <w:jc w:val="center"/>
              <w:rPr>
                <w:rFonts w:ascii="Arial" w:hAnsi="Arial" w:cs="Arial"/>
                <w:color w:val="000000"/>
              </w:rPr>
            </w:pPr>
            <w:r w:rsidRPr="00BA5F16">
              <w:rPr>
                <w:rFonts w:ascii="Arial" w:hAnsi="Arial" w:cs="Arial"/>
                <w:color w:val="000000"/>
              </w:rPr>
              <w:t>75</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5C42D9E" w14:textId="11D553A3" w:rsidR="00F216BA" w:rsidRPr="00BA5F16" w:rsidRDefault="00F216BA" w:rsidP="0075626F">
            <w:pPr>
              <w:jc w:val="center"/>
              <w:rPr>
                <w:rFonts w:ascii="Arial" w:hAnsi="Arial" w:cs="Arial"/>
                <w:color w:val="000000"/>
              </w:rPr>
            </w:pPr>
            <w:r w:rsidRPr="00BA5F16">
              <w:rPr>
                <w:rFonts w:ascii="Arial" w:hAnsi="Arial" w:cs="Arial"/>
                <w:color w:val="000000"/>
              </w:rPr>
              <w:t>12,54</w:t>
            </w:r>
          </w:p>
        </w:tc>
      </w:tr>
      <w:tr w:rsidR="007C2A8E" w14:paraId="0F4D3F6A" w14:textId="77777777" w:rsidTr="003B0990">
        <w:trPr>
          <w:trHeight w:val="552"/>
          <w:jc w:val="center"/>
        </w:trPr>
        <w:tc>
          <w:tcPr>
            <w:tcW w:w="32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FE235A5" w14:textId="77777777" w:rsidR="00F216BA" w:rsidRPr="00BA5F16" w:rsidRDefault="00F216BA" w:rsidP="0075626F">
            <w:pPr>
              <w:jc w:val="center"/>
              <w:rPr>
                <w:rFonts w:ascii="Arial" w:hAnsi="Arial" w:cs="Arial"/>
                <w:color w:val="000000"/>
              </w:rPr>
            </w:pPr>
            <w:r w:rsidRPr="00BA5F16">
              <w:rPr>
                <w:rFonts w:ascii="Arial" w:hAnsi="Arial" w:cs="Arial"/>
                <w:color w:val="000000"/>
              </w:rPr>
              <w:t>Jiné nemocniční zařízení</w:t>
            </w:r>
          </w:p>
        </w:tc>
        <w:tc>
          <w:tcPr>
            <w:tcW w:w="127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430E4AB" w14:textId="77777777" w:rsidR="00F216BA" w:rsidRPr="00BA5F16" w:rsidRDefault="00F216BA" w:rsidP="0075626F">
            <w:pPr>
              <w:jc w:val="center"/>
              <w:rPr>
                <w:rFonts w:ascii="Arial" w:hAnsi="Arial" w:cs="Arial"/>
                <w:color w:val="000000"/>
              </w:rPr>
            </w:pPr>
            <w:r w:rsidRPr="00BA5F16">
              <w:rPr>
                <w:rFonts w:ascii="Arial" w:hAnsi="Arial" w:cs="Arial"/>
                <w:color w:val="000000"/>
              </w:rPr>
              <w:t>1</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2C132FD" w14:textId="5FD6EF4F" w:rsidR="00F216BA" w:rsidRPr="00BA5F16" w:rsidRDefault="00F216BA" w:rsidP="0075626F">
            <w:pPr>
              <w:jc w:val="center"/>
              <w:rPr>
                <w:rFonts w:ascii="Arial" w:hAnsi="Arial" w:cs="Arial"/>
                <w:color w:val="000000"/>
              </w:rPr>
            </w:pPr>
            <w:r w:rsidRPr="00BA5F16">
              <w:rPr>
                <w:rFonts w:ascii="Arial" w:hAnsi="Arial" w:cs="Arial"/>
                <w:color w:val="000000"/>
              </w:rPr>
              <w:t>0,20</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8CDD699" w14:textId="77777777" w:rsidR="00F216BA" w:rsidRPr="00BA5F16" w:rsidRDefault="00F216BA" w:rsidP="0075626F">
            <w:pPr>
              <w:jc w:val="center"/>
              <w:rPr>
                <w:rFonts w:ascii="Arial" w:hAnsi="Arial" w:cs="Arial"/>
                <w:color w:val="000000"/>
              </w:rPr>
            </w:pPr>
            <w:r w:rsidRPr="00BA5F16">
              <w:rPr>
                <w:rFonts w:ascii="Arial" w:hAnsi="Arial" w:cs="Arial"/>
                <w:color w:val="000000"/>
              </w:rPr>
              <w:t>6</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BAE7863" w14:textId="6BD6A3DC" w:rsidR="00F216BA" w:rsidRPr="00BA5F16" w:rsidRDefault="00F216BA" w:rsidP="0075626F">
            <w:pPr>
              <w:jc w:val="center"/>
              <w:rPr>
                <w:rFonts w:ascii="Arial" w:hAnsi="Arial" w:cs="Arial"/>
                <w:color w:val="000000"/>
              </w:rPr>
            </w:pPr>
            <w:r w:rsidRPr="00BA5F16">
              <w:rPr>
                <w:rFonts w:ascii="Arial" w:hAnsi="Arial" w:cs="Arial"/>
                <w:color w:val="000000"/>
              </w:rPr>
              <w:t>1,00</w:t>
            </w:r>
          </w:p>
        </w:tc>
      </w:tr>
      <w:tr w:rsidR="0035321F" w14:paraId="11A85A11" w14:textId="77777777" w:rsidTr="003B0990">
        <w:trPr>
          <w:trHeight w:val="552"/>
          <w:jc w:val="center"/>
        </w:trPr>
        <w:tc>
          <w:tcPr>
            <w:tcW w:w="3256" w:type="dxa"/>
            <w:tcBorders>
              <w:top w:val="nil"/>
              <w:left w:val="single" w:sz="4" w:space="0" w:color="auto"/>
              <w:bottom w:val="single" w:sz="4" w:space="0" w:color="auto"/>
              <w:right w:val="single" w:sz="4" w:space="0" w:color="auto"/>
            </w:tcBorders>
            <w:shd w:val="clear" w:color="000000" w:fill="DDEBF7"/>
            <w:tcMar>
              <w:top w:w="15" w:type="dxa"/>
              <w:left w:w="15" w:type="dxa"/>
              <w:bottom w:w="0" w:type="dxa"/>
              <w:right w:w="15" w:type="dxa"/>
            </w:tcMar>
            <w:vAlign w:val="center"/>
            <w:hideMark/>
          </w:tcPr>
          <w:p w14:paraId="218689FF" w14:textId="77777777" w:rsidR="00F216BA" w:rsidRPr="00BA5F16" w:rsidRDefault="00F216BA" w:rsidP="0075626F">
            <w:pPr>
              <w:jc w:val="center"/>
              <w:rPr>
                <w:rFonts w:ascii="Arial" w:hAnsi="Arial" w:cs="Arial"/>
                <w:b/>
                <w:bCs/>
                <w:color w:val="000000"/>
              </w:rPr>
            </w:pPr>
            <w:r w:rsidRPr="00BA5F16">
              <w:rPr>
                <w:rFonts w:ascii="Arial" w:hAnsi="Arial" w:cs="Arial"/>
                <w:b/>
                <w:bCs/>
                <w:color w:val="000000"/>
              </w:rPr>
              <w:t>Celkový součet</w:t>
            </w:r>
          </w:p>
        </w:tc>
        <w:tc>
          <w:tcPr>
            <w:tcW w:w="1275" w:type="dxa"/>
            <w:tcBorders>
              <w:top w:val="nil"/>
              <w:left w:val="nil"/>
              <w:bottom w:val="single" w:sz="4" w:space="0" w:color="auto"/>
              <w:right w:val="single" w:sz="4" w:space="0" w:color="auto"/>
            </w:tcBorders>
            <w:shd w:val="clear" w:color="000000" w:fill="DDEBF7"/>
            <w:noWrap/>
            <w:tcMar>
              <w:top w:w="15" w:type="dxa"/>
              <w:left w:w="15" w:type="dxa"/>
              <w:bottom w:w="0" w:type="dxa"/>
              <w:right w:w="15" w:type="dxa"/>
            </w:tcMar>
            <w:vAlign w:val="center"/>
            <w:hideMark/>
          </w:tcPr>
          <w:p w14:paraId="4168AFDD" w14:textId="77777777" w:rsidR="00F216BA" w:rsidRPr="00BA5F16" w:rsidRDefault="00F216BA" w:rsidP="0075626F">
            <w:pPr>
              <w:jc w:val="center"/>
              <w:rPr>
                <w:rFonts w:ascii="Arial" w:hAnsi="Arial" w:cs="Arial"/>
                <w:b/>
                <w:bCs/>
                <w:color w:val="000000"/>
              </w:rPr>
            </w:pPr>
            <w:r w:rsidRPr="00BA5F16">
              <w:rPr>
                <w:rFonts w:ascii="Arial" w:hAnsi="Arial" w:cs="Arial"/>
                <w:b/>
                <w:bCs/>
                <w:color w:val="000000"/>
              </w:rPr>
              <w:t>509</w:t>
            </w:r>
          </w:p>
        </w:tc>
        <w:tc>
          <w:tcPr>
            <w:tcW w:w="1418" w:type="dxa"/>
            <w:tcBorders>
              <w:top w:val="nil"/>
              <w:left w:val="nil"/>
              <w:bottom w:val="single" w:sz="4" w:space="0" w:color="auto"/>
              <w:right w:val="single" w:sz="4" w:space="0" w:color="auto"/>
            </w:tcBorders>
            <w:shd w:val="clear" w:color="000000" w:fill="DDEBF7"/>
            <w:noWrap/>
            <w:tcMar>
              <w:top w:w="15" w:type="dxa"/>
              <w:left w:w="15" w:type="dxa"/>
              <w:bottom w:w="0" w:type="dxa"/>
              <w:right w:w="15" w:type="dxa"/>
            </w:tcMar>
            <w:vAlign w:val="center"/>
            <w:hideMark/>
          </w:tcPr>
          <w:p w14:paraId="682F7BE9" w14:textId="0EB73D7C" w:rsidR="00F216BA" w:rsidRPr="00BA5F16" w:rsidRDefault="00F216BA" w:rsidP="0075626F">
            <w:pPr>
              <w:jc w:val="center"/>
              <w:rPr>
                <w:rFonts w:ascii="Arial" w:hAnsi="Arial" w:cs="Arial"/>
                <w:b/>
                <w:bCs/>
                <w:color w:val="000000"/>
              </w:rPr>
            </w:pPr>
            <w:r w:rsidRPr="00BA5F16">
              <w:rPr>
                <w:rFonts w:ascii="Arial" w:hAnsi="Arial" w:cs="Arial"/>
                <w:b/>
                <w:bCs/>
                <w:color w:val="000000"/>
              </w:rPr>
              <w:t>100,0</w:t>
            </w:r>
            <w:r w:rsidR="00E34C01">
              <w:rPr>
                <w:rFonts w:ascii="Arial" w:hAnsi="Arial" w:cs="Arial"/>
                <w:b/>
                <w:bCs/>
                <w:color w:val="000000"/>
              </w:rPr>
              <w:t>0</w:t>
            </w:r>
          </w:p>
        </w:tc>
        <w:tc>
          <w:tcPr>
            <w:tcW w:w="1276" w:type="dxa"/>
            <w:tcBorders>
              <w:top w:val="nil"/>
              <w:left w:val="nil"/>
              <w:bottom w:val="single" w:sz="4" w:space="0" w:color="auto"/>
              <w:right w:val="single" w:sz="4" w:space="0" w:color="auto"/>
            </w:tcBorders>
            <w:shd w:val="clear" w:color="000000" w:fill="DDEBF7"/>
            <w:noWrap/>
            <w:tcMar>
              <w:top w:w="15" w:type="dxa"/>
              <w:left w:w="15" w:type="dxa"/>
              <w:bottom w:w="0" w:type="dxa"/>
              <w:right w:w="15" w:type="dxa"/>
            </w:tcMar>
            <w:vAlign w:val="center"/>
            <w:hideMark/>
          </w:tcPr>
          <w:p w14:paraId="00B1968E" w14:textId="77777777" w:rsidR="00F216BA" w:rsidRPr="00BA5F16" w:rsidRDefault="00F216BA" w:rsidP="0075626F">
            <w:pPr>
              <w:jc w:val="center"/>
              <w:rPr>
                <w:rFonts w:ascii="Arial" w:hAnsi="Arial" w:cs="Arial"/>
                <w:b/>
                <w:bCs/>
                <w:color w:val="000000"/>
              </w:rPr>
            </w:pPr>
            <w:r w:rsidRPr="00BA5F16">
              <w:rPr>
                <w:rFonts w:ascii="Arial" w:hAnsi="Arial" w:cs="Arial"/>
                <w:b/>
                <w:bCs/>
                <w:color w:val="000000"/>
              </w:rPr>
              <w:t>598</w:t>
            </w:r>
          </w:p>
        </w:tc>
        <w:tc>
          <w:tcPr>
            <w:tcW w:w="1417" w:type="dxa"/>
            <w:tcBorders>
              <w:top w:val="nil"/>
              <w:left w:val="nil"/>
              <w:bottom w:val="single" w:sz="4" w:space="0" w:color="auto"/>
              <w:right w:val="single" w:sz="4" w:space="0" w:color="auto"/>
            </w:tcBorders>
            <w:shd w:val="clear" w:color="000000" w:fill="DDEBF7"/>
            <w:noWrap/>
            <w:tcMar>
              <w:top w:w="15" w:type="dxa"/>
              <w:left w:w="15" w:type="dxa"/>
              <w:bottom w:w="0" w:type="dxa"/>
              <w:right w:w="15" w:type="dxa"/>
            </w:tcMar>
            <w:vAlign w:val="center"/>
            <w:hideMark/>
          </w:tcPr>
          <w:p w14:paraId="37E97132" w14:textId="2C3FD108" w:rsidR="00F216BA" w:rsidRPr="00BA5F16" w:rsidRDefault="00F216BA" w:rsidP="0075626F">
            <w:pPr>
              <w:jc w:val="center"/>
              <w:rPr>
                <w:rFonts w:ascii="Arial" w:hAnsi="Arial" w:cs="Arial"/>
                <w:b/>
                <w:bCs/>
                <w:color w:val="000000"/>
              </w:rPr>
            </w:pPr>
            <w:r w:rsidRPr="00BA5F16">
              <w:rPr>
                <w:rFonts w:ascii="Arial" w:hAnsi="Arial" w:cs="Arial"/>
                <w:b/>
                <w:bCs/>
                <w:color w:val="000000"/>
              </w:rPr>
              <w:t>100,00</w:t>
            </w:r>
          </w:p>
        </w:tc>
      </w:tr>
    </w:tbl>
    <w:p w14:paraId="213615F4" w14:textId="77777777" w:rsidR="004373DF" w:rsidRDefault="004373DF" w:rsidP="00E27AD6">
      <w:pPr>
        <w:pStyle w:val="Popisobrzku"/>
      </w:pPr>
    </w:p>
    <w:p w14:paraId="5A014840" w14:textId="27812A07" w:rsidR="001C2510" w:rsidRPr="008A44B9" w:rsidRDefault="00AE2594" w:rsidP="004373DF">
      <w:pPr>
        <w:pStyle w:val="Dalodstavce"/>
        <w:ind w:firstLine="0"/>
      </w:pPr>
      <w:r w:rsidRPr="008A44B9">
        <w:t>V obou sledovaných letech se jako</w:t>
      </w:r>
      <w:r w:rsidR="00074E7A" w:rsidRPr="008A44B9">
        <w:t xml:space="preserve"> nejčastější způsob dopravy k ošetření na NUP FN</w:t>
      </w:r>
      <w:r w:rsidR="00581352" w:rsidRPr="008A44B9">
        <w:t> </w:t>
      </w:r>
      <w:r w:rsidR="00074E7A" w:rsidRPr="008A44B9">
        <w:t>Brno ukázalo předání pacienta zdravotnick</w:t>
      </w:r>
      <w:r w:rsidR="00BD173A" w:rsidRPr="008A44B9">
        <w:t>ou</w:t>
      </w:r>
      <w:r w:rsidR="00074E7A" w:rsidRPr="008A44B9">
        <w:t xml:space="preserve"> záchrann</w:t>
      </w:r>
      <w:r w:rsidR="00BD173A" w:rsidRPr="008A44B9">
        <w:t>ou</w:t>
      </w:r>
      <w:r w:rsidR="00074E7A" w:rsidRPr="008A44B9">
        <w:t xml:space="preserve"> služb</w:t>
      </w:r>
      <w:r w:rsidR="00BD173A" w:rsidRPr="008A44B9">
        <w:t>ou</w:t>
      </w:r>
      <w:r w:rsidR="00E57420" w:rsidRPr="008A44B9">
        <w:t>.</w:t>
      </w:r>
      <w:r w:rsidR="008C454D" w:rsidRPr="008A44B9">
        <w:t xml:space="preserve"> Meziroční změny zahrnovaly nárůst počtu pacientů odeslaných na NUP jako konzilium či předaných z</w:t>
      </w:r>
      <w:r w:rsidR="00527EB9" w:rsidRPr="008A44B9">
        <w:t> </w:t>
      </w:r>
      <w:r w:rsidR="008C454D" w:rsidRPr="008A44B9">
        <w:t>jiné ambulance FN Brno, zatímco počet pacientů přivezených zdravotnickou dopravní službou se snížil.</w:t>
      </w:r>
      <w:r w:rsidR="006E5768" w:rsidRPr="008A44B9">
        <w:t xml:space="preserve"> Veškeré hodnoty jsou číselně zpracovány v</w:t>
      </w:r>
      <w:r w:rsidR="008A44B9">
        <w:t> </w:t>
      </w:r>
      <w:r w:rsidR="006E5768" w:rsidRPr="008A44B9">
        <w:t>Tabulce</w:t>
      </w:r>
      <w:r w:rsidR="008A44B9">
        <w:t> </w:t>
      </w:r>
      <w:r w:rsidR="00047AC8">
        <w:t>9</w:t>
      </w:r>
      <w:r w:rsidR="006E5768" w:rsidRPr="008A44B9">
        <w:t>.</w:t>
      </w:r>
      <w:r w:rsidR="00E27AD6">
        <w:t xml:space="preserve"> Mezi lety 2019 a 2023 došlo ke statisticky významné změně ve způsobu dopravy k ošetření. V roce 2023 přibylo pacientů konziliárních či předaných z jiné ambulance FN Brno, zatímco počet pacientů přijíždějících </w:t>
      </w:r>
      <w:r w:rsidR="003E1290">
        <w:t xml:space="preserve">sanitou </w:t>
      </w:r>
      <w:r w:rsidR="00E27AD6">
        <w:t>ZDS se snížil (p=0,002).</w:t>
      </w:r>
    </w:p>
    <w:p w14:paraId="73F668E7" w14:textId="77777777" w:rsidR="00937631" w:rsidRPr="00937631" w:rsidRDefault="00937631" w:rsidP="00937631">
      <w:pPr>
        <w:pStyle w:val="Odstavec1"/>
        <w:rPr>
          <w:lang w:eastAsia="sk-SK"/>
        </w:rPr>
      </w:pPr>
    </w:p>
    <w:p w14:paraId="1AEB3CF4" w14:textId="12DBA103" w:rsidR="009843C7" w:rsidRPr="00EE22D1" w:rsidRDefault="009843C7" w:rsidP="009843C7">
      <w:pPr>
        <w:pStyle w:val="Titulektabulky"/>
      </w:pPr>
      <w:bookmarkStart w:id="43" w:name="_Toc195517135"/>
      <w:r>
        <w:t xml:space="preserve">Tab. </w:t>
      </w:r>
      <w:fldSimple w:instr=" SEQ Tab. \* ARABIC ">
        <w:r w:rsidR="0022490D">
          <w:rPr>
            <w:noProof/>
          </w:rPr>
          <w:t>10</w:t>
        </w:r>
      </w:fldSimple>
      <w:r>
        <w:t xml:space="preserve">: </w:t>
      </w:r>
      <w:r w:rsidR="00E92226">
        <w:t>Spádo</w:t>
      </w:r>
      <w:r w:rsidR="003B25B4">
        <w:t>vost na NUP FN Brno</w:t>
      </w:r>
      <w:r w:rsidR="00C042BD">
        <w:t xml:space="preserve"> u ošetřených pacientů ve věkové kategorii 75</w:t>
      </w:r>
      <w:r w:rsidR="0049235A">
        <w:t xml:space="preserve"> </w:t>
      </w:r>
      <w:r w:rsidR="00C042BD">
        <w:t>a více</w:t>
      </w:r>
      <w:r w:rsidR="0049235A">
        <w:t xml:space="preserve"> let</w:t>
      </w:r>
      <w:bookmarkEnd w:id="43"/>
    </w:p>
    <w:tbl>
      <w:tblPr>
        <w:tblW w:w="8642" w:type="dxa"/>
        <w:jc w:val="center"/>
        <w:tblCellMar>
          <w:left w:w="70" w:type="dxa"/>
          <w:right w:w="70" w:type="dxa"/>
        </w:tblCellMar>
        <w:tblLook w:val="04A0" w:firstRow="1" w:lastRow="0" w:firstColumn="1" w:lastColumn="0" w:noHBand="0" w:noVBand="1"/>
      </w:tblPr>
      <w:tblGrid>
        <w:gridCol w:w="2405"/>
        <w:gridCol w:w="1559"/>
        <w:gridCol w:w="1560"/>
        <w:gridCol w:w="1559"/>
        <w:gridCol w:w="1559"/>
      </w:tblGrid>
      <w:tr w:rsidR="00AB59FF" w:rsidRPr="008276E2" w14:paraId="215316E9" w14:textId="77777777" w:rsidTr="008A44B9">
        <w:trPr>
          <w:trHeight w:val="446"/>
          <w:tblHeader/>
          <w:jc w:val="center"/>
        </w:trPr>
        <w:tc>
          <w:tcPr>
            <w:tcW w:w="2405" w:type="dxa"/>
            <w:vMerge w:val="restart"/>
            <w:tcBorders>
              <w:top w:val="single" w:sz="4" w:space="0" w:color="auto"/>
              <w:left w:val="single" w:sz="4" w:space="0" w:color="auto"/>
              <w:bottom w:val="single" w:sz="4" w:space="0" w:color="000000"/>
              <w:right w:val="single" w:sz="4" w:space="0" w:color="auto"/>
            </w:tcBorders>
            <w:shd w:val="clear" w:color="000000" w:fill="DDEBF7"/>
            <w:vAlign w:val="center"/>
            <w:hideMark/>
          </w:tcPr>
          <w:p w14:paraId="370E986C" w14:textId="77777777" w:rsidR="008276E2" w:rsidRPr="008276E2" w:rsidRDefault="008276E2" w:rsidP="008276E2">
            <w:pPr>
              <w:jc w:val="center"/>
              <w:rPr>
                <w:rFonts w:ascii="Arial" w:hAnsi="Arial" w:cs="Arial"/>
                <w:b/>
                <w:bCs/>
                <w:color w:val="000000"/>
              </w:rPr>
            </w:pPr>
            <w:r w:rsidRPr="008276E2">
              <w:rPr>
                <w:rFonts w:ascii="Arial" w:hAnsi="Arial" w:cs="Arial"/>
                <w:b/>
                <w:bCs/>
                <w:color w:val="000000"/>
              </w:rPr>
              <w:t>Spádovost</w:t>
            </w:r>
          </w:p>
        </w:tc>
        <w:tc>
          <w:tcPr>
            <w:tcW w:w="3119" w:type="dxa"/>
            <w:gridSpan w:val="2"/>
            <w:tcBorders>
              <w:top w:val="single" w:sz="4" w:space="0" w:color="auto"/>
              <w:left w:val="nil"/>
              <w:bottom w:val="single" w:sz="4" w:space="0" w:color="auto"/>
              <w:right w:val="single" w:sz="4" w:space="0" w:color="000000"/>
            </w:tcBorders>
            <w:shd w:val="clear" w:color="000000" w:fill="DDEBF7"/>
            <w:vAlign w:val="center"/>
            <w:hideMark/>
          </w:tcPr>
          <w:p w14:paraId="45FA2E7E" w14:textId="22E082AF" w:rsidR="008276E2" w:rsidRPr="008276E2" w:rsidRDefault="00373934" w:rsidP="008276E2">
            <w:pPr>
              <w:jc w:val="center"/>
              <w:rPr>
                <w:rFonts w:ascii="Arial" w:hAnsi="Arial" w:cs="Arial"/>
                <w:b/>
                <w:bCs/>
                <w:color w:val="000000"/>
              </w:rPr>
            </w:pPr>
            <w:r>
              <w:rPr>
                <w:rFonts w:ascii="Arial" w:hAnsi="Arial" w:cs="Arial"/>
                <w:b/>
                <w:bCs/>
                <w:color w:val="000000"/>
              </w:rPr>
              <w:t xml:space="preserve">Rok </w:t>
            </w:r>
            <w:r w:rsidR="008276E2" w:rsidRPr="008276E2">
              <w:rPr>
                <w:rFonts w:ascii="Arial" w:hAnsi="Arial" w:cs="Arial"/>
                <w:b/>
                <w:bCs/>
                <w:color w:val="000000"/>
              </w:rPr>
              <w:t>2019</w:t>
            </w:r>
          </w:p>
        </w:tc>
        <w:tc>
          <w:tcPr>
            <w:tcW w:w="3118" w:type="dxa"/>
            <w:gridSpan w:val="2"/>
            <w:tcBorders>
              <w:top w:val="single" w:sz="4" w:space="0" w:color="auto"/>
              <w:left w:val="nil"/>
              <w:bottom w:val="single" w:sz="4" w:space="0" w:color="auto"/>
              <w:right w:val="single" w:sz="4" w:space="0" w:color="000000"/>
            </w:tcBorders>
            <w:shd w:val="clear" w:color="000000" w:fill="DDEBF7"/>
            <w:vAlign w:val="center"/>
            <w:hideMark/>
          </w:tcPr>
          <w:p w14:paraId="29D667A6" w14:textId="563CDD0B" w:rsidR="008276E2" w:rsidRPr="008276E2" w:rsidRDefault="00373934" w:rsidP="008276E2">
            <w:pPr>
              <w:jc w:val="center"/>
              <w:rPr>
                <w:rFonts w:ascii="Arial" w:hAnsi="Arial" w:cs="Arial"/>
                <w:b/>
                <w:bCs/>
                <w:color w:val="000000"/>
              </w:rPr>
            </w:pPr>
            <w:r>
              <w:rPr>
                <w:rFonts w:ascii="Arial" w:hAnsi="Arial" w:cs="Arial"/>
                <w:b/>
                <w:bCs/>
                <w:color w:val="000000"/>
              </w:rPr>
              <w:t xml:space="preserve">Rok </w:t>
            </w:r>
            <w:r w:rsidR="008276E2" w:rsidRPr="008276E2">
              <w:rPr>
                <w:rFonts w:ascii="Arial" w:hAnsi="Arial" w:cs="Arial"/>
                <w:b/>
                <w:bCs/>
                <w:color w:val="000000"/>
              </w:rPr>
              <w:t>2023</w:t>
            </w:r>
          </w:p>
        </w:tc>
      </w:tr>
      <w:tr w:rsidR="00AB59FF" w:rsidRPr="008276E2" w14:paraId="467EEF4B" w14:textId="77777777" w:rsidTr="008A44B9">
        <w:trPr>
          <w:trHeight w:val="410"/>
          <w:tblHeader/>
          <w:jc w:val="center"/>
        </w:trPr>
        <w:tc>
          <w:tcPr>
            <w:tcW w:w="2405" w:type="dxa"/>
            <w:vMerge/>
            <w:tcBorders>
              <w:top w:val="single" w:sz="4" w:space="0" w:color="auto"/>
              <w:left w:val="single" w:sz="4" w:space="0" w:color="auto"/>
              <w:bottom w:val="single" w:sz="4" w:space="0" w:color="000000"/>
              <w:right w:val="single" w:sz="4" w:space="0" w:color="auto"/>
            </w:tcBorders>
            <w:vAlign w:val="center"/>
            <w:hideMark/>
          </w:tcPr>
          <w:p w14:paraId="0BA2A6B0" w14:textId="77777777" w:rsidR="008276E2" w:rsidRPr="008276E2" w:rsidRDefault="008276E2" w:rsidP="008276E2">
            <w:pPr>
              <w:rPr>
                <w:rFonts w:ascii="Arial" w:hAnsi="Arial" w:cs="Arial"/>
                <w:b/>
                <w:bCs/>
                <w:color w:val="000000"/>
              </w:rPr>
            </w:pPr>
          </w:p>
        </w:tc>
        <w:tc>
          <w:tcPr>
            <w:tcW w:w="1559" w:type="dxa"/>
            <w:tcBorders>
              <w:top w:val="nil"/>
              <w:left w:val="nil"/>
              <w:bottom w:val="single" w:sz="4" w:space="0" w:color="auto"/>
              <w:right w:val="single" w:sz="4" w:space="0" w:color="auto"/>
            </w:tcBorders>
            <w:shd w:val="clear" w:color="000000" w:fill="DDEBF7"/>
            <w:vAlign w:val="center"/>
            <w:hideMark/>
          </w:tcPr>
          <w:p w14:paraId="79E170B2" w14:textId="77777777" w:rsidR="008276E2" w:rsidRPr="008276E2" w:rsidRDefault="008276E2" w:rsidP="008276E2">
            <w:pPr>
              <w:jc w:val="center"/>
              <w:rPr>
                <w:rFonts w:ascii="Arial" w:hAnsi="Arial" w:cs="Arial"/>
                <w:b/>
                <w:bCs/>
                <w:color w:val="000000"/>
              </w:rPr>
            </w:pPr>
            <w:r w:rsidRPr="008276E2">
              <w:rPr>
                <w:rFonts w:ascii="Arial" w:hAnsi="Arial" w:cs="Arial"/>
                <w:b/>
                <w:bCs/>
                <w:color w:val="000000"/>
              </w:rPr>
              <w:t>(n)</w:t>
            </w:r>
          </w:p>
        </w:tc>
        <w:tc>
          <w:tcPr>
            <w:tcW w:w="1560" w:type="dxa"/>
            <w:tcBorders>
              <w:top w:val="nil"/>
              <w:left w:val="nil"/>
              <w:bottom w:val="single" w:sz="4" w:space="0" w:color="auto"/>
              <w:right w:val="single" w:sz="4" w:space="0" w:color="auto"/>
            </w:tcBorders>
            <w:shd w:val="clear" w:color="000000" w:fill="DDEBF7"/>
            <w:vAlign w:val="center"/>
            <w:hideMark/>
          </w:tcPr>
          <w:p w14:paraId="58AD56CC" w14:textId="77777777" w:rsidR="008276E2" w:rsidRPr="008276E2" w:rsidRDefault="008276E2" w:rsidP="008276E2">
            <w:pPr>
              <w:jc w:val="center"/>
              <w:rPr>
                <w:rFonts w:ascii="Arial" w:hAnsi="Arial" w:cs="Arial"/>
                <w:b/>
                <w:bCs/>
                <w:color w:val="000000"/>
              </w:rPr>
            </w:pPr>
            <w:r w:rsidRPr="008276E2">
              <w:rPr>
                <w:rFonts w:ascii="Arial" w:hAnsi="Arial" w:cs="Arial"/>
                <w:b/>
                <w:bCs/>
                <w:color w:val="000000"/>
              </w:rPr>
              <w:t>(%)</w:t>
            </w:r>
          </w:p>
        </w:tc>
        <w:tc>
          <w:tcPr>
            <w:tcW w:w="1559" w:type="dxa"/>
            <w:tcBorders>
              <w:top w:val="nil"/>
              <w:left w:val="nil"/>
              <w:bottom w:val="single" w:sz="4" w:space="0" w:color="auto"/>
              <w:right w:val="single" w:sz="4" w:space="0" w:color="auto"/>
            </w:tcBorders>
            <w:shd w:val="clear" w:color="000000" w:fill="DDEBF7"/>
            <w:vAlign w:val="center"/>
            <w:hideMark/>
          </w:tcPr>
          <w:p w14:paraId="0CE7ACF3" w14:textId="77777777" w:rsidR="008276E2" w:rsidRPr="008276E2" w:rsidRDefault="008276E2" w:rsidP="008276E2">
            <w:pPr>
              <w:jc w:val="center"/>
              <w:rPr>
                <w:rFonts w:ascii="Arial" w:hAnsi="Arial" w:cs="Arial"/>
                <w:b/>
                <w:bCs/>
                <w:color w:val="000000"/>
              </w:rPr>
            </w:pPr>
            <w:r w:rsidRPr="008276E2">
              <w:rPr>
                <w:rFonts w:ascii="Arial" w:hAnsi="Arial" w:cs="Arial"/>
                <w:b/>
                <w:bCs/>
                <w:color w:val="000000"/>
              </w:rPr>
              <w:t>(n)</w:t>
            </w:r>
          </w:p>
        </w:tc>
        <w:tc>
          <w:tcPr>
            <w:tcW w:w="1559" w:type="dxa"/>
            <w:tcBorders>
              <w:top w:val="nil"/>
              <w:left w:val="nil"/>
              <w:bottom w:val="single" w:sz="4" w:space="0" w:color="auto"/>
              <w:right w:val="single" w:sz="4" w:space="0" w:color="auto"/>
            </w:tcBorders>
            <w:shd w:val="clear" w:color="000000" w:fill="DDEBF7"/>
            <w:vAlign w:val="center"/>
            <w:hideMark/>
          </w:tcPr>
          <w:p w14:paraId="2EE29BC7" w14:textId="77777777" w:rsidR="008276E2" w:rsidRPr="008276E2" w:rsidRDefault="008276E2" w:rsidP="008276E2">
            <w:pPr>
              <w:jc w:val="center"/>
              <w:rPr>
                <w:rFonts w:ascii="Arial" w:hAnsi="Arial" w:cs="Arial"/>
                <w:b/>
                <w:bCs/>
                <w:color w:val="000000"/>
              </w:rPr>
            </w:pPr>
            <w:r w:rsidRPr="008276E2">
              <w:rPr>
                <w:rFonts w:ascii="Arial" w:hAnsi="Arial" w:cs="Arial"/>
                <w:b/>
                <w:bCs/>
                <w:color w:val="000000"/>
              </w:rPr>
              <w:t>(%)</w:t>
            </w:r>
          </w:p>
        </w:tc>
      </w:tr>
      <w:tr w:rsidR="00AB59FF" w:rsidRPr="008276E2" w14:paraId="54237608" w14:textId="77777777" w:rsidTr="00B10B09">
        <w:trPr>
          <w:trHeight w:val="420"/>
          <w:jc w:val="center"/>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0EAEED76" w14:textId="77777777" w:rsidR="008276E2" w:rsidRPr="008276E2" w:rsidRDefault="008276E2" w:rsidP="008276E2">
            <w:pPr>
              <w:jc w:val="center"/>
              <w:rPr>
                <w:rFonts w:ascii="Arial" w:hAnsi="Arial" w:cs="Arial"/>
                <w:color w:val="000000"/>
              </w:rPr>
            </w:pPr>
            <w:r w:rsidRPr="008276E2">
              <w:rPr>
                <w:rFonts w:ascii="Arial" w:hAnsi="Arial" w:cs="Arial"/>
                <w:color w:val="000000"/>
              </w:rPr>
              <w:t>ANO</w:t>
            </w:r>
          </w:p>
        </w:tc>
        <w:tc>
          <w:tcPr>
            <w:tcW w:w="1559" w:type="dxa"/>
            <w:tcBorders>
              <w:top w:val="nil"/>
              <w:left w:val="nil"/>
              <w:bottom w:val="single" w:sz="4" w:space="0" w:color="auto"/>
              <w:right w:val="single" w:sz="4" w:space="0" w:color="auto"/>
            </w:tcBorders>
            <w:shd w:val="clear" w:color="auto" w:fill="auto"/>
            <w:vAlign w:val="center"/>
            <w:hideMark/>
          </w:tcPr>
          <w:p w14:paraId="67D879D8" w14:textId="77777777" w:rsidR="008276E2" w:rsidRPr="008276E2" w:rsidRDefault="008276E2" w:rsidP="008276E2">
            <w:pPr>
              <w:jc w:val="center"/>
              <w:rPr>
                <w:rFonts w:ascii="Arial" w:hAnsi="Arial" w:cs="Arial"/>
                <w:color w:val="000000"/>
              </w:rPr>
            </w:pPr>
            <w:r w:rsidRPr="008276E2">
              <w:rPr>
                <w:rFonts w:ascii="Arial" w:hAnsi="Arial" w:cs="Arial"/>
                <w:color w:val="000000"/>
              </w:rPr>
              <w:t>470</w:t>
            </w:r>
          </w:p>
        </w:tc>
        <w:tc>
          <w:tcPr>
            <w:tcW w:w="1560" w:type="dxa"/>
            <w:tcBorders>
              <w:top w:val="nil"/>
              <w:left w:val="nil"/>
              <w:bottom w:val="single" w:sz="4" w:space="0" w:color="auto"/>
              <w:right w:val="single" w:sz="4" w:space="0" w:color="auto"/>
            </w:tcBorders>
            <w:shd w:val="clear" w:color="auto" w:fill="auto"/>
            <w:vAlign w:val="center"/>
            <w:hideMark/>
          </w:tcPr>
          <w:p w14:paraId="76C73339" w14:textId="760CA819" w:rsidR="008276E2" w:rsidRPr="008276E2" w:rsidRDefault="008276E2" w:rsidP="008276E2">
            <w:pPr>
              <w:jc w:val="center"/>
              <w:rPr>
                <w:rFonts w:ascii="Arial" w:hAnsi="Arial" w:cs="Arial"/>
                <w:color w:val="000000"/>
              </w:rPr>
            </w:pPr>
            <w:r w:rsidRPr="008276E2">
              <w:rPr>
                <w:rFonts w:ascii="Arial" w:hAnsi="Arial" w:cs="Arial"/>
                <w:color w:val="000000"/>
              </w:rPr>
              <w:t>92,34</w:t>
            </w:r>
          </w:p>
        </w:tc>
        <w:tc>
          <w:tcPr>
            <w:tcW w:w="1559" w:type="dxa"/>
            <w:tcBorders>
              <w:top w:val="nil"/>
              <w:left w:val="nil"/>
              <w:bottom w:val="single" w:sz="4" w:space="0" w:color="auto"/>
              <w:right w:val="single" w:sz="4" w:space="0" w:color="auto"/>
            </w:tcBorders>
            <w:shd w:val="clear" w:color="auto" w:fill="auto"/>
            <w:vAlign w:val="center"/>
            <w:hideMark/>
          </w:tcPr>
          <w:p w14:paraId="53051727" w14:textId="77777777" w:rsidR="008276E2" w:rsidRPr="008276E2" w:rsidRDefault="008276E2" w:rsidP="008276E2">
            <w:pPr>
              <w:jc w:val="center"/>
              <w:rPr>
                <w:rFonts w:ascii="Arial" w:hAnsi="Arial" w:cs="Arial"/>
                <w:color w:val="000000"/>
              </w:rPr>
            </w:pPr>
            <w:r w:rsidRPr="008276E2">
              <w:rPr>
                <w:rFonts w:ascii="Arial" w:hAnsi="Arial" w:cs="Arial"/>
                <w:color w:val="000000"/>
              </w:rPr>
              <w:t>564</w:t>
            </w:r>
          </w:p>
        </w:tc>
        <w:tc>
          <w:tcPr>
            <w:tcW w:w="1559" w:type="dxa"/>
            <w:tcBorders>
              <w:top w:val="nil"/>
              <w:left w:val="nil"/>
              <w:bottom w:val="single" w:sz="4" w:space="0" w:color="auto"/>
              <w:right w:val="single" w:sz="4" w:space="0" w:color="auto"/>
            </w:tcBorders>
            <w:shd w:val="clear" w:color="auto" w:fill="auto"/>
            <w:vAlign w:val="center"/>
            <w:hideMark/>
          </w:tcPr>
          <w:p w14:paraId="05562058" w14:textId="46BD8A52" w:rsidR="008276E2" w:rsidRPr="008276E2" w:rsidRDefault="008276E2" w:rsidP="008276E2">
            <w:pPr>
              <w:jc w:val="center"/>
              <w:rPr>
                <w:rFonts w:ascii="Arial" w:hAnsi="Arial" w:cs="Arial"/>
                <w:color w:val="000000"/>
              </w:rPr>
            </w:pPr>
            <w:r w:rsidRPr="008276E2">
              <w:rPr>
                <w:rFonts w:ascii="Arial" w:hAnsi="Arial" w:cs="Arial"/>
                <w:color w:val="000000"/>
              </w:rPr>
              <w:t>94,31</w:t>
            </w:r>
          </w:p>
        </w:tc>
      </w:tr>
      <w:tr w:rsidR="00AB59FF" w:rsidRPr="008276E2" w14:paraId="5767C323" w14:textId="77777777" w:rsidTr="00B10B09">
        <w:trPr>
          <w:trHeight w:val="420"/>
          <w:jc w:val="center"/>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6F73F53C" w14:textId="77777777" w:rsidR="008276E2" w:rsidRPr="008276E2" w:rsidRDefault="008276E2" w:rsidP="008276E2">
            <w:pPr>
              <w:jc w:val="center"/>
              <w:rPr>
                <w:rFonts w:ascii="Arial" w:hAnsi="Arial" w:cs="Arial"/>
                <w:color w:val="000000"/>
              </w:rPr>
            </w:pPr>
            <w:r w:rsidRPr="008276E2">
              <w:rPr>
                <w:rFonts w:ascii="Arial" w:hAnsi="Arial" w:cs="Arial"/>
                <w:color w:val="000000"/>
              </w:rPr>
              <w:t>NE</w:t>
            </w:r>
          </w:p>
        </w:tc>
        <w:tc>
          <w:tcPr>
            <w:tcW w:w="1559" w:type="dxa"/>
            <w:tcBorders>
              <w:top w:val="nil"/>
              <w:left w:val="nil"/>
              <w:bottom w:val="single" w:sz="4" w:space="0" w:color="auto"/>
              <w:right w:val="single" w:sz="4" w:space="0" w:color="auto"/>
            </w:tcBorders>
            <w:shd w:val="clear" w:color="auto" w:fill="auto"/>
            <w:vAlign w:val="center"/>
            <w:hideMark/>
          </w:tcPr>
          <w:p w14:paraId="4E93E0F4" w14:textId="77777777" w:rsidR="008276E2" w:rsidRPr="008276E2" w:rsidRDefault="008276E2" w:rsidP="008276E2">
            <w:pPr>
              <w:jc w:val="center"/>
              <w:rPr>
                <w:rFonts w:ascii="Arial" w:hAnsi="Arial" w:cs="Arial"/>
                <w:color w:val="000000"/>
              </w:rPr>
            </w:pPr>
            <w:r w:rsidRPr="008276E2">
              <w:rPr>
                <w:rFonts w:ascii="Arial" w:hAnsi="Arial" w:cs="Arial"/>
                <w:color w:val="000000"/>
              </w:rPr>
              <w:t>39</w:t>
            </w:r>
          </w:p>
        </w:tc>
        <w:tc>
          <w:tcPr>
            <w:tcW w:w="1560" w:type="dxa"/>
            <w:tcBorders>
              <w:top w:val="nil"/>
              <w:left w:val="nil"/>
              <w:bottom w:val="single" w:sz="4" w:space="0" w:color="auto"/>
              <w:right w:val="single" w:sz="4" w:space="0" w:color="auto"/>
            </w:tcBorders>
            <w:shd w:val="clear" w:color="auto" w:fill="auto"/>
            <w:vAlign w:val="center"/>
            <w:hideMark/>
          </w:tcPr>
          <w:p w14:paraId="1A29C8AF" w14:textId="0DC133B4" w:rsidR="008276E2" w:rsidRPr="008276E2" w:rsidRDefault="008276E2" w:rsidP="008276E2">
            <w:pPr>
              <w:jc w:val="center"/>
              <w:rPr>
                <w:rFonts w:ascii="Arial" w:hAnsi="Arial" w:cs="Arial"/>
                <w:color w:val="000000"/>
              </w:rPr>
            </w:pPr>
            <w:r w:rsidRPr="008276E2">
              <w:rPr>
                <w:rFonts w:ascii="Arial" w:hAnsi="Arial" w:cs="Arial"/>
                <w:color w:val="000000"/>
              </w:rPr>
              <w:t>7,66</w:t>
            </w:r>
          </w:p>
        </w:tc>
        <w:tc>
          <w:tcPr>
            <w:tcW w:w="1559" w:type="dxa"/>
            <w:tcBorders>
              <w:top w:val="nil"/>
              <w:left w:val="nil"/>
              <w:bottom w:val="single" w:sz="4" w:space="0" w:color="auto"/>
              <w:right w:val="single" w:sz="4" w:space="0" w:color="auto"/>
            </w:tcBorders>
            <w:shd w:val="clear" w:color="auto" w:fill="auto"/>
            <w:vAlign w:val="center"/>
            <w:hideMark/>
          </w:tcPr>
          <w:p w14:paraId="5004A575" w14:textId="77777777" w:rsidR="008276E2" w:rsidRPr="008276E2" w:rsidRDefault="008276E2" w:rsidP="008276E2">
            <w:pPr>
              <w:jc w:val="center"/>
              <w:rPr>
                <w:rFonts w:ascii="Arial" w:hAnsi="Arial" w:cs="Arial"/>
                <w:color w:val="000000"/>
              </w:rPr>
            </w:pPr>
            <w:r w:rsidRPr="008276E2">
              <w:rPr>
                <w:rFonts w:ascii="Arial" w:hAnsi="Arial" w:cs="Arial"/>
                <w:color w:val="000000"/>
              </w:rPr>
              <w:t>34</w:t>
            </w:r>
          </w:p>
        </w:tc>
        <w:tc>
          <w:tcPr>
            <w:tcW w:w="1559" w:type="dxa"/>
            <w:tcBorders>
              <w:top w:val="nil"/>
              <w:left w:val="nil"/>
              <w:bottom w:val="single" w:sz="4" w:space="0" w:color="auto"/>
              <w:right w:val="single" w:sz="4" w:space="0" w:color="auto"/>
            </w:tcBorders>
            <w:shd w:val="clear" w:color="auto" w:fill="auto"/>
            <w:vAlign w:val="center"/>
            <w:hideMark/>
          </w:tcPr>
          <w:p w14:paraId="5D4C6912" w14:textId="06CE1BEC" w:rsidR="008276E2" w:rsidRPr="008276E2" w:rsidRDefault="008276E2" w:rsidP="008276E2">
            <w:pPr>
              <w:jc w:val="center"/>
              <w:rPr>
                <w:rFonts w:ascii="Arial" w:hAnsi="Arial" w:cs="Arial"/>
                <w:color w:val="000000"/>
              </w:rPr>
            </w:pPr>
            <w:r w:rsidRPr="008276E2">
              <w:rPr>
                <w:rFonts w:ascii="Arial" w:hAnsi="Arial" w:cs="Arial"/>
                <w:color w:val="000000"/>
              </w:rPr>
              <w:t>5,69</w:t>
            </w:r>
          </w:p>
        </w:tc>
      </w:tr>
      <w:tr w:rsidR="00AB59FF" w:rsidRPr="008276E2" w14:paraId="5AAD0F53" w14:textId="77777777" w:rsidTr="00B10B09">
        <w:trPr>
          <w:trHeight w:val="420"/>
          <w:jc w:val="center"/>
        </w:trPr>
        <w:tc>
          <w:tcPr>
            <w:tcW w:w="2405" w:type="dxa"/>
            <w:tcBorders>
              <w:top w:val="nil"/>
              <w:left w:val="single" w:sz="4" w:space="0" w:color="auto"/>
              <w:bottom w:val="single" w:sz="4" w:space="0" w:color="auto"/>
              <w:right w:val="single" w:sz="4" w:space="0" w:color="auto"/>
            </w:tcBorders>
            <w:shd w:val="clear" w:color="000000" w:fill="DDEBF7"/>
            <w:vAlign w:val="center"/>
            <w:hideMark/>
          </w:tcPr>
          <w:p w14:paraId="42B5E943" w14:textId="77777777" w:rsidR="008276E2" w:rsidRPr="008276E2" w:rsidRDefault="008276E2" w:rsidP="008276E2">
            <w:pPr>
              <w:jc w:val="center"/>
              <w:rPr>
                <w:rFonts w:ascii="Arial" w:hAnsi="Arial" w:cs="Arial"/>
                <w:b/>
                <w:bCs/>
                <w:color w:val="000000"/>
              </w:rPr>
            </w:pPr>
            <w:r w:rsidRPr="008276E2">
              <w:rPr>
                <w:rFonts w:ascii="Arial" w:hAnsi="Arial" w:cs="Arial"/>
                <w:b/>
                <w:bCs/>
                <w:color w:val="000000"/>
              </w:rPr>
              <w:t>Celkový součet</w:t>
            </w:r>
          </w:p>
        </w:tc>
        <w:tc>
          <w:tcPr>
            <w:tcW w:w="1559" w:type="dxa"/>
            <w:tcBorders>
              <w:top w:val="nil"/>
              <w:left w:val="nil"/>
              <w:bottom w:val="single" w:sz="4" w:space="0" w:color="auto"/>
              <w:right w:val="single" w:sz="4" w:space="0" w:color="auto"/>
            </w:tcBorders>
            <w:shd w:val="clear" w:color="000000" w:fill="DDEBF7"/>
            <w:vAlign w:val="center"/>
            <w:hideMark/>
          </w:tcPr>
          <w:p w14:paraId="57C2771F" w14:textId="77777777" w:rsidR="008276E2" w:rsidRPr="008276E2" w:rsidRDefault="008276E2" w:rsidP="008276E2">
            <w:pPr>
              <w:jc w:val="center"/>
              <w:rPr>
                <w:rFonts w:ascii="Arial" w:hAnsi="Arial" w:cs="Arial"/>
                <w:b/>
                <w:bCs/>
                <w:color w:val="000000"/>
              </w:rPr>
            </w:pPr>
            <w:r w:rsidRPr="008276E2">
              <w:rPr>
                <w:rFonts w:ascii="Arial" w:hAnsi="Arial" w:cs="Arial"/>
                <w:b/>
                <w:bCs/>
                <w:color w:val="000000"/>
              </w:rPr>
              <w:t>509</w:t>
            </w:r>
          </w:p>
        </w:tc>
        <w:tc>
          <w:tcPr>
            <w:tcW w:w="1560" w:type="dxa"/>
            <w:tcBorders>
              <w:top w:val="nil"/>
              <w:left w:val="nil"/>
              <w:bottom w:val="single" w:sz="4" w:space="0" w:color="auto"/>
              <w:right w:val="single" w:sz="4" w:space="0" w:color="auto"/>
            </w:tcBorders>
            <w:shd w:val="clear" w:color="000000" w:fill="DDEBF7"/>
            <w:vAlign w:val="center"/>
            <w:hideMark/>
          </w:tcPr>
          <w:p w14:paraId="5A60BA8D" w14:textId="3777CA63" w:rsidR="008276E2" w:rsidRPr="008276E2" w:rsidRDefault="008276E2" w:rsidP="008276E2">
            <w:pPr>
              <w:jc w:val="center"/>
              <w:rPr>
                <w:rFonts w:ascii="Arial" w:hAnsi="Arial" w:cs="Arial"/>
                <w:b/>
                <w:bCs/>
                <w:color w:val="000000"/>
              </w:rPr>
            </w:pPr>
            <w:r w:rsidRPr="008276E2">
              <w:rPr>
                <w:rFonts w:ascii="Arial" w:hAnsi="Arial" w:cs="Arial"/>
                <w:b/>
                <w:bCs/>
                <w:color w:val="000000"/>
              </w:rPr>
              <w:t>100,00</w:t>
            </w:r>
          </w:p>
        </w:tc>
        <w:tc>
          <w:tcPr>
            <w:tcW w:w="1559" w:type="dxa"/>
            <w:tcBorders>
              <w:top w:val="nil"/>
              <w:left w:val="nil"/>
              <w:bottom w:val="single" w:sz="4" w:space="0" w:color="auto"/>
              <w:right w:val="single" w:sz="4" w:space="0" w:color="auto"/>
            </w:tcBorders>
            <w:shd w:val="clear" w:color="000000" w:fill="DDEBF7"/>
            <w:vAlign w:val="center"/>
            <w:hideMark/>
          </w:tcPr>
          <w:p w14:paraId="4BE18857" w14:textId="77777777" w:rsidR="008276E2" w:rsidRPr="008276E2" w:rsidRDefault="008276E2" w:rsidP="008276E2">
            <w:pPr>
              <w:jc w:val="center"/>
              <w:rPr>
                <w:rFonts w:ascii="Arial" w:hAnsi="Arial" w:cs="Arial"/>
                <w:b/>
                <w:bCs/>
                <w:color w:val="000000"/>
              </w:rPr>
            </w:pPr>
            <w:r w:rsidRPr="008276E2">
              <w:rPr>
                <w:rFonts w:ascii="Arial" w:hAnsi="Arial" w:cs="Arial"/>
                <w:b/>
                <w:bCs/>
                <w:color w:val="000000"/>
              </w:rPr>
              <w:t>598</w:t>
            </w:r>
          </w:p>
        </w:tc>
        <w:tc>
          <w:tcPr>
            <w:tcW w:w="1559" w:type="dxa"/>
            <w:tcBorders>
              <w:top w:val="nil"/>
              <w:left w:val="nil"/>
              <w:bottom w:val="single" w:sz="4" w:space="0" w:color="auto"/>
              <w:right w:val="single" w:sz="4" w:space="0" w:color="auto"/>
            </w:tcBorders>
            <w:shd w:val="clear" w:color="000000" w:fill="DDEBF7"/>
            <w:vAlign w:val="center"/>
            <w:hideMark/>
          </w:tcPr>
          <w:p w14:paraId="263858A2" w14:textId="452AC2A9" w:rsidR="008276E2" w:rsidRPr="008276E2" w:rsidRDefault="008276E2" w:rsidP="008276E2">
            <w:pPr>
              <w:jc w:val="center"/>
              <w:rPr>
                <w:rFonts w:ascii="Arial" w:hAnsi="Arial" w:cs="Arial"/>
                <w:b/>
                <w:bCs/>
                <w:color w:val="000000"/>
              </w:rPr>
            </w:pPr>
            <w:r w:rsidRPr="008276E2">
              <w:rPr>
                <w:rFonts w:ascii="Arial" w:hAnsi="Arial" w:cs="Arial"/>
                <w:b/>
                <w:bCs/>
                <w:color w:val="000000"/>
              </w:rPr>
              <w:t>100,00</w:t>
            </w:r>
          </w:p>
        </w:tc>
      </w:tr>
    </w:tbl>
    <w:p w14:paraId="58D09879" w14:textId="77777777" w:rsidR="004373DF" w:rsidRDefault="004373DF" w:rsidP="008A44B9">
      <w:pPr>
        <w:pStyle w:val="Popisobrzku"/>
      </w:pPr>
    </w:p>
    <w:p w14:paraId="6231B62A" w14:textId="56D8DE2F" w:rsidR="009843C7" w:rsidRPr="008A44B9" w:rsidRDefault="00A273F8" w:rsidP="00AB7738">
      <w:pPr>
        <w:pStyle w:val="Dalodstavce"/>
        <w:ind w:firstLine="0"/>
      </w:pPr>
      <w:r w:rsidRPr="008A44B9">
        <w:t xml:space="preserve">V českém zdravotnickém právu spádovost dle </w:t>
      </w:r>
      <w:r w:rsidR="005222EA" w:rsidRPr="008A44B9">
        <w:t xml:space="preserve">místa trvalého pobytu </w:t>
      </w:r>
      <w:r w:rsidR="00D14F3E" w:rsidRPr="008A44B9">
        <w:t>v zásadě neplatí</w:t>
      </w:r>
      <w:r w:rsidR="00230936" w:rsidRPr="008A44B9">
        <w:t xml:space="preserve">. Má však význam v prostředí zdravotnické záchranné služby </w:t>
      </w:r>
      <w:r w:rsidR="00462520" w:rsidRPr="008A44B9">
        <w:t>při rozhodování o</w:t>
      </w:r>
      <w:r w:rsidR="002C4F98" w:rsidRPr="008A44B9">
        <w:t xml:space="preserve"> cílovém poskytovateli akutní lůžkové péče. Na NUP FN Brno slouží</w:t>
      </w:r>
      <w:r w:rsidR="00B907E6" w:rsidRPr="008A44B9">
        <w:t xml:space="preserve"> </w:t>
      </w:r>
      <w:r w:rsidR="002C4F98" w:rsidRPr="008A44B9">
        <w:t>spádovost</w:t>
      </w:r>
      <w:r w:rsidR="007041AF" w:rsidRPr="008A44B9">
        <w:t xml:space="preserve"> primárně </w:t>
      </w:r>
      <w:r w:rsidR="007041AF" w:rsidRPr="008A44B9">
        <w:lastRenderedPageBreak/>
        <w:t>k roztřídění pacientů na příslušné kliniky</w:t>
      </w:r>
      <w:r w:rsidR="00C85563" w:rsidRPr="008A44B9">
        <w:t xml:space="preserve"> a případně </w:t>
      </w:r>
      <w:r w:rsidR="00AF17ED" w:rsidRPr="008A44B9">
        <w:t>ke</w:t>
      </w:r>
      <w:r w:rsidR="00C85563" w:rsidRPr="008A44B9">
        <w:t xml:space="preserve"> směřování pacienta </w:t>
      </w:r>
      <w:r w:rsidR="007F17E2" w:rsidRPr="008A44B9">
        <w:t xml:space="preserve">k dalšímu ošetření či hospitalizaci. </w:t>
      </w:r>
      <w:r w:rsidR="001E6904" w:rsidRPr="008A44B9">
        <w:t xml:space="preserve">Z údajů uvedených v Tabulce </w:t>
      </w:r>
      <w:r w:rsidR="00047AC8">
        <w:t>10</w:t>
      </w:r>
      <w:r w:rsidR="001E6904" w:rsidRPr="008A44B9">
        <w:t xml:space="preserve"> vyplývá, že v</w:t>
      </w:r>
      <w:r w:rsidR="007B332E" w:rsidRPr="008A44B9">
        <w:t> </w:t>
      </w:r>
      <w:r w:rsidR="001E26D1" w:rsidRPr="008A44B9">
        <w:t xml:space="preserve">obou letech výrazně převažovali </w:t>
      </w:r>
      <w:r w:rsidR="005F4E52" w:rsidRPr="008A44B9">
        <w:t xml:space="preserve">tzv. </w:t>
      </w:r>
      <w:r w:rsidR="001E26D1" w:rsidRPr="008A44B9">
        <w:t xml:space="preserve">spádoví </w:t>
      </w:r>
      <w:r w:rsidR="005F4E52" w:rsidRPr="008A44B9">
        <w:t>pacienti</w:t>
      </w:r>
      <w:r w:rsidR="00837A03" w:rsidRPr="008A44B9">
        <w:t>.</w:t>
      </w:r>
      <w:r w:rsidR="00F81765">
        <w:t xml:space="preserve"> </w:t>
      </w:r>
      <w:r w:rsidR="00F81765" w:rsidRPr="00F81765">
        <w:t xml:space="preserve">Mezi jednotlivými roky </w:t>
      </w:r>
      <w:r w:rsidR="0010613F">
        <w:t xml:space="preserve">však </w:t>
      </w:r>
      <w:r w:rsidR="00F81765" w:rsidRPr="00F81765">
        <w:t>nebyly zjištěny statisticky významné rozdíly</w:t>
      </w:r>
      <w:r w:rsidR="0010613F">
        <w:t xml:space="preserve"> ve spádovosti pacientů</w:t>
      </w:r>
      <w:r w:rsidR="00F81765" w:rsidRPr="00F81765">
        <w:t>.</w:t>
      </w:r>
    </w:p>
    <w:p w14:paraId="0EDA3479" w14:textId="77777777" w:rsidR="00937631" w:rsidRPr="00937631" w:rsidRDefault="00937631" w:rsidP="00937631">
      <w:pPr>
        <w:pStyle w:val="Odstavec1"/>
        <w:rPr>
          <w:lang w:eastAsia="sk-SK"/>
        </w:rPr>
      </w:pPr>
    </w:p>
    <w:p w14:paraId="4C4BB451" w14:textId="121A68D3" w:rsidR="004E23FB" w:rsidRPr="00EE22D1" w:rsidRDefault="009843C7" w:rsidP="00DD2C46">
      <w:pPr>
        <w:pStyle w:val="Titulektabulky"/>
      </w:pPr>
      <w:bookmarkStart w:id="44" w:name="_Toc195517136"/>
      <w:r>
        <w:t xml:space="preserve">Tab. </w:t>
      </w:r>
      <w:fldSimple w:instr=" SEQ Tab. \* ARABIC ">
        <w:r w:rsidR="0022490D">
          <w:rPr>
            <w:noProof/>
          </w:rPr>
          <w:t>11</w:t>
        </w:r>
      </w:fldSimple>
      <w:r>
        <w:t xml:space="preserve">: </w:t>
      </w:r>
      <w:r w:rsidR="00B34EDE">
        <w:t>Doporučení k ošetření na NUP FN Brno u pacientů ve věkové kategorii 75</w:t>
      </w:r>
      <w:r w:rsidR="00A17C8B">
        <w:t xml:space="preserve"> </w:t>
      </w:r>
      <w:r w:rsidR="00B34EDE">
        <w:t>a více</w:t>
      </w:r>
      <w:r w:rsidR="00A17C8B">
        <w:t xml:space="preserve"> let</w:t>
      </w:r>
      <w:bookmarkEnd w:id="44"/>
    </w:p>
    <w:tbl>
      <w:tblPr>
        <w:tblW w:w="8756" w:type="dxa"/>
        <w:jc w:val="center"/>
        <w:tblCellMar>
          <w:left w:w="70" w:type="dxa"/>
          <w:right w:w="70" w:type="dxa"/>
        </w:tblCellMar>
        <w:tblLook w:val="04A0" w:firstRow="1" w:lastRow="0" w:firstColumn="1" w:lastColumn="0" w:noHBand="0" w:noVBand="1"/>
      </w:tblPr>
      <w:tblGrid>
        <w:gridCol w:w="2830"/>
        <w:gridCol w:w="1418"/>
        <w:gridCol w:w="1417"/>
        <w:gridCol w:w="1560"/>
        <w:gridCol w:w="1531"/>
      </w:tblGrid>
      <w:tr w:rsidR="004E23FB" w:rsidRPr="00EC73F4" w14:paraId="07DEB81E" w14:textId="77777777" w:rsidTr="00B10B09">
        <w:trPr>
          <w:trHeight w:val="422"/>
          <w:jc w:val="center"/>
        </w:trPr>
        <w:tc>
          <w:tcPr>
            <w:tcW w:w="2830" w:type="dxa"/>
            <w:vMerge w:val="restart"/>
            <w:tcBorders>
              <w:top w:val="single" w:sz="4" w:space="0" w:color="auto"/>
              <w:left w:val="single" w:sz="4" w:space="0" w:color="auto"/>
              <w:bottom w:val="single" w:sz="4" w:space="0" w:color="000000"/>
              <w:right w:val="single" w:sz="4" w:space="0" w:color="auto"/>
            </w:tcBorders>
            <w:shd w:val="clear" w:color="000000" w:fill="DDEBF7"/>
            <w:vAlign w:val="center"/>
            <w:hideMark/>
          </w:tcPr>
          <w:p w14:paraId="001001C3" w14:textId="77777777" w:rsidR="00EC73F4" w:rsidRPr="00EC73F4" w:rsidRDefault="00EC73F4" w:rsidP="00EC73F4">
            <w:pPr>
              <w:jc w:val="center"/>
              <w:rPr>
                <w:rFonts w:ascii="Arial" w:hAnsi="Arial" w:cs="Arial"/>
                <w:b/>
                <w:bCs/>
                <w:color w:val="000000"/>
              </w:rPr>
            </w:pPr>
            <w:r w:rsidRPr="00EC73F4">
              <w:rPr>
                <w:rFonts w:ascii="Arial" w:hAnsi="Arial" w:cs="Arial"/>
                <w:b/>
                <w:bCs/>
                <w:color w:val="000000"/>
              </w:rPr>
              <w:t>Doporučení k ošetření</w:t>
            </w:r>
          </w:p>
        </w:tc>
        <w:tc>
          <w:tcPr>
            <w:tcW w:w="2835" w:type="dxa"/>
            <w:gridSpan w:val="2"/>
            <w:tcBorders>
              <w:top w:val="single" w:sz="4" w:space="0" w:color="auto"/>
              <w:left w:val="nil"/>
              <w:bottom w:val="single" w:sz="4" w:space="0" w:color="auto"/>
              <w:right w:val="single" w:sz="4" w:space="0" w:color="000000"/>
            </w:tcBorders>
            <w:shd w:val="clear" w:color="000000" w:fill="DDEBF7"/>
            <w:noWrap/>
            <w:vAlign w:val="center"/>
            <w:hideMark/>
          </w:tcPr>
          <w:p w14:paraId="01204D71" w14:textId="493FC43C" w:rsidR="00EC73F4" w:rsidRPr="00EC73F4" w:rsidRDefault="00373934" w:rsidP="00EC73F4">
            <w:pPr>
              <w:jc w:val="center"/>
              <w:rPr>
                <w:rFonts w:ascii="Arial" w:hAnsi="Arial" w:cs="Arial"/>
                <w:b/>
                <w:bCs/>
                <w:color w:val="000000"/>
              </w:rPr>
            </w:pPr>
            <w:r>
              <w:rPr>
                <w:rFonts w:ascii="Arial" w:hAnsi="Arial" w:cs="Arial"/>
                <w:b/>
                <w:bCs/>
                <w:color w:val="000000"/>
              </w:rPr>
              <w:t xml:space="preserve">Rok </w:t>
            </w:r>
            <w:r w:rsidR="00EC73F4" w:rsidRPr="00EC73F4">
              <w:rPr>
                <w:rFonts w:ascii="Arial" w:hAnsi="Arial" w:cs="Arial"/>
                <w:b/>
                <w:bCs/>
                <w:color w:val="000000"/>
              </w:rPr>
              <w:t>2019</w:t>
            </w:r>
          </w:p>
        </w:tc>
        <w:tc>
          <w:tcPr>
            <w:tcW w:w="3091" w:type="dxa"/>
            <w:gridSpan w:val="2"/>
            <w:tcBorders>
              <w:top w:val="single" w:sz="4" w:space="0" w:color="auto"/>
              <w:left w:val="nil"/>
              <w:bottom w:val="single" w:sz="4" w:space="0" w:color="auto"/>
              <w:right w:val="single" w:sz="4" w:space="0" w:color="000000"/>
            </w:tcBorders>
            <w:shd w:val="clear" w:color="000000" w:fill="DDEBF7"/>
            <w:noWrap/>
            <w:vAlign w:val="center"/>
            <w:hideMark/>
          </w:tcPr>
          <w:p w14:paraId="4F4792FC" w14:textId="3D8F1692" w:rsidR="00EC73F4" w:rsidRPr="00EC73F4" w:rsidRDefault="00373934" w:rsidP="00EC73F4">
            <w:pPr>
              <w:jc w:val="center"/>
              <w:rPr>
                <w:rFonts w:ascii="Arial" w:hAnsi="Arial" w:cs="Arial"/>
                <w:b/>
                <w:bCs/>
                <w:color w:val="000000"/>
              </w:rPr>
            </w:pPr>
            <w:r>
              <w:rPr>
                <w:rFonts w:ascii="Arial" w:hAnsi="Arial" w:cs="Arial"/>
                <w:b/>
                <w:bCs/>
                <w:color w:val="000000"/>
              </w:rPr>
              <w:t xml:space="preserve">Rok </w:t>
            </w:r>
            <w:r w:rsidR="00EC73F4" w:rsidRPr="00EC73F4">
              <w:rPr>
                <w:rFonts w:ascii="Arial" w:hAnsi="Arial" w:cs="Arial"/>
                <w:b/>
                <w:bCs/>
                <w:color w:val="000000"/>
              </w:rPr>
              <w:t>2023</w:t>
            </w:r>
          </w:p>
        </w:tc>
      </w:tr>
      <w:tr w:rsidR="004E23FB" w:rsidRPr="00EC73F4" w14:paraId="71A1D60E" w14:textId="77777777" w:rsidTr="00B10B09">
        <w:trPr>
          <w:trHeight w:val="422"/>
          <w:jc w:val="center"/>
        </w:trPr>
        <w:tc>
          <w:tcPr>
            <w:tcW w:w="2830" w:type="dxa"/>
            <w:vMerge/>
            <w:tcBorders>
              <w:top w:val="single" w:sz="4" w:space="0" w:color="auto"/>
              <w:left w:val="single" w:sz="4" w:space="0" w:color="auto"/>
              <w:bottom w:val="single" w:sz="4" w:space="0" w:color="000000"/>
              <w:right w:val="single" w:sz="4" w:space="0" w:color="auto"/>
            </w:tcBorders>
            <w:vAlign w:val="center"/>
            <w:hideMark/>
          </w:tcPr>
          <w:p w14:paraId="064A0249" w14:textId="77777777" w:rsidR="00EC73F4" w:rsidRPr="00EC73F4" w:rsidRDefault="00EC73F4" w:rsidP="00EC73F4">
            <w:pPr>
              <w:rPr>
                <w:rFonts w:ascii="Arial" w:hAnsi="Arial" w:cs="Arial"/>
                <w:b/>
                <w:bCs/>
                <w:color w:val="000000"/>
              </w:rPr>
            </w:pPr>
          </w:p>
        </w:tc>
        <w:tc>
          <w:tcPr>
            <w:tcW w:w="1418" w:type="dxa"/>
            <w:tcBorders>
              <w:top w:val="nil"/>
              <w:left w:val="nil"/>
              <w:bottom w:val="single" w:sz="4" w:space="0" w:color="auto"/>
              <w:right w:val="single" w:sz="4" w:space="0" w:color="auto"/>
            </w:tcBorders>
            <w:shd w:val="clear" w:color="000000" w:fill="DDEBF7"/>
            <w:noWrap/>
            <w:vAlign w:val="center"/>
            <w:hideMark/>
          </w:tcPr>
          <w:p w14:paraId="60466483" w14:textId="77777777" w:rsidR="00EC73F4" w:rsidRPr="00EC73F4" w:rsidRDefault="00EC73F4" w:rsidP="00EC73F4">
            <w:pPr>
              <w:jc w:val="center"/>
              <w:rPr>
                <w:rFonts w:ascii="Arial" w:hAnsi="Arial" w:cs="Arial"/>
                <w:b/>
                <w:bCs/>
                <w:color w:val="000000"/>
              </w:rPr>
            </w:pPr>
            <w:r w:rsidRPr="00EC73F4">
              <w:rPr>
                <w:rFonts w:ascii="Arial" w:hAnsi="Arial" w:cs="Arial"/>
                <w:b/>
                <w:bCs/>
                <w:color w:val="000000"/>
              </w:rPr>
              <w:t>(n)</w:t>
            </w:r>
          </w:p>
        </w:tc>
        <w:tc>
          <w:tcPr>
            <w:tcW w:w="1417" w:type="dxa"/>
            <w:tcBorders>
              <w:top w:val="nil"/>
              <w:left w:val="nil"/>
              <w:bottom w:val="single" w:sz="4" w:space="0" w:color="auto"/>
              <w:right w:val="single" w:sz="4" w:space="0" w:color="auto"/>
            </w:tcBorders>
            <w:shd w:val="clear" w:color="000000" w:fill="DDEBF7"/>
            <w:noWrap/>
            <w:vAlign w:val="center"/>
            <w:hideMark/>
          </w:tcPr>
          <w:p w14:paraId="078AE610" w14:textId="77777777" w:rsidR="00EC73F4" w:rsidRPr="00EC73F4" w:rsidRDefault="00EC73F4" w:rsidP="00EC73F4">
            <w:pPr>
              <w:jc w:val="center"/>
              <w:rPr>
                <w:rFonts w:ascii="Arial" w:hAnsi="Arial" w:cs="Arial"/>
                <w:b/>
                <w:bCs/>
                <w:color w:val="000000"/>
              </w:rPr>
            </w:pPr>
            <w:r w:rsidRPr="00EC73F4">
              <w:rPr>
                <w:rFonts w:ascii="Arial" w:hAnsi="Arial" w:cs="Arial"/>
                <w:b/>
                <w:bCs/>
                <w:color w:val="000000"/>
              </w:rPr>
              <w:t>(%)</w:t>
            </w:r>
          </w:p>
        </w:tc>
        <w:tc>
          <w:tcPr>
            <w:tcW w:w="1560" w:type="dxa"/>
            <w:tcBorders>
              <w:top w:val="nil"/>
              <w:left w:val="nil"/>
              <w:bottom w:val="single" w:sz="4" w:space="0" w:color="auto"/>
              <w:right w:val="single" w:sz="4" w:space="0" w:color="auto"/>
            </w:tcBorders>
            <w:shd w:val="clear" w:color="000000" w:fill="DDEBF7"/>
            <w:noWrap/>
            <w:vAlign w:val="center"/>
            <w:hideMark/>
          </w:tcPr>
          <w:p w14:paraId="76A89993" w14:textId="77777777" w:rsidR="00EC73F4" w:rsidRPr="00EC73F4" w:rsidRDefault="00EC73F4" w:rsidP="00EC73F4">
            <w:pPr>
              <w:jc w:val="center"/>
              <w:rPr>
                <w:rFonts w:ascii="Arial" w:hAnsi="Arial" w:cs="Arial"/>
                <w:b/>
                <w:bCs/>
                <w:color w:val="000000"/>
              </w:rPr>
            </w:pPr>
            <w:r w:rsidRPr="00EC73F4">
              <w:rPr>
                <w:rFonts w:ascii="Arial" w:hAnsi="Arial" w:cs="Arial"/>
                <w:b/>
                <w:bCs/>
                <w:color w:val="000000"/>
              </w:rPr>
              <w:t>(n)</w:t>
            </w:r>
          </w:p>
        </w:tc>
        <w:tc>
          <w:tcPr>
            <w:tcW w:w="1531" w:type="dxa"/>
            <w:tcBorders>
              <w:top w:val="nil"/>
              <w:left w:val="nil"/>
              <w:bottom w:val="single" w:sz="4" w:space="0" w:color="auto"/>
              <w:right w:val="single" w:sz="4" w:space="0" w:color="auto"/>
            </w:tcBorders>
            <w:shd w:val="clear" w:color="000000" w:fill="DDEBF7"/>
            <w:noWrap/>
            <w:vAlign w:val="center"/>
            <w:hideMark/>
          </w:tcPr>
          <w:p w14:paraId="3D188B39" w14:textId="77777777" w:rsidR="00EC73F4" w:rsidRPr="00EC73F4" w:rsidRDefault="00EC73F4" w:rsidP="00EC73F4">
            <w:pPr>
              <w:jc w:val="center"/>
              <w:rPr>
                <w:rFonts w:ascii="Arial" w:hAnsi="Arial" w:cs="Arial"/>
                <w:b/>
                <w:bCs/>
                <w:color w:val="000000"/>
              </w:rPr>
            </w:pPr>
            <w:r w:rsidRPr="00EC73F4">
              <w:rPr>
                <w:rFonts w:ascii="Arial" w:hAnsi="Arial" w:cs="Arial"/>
                <w:b/>
                <w:bCs/>
                <w:color w:val="000000"/>
              </w:rPr>
              <w:t>(%)</w:t>
            </w:r>
          </w:p>
        </w:tc>
      </w:tr>
      <w:tr w:rsidR="004E23FB" w:rsidRPr="00EC73F4" w14:paraId="17EA93DB" w14:textId="77777777" w:rsidTr="00B10B09">
        <w:trPr>
          <w:trHeight w:val="422"/>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689DDACF" w14:textId="77777777" w:rsidR="00EC73F4" w:rsidRPr="00EC73F4" w:rsidRDefault="00EC73F4" w:rsidP="00EC73F4">
            <w:pPr>
              <w:jc w:val="center"/>
              <w:rPr>
                <w:rFonts w:ascii="Arial" w:hAnsi="Arial" w:cs="Arial"/>
                <w:color w:val="000000"/>
              </w:rPr>
            </w:pPr>
            <w:r w:rsidRPr="00EC73F4">
              <w:rPr>
                <w:rFonts w:ascii="Arial" w:hAnsi="Arial" w:cs="Arial"/>
                <w:color w:val="000000"/>
              </w:rPr>
              <w:t>ANO</w:t>
            </w:r>
          </w:p>
        </w:tc>
        <w:tc>
          <w:tcPr>
            <w:tcW w:w="1418" w:type="dxa"/>
            <w:tcBorders>
              <w:top w:val="nil"/>
              <w:left w:val="nil"/>
              <w:bottom w:val="single" w:sz="4" w:space="0" w:color="auto"/>
              <w:right w:val="single" w:sz="4" w:space="0" w:color="auto"/>
            </w:tcBorders>
            <w:shd w:val="clear" w:color="auto" w:fill="auto"/>
            <w:noWrap/>
            <w:vAlign w:val="center"/>
            <w:hideMark/>
          </w:tcPr>
          <w:p w14:paraId="0AE01DA1" w14:textId="77777777" w:rsidR="00EC73F4" w:rsidRPr="00EC73F4" w:rsidRDefault="00EC73F4" w:rsidP="00EC73F4">
            <w:pPr>
              <w:jc w:val="center"/>
              <w:rPr>
                <w:rFonts w:ascii="Arial" w:hAnsi="Arial" w:cs="Arial"/>
                <w:color w:val="000000"/>
              </w:rPr>
            </w:pPr>
            <w:r w:rsidRPr="00EC73F4">
              <w:rPr>
                <w:rFonts w:ascii="Arial" w:hAnsi="Arial" w:cs="Arial"/>
                <w:color w:val="000000"/>
              </w:rPr>
              <w:t>468</w:t>
            </w:r>
          </w:p>
        </w:tc>
        <w:tc>
          <w:tcPr>
            <w:tcW w:w="1417" w:type="dxa"/>
            <w:tcBorders>
              <w:top w:val="nil"/>
              <w:left w:val="nil"/>
              <w:bottom w:val="single" w:sz="4" w:space="0" w:color="auto"/>
              <w:right w:val="single" w:sz="4" w:space="0" w:color="auto"/>
            </w:tcBorders>
            <w:shd w:val="clear" w:color="auto" w:fill="auto"/>
            <w:noWrap/>
            <w:vAlign w:val="center"/>
            <w:hideMark/>
          </w:tcPr>
          <w:p w14:paraId="52DD6894" w14:textId="3E7171DF" w:rsidR="00EC73F4" w:rsidRPr="00EC73F4" w:rsidRDefault="00EC73F4" w:rsidP="00EC73F4">
            <w:pPr>
              <w:jc w:val="center"/>
              <w:rPr>
                <w:rFonts w:ascii="Arial" w:hAnsi="Arial" w:cs="Arial"/>
                <w:color w:val="000000"/>
              </w:rPr>
            </w:pPr>
            <w:r w:rsidRPr="00EC73F4">
              <w:rPr>
                <w:rFonts w:ascii="Arial" w:hAnsi="Arial" w:cs="Arial"/>
                <w:color w:val="000000"/>
              </w:rPr>
              <w:t>91,94</w:t>
            </w:r>
          </w:p>
        </w:tc>
        <w:tc>
          <w:tcPr>
            <w:tcW w:w="1560" w:type="dxa"/>
            <w:tcBorders>
              <w:top w:val="nil"/>
              <w:left w:val="nil"/>
              <w:bottom w:val="single" w:sz="4" w:space="0" w:color="auto"/>
              <w:right w:val="single" w:sz="4" w:space="0" w:color="auto"/>
            </w:tcBorders>
            <w:shd w:val="clear" w:color="auto" w:fill="auto"/>
            <w:noWrap/>
            <w:vAlign w:val="center"/>
            <w:hideMark/>
          </w:tcPr>
          <w:p w14:paraId="1301CD5C" w14:textId="77777777" w:rsidR="00EC73F4" w:rsidRPr="00EC73F4" w:rsidRDefault="00EC73F4" w:rsidP="00EC73F4">
            <w:pPr>
              <w:jc w:val="center"/>
              <w:rPr>
                <w:rFonts w:ascii="Arial" w:hAnsi="Arial" w:cs="Arial"/>
                <w:color w:val="000000"/>
              </w:rPr>
            </w:pPr>
            <w:r w:rsidRPr="00EC73F4">
              <w:rPr>
                <w:rFonts w:ascii="Arial" w:hAnsi="Arial" w:cs="Arial"/>
                <w:color w:val="000000"/>
              </w:rPr>
              <w:t>530</w:t>
            </w:r>
          </w:p>
        </w:tc>
        <w:tc>
          <w:tcPr>
            <w:tcW w:w="1531" w:type="dxa"/>
            <w:tcBorders>
              <w:top w:val="nil"/>
              <w:left w:val="nil"/>
              <w:bottom w:val="single" w:sz="4" w:space="0" w:color="auto"/>
              <w:right w:val="single" w:sz="4" w:space="0" w:color="auto"/>
            </w:tcBorders>
            <w:shd w:val="clear" w:color="auto" w:fill="auto"/>
            <w:noWrap/>
            <w:vAlign w:val="center"/>
            <w:hideMark/>
          </w:tcPr>
          <w:p w14:paraId="473002DC" w14:textId="5ED96A80" w:rsidR="00EC73F4" w:rsidRPr="00EC73F4" w:rsidRDefault="00EC73F4" w:rsidP="00EC73F4">
            <w:pPr>
              <w:jc w:val="center"/>
              <w:rPr>
                <w:rFonts w:ascii="Arial" w:hAnsi="Arial" w:cs="Arial"/>
                <w:color w:val="000000"/>
              </w:rPr>
            </w:pPr>
            <w:r w:rsidRPr="00EC73F4">
              <w:rPr>
                <w:rFonts w:ascii="Arial" w:hAnsi="Arial" w:cs="Arial"/>
                <w:color w:val="000000"/>
              </w:rPr>
              <w:t>88,63</w:t>
            </w:r>
          </w:p>
        </w:tc>
      </w:tr>
      <w:tr w:rsidR="004E23FB" w:rsidRPr="00EC73F4" w14:paraId="00592F20" w14:textId="77777777" w:rsidTr="00B10B09">
        <w:trPr>
          <w:trHeight w:val="422"/>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1D36FB8C" w14:textId="77777777" w:rsidR="00EC73F4" w:rsidRPr="00EC73F4" w:rsidRDefault="00EC73F4" w:rsidP="00EC73F4">
            <w:pPr>
              <w:jc w:val="center"/>
              <w:rPr>
                <w:rFonts w:ascii="Arial" w:hAnsi="Arial" w:cs="Arial"/>
                <w:color w:val="000000"/>
              </w:rPr>
            </w:pPr>
            <w:r w:rsidRPr="00EC73F4">
              <w:rPr>
                <w:rFonts w:ascii="Arial" w:hAnsi="Arial" w:cs="Arial"/>
                <w:color w:val="000000"/>
              </w:rPr>
              <w:t>NE</w:t>
            </w:r>
          </w:p>
        </w:tc>
        <w:tc>
          <w:tcPr>
            <w:tcW w:w="1418" w:type="dxa"/>
            <w:tcBorders>
              <w:top w:val="nil"/>
              <w:left w:val="nil"/>
              <w:bottom w:val="single" w:sz="4" w:space="0" w:color="auto"/>
              <w:right w:val="single" w:sz="4" w:space="0" w:color="auto"/>
            </w:tcBorders>
            <w:shd w:val="clear" w:color="auto" w:fill="auto"/>
            <w:noWrap/>
            <w:vAlign w:val="center"/>
            <w:hideMark/>
          </w:tcPr>
          <w:p w14:paraId="615CEC2B" w14:textId="77777777" w:rsidR="00EC73F4" w:rsidRPr="00EC73F4" w:rsidRDefault="00EC73F4" w:rsidP="00EC73F4">
            <w:pPr>
              <w:jc w:val="center"/>
              <w:rPr>
                <w:rFonts w:ascii="Arial" w:hAnsi="Arial" w:cs="Arial"/>
                <w:color w:val="000000"/>
              </w:rPr>
            </w:pPr>
            <w:r w:rsidRPr="00EC73F4">
              <w:rPr>
                <w:rFonts w:ascii="Arial" w:hAnsi="Arial" w:cs="Arial"/>
                <w:color w:val="000000"/>
              </w:rPr>
              <w:t>41</w:t>
            </w:r>
          </w:p>
        </w:tc>
        <w:tc>
          <w:tcPr>
            <w:tcW w:w="1417" w:type="dxa"/>
            <w:tcBorders>
              <w:top w:val="nil"/>
              <w:left w:val="nil"/>
              <w:bottom w:val="single" w:sz="4" w:space="0" w:color="auto"/>
              <w:right w:val="single" w:sz="4" w:space="0" w:color="auto"/>
            </w:tcBorders>
            <w:shd w:val="clear" w:color="auto" w:fill="auto"/>
            <w:noWrap/>
            <w:vAlign w:val="center"/>
            <w:hideMark/>
          </w:tcPr>
          <w:p w14:paraId="44DD244F" w14:textId="0033F86F" w:rsidR="00EC73F4" w:rsidRPr="00EC73F4" w:rsidRDefault="00EC73F4" w:rsidP="00EC73F4">
            <w:pPr>
              <w:jc w:val="center"/>
              <w:rPr>
                <w:rFonts w:ascii="Arial" w:hAnsi="Arial" w:cs="Arial"/>
                <w:color w:val="000000"/>
              </w:rPr>
            </w:pPr>
            <w:r w:rsidRPr="00EC73F4">
              <w:rPr>
                <w:rFonts w:ascii="Arial" w:hAnsi="Arial" w:cs="Arial"/>
                <w:color w:val="000000"/>
              </w:rPr>
              <w:t>8,06</w:t>
            </w:r>
          </w:p>
        </w:tc>
        <w:tc>
          <w:tcPr>
            <w:tcW w:w="1560" w:type="dxa"/>
            <w:tcBorders>
              <w:top w:val="nil"/>
              <w:left w:val="nil"/>
              <w:bottom w:val="single" w:sz="4" w:space="0" w:color="auto"/>
              <w:right w:val="single" w:sz="4" w:space="0" w:color="auto"/>
            </w:tcBorders>
            <w:shd w:val="clear" w:color="auto" w:fill="auto"/>
            <w:noWrap/>
            <w:vAlign w:val="center"/>
            <w:hideMark/>
          </w:tcPr>
          <w:p w14:paraId="72C6B9BF" w14:textId="77777777" w:rsidR="00EC73F4" w:rsidRPr="00EC73F4" w:rsidRDefault="00EC73F4" w:rsidP="00EC73F4">
            <w:pPr>
              <w:jc w:val="center"/>
              <w:rPr>
                <w:rFonts w:ascii="Arial" w:hAnsi="Arial" w:cs="Arial"/>
                <w:color w:val="000000"/>
              </w:rPr>
            </w:pPr>
            <w:r w:rsidRPr="00EC73F4">
              <w:rPr>
                <w:rFonts w:ascii="Arial" w:hAnsi="Arial" w:cs="Arial"/>
                <w:color w:val="000000"/>
              </w:rPr>
              <w:t>68</w:t>
            </w:r>
          </w:p>
        </w:tc>
        <w:tc>
          <w:tcPr>
            <w:tcW w:w="1531" w:type="dxa"/>
            <w:tcBorders>
              <w:top w:val="nil"/>
              <w:left w:val="nil"/>
              <w:bottom w:val="single" w:sz="4" w:space="0" w:color="auto"/>
              <w:right w:val="single" w:sz="4" w:space="0" w:color="auto"/>
            </w:tcBorders>
            <w:shd w:val="clear" w:color="auto" w:fill="auto"/>
            <w:noWrap/>
            <w:vAlign w:val="center"/>
            <w:hideMark/>
          </w:tcPr>
          <w:p w14:paraId="4CD0C66D" w14:textId="2E046896" w:rsidR="00EC73F4" w:rsidRPr="00EC73F4" w:rsidRDefault="00EC73F4" w:rsidP="00EC73F4">
            <w:pPr>
              <w:jc w:val="center"/>
              <w:rPr>
                <w:rFonts w:ascii="Arial" w:hAnsi="Arial" w:cs="Arial"/>
                <w:color w:val="000000"/>
              </w:rPr>
            </w:pPr>
            <w:r w:rsidRPr="00EC73F4">
              <w:rPr>
                <w:rFonts w:ascii="Arial" w:hAnsi="Arial" w:cs="Arial"/>
                <w:color w:val="000000"/>
              </w:rPr>
              <w:t>11,37</w:t>
            </w:r>
          </w:p>
        </w:tc>
      </w:tr>
      <w:tr w:rsidR="004E23FB" w:rsidRPr="00EC73F4" w14:paraId="1B4B83C5" w14:textId="77777777" w:rsidTr="00B10B09">
        <w:trPr>
          <w:trHeight w:val="422"/>
          <w:jc w:val="center"/>
        </w:trPr>
        <w:tc>
          <w:tcPr>
            <w:tcW w:w="2830" w:type="dxa"/>
            <w:tcBorders>
              <w:top w:val="nil"/>
              <w:left w:val="single" w:sz="4" w:space="0" w:color="auto"/>
              <w:bottom w:val="single" w:sz="4" w:space="0" w:color="auto"/>
              <w:right w:val="single" w:sz="4" w:space="0" w:color="auto"/>
            </w:tcBorders>
            <w:shd w:val="clear" w:color="000000" w:fill="DDEBF7"/>
            <w:noWrap/>
            <w:vAlign w:val="center"/>
            <w:hideMark/>
          </w:tcPr>
          <w:p w14:paraId="787184D6" w14:textId="77777777" w:rsidR="00EC73F4" w:rsidRPr="00EC73F4" w:rsidRDefault="00EC73F4" w:rsidP="00EC73F4">
            <w:pPr>
              <w:jc w:val="center"/>
              <w:rPr>
                <w:rFonts w:ascii="Arial" w:hAnsi="Arial" w:cs="Arial"/>
                <w:b/>
                <w:bCs/>
                <w:color w:val="000000"/>
              </w:rPr>
            </w:pPr>
            <w:r w:rsidRPr="00EC73F4">
              <w:rPr>
                <w:rFonts w:ascii="Arial" w:hAnsi="Arial" w:cs="Arial"/>
                <w:b/>
                <w:bCs/>
                <w:color w:val="000000"/>
              </w:rPr>
              <w:t>Celkový součet</w:t>
            </w:r>
          </w:p>
        </w:tc>
        <w:tc>
          <w:tcPr>
            <w:tcW w:w="1418" w:type="dxa"/>
            <w:tcBorders>
              <w:top w:val="nil"/>
              <w:left w:val="nil"/>
              <w:bottom w:val="single" w:sz="4" w:space="0" w:color="auto"/>
              <w:right w:val="single" w:sz="4" w:space="0" w:color="auto"/>
            </w:tcBorders>
            <w:shd w:val="clear" w:color="000000" w:fill="DDEBF7"/>
            <w:noWrap/>
            <w:vAlign w:val="center"/>
            <w:hideMark/>
          </w:tcPr>
          <w:p w14:paraId="3601F803" w14:textId="77777777" w:rsidR="00EC73F4" w:rsidRPr="00EC73F4" w:rsidRDefault="00EC73F4" w:rsidP="00EC73F4">
            <w:pPr>
              <w:jc w:val="center"/>
              <w:rPr>
                <w:rFonts w:ascii="Arial" w:hAnsi="Arial" w:cs="Arial"/>
                <w:b/>
                <w:bCs/>
                <w:color w:val="000000"/>
              </w:rPr>
            </w:pPr>
            <w:r w:rsidRPr="00EC73F4">
              <w:rPr>
                <w:rFonts w:ascii="Arial" w:hAnsi="Arial" w:cs="Arial"/>
                <w:b/>
                <w:bCs/>
                <w:color w:val="000000"/>
              </w:rPr>
              <w:t>509</w:t>
            </w:r>
          </w:p>
        </w:tc>
        <w:tc>
          <w:tcPr>
            <w:tcW w:w="1417" w:type="dxa"/>
            <w:tcBorders>
              <w:top w:val="nil"/>
              <w:left w:val="nil"/>
              <w:bottom w:val="single" w:sz="4" w:space="0" w:color="auto"/>
              <w:right w:val="single" w:sz="4" w:space="0" w:color="auto"/>
            </w:tcBorders>
            <w:shd w:val="clear" w:color="000000" w:fill="DDEBF7"/>
            <w:noWrap/>
            <w:vAlign w:val="center"/>
            <w:hideMark/>
          </w:tcPr>
          <w:p w14:paraId="04944D1B" w14:textId="452121C2" w:rsidR="00EC73F4" w:rsidRPr="00EC73F4" w:rsidRDefault="00EC73F4" w:rsidP="00EC73F4">
            <w:pPr>
              <w:jc w:val="center"/>
              <w:rPr>
                <w:rFonts w:ascii="Arial" w:hAnsi="Arial" w:cs="Arial"/>
                <w:b/>
                <w:bCs/>
                <w:color w:val="000000"/>
              </w:rPr>
            </w:pPr>
            <w:r w:rsidRPr="00EC73F4">
              <w:rPr>
                <w:rFonts w:ascii="Arial" w:hAnsi="Arial" w:cs="Arial"/>
                <w:b/>
                <w:bCs/>
                <w:color w:val="000000"/>
              </w:rPr>
              <w:t>100,00</w:t>
            </w:r>
          </w:p>
        </w:tc>
        <w:tc>
          <w:tcPr>
            <w:tcW w:w="1560" w:type="dxa"/>
            <w:tcBorders>
              <w:top w:val="nil"/>
              <w:left w:val="nil"/>
              <w:bottom w:val="single" w:sz="4" w:space="0" w:color="auto"/>
              <w:right w:val="single" w:sz="4" w:space="0" w:color="auto"/>
            </w:tcBorders>
            <w:shd w:val="clear" w:color="000000" w:fill="DDEBF7"/>
            <w:noWrap/>
            <w:vAlign w:val="center"/>
            <w:hideMark/>
          </w:tcPr>
          <w:p w14:paraId="485EB942" w14:textId="77777777" w:rsidR="00EC73F4" w:rsidRPr="00EC73F4" w:rsidRDefault="00EC73F4" w:rsidP="00EC73F4">
            <w:pPr>
              <w:jc w:val="center"/>
              <w:rPr>
                <w:rFonts w:ascii="Arial" w:hAnsi="Arial" w:cs="Arial"/>
                <w:b/>
                <w:bCs/>
                <w:color w:val="000000"/>
              </w:rPr>
            </w:pPr>
            <w:r w:rsidRPr="00EC73F4">
              <w:rPr>
                <w:rFonts w:ascii="Arial" w:hAnsi="Arial" w:cs="Arial"/>
                <w:b/>
                <w:bCs/>
                <w:color w:val="000000"/>
              </w:rPr>
              <w:t>598</w:t>
            </w:r>
          </w:p>
        </w:tc>
        <w:tc>
          <w:tcPr>
            <w:tcW w:w="1531" w:type="dxa"/>
            <w:tcBorders>
              <w:top w:val="nil"/>
              <w:left w:val="nil"/>
              <w:bottom w:val="single" w:sz="4" w:space="0" w:color="auto"/>
              <w:right w:val="single" w:sz="4" w:space="0" w:color="auto"/>
            </w:tcBorders>
            <w:shd w:val="clear" w:color="000000" w:fill="DDEBF7"/>
            <w:noWrap/>
            <w:vAlign w:val="center"/>
            <w:hideMark/>
          </w:tcPr>
          <w:p w14:paraId="74F5F882" w14:textId="7E26A401" w:rsidR="00EC73F4" w:rsidRPr="00EC73F4" w:rsidRDefault="00EC73F4" w:rsidP="00EC73F4">
            <w:pPr>
              <w:jc w:val="center"/>
              <w:rPr>
                <w:rFonts w:ascii="Arial" w:hAnsi="Arial" w:cs="Arial"/>
                <w:b/>
                <w:bCs/>
                <w:color w:val="000000"/>
              </w:rPr>
            </w:pPr>
            <w:r w:rsidRPr="00EC73F4">
              <w:rPr>
                <w:rFonts w:ascii="Arial" w:hAnsi="Arial" w:cs="Arial"/>
                <w:b/>
                <w:bCs/>
                <w:color w:val="000000"/>
              </w:rPr>
              <w:t>100,00</w:t>
            </w:r>
          </w:p>
        </w:tc>
      </w:tr>
    </w:tbl>
    <w:p w14:paraId="5383451D" w14:textId="77777777" w:rsidR="005F29CC" w:rsidRDefault="005F29CC" w:rsidP="008A44B9">
      <w:pPr>
        <w:pStyle w:val="Popisobrzku"/>
      </w:pPr>
    </w:p>
    <w:p w14:paraId="08E787E4" w14:textId="319C16EF" w:rsidR="009843C7" w:rsidRPr="008A44B9" w:rsidRDefault="004F467F" w:rsidP="005F29CC">
      <w:pPr>
        <w:pStyle w:val="Dalodstavce"/>
        <w:ind w:firstLine="0"/>
      </w:pPr>
      <w:r w:rsidRPr="008A44B9">
        <w:t>V obou sledovaných</w:t>
      </w:r>
      <w:r w:rsidR="00B56019" w:rsidRPr="008A44B9">
        <w:t xml:space="preserve"> ročnících výrazně převažovali pacienti</w:t>
      </w:r>
      <w:r w:rsidR="00150F2C" w:rsidRPr="008A44B9">
        <w:t>, kteří se na NUP FN Brno dostavili s doporučením k</w:t>
      </w:r>
      <w:r w:rsidR="00556C12" w:rsidRPr="008A44B9">
        <w:t> </w:t>
      </w:r>
      <w:r w:rsidR="00150F2C" w:rsidRPr="008A44B9">
        <w:t>ošetření</w:t>
      </w:r>
      <w:r w:rsidR="00556C12" w:rsidRPr="008A44B9">
        <w:t xml:space="preserve"> (viz Tabulka</w:t>
      </w:r>
      <w:r w:rsidR="00F876AD" w:rsidRPr="008A44B9">
        <w:t xml:space="preserve"> </w:t>
      </w:r>
      <w:r w:rsidR="00047AC8">
        <w:t>11</w:t>
      </w:r>
      <w:r w:rsidR="00556C12" w:rsidRPr="008A44B9">
        <w:t>)</w:t>
      </w:r>
      <w:r w:rsidR="00C21FB9" w:rsidRPr="008A44B9">
        <w:t>.</w:t>
      </w:r>
      <w:r w:rsidR="00655D2D">
        <w:t xml:space="preserve"> </w:t>
      </w:r>
      <w:r w:rsidR="00C050E6" w:rsidRPr="00C050E6">
        <w:t>Doporučení zpravidla vystavili registrující praktičtí lékaři</w:t>
      </w:r>
      <w:r w:rsidR="0067228F">
        <w:t>, ambulantní specialisté</w:t>
      </w:r>
      <w:r w:rsidR="00C050E6" w:rsidRPr="00C050E6">
        <w:t xml:space="preserve"> či jiná zdravotnická zařízení. Z hlediska statistiky oddělení se však za doporučení k</w:t>
      </w:r>
      <w:r w:rsidR="0067228F">
        <w:t> </w:t>
      </w:r>
      <w:r w:rsidR="00C050E6" w:rsidRPr="00C050E6">
        <w:t>ošetření považuje také přivezení pacienta zdravotnickou záchrannou službou</w:t>
      </w:r>
      <w:r w:rsidR="004359F8">
        <w:t xml:space="preserve"> a</w:t>
      </w:r>
      <w:r w:rsidR="00C050E6" w:rsidRPr="00C050E6">
        <w:t xml:space="preserve"> konzilium či předání z</w:t>
      </w:r>
      <w:r w:rsidR="0067228F">
        <w:t> </w:t>
      </w:r>
      <w:r w:rsidR="00C050E6" w:rsidRPr="00C050E6">
        <w:t>jiné ambulance FN</w:t>
      </w:r>
      <w:r w:rsidR="005F29CC">
        <w:t> </w:t>
      </w:r>
      <w:r w:rsidR="00C050E6" w:rsidRPr="00C050E6">
        <w:t>Brno. Z</w:t>
      </w:r>
      <w:r w:rsidR="00655D2D">
        <w:t> </w:t>
      </w:r>
      <w:r w:rsidR="00C050E6" w:rsidRPr="00C050E6">
        <w:t xml:space="preserve">těchto důvodů je tato charakteristika značně zkreslená a nemá pro další analýzy vypovídající hodnotu. </w:t>
      </w:r>
      <w:r w:rsidR="0024529D">
        <w:t>Doporučení k ošetření</w:t>
      </w:r>
      <w:r w:rsidR="00C050E6" w:rsidRPr="00C050E6">
        <w:t xml:space="preserve"> tedy slouž</w:t>
      </w:r>
      <w:r w:rsidR="0024529D">
        <w:t>ilo</w:t>
      </w:r>
      <w:r w:rsidR="00C050E6" w:rsidRPr="00C050E6">
        <w:t xml:space="preserve"> pouze k představení výzkumného souboru pacientů ve věku 75 a více let.</w:t>
      </w:r>
      <w:r w:rsidR="00627724" w:rsidRPr="00627724">
        <w:t xml:space="preserve"> Mezi roky</w:t>
      </w:r>
      <w:r w:rsidR="006561B8">
        <w:t xml:space="preserve"> </w:t>
      </w:r>
      <w:r w:rsidR="003077F0">
        <w:t xml:space="preserve">2019 a 2023 </w:t>
      </w:r>
      <w:r w:rsidR="00627724" w:rsidRPr="00627724">
        <w:t>nebyly zjištěny statisticky významné rozdíly v</w:t>
      </w:r>
      <w:r w:rsidR="00627724">
        <w:t> doporučení k ošetření na NUP</w:t>
      </w:r>
      <w:r w:rsidR="00627724" w:rsidRPr="00627724">
        <w:t>.</w:t>
      </w:r>
    </w:p>
    <w:p w14:paraId="226BB070" w14:textId="77777777" w:rsidR="009F5C5F" w:rsidRPr="009F5C5F" w:rsidRDefault="009F5C5F" w:rsidP="009F5C5F">
      <w:pPr>
        <w:pStyle w:val="Odstavec1"/>
        <w:rPr>
          <w:lang w:eastAsia="sk-SK"/>
        </w:rPr>
      </w:pPr>
    </w:p>
    <w:p w14:paraId="454866C6" w14:textId="6C8EF3FB" w:rsidR="009F5C5F" w:rsidRPr="00EE22D1" w:rsidRDefault="009F5C5F" w:rsidP="009F5C5F">
      <w:pPr>
        <w:pStyle w:val="Titulektabulky"/>
      </w:pPr>
      <w:bookmarkStart w:id="45" w:name="_Toc195517137"/>
      <w:r>
        <w:t xml:space="preserve">Tab. </w:t>
      </w:r>
      <w:fldSimple w:instr=" SEQ Tab. \* ARABIC ">
        <w:r w:rsidR="0022490D">
          <w:rPr>
            <w:noProof/>
          </w:rPr>
          <w:t>12</w:t>
        </w:r>
      </w:fldSimple>
      <w:r>
        <w:t xml:space="preserve">: </w:t>
      </w:r>
      <w:r w:rsidR="00A72991">
        <w:t xml:space="preserve">Ošetřující ambulance NUP FN Brno </w:t>
      </w:r>
      <w:r w:rsidR="005667A2">
        <w:t xml:space="preserve">u </w:t>
      </w:r>
      <w:r w:rsidR="00A72991">
        <w:t>pacient</w:t>
      </w:r>
      <w:r w:rsidR="003A7FE2">
        <w:t>ů</w:t>
      </w:r>
      <w:r w:rsidR="00A72991">
        <w:t xml:space="preserve"> ve věkové kategorii 75 a </w:t>
      </w:r>
      <w:r w:rsidR="00D74D95">
        <w:t>v</w:t>
      </w:r>
      <w:r w:rsidR="00A72991">
        <w:t>íce</w:t>
      </w:r>
      <w:r w:rsidR="00B33932">
        <w:t xml:space="preserve"> let</w:t>
      </w:r>
      <w:bookmarkEnd w:id="45"/>
    </w:p>
    <w:tbl>
      <w:tblPr>
        <w:tblW w:w="8784" w:type="dxa"/>
        <w:jc w:val="center"/>
        <w:tblLayout w:type="fixed"/>
        <w:tblCellMar>
          <w:left w:w="70" w:type="dxa"/>
          <w:right w:w="70" w:type="dxa"/>
        </w:tblCellMar>
        <w:tblLook w:val="04A0" w:firstRow="1" w:lastRow="0" w:firstColumn="1" w:lastColumn="0" w:noHBand="0" w:noVBand="1"/>
      </w:tblPr>
      <w:tblGrid>
        <w:gridCol w:w="2547"/>
        <w:gridCol w:w="1559"/>
        <w:gridCol w:w="1559"/>
        <w:gridCol w:w="1560"/>
        <w:gridCol w:w="1559"/>
      </w:tblGrid>
      <w:tr w:rsidR="00CB3000" w:rsidRPr="003A7FE2" w14:paraId="5BACE334" w14:textId="77777777" w:rsidTr="00EE3D9A">
        <w:trPr>
          <w:trHeight w:val="425"/>
          <w:tblHeader/>
          <w:jc w:val="center"/>
        </w:trPr>
        <w:tc>
          <w:tcPr>
            <w:tcW w:w="2547" w:type="dxa"/>
            <w:vMerge w:val="restart"/>
            <w:tcBorders>
              <w:top w:val="single" w:sz="4" w:space="0" w:color="auto"/>
              <w:left w:val="single" w:sz="4" w:space="0" w:color="auto"/>
              <w:bottom w:val="single" w:sz="4" w:space="0" w:color="000000"/>
              <w:right w:val="single" w:sz="4" w:space="0" w:color="auto"/>
            </w:tcBorders>
            <w:shd w:val="clear" w:color="000000" w:fill="DDEBF7"/>
            <w:vAlign w:val="center"/>
            <w:hideMark/>
          </w:tcPr>
          <w:p w14:paraId="277AB47C" w14:textId="77777777" w:rsidR="003A7FE2" w:rsidRPr="003A7FE2" w:rsidRDefault="003A7FE2" w:rsidP="003A7FE2">
            <w:pPr>
              <w:jc w:val="center"/>
              <w:rPr>
                <w:rFonts w:ascii="Arial" w:hAnsi="Arial" w:cs="Arial"/>
                <w:b/>
                <w:bCs/>
                <w:color w:val="000000"/>
              </w:rPr>
            </w:pPr>
            <w:r w:rsidRPr="003A7FE2">
              <w:rPr>
                <w:rFonts w:ascii="Arial" w:hAnsi="Arial" w:cs="Arial"/>
                <w:b/>
                <w:bCs/>
                <w:color w:val="000000"/>
              </w:rPr>
              <w:t>Ambulance</w:t>
            </w:r>
          </w:p>
        </w:tc>
        <w:tc>
          <w:tcPr>
            <w:tcW w:w="3118" w:type="dxa"/>
            <w:gridSpan w:val="2"/>
            <w:tcBorders>
              <w:top w:val="single" w:sz="4" w:space="0" w:color="auto"/>
              <w:left w:val="nil"/>
              <w:bottom w:val="single" w:sz="4" w:space="0" w:color="auto"/>
              <w:right w:val="single" w:sz="4" w:space="0" w:color="000000"/>
            </w:tcBorders>
            <w:shd w:val="clear" w:color="000000" w:fill="DDEBF7"/>
            <w:vAlign w:val="center"/>
            <w:hideMark/>
          </w:tcPr>
          <w:p w14:paraId="296AC46D" w14:textId="011BC7C3" w:rsidR="003A7FE2" w:rsidRPr="003A7FE2" w:rsidRDefault="00373934" w:rsidP="003A7FE2">
            <w:pPr>
              <w:jc w:val="center"/>
              <w:rPr>
                <w:rFonts w:ascii="Arial" w:hAnsi="Arial" w:cs="Arial"/>
                <w:b/>
                <w:bCs/>
                <w:color w:val="000000"/>
              </w:rPr>
            </w:pPr>
            <w:r>
              <w:rPr>
                <w:rFonts w:ascii="Arial" w:hAnsi="Arial" w:cs="Arial"/>
                <w:b/>
                <w:bCs/>
                <w:color w:val="000000"/>
              </w:rPr>
              <w:t xml:space="preserve">Rok </w:t>
            </w:r>
            <w:r w:rsidR="003A7FE2" w:rsidRPr="003A7FE2">
              <w:rPr>
                <w:rFonts w:ascii="Arial" w:hAnsi="Arial" w:cs="Arial"/>
                <w:b/>
                <w:bCs/>
                <w:color w:val="000000"/>
              </w:rPr>
              <w:t>2019</w:t>
            </w:r>
          </w:p>
        </w:tc>
        <w:tc>
          <w:tcPr>
            <w:tcW w:w="3119" w:type="dxa"/>
            <w:gridSpan w:val="2"/>
            <w:tcBorders>
              <w:top w:val="single" w:sz="4" w:space="0" w:color="auto"/>
              <w:left w:val="nil"/>
              <w:bottom w:val="single" w:sz="4" w:space="0" w:color="auto"/>
              <w:right w:val="single" w:sz="4" w:space="0" w:color="000000"/>
            </w:tcBorders>
            <w:shd w:val="clear" w:color="000000" w:fill="DDEBF7"/>
            <w:vAlign w:val="center"/>
            <w:hideMark/>
          </w:tcPr>
          <w:p w14:paraId="7FFE5918" w14:textId="62315DDB" w:rsidR="003A7FE2" w:rsidRPr="003A7FE2" w:rsidRDefault="00373934" w:rsidP="003A7FE2">
            <w:pPr>
              <w:jc w:val="center"/>
              <w:rPr>
                <w:rFonts w:ascii="Arial" w:hAnsi="Arial" w:cs="Arial"/>
                <w:b/>
                <w:bCs/>
                <w:color w:val="000000"/>
              </w:rPr>
            </w:pPr>
            <w:r>
              <w:rPr>
                <w:rFonts w:ascii="Arial" w:hAnsi="Arial" w:cs="Arial"/>
                <w:b/>
                <w:bCs/>
                <w:color w:val="000000"/>
              </w:rPr>
              <w:t xml:space="preserve">Rok </w:t>
            </w:r>
            <w:r w:rsidR="003A7FE2" w:rsidRPr="003A7FE2">
              <w:rPr>
                <w:rFonts w:ascii="Arial" w:hAnsi="Arial" w:cs="Arial"/>
                <w:b/>
                <w:bCs/>
                <w:color w:val="000000"/>
              </w:rPr>
              <w:t>2023</w:t>
            </w:r>
          </w:p>
        </w:tc>
      </w:tr>
      <w:tr w:rsidR="00CB3000" w:rsidRPr="003A7FE2" w14:paraId="0F7CCA88" w14:textId="77777777" w:rsidTr="00EE3D9A">
        <w:trPr>
          <w:trHeight w:val="418"/>
          <w:tblHeader/>
          <w:jc w:val="center"/>
        </w:trPr>
        <w:tc>
          <w:tcPr>
            <w:tcW w:w="2547" w:type="dxa"/>
            <w:vMerge/>
            <w:tcBorders>
              <w:top w:val="single" w:sz="4" w:space="0" w:color="auto"/>
              <w:left w:val="single" w:sz="4" w:space="0" w:color="auto"/>
              <w:bottom w:val="single" w:sz="4" w:space="0" w:color="000000"/>
              <w:right w:val="single" w:sz="4" w:space="0" w:color="auto"/>
            </w:tcBorders>
            <w:vAlign w:val="center"/>
            <w:hideMark/>
          </w:tcPr>
          <w:p w14:paraId="12953AE7" w14:textId="77777777" w:rsidR="003A7FE2" w:rsidRPr="003A7FE2" w:rsidRDefault="003A7FE2" w:rsidP="003A7FE2">
            <w:pPr>
              <w:rPr>
                <w:rFonts w:ascii="Arial" w:hAnsi="Arial" w:cs="Arial"/>
                <w:b/>
                <w:bCs/>
                <w:color w:val="000000"/>
              </w:rPr>
            </w:pPr>
          </w:p>
        </w:tc>
        <w:tc>
          <w:tcPr>
            <w:tcW w:w="1559" w:type="dxa"/>
            <w:tcBorders>
              <w:top w:val="nil"/>
              <w:left w:val="nil"/>
              <w:bottom w:val="single" w:sz="4" w:space="0" w:color="auto"/>
              <w:right w:val="single" w:sz="4" w:space="0" w:color="auto"/>
            </w:tcBorders>
            <w:shd w:val="clear" w:color="000000" w:fill="DDEBF7"/>
            <w:vAlign w:val="center"/>
            <w:hideMark/>
          </w:tcPr>
          <w:p w14:paraId="020170CF" w14:textId="77777777" w:rsidR="003A7FE2" w:rsidRPr="003A7FE2" w:rsidRDefault="003A7FE2" w:rsidP="003A7FE2">
            <w:pPr>
              <w:jc w:val="center"/>
              <w:rPr>
                <w:rFonts w:ascii="Arial" w:hAnsi="Arial" w:cs="Arial"/>
                <w:b/>
                <w:bCs/>
                <w:color w:val="000000"/>
              </w:rPr>
            </w:pPr>
            <w:r w:rsidRPr="003A7FE2">
              <w:rPr>
                <w:rFonts w:ascii="Arial" w:hAnsi="Arial" w:cs="Arial"/>
                <w:b/>
                <w:bCs/>
                <w:color w:val="000000"/>
              </w:rPr>
              <w:t>(n)</w:t>
            </w:r>
          </w:p>
        </w:tc>
        <w:tc>
          <w:tcPr>
            <w:tcW w:w="1559" w:type="dxa"/>
            <w:tcBorders>
              <w:top w:val="nil"/>
              <w:left w:val="nil"/>
              <w:bottom w:val="single" w:sz="4" w:space="0" w:color="auto"/>
              <w:right w:val="single" w:sz="4" w:space="0" w:color="auto"/>
            </w:tcBorders>
            <w:shd w:val="clear" w:color="000000" w:fill="DDEBF7"/>
            <w:vAlign w:val="center"/>
            <w:hideMark/>
          </w:tcPr>
          <w:p w14:paraId="0C517438" w14:textId="77777777" w:rsidR="003A7FE2" w:rsidRPr="003A7FE2" w:rsidRDefault="003A7FE2" w:rsidP="003A7FE2">
            <w:pPr>
              <w:jc w:val="center"/>
              <w:rPr>
                <w:rFonts w:ascii="Arial" w:hAnsi="Arial" w:cs="Arial"/>
                <w:b/>
                <w:bCs/>
                <w:color w:val="000000"/>
              </w:rPr>
            </w:pPr>
            <w:r w:rsidRPr="003A7FE2">
              <w:rPr>
                <w:rFonts w:ascii="Arial" w:hAnsi="Arial" w:cs="Arial"/>
                <w:b/>
                <w:bCs/>
                <w:color w:val="000000"/>
              </w:rPr>
              <w:t>(%)</w:t>
            </w:r>
          </w:p>
        </w:tc>
        <w:tc>
          <w:tcPr>
            <w:tcW w:w="1560" w:type="dxa"/>
            <w:tcBorders>
              <w:top w:val="nil"/>
              <w:left w:val="nil"/>
              <w:bottom w:val="single" w:sz="4" w:space="0" w:color="auto"/>
              <w:right w:val="single" w:sz="4" w:space="0" w:color="auto"/>
            </w:tcBorders>
            <w:shd w:val="clear" w:color="000000" w:fill="DDEBF7"/>
            <w:vAlign w:val="center"/>
            <w:hideMark/>
          </w:tcPr>
          <w:p w14:paraId="2BE4329B" w14:textId="77777777" w:rsidR="003A7FE2" w:rsidRPr="003A7FE2" w:rsidRDefault="003A7FE2" w:rsidP="003A7FE2">
            <w:pPr>
              <w:jc w:val="center"/>
              <w:rPr>
                <w:rFonts w:ascii="Arial" w:hAnsi="Arial" w:cs="Arial"/>
                <w:b/>
                <w:bCs/>
                <w:color w:val="000000"/>
              </w:rPr>
            </w:pPr>
            <w:r w:rsidRPr="003A7FE2">
              <w:rPr>
                <w:rFonts w:ascii="Arial" w:hAnsi="Arial" w:cs="Arial"/>
                <w:b/>
                <w:bCs/>
                <w:color w:val="000000"/>
              </w:rPr>
              <w:t>(n)</w:t>
            </w:r>
          </w:p>
        </w:tc>
        <w:tc>
          <w:tcPr>
            <w:tcW w:w="1559" w:type="dxa"/>
            <w:tcBorders>
              <w:top w:val="nil"/>
              <w:left w:val="nil"/>
              <w:bottom w:val="single" w:sz="4" w:space="0" w:color="auto"/>
              <w:right w:val="single" w:sz="4" w:space="0" w:color="auto"/>
            </w:tcBorders>
            <w:shd w:val="clear" w:color="000000" w:fill="DDEBF7"/>
            <w:vAlign w:val="center"/>
            <w:hideMark/>
          </w:tcPr>
          <w:p w14:paraId="6C763FDC" w14:textId="77777777" w:rsidR="003A7FE2" w:rsidRPr="003A7FE2" w:rsidRDefault="003A7FE2" w:rsidP="003A7FE2">
            <w:pPr>
              <w:jc w:val="center"/>
              <w:rPr>
                <w:rFonts w:ascii="Arial" w:hAnsi="Arial" w:cs="Arial"/>
                <w:b/>
                <w:bCs/>
                <w:color w:val="000000"/>
              </w:rPr>
            </w:pPr>
            <w:r w:rsidRPr="003A7FE2">
              <w:rPr>
                <w:rFonts w:ascii="Arial" w:hAnsi="Arial" w:cs="Arial"/>
                <w:b/>
                <w:bCs/>
                <w:color w:val="000000"/>
              </w:rPr>
              <w:t>(%)</w:t>
            </w:r>
          </w:p>
        </w:tc>
      </w:tr>
      <w:tr w:rsidR="00CB3000" w:rsidRPr="003A7FE2" w14:paraId="1E6D4DB0" w14:textId="77777777" w:rsidTr="00226C37">
        <w:trPr>
          <w:trHeight w:val="566"/>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417278FB" w14:textId="77777777" w:rsidR="003A7FE2" w:rsidRPr="003A7FE2" w:rsidRDefault="003A7FE2" w:rsidP="003A7FE2">
            <w:pPr>
              <w:jc w:val="center"/>
              <w:rPr>
                <w:rFonts w:ascii="Arial" w:hAnsi="Arial" w:cs="Arial"/>
                <w:color w:val="000000"/>
              </w:rPr>
            </w:pPr>
            <w:r w:rsidRPr="003A7FE2">
              <w:rPr>
                <w:rFonts w:ascii="Arial" w:hAnsi="Arial" w:cs="Arial"/>
                <w:color w:val="000000"/>
              </w:rPr>
              <w:t>Interní</w:t>
            </w:r>
          </w:p>
        </w:tc>
        <w:tc>
          <w:tcPr>
            <w:tcW w:w="1559" w:type="dxa"/>
            <w:tcBorders>
              <w:top w:val="nil"/>
              <w:left w:val="nil"/>
              <w:bottom w:val="single" w:sz="4" w:space="0" w:color="auto"/>
              <w:right w:val="single" w:sz="4" w:space="0" w:color="auto"/>
            </w:tcBorders>
            <w:shd w:val="clear" w:color="auto" w:fill="auto"/>
            <w:vAlign w:val="center"/>
            <w:hideMark/>
          </w:tcPr>
          <w:p w14:paraId="5F980A27" w14:textId="77777777" w:rsidR="003A7FE2" w:rsidRPr="003A7FE2" w:rsidRDefault="003A7FE2" w:rsidP="003A7FE2">
            <w:pPr>
              <w:jc w:val="center"/>
              <w:rPr>
                <w:rFonts w:ascii="Arial" w:hAnsi="Arial" w:cs="Arial"/>
                <w:color w:val="000000"/>
              </w:rPr>
            </w:pPr>
            <w:r w:rsidRPr="003A7FE2">
              <w:rPr>
                <w:rFonts w:ascii="Arial" w:hAnsi="Arial" w:cs="Arial"/>
                <w:color w:val="000000"/>
              </w:rPr>
              <w:t>387</w:t>
            </w:r>
          </w:p>
        </w:tc>
        <w:tc>
          <w:tcPr>
            <w:tcW w:w="1559" w:type="dxa"/>
            <w:tcBorders>
              <w:top w:val="nil"/>
              <w:left w:val="nil"/>
              <w:bottom w:val="single" w:sz="4" w:space="0" w:color="auto"/>
              <w:right w:val="single" w:sz="4" w:space="0" w:color="auto"/>
            </w:tcBorders>
            <w:shd w:val="clear" w:color="auto" w:fill="auto"/>
            <w:vAlign w:val="center"/>
            <w:hideMark/>
          </w:tcPr>
          <w:p w14:paraId="66CA5341" w14:textId="4B3B284B" w:rsidR="003A7FE2" w:rsidRPr="003A7FE2" w:rsidRDefault="003A7FE2" w:rsidP="003A7FE2">
            <w:pPr>
              <w:jc w:val="center"/>
              <w:rPr>
                <w:rFonts w:ascii="Arial" w:hAnsi="Arial" w:cs="Arial"/>
                <w:color w:val="000000"/>
              </w:rPr>
            </w:pPr>
            <w:r w:rsidRPr="003A7FE2">
              <w:rPr>
                <w:rFonts w:ascii="Arial" w:hAnsi="Arial" w:cs="Arial"/>
                <w:color w:val="000000"/>
              </w:rPr>
              <w:t>76,03</w:t>
            </w:r>
          </w:p>
        </w:tc>
        <w:tc>
          <w:tcPr>
            <w:tcW w:w="1560" w:type="dxa"/>
            <w:tcBorders>
              <w:top w:val="nil"/>
              <w:left w:val="nil"/>
              <w:bottom w:val="single" w:sz="4" w:space="0" w:color="auto"/>
              <w:right w:val="single" w:sz="4" w:space="0" w:color="auto"/>
            </w:tcBorders>
            <w:shd w:val="clear" w:color="auto" w:fill="auto"/>
            <w:vAlign w:val="center"/>
            <w:hideMark/>
          </w:tcPr>
          <w:p w14:paraId="7AE8E3B0" w14:textId="77777777" w:rsidR="003A7FE2" w:rsidRPr="003A7FE2" w:rsidRDefault="003A7FE2" w:rsidP="003A7FE2">
            <w:pPr>
              <w:jc w:val="center"/>
              <w:rPr>
                <w:rFonts w:ascii="Arial" w:hAnsi="Arial" w:cs="Arial"/>
                <w:color w:val="000000"/>
              </w:rPr>
            </w:pPr>
            <w:r w:rsidRPr="003A7FE2">
              <w:rPr>
                <w:rFonts w:ascii="Arial" w:hAnsi="Arial" w:cs="Arial"/>
                <w:color w:val="000000"/>
              </w:rPr>
              <w:t>470</w:t>
            </w:r>
          </w:p>
        </w:tc>
        <w:tc>
          <w:tcPr>
            <w:tcW w:w="1559" w:type="dxa"/>
            <w:tcBorders>
              <w:top w:val="nil"/>
              <w:left w:val="nil"/>
              <w:bottom w:val="single" w:sz="4" w:space="0" w:color="auto"/>
              <w:right w:val="single" w:sz="4" w:space="0" w:color="auto"/>
            </w:tcBorders>
            <w:shd w:val="clear" w:color="auto" w:fill="auto"/>
            <w:vAlign w:val="center"/>
            <w:hideMark/>
          </w:tcPr>
          <w:p w14:paraId="5373D989" w14:textId="58A2B56E" w:rsidR="003A7FE2" w:rsidRPr="003A7FE2" w:rsidRDefault="003A7FE2" w:rsidP="003A7FE2">
            <w:pPr>
              <w:jc w:val="center"/>
              <w:rPr>
                <w:rFonts w:ascii="Arial" w:hAnsi="Arial" w:cs="Arial"/>
                <w:color w:val="000000"/>
              </w:rPr>
            </w:pPr>
            <w:r w:rsidRPr="003A7FE2">
              <w:rPr>
                <w:rFonts w:ascii="Arial" w:hAnsi="Arial" w:cs="Arial"/>
                <w:color w:val="000000"/>
              </w:rPr>
              <w:t>78,60</w:t>
            </w:r>
          </w:p>
        </w:tc>
      </w:tr>
      <w:tr w:rsidR="00CB3000" w:rsidRPr="003A7FE2" w14:paraId="24DF4D0E" w14:textId="77777777" w:rsidTr="00226C37">
        <w:trPr>
          <w:trHeight w:val="546"/>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624A2882" w14:textId="77777777" w:rsidR="003A7FE2" w:rsidRPr="003A7FE2" w:rsidRDefault="003A7FE2" w:rsidP="003A7FE2">
            <w:pPr>
              <w:jc w:val="center"/>
              <w:rPr>
                <w:rFonts w:ascii="Arial" w:hAnsi="Arial" w:cs="Arial"/>
                <w:color w:val="000000"/>
              </w:rPr>
            </w:pPr>
            <w:r w:rsidRPr="003A7FE2">
              <w:rPr>
                <w:rFonts w:ascii="Arial" w:hAnsi="Arial" w:cs="Arial"/>
                <w:color w:val="000000"/>
              </w:rPr>
              <w:t>Neurologická</w:t>
            </w:r>
          </w:p>
        </w:tc>
        <w:tc>
          <w:tcPr>
            <w:tcW w:w="1559" w:type="dxa"/>
            <w:tcBorders>
              <w:top w:val="nil"/>
              <w:left w:val="nil"/>
              <w:bottom w:val="single" w:sz="4" w:space="0" w:color="auto"/>
              <w:right w:val="single" w:sz="4" w:space="0" w:color="auto"/>
            </w:tcBorders>
            <w:shd w:val="clear" w:color="auto" w:fill="auto"/>
            <w:vAlign w:val="center"/>
            <w:hideMark/>
          </w:tcPr>
          <w:p w14:paraId="5200FFAF" w14:textId="77777777" w:rsidR="003A7FE2" w:rsidRPr="003A7FE2" w:rsidRDefault="003A7FE2" w:rsidP="003A7FE2">
            <w:pPr>
              <w:jc w:val="center"/>
              <w:rPr>
                <w:rFonts w:ascii="Arial" w:hAnsi="Arial" w:cs="Arial"/>
                <w:color w:val="000000"/>
              </w:rPr>
            </w:pPr>
            <w:r w:rsidRPr="003A7FE2">
              <w:rPr>
                <w:rFonts w:ascii="Arial" w:hAnsi="Arial" w:cs="Arial"/>
                <w:color w:val="000000"/>
              </w:rPr>
              <w:t>90</w:t>
            </w:r>
          </w:p>
        </w:tc>
        <w:tc>
          <w:tcPr>
            <w:tcW w:w="1559" w:type="dxa"/>
            <w:tcBorders>
              <w:top w:val="nil"/>
              <w:left w:val="nil"/>
              <w:bottom w:val="single" w:sz="4" w:space="0" w:color="auto"/>
              <w:right w:val="single" w:sz="4" w:space="0" w:color="auto"/>
            </w:tcBorders>
            <w:shd w:val="clear" w:color="auto" w:fill="auto"/>
            <w:vAlign w:val="center"/>
            <w:hideMark/>
          </w:tcPr>
          <w:p w14:paraId="0B5DAB1A" w14:textId="540699B9" w:rsidR="003A7FE2" w:rsidRPr="003A7FE2" w:rsidRDefault="003A7FE2" w:rsidP="003A7FE2">
            <w:pPr>
              <w:jc w:val="center"/>
              <w:rPr>
                <w:rFonts w:ascii="Arial" w:hAnsi="Arial" w:cs="Arial"/>
                <w:color w:val="000000"/>
              </w:rPr>
            </w:pPr>
            <w:r w:rsidRPr="003A7FE2">
              <w:rPr>
                <w:rFonts w:ascii="Arial" w:hAnsi="Arial" w:cs="Arial"/>
                <w:color w:val="000000"/>
              </w:rPr>
              <w:t>17,68</w:t>
            </w:r>
          </w:p>
        </w:tc>
        <w:tc>
          <w:tcPr>
            <w:tcW w:w="1560" w:type="dxa"/>
            <w:tcBorders>
              <w:top w:val="nil"/>
              <w:left w:val="nil"/>
              <w:bottom w:val="single" w:sz="4" w:space="0" w:color="auto"/>
              <w:right w:val="single" w:sz="4" w:space="0" w:color="auto"/>
            </w:tcBorders>
            <w:shd w:val="clear" w:color="auto" w:fill="auto"/>
            <w:vAlign w:val="center"/>
            <w:hideMark/>
          </w:tcPr>
          <w:p w14:paraId="2379C5B6" w14:textId="77777777" w:rsidR="003A7FE2" w:rsidRPr="003A7FE2" w:rsidRDefault="003A7FE2" w:rsidP="003A7FE2">
            <w:pPr>
              <w:jc w:val="center"/>
              <w:rPr>
                <w:rFonts w:ascii="Arial" w:hAnsi="Arial" w:cs="Arial"/>
                <w:color w:val="000000"/>
              </w:rPr>
            </w:pPr>
            <w:r w:rsidRPr="003A7FE2">
              <w:rPr>
                <w:rFonts w:ascii="Arial" w:hAnsi="Arial" w:cs="Arial"/>
                <w:color w:val="000000"/>
              </w:rPr>
              <w:t>99</w:t>
            </w:r>
          </w:p>
        </w:tc>
        <w:tc>
          <w:tcPr>
            <w:tcW w:w="1559" w:type="dxa"/>
            <w:tcBorders>
              <w:top w:val="nil"/>
              <w:left w:val="nil"/>
              <w:bottom w:val="single" w:sz="4" w:space="0" w:color="auto"/>
              <w:right w:val="single" w:sz="4" w:space="0" w:color="auto"/>
            </w:tcBorders>
            <w:shd w:val="clear" w:color="auto" w:fill="auto"/>
            <w:vAlign w:val="center"/>
            <w:hideMark/>
          </w:tcPr>
          <w:p w14:paraId="11A2929D" w14:textId="3EE49888" w:rsidR="003A7FE2" w:rsidRPr="003A7FE2" w:rsidRDefault="003A7FE2" w:rsidP="003A7FE2">
            <w:pPr>
              <w:jc w:val="center"/>
              <w:rPr>
                <w:rFonts w:ascii="Arial" w:hAnsi="Arial" w:cs="Arial"/>
                <w:color w:val="000000"/>
              </w:rPr>
            </w:pPr>
            <w:r w:rsidRPr="003A7FE2">
              <w:rPr>
                <w:rFonts w:ascii="Arial" w:hAnsi="Arial" w:cs="Arial"/>
                <w:color w:val="000000"/>
              </w:rPr>
              <w:t>16,56</w:t>
            </w:r>
          </w:p>
        </w:tc>
      </w:tr>
      <w:tr w:rsidR="00CB3000" w:rsidRPr="003A7FE2" w14:paraId="7897BAA5" w14:textId="77777777" w:rsidTr="000E2C7E">
        <w:trPr>
          <w:trHeight w:val="568"/>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259BD885" w14:textId="57A5C32B" w:rsidR="003A7FE2" w:rsidRPr="003A7FE2" w:rsidRDefault="003A7FE2" w:rsidP="003A7FE2">
            <w:pPr>
              <w:jc w:val="center"/>
              <w:rPr>
                <w:rFonts w:ascii="Arial" w:hAnsi="Arial" w:cs="Arial"/>
                <w:color w:val="000000"/>
              </w:rPr>
            </w:pPr>
            <w:r w:rsidRPr="003A7FE2">
              <w:rPr>
                <w:rFonts w:ascii="Arial" w:hAnsi="Arial" w:cs="Arial"/>
                <w:color w:val="000000"/>
              </w:rPr>
              <w:t>Současně interní a</w:t>
            </w:r>
            <w:r w:rsidR="00971E9F">
              <w:rPr>
                <w:rFonts w:ascii="Arial" w:hAnsi="Arial" w:cs="Arial"/>
                <w:color w:val="000000"/>
              </w:rPr>
              <w:t> </w:t>
            </w:r>
            <w:r w:rsidRPr="003A7FE2">
              <w:rPr>
                <w:rFonts w:ascii="Arial" w:hAnsi="Arial" w:cs="Arial"/>
                <w:color w:val="000000"/>
              </w:rPr>
              <w:t>neurologická</w:t>
            </w:r>
          </w:p>
        </w:tc>
        <w:tc>
          <w:tcPr>
            <w:tcW w:w="1559" w:type="dxa"/>
            <w:tcBorders>
              <w:top w:val="nil"/>
              <w:left w:val="nil"/>
              <w:bottom w:val="single" w:sz="4" w:space="0" w:color="auto"/>
              <w:right w:val="single" w:sz="4" w:space="0" w:color="auto"/>
            </w:tcBorders>
            <w:shd w:val="clear" w:color="auto" w:fill="auto"/>
            <w:vAlign w:val="center"/>
            <w:hideMark/>
          </w:tcPr>
          <w:p w14:paraId="66CE3643" w14:textId="77777777" w:rsidR="003A7FE2" w:rsidRPr="003A7FE2" w:rsidRDefault="003A7FE2" w:rsidP="003A7FE2">
            <w:pPr>
              <w:jc w:val="center"/>
              <w:rPr>
                <w:rFonts w:ascii="Arial" w:hAnsi="Arial" w:cs="Arial"/>
                <w:color w:val="000000"/>
              </w:rPr>
            </w:pPr>
            <w:r w:rsidRPr="003A7FE2">
              <w:rPr>
                <w:rFonts w:ascii="Arial" w:hAnsi="Arial" w:cs="Arial"/>
                <w:color w:val="000000"/>
              </w:rPr>
              <w:t>32</w:t>
            </w:r>
          </w:p>
        </w:tc>
        <w:tc>
          <w:tcPr>
            <w:tcW w:w="1559" w:type="dxa"/>
            <w:tcBorders>
              <w:top w:val="nil"/>
              <w:left w:val="nil"/>
              <w:bottom w:val="single" w:sz="4" w:space="0" w:color="auto"/>
              <w:right w:val="single" w:sz="4" w:space="0" w:color="auto"/>
            </w:tcBorders>
            <w:shd w:val="clear" w:color="auto" w:fill="auto"/>
            <w:vAlign w:val="center"/>
            <w:hideMark/>
          </w:tcPr>
          <w:p w14:paraId="1004A147" w14:textId="1A53E18F" w:rsidR="003A7FE2" w:rsidRPr="003A7FE2" w:rsidRDefault="003A7FE2" w:rsidP="003A7FE2">
            <w:pPr>
              <w:jc w:val="center"/>
              <w:rPr>
                <w:rFonts w:ascii="Arial" w:hAnsi="Arial" w:cs="Arial"/>
                <w:color w:val="000000"/>
              </w:rPr>
            </w:pPr>
            <w:r w:rsidRPr="003A7FE2">
              <w:rPr>
                <w:rFonts w:ascii="Arial" w:hAnsi="Arial" w:cs="Arial"/>
                <w:color w:val="000000"/>
              </w:rPr>
              <w:t>6,29</w:t>
            </w:r>
          </w:p>
        </w:tc>
        <w:tc>
          <w:tcPr>
            <w:tcW w:w="1560" w:type="dxa"/>
            <w:tcBorders>
              <w:top w:val="nil"/>
              <w:left w:val="nil"/>
              <w:bottom w:val="single" w:sz="4" w:space="0" w:color="auto"/>
              <w:right w:val="single" w:sz="4" w:space="0" w:color="auto"/>
            </w:tcBorders>
            <w:shd w:val="clear" w:color="auto" w:fill="auto"/>
            <w:vAlign w:val="center"/>
            <w:hideMark/>
          </w:tcPr>
          <w:p w14:paraId="1CABDAB7" w14:textId="77777777" w:rsidR="003A7FE2" w:rsidRPr="003A7FE2" w:rsidRDefault="003A7FE2" w:rsidP="003A7FE2">
            <w:pPr>
              <w:jc w:val="center"/>
              <w:rPr>
                <w:rFonts w:ascii="Arial" w:hAnsi="Arial" w:cs="Arial"/>
                <w:color w:val="000000"/>
              </w:rPr>
            </w:pPr>
            <w:r w:rsidRPr="003A7FE2">
              <w:rPr>
                <w:rFonts w:ascii="Arial" w:hAnsi="Arial" w:cs="Arial"/>
                <w:color w:val="000000"/>
              </w:rPr>
              <w:t>29</w:t>
            </w:r>
          </w:p>
        </w:tc>
        <w:tc>
          <w:tcPr>
            <w:tcW w:w="1559" w:type="dxa"/>
            <w:tcBorders>
              <w:top w:val="nil"/>
              <w:left w:val="nil"/>
              <w:bottom w:val="single" w:sz="4" w:space="0" w:color="auto"/>
              <w:right w:val="single" w:sz="4" w:space="0" w:color="auto"/>
            </w:tcBorders>
            <w:shd w:val="clear" w:color="auto" w:fill="auto"/>
            <w:vAlign w:val="center"/>
            <w:hideMark/>
          </w:tcPr>
          <w:p w14:paraId="07F2619F" w14:textId="37C7BD16" w:rsidR="003A7FE2" w:rsidRPr="003A7FE2" w:rsidRDefault="003A7FE2" w:rsidP="003A7FE2">
            <w:pPr>
              <w:jc w:val="center"/>
              <w:rPr>
                <w:rFonts w:ascii="Arial" w:hAnsi="Arial" w:cs="Arial"/>
                <w:color w:val="000000"/>
              </w:rPr>
            </w:pPr>
            <w:r w:rsidRPr="003A7FE2">
              <w:rPr>
                <w:rFonts w:ascii="Arial" w:hAnsi="Arial" w:cs="Arial"/>
                <w:color w:val="000000"/>
              </w:rPr>
              <w:t>4,85</w:t>
            </w:r>
          </w:p>
        </w:tc>
      </w:tr>
      <w:tr w:rsidR="00CB3000" w:rsidRPr="003A7FE2" w14:paraId="57F5AD5F" w14:textId="77777777" w:rsidTr="00226C37">
        <w:trPr>
          <w:trHeight w:val="550"/>
          <w:jc w:val="center"/>
        </w:trPr>
        <w:tc>
          <w:tcPr>
            <w:tcW w:w="2547" w:type="dxa"/>
            <w:tcBorders>
              <w:top w:val="nil"/>
              <w:left w:val="single" w:sz="4" w:space="0" w:color="auto"/>
              <w:bottom w:val="single" w:sz="4" w:space="0" w:color="auto"/>
              <w:right w:val="single" w:sz="4" w:space="0" w:color="auto"/>
            </w:tcBorders>
            <w:shd w:val="clear" w:color="000000" w:fill="DDEBF7"/>
            <w:vAlign w:val="center"/>
            <w:hideMark/>
          </w:tcPr>
          <w:p w14:paraId="6FE03A62" w14:textId="77777777" w:rsidR="003A7FE2" w:rsidRPr="003A7FE2" w:rsidRDefault="003A7FE2" w:rsidP="003A7FE2">
            <w:pPr>
              <w:jc w:val="center"/>
              <w:rPr>
                <w:rFonts w:ascii="Arial" w:hAnsi="Arial" w:cs="Arial"/>
                <w:b/>
                <w:bCs/>
                <w:color w:val="000000"/>
              </w:rPr>
            </w:pPr>
            <w:r w:rsidRPr="003A7FE2">
              <w:rPr>
                <w:rFonts w:ascii="Arial" w:hAnsi="Arial" w:cs="Arial"/>
                <w:b/>
                <w:bCs/>
                <w:color w:val="000000"/>
              </w:rPr>
              <w:t>Celkový součet</w:t>
            </w:r>
          </w:p>
        </w:tc>
        <w:tc>
          <w:tcPr>
            <w:tcW w:w="1559" w:type="dxa"/>
            <w:tcBorders>
              <w:top w:val="nil"/>
              <w:left w:val="nil"/>
              <w:bottom w:val="single" w:sz="4" w:space="0" w:color="auto"/>
              <w:right w:val="single" w:sz="4" w:space="0" w:color="auto"/>
            </w:tcBorders>
            <w:shd w:val="clear" w:color="000000" w:fill="DDEBF7"/>
            <w:vAlign w:val="center"/>
            <w:hideMark/>
          </w:tcPr>
          <w:p w14:paraId="082CB7EB" w14:textId="77777777" w:rsidR="003A7FE2" w:rsidRPr="003A7FE2" w:rsidRDefault="003A7FE2" w:rsidP="003A7FE2">
            <w:pPr>
              <w:jc w:val="center"/>
              <w:rPr>
                <w:rFonts w:ascii="Arial" w:hAnsi="Arial" w:cs="Arial"/>
                <w:b/>
                <w:bCs/>
                <w:color w:val="000000"/>
              </w:rPr>
            </w:pPr>
            <w:r w:rsidRPr="003A7FE2">
              <w:rPr>
                <w:rFonts w:ascii="Arial" w:hAnsi="Arial" w:cs="Arial"/>
                <w:b/>
                <w:bCs/>
                <w:color w:val="000000"/>
              </w:rPr>
              <w:t>509</w:t>
            </w:r>
          </w:p>
        </w:tc>
        <w:tc>
          <w:tcPr>
            <w:tcW w:w="1559" w:type="dxa"/>
            <w:tcBorders>
              <w:top w:val="nil"/>
              <w:left w:val="nil"/>
              <w:bottom w:val="single" w:sz="4" w:space="0" w:color="auto"/>
              <w:right w:val="single" w:sz="4" w:space="0" w:color="auto"/>
            </w:tcBorders>
            <w:shd w:val="clear" w:color="000000" w:fill="DDEBF7"/>
            <w:vAlign w:val="center"/>
            <w:hideMark/>
          </w:tcPr>
          <w:p w14:paraId="36985EA8" w14:textId="7B83A345" w:rsidR="003A7FE2" w:rsidRPr="003A7FE2" w:rsidRDefault="003A7FE2" w:rsidP="003A7FE2">
            <w:pPr>
              <w:jc w:val="center"/>
              <w:rPr>
                <w:rFonts w:ascii="Arial" w:hAnsi="Arial" w:cs="Arial"/>
                <w:b/>
                <w:bCs/>
                <w:color w:val="000000"/>
              </w:rPr>
            </w:pPr>
            <w:r w:rsidRPr="003A7FE2">
              <w:rPr>
                <w:rFonts w:ascii="Arial" w:hAnsi="Arial" w:cs="Arial"/>
                <w:b/>
                <w:bCs/>
                <w:color w:val="000000"/>
              </w:rPr>
              <w:t>100,00</w:t>
            </w:r>
          </w:p>
        </w:tc>
        <w:tc>
          <w:tcPr>
            <w:tcW w:w="1560" w:type="dxa"/>
            <w:tcBorders>
              <w:top w:val="nil"/>
              <w:left w:val="nil"/>
              <w:bottom w:val="single" w:sz="4" w:space="0" w:color="auto"/>
              <w:right w:val="single" w:sz="4" w:space="0" w:color="auto"/>
            </w:tcBorders>
            <w:shd w:val="clear" w:color="000000" w:fill="DDEBF7"/>
            <w:vAlign w:val="center"/>
            <w:hideMark/>
          </w:tcPr>
          <w:p w14:paraId="0E7413EC" w14:textId="77777777" w:rsidR="003A7FE2" w:rsidRPr="003A7FE2" w:rsidRDefault="003A7FE2" w:rsidP="003A7FE2">
            <w:pPr>
              <w:jc w:val="center"/>
              <w:rPr>
                <w:rFonts w:ascii="Arial" w:hAnsi="Arial" w:cs="Arial"/>
                <w:b/>
                <w:bCs/>
                <w:color w:val="000000"/>
              </w:rPr>
            </w:pPr>
            <w:r w:rsidRPr="003A7FE2">
              <w:rPr>
                <w:rFonts w:ascii="Arial" w:hAnsi="Arial" w:cs="Arial"/>
                <w:b/>
                <w:bCs/>
                <w:color w:val="000000"/>
              </w:rPr>
              <w:t>598</w:t>
            </w:r>
          </w:p>
        </w:tc>
        <w:tc>
          <w:tcPr>
            <w:tcW w:w="1559" w:type="dxa"/>
            <w:tcBorders>
              <w:top w:val="nil"/>
              <w:left w:val="nil"/>
              <w:bottom w:val="single" w:sz="4" w:space="0" w:color="auto"/>
              <w:right w:val="single" w:sz="4" w:space="0" w:color="auto"/>
            </w:tcBorders>
            <w:shd w:val="clear" w:color="000000" w:fill="DDEBF7"/>
            <w:vAlign w:val="center"/>
            <w:hideMark/>
          </w:tcPr>
          <w:p w14:paraId="162D03C0" w14:textId="1DC24975" w:rsidR="003A7FE2" w:rsidRPr="003A7FE2" w:rsidRDefault="003A7FE2" w:rsidP="003A7FE2">
            <w:pPr>
              <w:jc w:val="center"/>
              <w:rPr>
                <w:rFonts w:ascii="Arial" w:hAnsi="Arial" w:cs="Arial"/>
                <w:b/>
                <w:bCs/>
                <w:color w:val="000000"/>
              </w:rPr>
            </w:pPr>
            <w:r w:rsidRPr="003A7FE2">
              <w:rPr>
                <w:rFonts w:ascii="Arial" w:hAnsi="Arial" w:cs="Arial"/>
                <w:b/>
                <w:bCs/>
                <w:color w:val="000000"/>
              </w:rPr>
              <w:t>100,0</w:t>
            </w:r>
            <w:r w:rsidR="00722F22">
              <w:rPr>
                <w:rFonts w:ascii="Arial" w:hAnsi="Arial" w:cs="Arial"/>
                <w:b/>
                <w:bCs/>
                <w:color w:val="000000"/>
              </w:rPr>
              <w:t>0</w:t>
            </w:r>
          </w:p>
        </w:tc>
      </w:tr>
    </w:tbl>
    <w:p w14:paraId="1BADBEE9" w14:textId="77777777" w:rsidR="005F29CC" w:rsidRDefault="005F29CC" w:rsidP="008A44B9">
      <w:pPr>
        <w:pStyle w:val="Popisobrzku"/>
      </w:pPr>
    </w:p>
    <w:p w14:paraId="1CF67BB7" w14:textId="06202EBD" w:rsidR="003A650F" w:rsidRPr="008A44B9" w:rsidRDefault="0081361F" w:rsidP="005F29CC">
      <w:pPr>
        <w:pStyle w:val="Dalodstavce"/>
        <w:ind w:firstLine="0"/>
      </w:pPr>
      <w:r w:rsidRPr="008A44B9">
        <w:lastRenderedPageBreak/>
        <w:t xml:space="preserve">Údaje uvedené v Tabulce </w:t>
      </w:r>
      <w:r w:rsidR="00047AC8">
        <w:t>12</w:t>
      </w:r>
      <w:r w:rsidR="00B814BD" w:rsidRPr="008A44B9">
        <w:t xml:space="preserve"> zachycují</w:t>
      </w:r>
      <w:r w:rsidR="00B70845" w:rsidRPr="008A44B9">
        <w:t>, na které</w:t>
      </w:r>
      <w:r w:rsidR="00543A8C" w:rsidRPr="008A44B9">
        <w:t xml:space="preserve">m typu </w:t>
      </w:r>
      <w:r w:rsidR="00B70845" w:rsidRPr="008A44B9">
        <w:t>ambulanc</w:t>
      </w:r>
      <w:r w:rsidR="00543A8C" w:rsidRPr="008A44B9">
        <w:t>e</w:t>
      </w:r>
      <w:r w:rsidR="00B70845" w:rsidRPr="008A44B9">
        <w:t xml:space="preserve"> NUP FN Brno byli </w:t>
      </w:r>
      <w:r w:rsidR="00790566" w:rsidRPr="008A44B9">
        <w:t xml:space="preserve">pacienti </w:t>
      </w:r>
      <w:r w:rsidR="00B70845" w:rsidRPr="008A44B9">
        <w:t>ošetřeni.</w:t>
      </w:r>
      <w:r w:rsidR="0053422C" w:rsidRPr="008A44B9">
        <w:t xml:space="preserve"> </w:t>
      </w:r>
      <w:r w:rsidR="009535A1" w:rsidRPr="008A44B9">
        <w:t xml:space="preserve">V meziročním srovnání nedošlo </w:t>
      </w:r>
      <w:r w:rsidR="0029333B" w:rsidRPr="008A44B9">
        <w:t xml:space="preserve">k výrazným změnám v rozložení pacientů </w:t>
      </w:r>
      <w:r w:rsidR="00554E7C" w:rsidRPr="008A44B9">
        <w:t>mezi</w:t>
      </w:r>
      <w:r w:rsidR="0029333B" w:rsidRPr="008A44B9">
        <w:t xml:space="preserve"> jednotli</w:t>
      </w:r>
      <w:r w:rsidR="004572FF" w:rsidRPr="008A44B9">
        <w:t>vé</w:t>
      </w:r>
      <w:r w:rsidR="0029333B" w:rsidRPr="008A44B9">
        <w:t xml:space="preserve"> typ</w:t>
      </w:r>
      <w:r w:rsidR="00554E7C" w:rsidRPr="008A44B9">
        <w:t>y</w:t>
      </w:r>
      <w:r w:rsidR="0029333B" w:rsidRPr="008A44B9">
        <w:t xml:space="preserve"> ambulancí</w:t>
      </w:r>
      <w:r w:rsidR="001249B1" w:rsidRPr="008A44B9">
        <w:t xml:space="preserve"> nízkoprahového urgentního příjmu</w:t>
      </w:r>
      <w:r w:rsidR="0029333B" w:rsidRPr="008A44B9">
        <w:t>.</w:t>
      </w:r>
      <w:r w:rsidR="00585854" w:rsidRPr="008A44B9">
        <w:t xml:space="preserve"> N</w:t>
      </w:r>
      <w:r w:rsidR="0053422C" w:rsidRPr="008A44B9">
        <w:t xml:space="preserve">ejvíce pacientů </w:t>
      </w:r>
      <w:r w:rsidR="00585854" w:rsidRPr="008A44B9">
        <w:t xml:space="preserve">bylo </w:t>
      </w:r>
      <w:r w:rsidR="0053422C" w:rsidRPr="008A44B9">
        <w:t>ošetřeno na interní</w:t>
      </w:r>
      <w:r w:rsidR="002978FB" w:rsidRPr="008A44B9">
        <w:t>ch ambulancích</w:t>
      </w:r>
      <w:r w:rsidR="00585854" w:rsidRPr="008A44B9">
        <w:t>.</w:t>
      </w:r>
      <w:r w:rsidR="00995039">
        <w:t xml:space="preserve"> </w:t>
      </w:r>
      <w:r w:rsidR="00995039" w:rsidRPr="00995039">
        <w:t>Mezi jednotlivými roky však nebyly zjištěny statisticky významné rozdíly v</w:t>
      </w:r>
      <w:r w:rsidR="00995039">
        <w:t> typu ošetřující ambulance</w:t>
      </w:r>
      <w:r w:rsidR="00995039" w:rsidRPr="00995039">
        <w:t>.</w:t>
      </w:r>
    </w:p>
    <w:p w14:paraId="02E0933E" w14:textId="77777777" w:rsidR="00937631" w:rsidRPr="00937631" w:rsidRDefault="00937631" w:rsidP="00937631">
      <w:pPr>
        <w:pStyle w:val="Odstavec1"/>
        <w:rPr>
          <w:lang w:eastAsia="sk-SK"/>
        </w:rPr>
      </w:pPr>
    </w:p>
    <w:p w14:paraId="3C483314" w14:textId="185F7F2F" w:rsidR="009843C7" w:rsidRPr="00EE22D1" w:rsidRDefault="009843C7" w:rsidP="009843C7">
      <w:pPr>
        <w:pStyle w:val="Titulektabulky"/>
      </w:pPr>
      <w:bookmarkStart w:id="46" w:name="_Toc195517138"/>
      <w:r>
        <w:t xml:space="preserve">Tab. </w:t>
      </w:r>
      <w:fldSimple w:instr=" SEQ Tab. \* ARABIC ">
        <w:r w:rsidR="0022490D">
          <w:rPr>
            <w:noProof/>
          </w:rPr>
          <w:t>13</w:t>
        </w:r>
      </w:fldSimple>
      <w:r>
        <w:t>: P</w:t>
      </w:r>
      <w:r w:rsidR="002630CA">
        <w:t xml:space="preserve">otřeba </w:t>
      </w:r>
      <w:r w:rsidR="008F7678">
        <w:t>využití observačního lůžka u pacientů ve věkové kategorii 75 a více</w:t>
      </w:r>
      <w:r w:rsidR="006A71E2">
        <w:t xml:space="preserve"> let</w:t>
      </w:r>
      <w:bookmarkEnd w:id="46"/>
    </w:p>
    <w:tbl>
      <w:tblPr>
        <w:tblW w:w="8784" w:type="dxa"/>
        <w:jc w:val="center"/>
        <w:tblCellMar>
          <w:left w:w="70" w:type="dxa"/>
          <w:right w:w="70" w:type="dxa"/>
        </w:tblCellMar>
        <w:tblLook w:val="04A0" w:firstRow="1" w:lastRow="0" w:firstColumn="1" w:lastColumn="0" w:noHBand="0" w:noVBand="1"/>
      </w:tblPr>
      <w:tblGrid>
        <w:gridCol w:w="2547"/>
        <w:gridCol w:w="1559"/>
        <w:gridCol w:w="1559"/>
        <w:gridCol w:w="1560"/>
        <w:gridCol w:w="1559"/>
      </w:tblGrid>
      <w:tr w:rsidR="00CB49C3" w:rsidRPr="009E7CFB" w14:paraId="13D80665" w14:textId="77777777" w:rsidTr="002C5487">
        <w:trPr>
          <w:trHeight w:val="513"/>
          <w:jc w:val="center"/>
        </w:trPr>
        <w:tc>
          <w:tcPr>
            <w:tcW w:w="2547" w:type="dxa"/>
            <w:vMerge w:val="restart"/>
            <w:tcBorders>
              <w:top w:val="single" w:sz="4" w:space="0" w:color="auto"/>
              <w:left w:val="single" w:sz="4" w:space="0" w:color="auto"/>
              <w:bottom w:val="single" w:sz="4" w:space="0" w:color="000000"/>
              <w:right w:val="single" w:sz="4" w:space="0" w:color="auto"/>
            </w:tcBorders>
            <w:shd w:val="clear" w:color="000000" w:fill="DDEBF7"/>
            <w:vAlign w:val="center"/>
            <w:hideMark/>
          </w:tcPr>
          <w:p w14:paraId="58B50C27" w14:textId="77777777" w:rsidR="009E7CFB" w:rsidRPr="009E7CFB" w:rsidRDefault="009E7CFB" w:rsidP="009E7CFB">
            <w:pPr>
              <w:jc w:val="center"/>
              <w:rPr>
                <w:rFonts w:ascii="Arial" w:hAnsi="Arial" w:cs="Arial"/>
                <w:b/>
                <w:bCs/>
                <w:color w:val="000000"/>
              </w:rPr>
            </w:pPr>
            <w:r w:rsidRPr="009E7CFB">
              <w:rPr>
                <w:rFonts w:ascii="Arial" w:hAnsi="Arial" w:cs="Arial"/>
                <w:b/>
                <w:bCs/>
                <w:color w:val="000000"/>
              </w:rPr>
              <w:t>Observační lůžko</w:t>
            </w:r>
          </w:p>
        </w:tc>
        <w:tc>
          <w:tcPr>
            <w:tcW w:w="3118" w:type="dxa"/>
            <w:gridSpan w:val="2"/>
            <w:tcBorders>
              <w:top w:val="single" w:sz="4" w:space="0" w:color="auto"/>
              <w:left w:val="nil"/>
              <w:bottom w:val="single" w:sz="4" w:space="0" w:color="auto"/>
              <w:right w:val="single" w:sz="4" w:space="0" w:color="000000"/>
            </w:tcBorders>
            <w:shd w:val="clear" w:color="000000" w:fill="DDEBF7"/>
            <w:vAlign w:val="center"/>
            <w:hideMark/>
          </w:tcPr>
          <w:p w14:paraId="34A01E7E" w14:textId="3338E7AD" w:rsidR="009E7CFB" w:rsidRPr="009E7CFB" w:rsidRDefault="00373934" w:rsidP="009E7CFB">
            <w:pPr>
              <w:jc w:val="center"/>
              <w:rPr>
                <w:rFonts w:ascii="Arial" w:hAnsi="Arial" w:cs="Arial"/>
                <w:b/>
                <w:bCs/>
                <w:color w:val="000000"/>
              </w:rPr>
            </w:pPr>
            <w:r>
              <w:rPr>
                <w:rFonts w:ascii="Arial" w:hAnsi="Arial" w:cs="Arial"/>
                <w:b/>
                <w:bCs/>
                <w:color w:val="000000"/>
              </w:rPr>
              <w:t xml:space="preserve">Rok </w:t>
            </w:r>
            <w:r w:rsidR="009E7CFB" w:rsidRPr="009E7CFB">
              <w:rPr>
                <w:rFonts w:ascii="Arial" w:hAnsi="Arial" w:cs="Arial"/>
                <w:b/>
                <w:bCs/>
                <w:color w:val="000000"/>
              </w:rPr>
              <w:t>2019</w:t>
            </w:r>
          </w:p>
        </w:tc>
        <w:tc>
          <w:tcPr>
            <w:tcW w:w="3119" w:type="dxa"/>
            <w:gridSpan w:val="2"/>
            <w:tcBorders>
              <w:top w:val="single" w:sz="4" w:space="0" w:color="auto"/>
              <w:left w:val="nil"/>
              <w:bottom w:val="single" w:sz="4" w:space="0" w:color="auto"/>
              <w:right w:val="single" w:sz="4" w:space="0" w:color="000000"/>
            </w:tcBorders>
            <w:shd w:val="clear" w:color="000000" w:fill="DDEBF7"/>
            <w:vAlign w:val="center"/>
            <w:hideMark/>
          </w:tcPr>
          <w:p w14:paraId="7DBE97F1" w14:textId="022DE706" w:rsidR="009E7CFB" w:rsidRPr="009E7CFB" w:rsidRDefault="00373934" w:rsidP="009E7CFB">
            <w:pPr>
              <w:jc w:val="center"/>
              <w:rPr>
                <w:rFonts w:ascii="Arial" w:hAnsi="Arial" w:cs="Arial"/>
                <w:b/>
                <w:bCs/>
                <w:color w:val="000000"/>
              </w:rPr>
            </w:pPr>
            <w:r>
              <w:rPr>
                <w:rFonts w:ascii="Arial" w:hAnsi="Arial" w:cs="Arial"/>
                <w:b/>
                <w:bCs/>
                <w:color w:val="000000"/>
              </w:rPr>
              <w:t xml:space="preserve">Rok </w:t>
            </w:r>
            <w:r w:rsidR="009E7CFB" w:rsidRPr="009E7CFB">
              <w:rPr>
                <w:rFonts w:ascii="Arial" w:hAnsi="Arial" w:cs="Arial"/>
                <w:b/>
                <w:bCs/>
                <w:color w:val="000000"/>
              </w:rPr>
              <w:t>2023</w:t>
            </w:r>
          </w:p>
        </w:tc>
      </w:tr>
      <w:tr w:rsidR="009E7CFB" w:rsidRPr="009E7CFB" w14:paraId="6773021C" w14:textId="77777777" w:rsidTr="002C5487">
        <w:trPr>
          <w:trHeight w:val="379"/>
          <w:jc w:val="center"/>
        </w:trPr>
        <w:tc>
          <w:tcPr>
            <w:tcW w:w="2547" w:type="dxa"/>
            <w:vMerge/>
            <w:tcBorders>
              <w:top w:val="single" w:sz="4" w:space="0" w:color="auto"/>
              <w:left w:val="single" w:sz="4" w:space="0" w:color="auto"/>
              <w:bottom w:val="single" w:sz="4" w:space="0" w:color="000000"/>
              <w:right w:val="single" w:sz="4" w:space="0" w:color="auto"/>
            </w:tcBorders>
            <w:vAlign w:val="center"/>
            <w:hideMark/>
          </w:tcPr>
          <w:p w14:paraId="6179FE52" w14:textId="77777777" w:rsidR="009E7CFB" w:rsidRPr="009E7CFB" w:rsidRDefault="009E7CFB" w:rsidP="009E7CFB">
            <w:pPr>
              <w:rPr>
                <w:rFonts w:ascii="Arial" w:hAnsi="Arial" w:cs="Arial"/>
                <w:b/>
                <w:bCs/>
                <w:color w:val="000000"/>
              </w:rPr>
            </w:pPr>
          </w:p>
        </w:tc>
        <w:tc>
          <w:tcPr>
            <w:tcW w:w="1559" w:type="dxa"/>
            <w:tcBorders>
              <w:top w:val="nil"/>
              <w:left w:val="nil"/>
              <w:bottom w:val="single" w:sz="4" w:space="0" w:color="auto"/>
              <w:right w:val="single" w:sz="4" w:space="0" w:color="auto"/>
            </w:tcBorders>
            <w:shd w:val="clear" w:color="000000" w:fill="DDEBF7"/>
            <w:vAlign w:val="center"/>
            <w:hideMark/>
          </w:tcPr>
          <w:p w14:paraId="201E8162" w14:textId="77777777" w:rsidR="009E7CFB" w:rsidRPr="009E7CFB" w:rsidRDefault="009E7CFB" w:rsidP="009E7CFB">
            <w:pPr>
              <w:jc w:val="center"/>
              <w:rPr>
                <w:rFonts w:ascii="Arial" w:hAnsi="Arial" w:cs="Arial"/>
                <w:b/>
                <w:bCs/>
                <w:color w:val="000000"/>
              </w:rPr>
            </w:pPr>
            <w:r w:rsidRPr="009E7CFB">
              <w:rPr>
                <w:rFonts w:ascii="Arial" w:hAnsi="Arial" w:cs="Arial"/>
                <w:b/>
                <w:bCs/>
                <w:color w:val="000000"/>
              </w:rPr>
              <w:t>(n)</w:t>
            </w:r>
          </w:p>
        </w:tc>
        <w:tc>
          <w:tcPr>
            <w:tcW w:w="1559" w:type="dxa"/>
            <w:tcBorders>
              <w:top w:val="nil"/>
              <w:left w:val="nil"/>
              <w:bottom w:val="single" w:sz="4" w:space="0" w:color="auto"/>
              <w:right w:val="single" w:sz="4" w:space="0" w:color="auto"/>
            </w:tcBorders>
            <w:shd w:val="clear" w:color="000000" w:fill="DDEBF7"/>
            <w:vAlign w:val="center"/>
            <w:hideMark/>
          </w:tcPr>
          <w:p w14:paraId="4D564E2A" w14:textId="77777777" w:rsidR="009E7CFB" w:rsidRPr="009E7CFB" w:rsidRDefault="009E7CFB" w:rsidP="009E7CFB">
            <w:pPr>
              <w:jc w:val="center"/>
              <w:rPr>
                <w:rFonts w:ascii="Arial" w:hAnsi="Arial" w:cs="Arial"/>
                <w:b/>
                <w:bCs/>
                <w:color w:val="000000"/>
              </w:rPr>
            </w:pPr>
            <w:r w:rsidRPr="009E7CFB">
              <w:rPr>
                <w:rFonts w:ascii="Arial" w:hAnsi="Arial" w:cs="Arial"/>
                <w:b/>
                <w:bCs/>
                <w:color w:val="000000"/>
              </w:rPr>
              <w:t>(%)</w:t>
            </w:r>
          </w:p>
        </w:tc>
        <w:tc>
          <w:tcPr>
            <w:tcW w:w="1560" w:type="dxa"/>
            <w:tcBorders>
              <w:top w:val="nil"/>
              <w:left w:val="nil"/>
              <w:bottom w:val="single" w:sz="4" w:space="0" w:color="auto"/>
              <w:right w:val="single" w:sz="4" w:space="0" w:color="auto"/>
            </w:tcBorders>
            <w:shd w:val="clear" w:color="000000" w:fill="DDEBF7"/>
            <w:vAlign w:val="center"/>
            <w:hideMark/>
          </w:tcPr>
          <w:p w14:paraId="030178A1" w14:textId="77777777" w:rsidR="009E7CFB" w:rsidRPr="009E7CFB" w:rsidRDefault="009E7CFB" w:rsidP="009E7CFB">
            <w:pPr>
              <w:jc w:val="center"/>
              <w:rPr>
                <w:rFonts w:ascii="Arial" w:hAnsi="Arial" w:cs="Arial"/>
                <w:b/>
                <w:bCs/>
                <w:color w:val="000000"/>
              </w:rPr>
            </w:pPr>
            <w:r w:rsidRPr="009E7CFB">
              <w:rPr>
                <w:rFonts w:ascii="Arial" w:hAnsi="Arial" w:cs="Arial"/>
                <w:b/>
                <w:bCs/>
                <w:color w:val="000000"/>
              </w:rPr>
              <w:t>(n)</w:t>
            </w:r>
          </w:p>
        </w:tc>
        <w:tc>
          <w:tcPr>
            <w:tcW w:w="1559" w:type="dxa"/>
            <w:tcBorders>
              <w:top w:val="nil"/>
              <w:left w:val="nil"/>
              <w:bottom w:val="single" w:sz="4" w:space="0" w:color="auto"/>
              <w:right w:val="single" w:sz="4" w:space="0" w:color="auto"/>
            </w:tcBorders>
            <w:shd w:val="clear" w:color="000000" w:fill="DDEBF7"/>
            <w:vAlign w:val="center"/>
            <w:hideMark/>
          </w:tcPr>
          <w:p w14:paraId="6A7D6405" w14:textId="77777777" w:rsidR="009E7CFB" w:rsidRPr="009E7CFB" w:rsidRDefault="009E7CFB" w:rsidP="009E7CFB">
            <w:pPr>
              <w:jc w:val="center"/>
              <w:rPr>
                <w:rFonts w:ascii="Arial" w:hAnsi="Arial" w:cs="Arial"/>
                <w:b/>
                <w:bCs/>
                <w:color w:val="000000"/>
              </w:rPr>
            </w:pPr>
            <w:r w:rsidRPr="009E7CFB">
              <w:rPr>
                <w:rFonts w:ascii="Arial" w:hAnsi="Arial" w:cs="Arial"/>
                <w:b/>
                <w:bCs/>
                <w:color w:val="000000"/>
              </w:rPr>
              <w:t>(%)</w:t>
            </w:r>
          </w:p>
        </w:tc>
      </w:tr>
      <w:tr w:rsidR="009E7CFB" w:rsidRPr="009E7CFB" w14:paraId="132FE419" w14:textId="77777777" w:rsidTr="002C5487">
        <w:trPr>
          <w:trHeight w:val="413"/>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4224EB66" w14:textId="77777777" w:rsidR="009E7CFB" w:rsidRPr="009E7CFB" w:rsidRDefault="009E7CFB" w:rsidP="009E7CFB">
            <w:pPr>
              <w:jc w:val="center"/>
              <w:rPr>
                <w:rFonts w:ascii="Arial" w:hAnsi="Arial" w:cs="Arial"/>
                <w:color w:val="000000"/>
              </w:rPr>
            </w:pPr>
            <w:r w:rsidRPr="009E7CFB">
              <w:rPr>
                <w:rFonts w:ascii="Arial" w:hAnsi="Arial" w:cs="Arial"/>
                <w:color w:val="000000"/>
              </w:rPr>
              <w:t>ANO</w:t>
            </w:r>
          </w:p>
        </w:tc>
        <w:tc>
          <w:tcPr>
            <w:tcW w:w="1559" w:type="dxa"/>
            <w:tcBorders>
              <w:top w:val="nil"/>
              <w:left w:val="nil"/>
              <w:bottom w:val="single" w:sz="4" w:space="0" w:color="auto"/>
              <w:right w:val="single" w:sz="4" w:space="0" w:color="auto"/>
            </w:tcBorders>
            <w:shd w:val="clear" w:color="auto" w:fill="auto"/>
            <w:vAlign w:val="center"/>
            <w:hideMark/>
          </w:tcPr>
          <w:p w14:paraId="1D67923B" w14:textId="77777777" w:rsidR="009E7CFB" w:rsidRPr="009E7CFB" w:rsidRDefault="009E7CFB" w:rsidP="009E7CFB">
            <w:pPr>
              <w:jc w:val="center"/>
              <w:rPr>
                <w:rFonts w:ascii="Arial" w:hAnsi="Arial" w:cs="Arial"/>
                <w:color w:val="000000"/>
              </w:rPr>
            </w:pPr>
            <w:r w:rsidRPr="009E7CFB">
              <w:rPr>
                <w:rFonts w:ascii="Arial" w:hAnsi="Arial" w:cs="Arial"/>
                <w:color w:val="000000"/>
              </w:rPr>
              <w:t>376</w:t>
            </w:r>
          </w:p>
        </w:tc>
        <w:tc>
          <w:tcPr>
            <w:tcW w:w="1559" w:type="dxa"/>
            <w:tcBorders>
              <w:top w:val="nil"/>
              <w:left w:val="nil"/>
              <w:bottom w:val="single" w:sz="4" w:space="0" w:color="auto"/>
              <w:right w:val="single" w:sz="4" w:space="0" w:color="auto"/>
            </w:tcBorders>
            <w:shd w:val="clear" w:color="auto" w:fill="auto"/>
            <w:vAlign w:val="center"/>
            <w:hideMark/>
          </w:tcPr>
          <w:p w14:paraId="2961A3AC" w14:textId="17B9CEA1" w:rsidR="009E7CFB" w:rsidRPr="009E7CFB" w:rsidRDefault="009E7CFB" w:rsidP="009E7CFB">
            <w:pPr>
              <w:jc w:val="center"/>
              <w:rPr>
                <w:rFonts w:ascii="Arial" w:hAnsi="Arial" w:cs="Arial"/>
                <w:color w:val="000000"/>
              </w:rPr>
            </w:pPr>
            <w:r w:rsidRPr="009E7CFB">
              <w:rPr>
                <w:rFonts w:ascii="Arial" w:hAnsi="Arial" w:cs="Arial"/>
                <w:color w:val="000000"/>
              </w:rPr>
              <w:t>73,87</w:t>
            </w:r>
          </w:p>
        </w:tc>
        <w:tc>
          <w:tcPr>
            <w:tcW w:w="1560" w:type="dxa"/>
            <w:tcBorders>
              <w:top w:val="nil"/>
              <w:left w:val="nil"/>
              <w:bottom w:val="single" w:sz="4" w:space="0" w:color="auto"/>
              <w:right w:val="single" w:sz="4" w:space="0" w:color="auto"/>
            </w:tcBorders>
            <w:shd w:val="clear" w:color="auto" w:fill="auto"/>
            <w:vAlign w:val="center"/>
            <w:hideMark/>
          </w:tcPr>
          <w:p w14:paraId="21D0C6D7" w14:textId="77777777" w:rsidR="009E7CFB" w:rsidRPr="009E7CFB" w:rsidRDefault="009E7CFB" w:rsidP="009E7CFB">
            <w:pPr>
              <w:jc w:val="center"/>
              <w:rPr>
                <w:rFonts w:ascii="Arial" w:hAnsi="Arial" w:cs="Arial"/>
                <w:color w:val="000000"/>
              </w:rPr>
            </w:pPr>
            <w:r w:rsidRPr="009E7CFB">
              <w:rPr>
                <w:rFonts w:ascii="Arial" w:hAnsi="Arial" w:cs="Arial"/>
                <w:color w:val="000000"/>
              </w:rPr>
              <w:t>445</w:t>
            </w:r>
          </w:p>
        </w:tc>
        <w:tc>
          <w:tcPr>
            <w:tcW w:w="1559" w:type="dxa"/>
            <w:tcBorders>
              <w:top w:val="nil"/>
              <w:left w:val="nil"/>
              <w:bottom w:val="single" w:sz="4" w:space="0" w:color="auto"/>
              <w:right w:val="single" w:sz="4" w:space="0" w:color="auto"/>
            </w:tcBorders>
            <w:shd w:val="clear" w:color="auto" w:fill="auto"/>
            <w:vAlign w:val="center"/>
            <w:hideMark/>
          </w:tcPr>
          <w:p w14:paraId="6168F946" w14:textId="1DD0A0B6" w:rsidR="009E7CFB" w:rsidRPr="009E7CFB" w:rsidRDefault="009E7CFB" w:rsidP="009E7CFB">
            <w:pPr>
              <w:jc w:val="center"/>
              <w:rPr>
                <w:rFonts w:ascii="Arial" w:hAnsi="Arial" w:cs="Arial"/>
                <w:color w:val="000000"/>
              </w:rPr>
            </w:pPr>
            <w:r w:rsidRPr="009E7CFB">
              <w:rPr>
                <w:rFonts w:ascii="Arial" w:hAnsi="Arial" w:cs="Arial"/>
                <w:color w:val="000000"/>
              </w:rPr>
              <w:t>74,41</w:t>
            </w:r>
          </w:p>
        </w:tc>
      </w:tr>
      <w:tr w:rsidR="009E7CFB" w:rsidRPr="009E7CFB" w14:paraId="3DA28FE2" w14:textId="77777777" w:rsidTr="002C5487">
        <w:trPr>
          <w:trHeight w:val="418"/>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2F4E5B9D" w14:textId="77777777" w:rsidR="009E7CFB" w:rsidRPr="009E7CFB" w:rsidRDefault="009E7CFB" w:rsidP="009E7CFB">
            <w:pPr>
              <w:jc w:val="center"/>
              <w:rPr>
                <w:rFonts w:ascii="Arial" w:hAnsi="Arial" w:cs="Arial"/>
                <w:color w:val="000000"/>
              </w:rPr>
            </w:pPr>
            <w:r w:rsidRPr="009E7CFB">
              <w:rPr>
                <w:rFonts w:ascii="Arial" w:hAnsi="Arial" w:cs="Arial"/>
                <w:color w:val="000000"/>
              </w:rPr>
              <w:t>NE</w:t>
            </w:r>
          </w:p>
        </w:tc>
        <w:tc>
          <w:tcPr>
            <w:tcW w:w="1559" w:type="dxa"/>
            <w:tcBorders>
              <w:top w:val="nil"/>
              <w:left w:val="nil"/>
              <w:bottom w:val="single" w:sz="4" w:space="0" w:color="auto"/>
              <w:right w:val="single" w:sz="4" w:space="0" w:color="auto"/>
            </w:tcBorders>
            <w:shd w:val="clear" w:color="auto" w:fill="auto"/>
            <w:vAlign w:val="center"/>
            <w:hideMark/>
          </w:tcPr>
          <w:p w14:paraId="6C1D6947" w14:textId="77777777" w:rsidR="009E7CFB" w:rsidRPr="009E7CFB" w:rsidRDefault="009E7CFB" w:rsidP="009E7CFB">
            <w:pPr>
              <w:jc w:val="center"/>
              <w:rPr>
                <w:rFonts w:ascii="Arial" w:hAnsi="Arial" w:cs="Arial"/>
                <w:color w:val="000000"/>
              </w:rPr>
            </w:pPr>
            <w:r w:rsidRPr="009E7CFB">
              <w:rPr>
                <w:rFonts w:ascii="Arial" w:hAnsi="Arial" w:cs="Arial"/>
                <w:color w:val="000000"/>
              </w:rPr>
              <w:t>133</w:t>
            </w:r>
          </w:p>
        </w:tc>
        <w:tc>
          <w:tcPr>
            <w:tcW w:w="1559" w:type="dxa"/>
            <w:tcBorders>
              <w:top w:val="nil"/>
              <w:left w:val="nil"/>
              <w:bottom w:val="single" w:sz="4" w:space="0" w:color="auto"/>
              <w:right w:val="single" w:sz="4" w:space="0" w:color="auto"/>
            </w:tcBorders>
            <w:shd w:val="clear" w:color="auto" w:fill="auto"/>
            <w:vAlign w:val="center"/>
            <w:hideMark/>
          </w:tcPr>
          <w:p w14:paraId="3F5CC16E" w14:textId="1EF6E526" w:rsidR="009E7CFB" w:rsidRPr="009E7CFB" w:rsidRDefault="009E7CFB" w:rsidP="009E7CFB">
            <w:pPr>
              <w:jc w:val="center"/>
              <w:rPr>
                <w:rFonts w:ascii="Arial" w:hAnsi="Arial" w:cs="Arial"/>
                <w:color w:val="000000"/>
              </w:rPr>
            </w:pPr>
            <w:r w:rsidRPr="009E7CFB">
              <w:rPr>
                <w:rFonts w:ascii="Arial" w:hAnsi="Arial" w:cs="Arial"/>
                <w:color w:val="000000"/>
              </w:rPr>
              <w:t>26,13</w:t>
            </w:r>
          </w:p>
        </w:tc>
        <w:tc>
          <w:tcPr>
            <w:tcW w:w="1560" w:type="dxa"/>
            <w:tcBorders>
              <w:top w:val="nil"/>
              <w:left w:val="nil"/>
              <w:bottom w:val="single" w:sz="4" w:space="0" w:color="auto"/>
              <w:right w:val="single" w:sz="4" w:space="0" w:color="auto"/>
            </w:tcBorders>
            <w:shd w:val="clear" w:color="auto" w:fill="auto"/>
            <w:vAlign w:val="center"/>
            <w:hideMark/>
          </w:tcPr>
          <w:p w14:paraId="64755D85" w14:textId="77777777" w:rsidR="009E7CFB" w:rsidRPr="009E7CFB" w:rsidRDefault="009E7CFB" w:rsidP="009E7CFB">
            <w:pPr>
              <w:jc w:val="center"/>
              <w:rPr>
                <w:rFonts w:ascii="Arial" w:hAnsi="Arial" w:cs="Arial"/>
                <w:color w:val="000000"/>
              </w:rPr>
            </w:pPr>
            <w:r w:rsidRPr="009E7CFB">
              <w:rPr>
                <w:rFonts w:ascii="Arial" w:hAnsi="Arial" w:cs="Arial"/>
                <w:color w:val="000000"/>
              </w:rPr>
              <w:t>153</w:t>
            </w:r>
          </w:p>
        </w:tc>
        <w:tc>
          <w:tcPr>
            <w:tcW w:w="1559" w:type="dxa"/>
            <w:tcBorders>
              <w:top w:val="nil"/>
              <w:left w:val="nil"/>
              <w:bottom w:val="single" w:sz="4" w:space="0" w:color="auto"/>
              <w:right w:val="single" w:sz="4" w:space="0" w:color="auto"/>
            </w:tcBorders>
            <w:shd w:val="clear" w:color="auto" w:fill="auto"/>
            <w:vAlign w:val="center"/>
            <w:hideMark/>
          </w:tcPr>
          <w:p w14:paraId="059198E0" w14:textId="35C8CE1B" w:rsidR="009E7CFB" w:rsidRPr="009E7CFB" w:rsidRDefault="009E7CFB" w:rsidP="009E7CFB">
            <w:pPr>
              <w:jc w:val="center"/>
              <w:rPr>
                <w:rFonts w:ascii="Arial" w:hAnsi="Arial" w:cs="Arial"/>
                <w:color w:val="000000"/>
              </w:rPr>
            </w:pPr>
            <w:r w:rsidRPr="009E7CFB">
              <w:rPr>
                <w:rFonts w:ascii="Arial" w:hAnsi="Arial" w:cs="Arial"/>
                <w:color w:val="000000"/>
              </w:rPr>
              <w:t>25,59</w:t>
            </w:r>
          </w:p>
        </w:tc>
      </w:tr>
      <w:tr w:rsidR="009E7CFB" w:rsidRPr="009E7CFB" w14:paraId="6D6D7910" w14:textId="77777777" w:rsidTr="002C5487">
        <w:trPr>
          <w:trHeight w:val="410"/>
          <w:jc w:val="center"/>
        </w:trPr>
        <w:tc>
          <w:tcPr>
            <w:tcW w:w="2547" w:type="dxa"/>
            <w:tcBorders>
              <w:top w:val="nil"/>
              <w:left w:val="single" w:sz="4" w:space="0" w:color="auto"/>
              <w:bottom w:val="single" w:sz="4" w:space="0" w:color="auto"/>
              <w:right w:val="single" w:sz="4" w:space="0" w:color="auto"/>
            </w:tcBorders>
            <w:shd w:val="clear" w:color="000000" w:fill="DDEBF7"/>
            <w:vAlign w:val="center"/>
            <w:hideMark/>
          </w:tcPr>
          <w:p w14:paraId="2076A805" w14:textId="77777777" w:rsidR="009E7CFB" w:rsidRPr="009E7CFB" w:rsidRDefault="009E7CFB" w:rsidP="009E7CFB">
            <w:pPr>
              <w:jc w:val="center"/>
              <w:rPr>
                <w:rFonts w:ascii="Arial" w:hAnsi="Arial" w:cs="Arial"/>
                <w:b/>
                <w:bCs/>
                <w:color w:val="000000"/>
              </w:rPr>
            </w:pPr>
            <w:r w:rsidRPr="009E7CFB">
              <w:rPr>
                <w:rFonts w:ascii="Arial" w:hAnsi="Arial" w:cs="Arial"/>
                <w:b/>
                <w:bCs/>
                <w:color w:val="000000"/>
              </w:rPr>
              <w:t>Celkový součet</w:t>
            </w:r>
          </w:p>
        </w:tc>
        <w:tc>
          <w:tcPr>
            <w:tcW w:w="1559" w:type="dxa"/>
            <w:tcBorders>
              <w:top w:val="nil"/>
              <w:left w:val="nil"/>
              <w:bottom w:val="single" w:sz="4" w:space="0" w:color="auto"/>
              <w:right w:val="single" w:sz="4" w:space="0" w:color="auto"/>
            </w:tcBorders>
            <w:shd w:val="clear" w:color="000000" w:fill="DDEBF7"/>
            <w:vAlign w:val="center"/>
            <w:hideMark/>
          </w:tcPr>
          <w:p w14:paraId="03189645" w14:textId="77777777" w:rsidR="009E7CFB" w:rsidRPr="009E7CFB" w:rsidRDefault="009E7CFB" w:rsidP="009E7CFB">
            <w:pPr>
              <w:jc w:val="center"/>
              <w:rPr>
                <w:rFonts w:ascii="Arial" w:hAnsi="Arial" w:cs="Arial"/>
                <w:b/>
                <w:bCs/>
                <w:color w:val="000000"/>
              </w:rPr>
            </w:pPr>
            <w:r w:rsidRPr="009E7CFB">
              <w:rPr>
                <w:rFonts w:ascii="Arial" w:hAnsi="Arial" w:cs="Arial"/>
                <w:b/>
                <w:bCs/>
                <w:color w:val="000000"/>
              </w:rPr>
              <w:t>509</w:t>
            </w:r>
          </w:p>
        </w:tc>
        <w:tc>
          <w:tcPr>
            <w:tcW w:w="1559" w:type="dxa"/>
            <w:tcBorders>
              <w:top w:val="nil"/>
              <w:left w:val="nil"/>
              <w:bottom w:val="single" w:sz="4" w:space="0" w:color="auto"/>
              <w:right w:val="single" w:sz="4" w:space="0" w:color="auto"/>
            </w:tcBorders>
            <w:shd w:val="clear" w:color="000000" w:fill="DDEBF7"/>
            <w:vAlign w:val="center"/>
            <w:hideMark/>
          </w:tcPr>
          <w:p w14:paraId="61498F5C" w14:textId="48E482D3" w:rsidR="009E7CFB" w:rsidRPr="009E7CFB" w:rsidRDefault="009E7CFB" w:rsidP="009E7CFB">
            <w:pPr>
              <w:jc w:val="center"/>
              <w:rPr>
                <w:rFonts w:ascii="Arial" w:hAnsi="Arial" w:cs="Arial"/>
                <w:b/>
                <w:bCs/>
                <w:color w:val="000000"/>
              </w:rPr>
            </w:pPr>
            <w:r w:rsidRPr="009E7CFB">
              <w:rPr>
                <w:rFonts w:ascii="Arial" w:hAnsi="Arial" w:cs="Arial"/>
                <w:b/>
                <w:bCs/>
                <w:color w:val="000000"/>
              </w:rPr>
              <w:t>100,00</w:t>
            </w:r>
          </w:p>
        </w:tc>
        <w:tc>
          <w:tcPr>
            <w:tcW w:w="1560" w:type="dxa"/>
            <w:tcBorders>
              <w:top w:val="nil"/>
              <w:left w:val="nil"/>
              <w:bottom w:val="single" w:sz="4" w:space="0" w:color="auto"/>
              <w:right w:val="single" w:sz="4" w:space="0" w:color="auto"/>
            </w:tcBorders>
            <w:shd w:val="clear" w:color="000000" w:fill="DDEBF7"/>
            <w:vAlign w:val="center"/>
            <w:hideMark/>
          </w:tcPr>
          <w:p w14:paraId="5E0DA266" w14:textId="77777777" w:rsidR="009E7CFB" w:rsidRPr="009E7CFB" w:rsidRDefault="009E7CFB" w:rsidP="009E7CFB">
            <w:pPr>
              <w:jc w:val="center"/>
              <w:rPr>
                <w:rFonts w:ascii="Arial" w:hAnsi="Arial" w:cs="Arial"/>
                <w:b/>
                <w:bCs/>
                <w:color w:val="000000"/>
              </w:rPr>
            </w:pPr>
            <w:r w:rsidRPr="009E7CFB">
              <w:rPr>
                <w:rFonts w:ascii="Arial" w:hAnsi="Arial" w:cs="Arial"/>
                <w:b/>
                <w:bCs/>
                <w:color w:val="000000"/>
              </w:rPr>
              <w:t>598</w:t>
            </w:r>
          </w:p>
        </w:tc>
        <w:tc>
          <w:tcPr>
            <w:tcW w:w="1559" w:type="dxa"/>
            <w:tcBorders>
              <w:top w:val="nil"/>
              <w:left w:val="nil"/>
              <w:bottom w:val="single" w:sz="4" w:space="0" w:color="auto"/>
              <w:right w:val="single" w:sz="4" w:space="0" w:color="auto"/>
            </w:tcBorders>
            <w:shd w:val="clear" w:color="000000" w:fill="DDEBF7"/>
            <w:vAlign w:val="center"/>
            <w:hideMark/>
          </w:tcPr>
          <w:p w14:paraId="4C1C1C10" w14:textId="39DA5124" w:rsidR="009E7CFB" w:rsidRPr="009E7CFB" w:rsidRDefault="009E7CFB" w:rsidP="009E7CFB">
            <w:pPr>
              <w:jc w:val="center"/>
              <w:rPr>
                <w:rFonts w:ascii="Arial" w:hAnsi="Arial" w:cs="Arial"/>
                <w:b/>
                <w:bCs/>
                <w:color w:val="000000"/>
              </w:rPr>
            </w:pPr>
            <w:r w:rsidRPr="009E7CFB">
              <w:rPr>
                <w:rFonts w:ascii="Arial" w:hAnsi="Arial" w:cs="Arial"/>
                <w:b/>
                <w:bCs/>
                <w:color w:val="000000"/>
              </w:rPr>
              <w:t>100,00</w:t>
            </w:r>
          </w:p>
        </w:tc>
      </w:tr>
    </w:tbl>
    <w:p w14:paraId="5D5378AE" w14:textId="77777777" w:rsidR="005F29CC" w:rsidRDefault="005F29CC" w:rsidP="008A44B9">
      <w:pPr>
        <w:pStyle w:val="Popisobrzku"/>
      </w:pPr>
    </w:p>
    <w:p w14:paraId="1C66A7BF" w14:textId="5BA17D5E" w:rsidR="009843C7" w:rsidRPr="008A44B9" w:rsidRDefault="00102C0A" w:rsidP="005F29CC">
      <w:pPr>
        <w:pStyle w:val="Dalodstavce"/>
        <w:ind w:firstLine="0"/>
      </w:pPr>
      <w:r w:rsidRPr="008A44B9">
        <w:t>U pacientů</w:t>
      </w:r>
      <w:r w:rsidR="00EE6A80" w:rsidRPr="008A44B9">
        <w:t xml:space="preserve"> </w:t>
      </w:r>
      <w:r w:rsidRPr="008A44B9">
        <w:t>jednoznačně převažoval</w:t>
      </w:r>
      <w:r w:rsidR="00B85C34" w:rsidRPr="008A44B9">
        <w:t>a potřeba</w:t>
      </w:r>
      <w:r w:rsidR="00415D0B" w:rsidRPr="008A44B9">
        <w:t xml:space="preserve"> umístění</w:t>
      </w:r>
      <w:r w:rsidR="00B85C34" w:rsidRPr="008A44B9">
        <w:t xml:space="preserve"> na observační lůžko</w:t>
      </w:r>
      <w:r w:rsidR="00D20C61" w:rsidRPr="008A44B9">
        <w:t xml:space="preserve"> NUP FN Brno</w:t>
      </w:r>
      <w:r w:rsidR="000C47E3" w:rsidRPr="008A44B9">
        <w:t>, a to v obou sledovaných kalendářních letech.</w:t>
      </w:r>
      <w:r w:rsidR="00B15D50" w:rsidRPr="008A44B9">
        <w:t xml:space="preserve"> </w:t>
      </w:r>
      <w:r w:rsidR="003B2F9D" w:rsidRPr="008A44B9">
        <w:t>Zb</w:t>
      </w:r>
      <w:r w:rsidR="00195B49" w:rsidRPr="008A44B9">
        <w:t>ývající</w:t>
      </w:r>
      <w:r w:rsidR="003B2F9D" w:rsidRPr="008A44B9">
        <w:t xml:space="preserve"> p</w:t>
      </w:r>
      <w:r w:rsidR="0083374E" w:rsidRPr="008A44B9">
        <w:t>acienti</w:t>
      </w:r>
      <w:r w:rsidR="00DC7567" w:rsidRPr="008A44B9">
        <w:t xml:space="preserve"> </w:t>
      </w:r>
      <w:r w:rsidR="0083374E" w:rsidRPr="008A44B9">
        <w:t>vyčk</w:t>
      </w:r>
      <w:r w:rsidR="002A2456" w:rsidRPr="008A44B9">
        <w:t>ávali</w:t>
      </w:r>
      <w:r w:rsidR="0083374E" w:rsidRPr="008A44B9">
        <w:t xml:space="preserve"> dalšího diagnosticko</w:t>
      </w:r>
      <w:r w:rsidR="002003A9" w:rsidRPr="008A44B9">
        <w:t>-terapeutického postupu v</w:t>
      </w:r>
      <w:r w:rsidR="00D20C61" w:rsidRPr="008A44B9">
        <w:t> </w:t>
      </w:r>
      <w:r w:rsidR="002003A9" w:rsidRPr="008A44B9">
        <w:t>čekárně</w:t>
      </w:r>
      <w:r w:rsidR="00D20C61" w:rsidRPr="008A44B9">
        <w:t xml:space="preserve"> nízkoprahového urgentního příjmu</w:t>
      </w:r>
      <w:r w:rsidR="002003A9" w:rsidRPr="008A44B9">
        <w:t xml:space="preserve">. Zaznamenáváno bylo </w:t>
      </w:r>
      <w:r w:rsidR="00BE58C0" w:rsidRPr="008A44B9">
        <w:t xml:space="preserve">vždy </w:t>
      </w:r>
      <w:r w:rsidR="00634C44" w:rsidRPr="008A44B9">
        <w:t>finální umístění pacienta</w:t>
      </w:r>
      <w:r w:rsidR="00BA1AF1" w:rsidRPr="008A44B9">
        <w:t xml:space="preserve"> v</w:t>
      </w:r>
      <w:r w:rsidR="00811CBE" w:rsidRPr="008A44B9">
        <w:t xml:space="preserve"> rámci</w:t>
      </w:r>
      <w:r w:rsidR="00BA1AF1" w:rsidRPr="008A44B9">
        <w:t xml:space="preserve"> struktu</w:t>
      </w:r>
      <w:r w:rsidR="00811CBE" w:rsidRPr="008A44B9">
        <w:t>ry</w:t>
      </w:r>
      <w:r w:rsidR="00BA1AF1" w:rsidRPr="008A44B9">
        <w:t xml:space="preserve"> oddělení.</w:t>
      </w:r>
      <w:r w:rsidR="00BE58C0" w:rsidRPr="008A44B9">
        <w:t xml:space="preserve"> Výsledky jsou uvedeny v Tabulce </w:t>
      </w:r>
      <w:r w:rsidR="00047AC8">
        <w:t>13</w:t>
      </w:r>
      <w:r w:rsidR="00BE58C0" w:rsidRPr="008A44B9">
        <w:t>.</w:t>
      </w:r>
      <w:r w:rsidR="002904FA">
        <w:t xml:space="preserve"> </w:t>
      </w:r>
      <w:r w:rsidR="002904FA" w:rsidRPr="002904FA">
        <w:t>Mezi roky 2019 a 2023 nebyly zjištěny statisticky významné rozdíly v</w:t>
      </w:r>
      <w:r w:rsidR="002904FA">
        <w:t>e využívání observač</w:t>
      </w:r>
      <w:r w:rsidR="00277D58">
        <w:t>ního lůžka</w:t>
      </w:r>
      <w:r w:rsidR="002904FA" w:rsidRPr="002904FA">
        <w:t>.</w:t>
      </w:r>
    </w:p>
    <w:p w14:paraId="4E7B261C" w14:textId="77777777" w:rsidR="00937631" w:rsidRPr="00937631" w:rsidRDefault="00937631" w:rsidP="00937631">
      <w:pPr>
        <w:pStyle w:val="Odstavec1"/>
        <w:rPr>
          <w:lang w:eastAsia="sk-SK"/>
        </w:rPr>
      </w:pPr>
    </w:p>
    <w:p w14:paraId="15636693" w14:textId="3B9F6299" w:rsidR="009843C7" w:rsidRPr="00EE22D1" w:rsidRDefault="009843C7" w:rsidP="009843C7">
      <w:pPr>
        <w:pStyle w:val="Titulektabulky"/>
      </w:pPr>
      <w:bookmarkStart w:id="47" w:name="_Toc195517139"/>
      <w:r>
        <w:t xml:space="preserve">Tab. </w:t>
      </w:r>
      <w:fldSimple w:instr=" SEQ Tab. \* ARABIC ">
        <w:r w:rsidR="0022490D">
          <w:rPr>
            <w:noProof/>
          </w:rPr>
          <w:t>14</w:t>
        </w:r>
      </w:fldSimple>
      <w:r>
        <w:t xml:space="preserve">: </w:t>
      </w:r>
      <w:r w:rsidR="00D16204">
        <w:t>Využití zobrazovacích metod na NUP FN Brno u pacientů ve věkové kategorii 75</w:t>
      </w:r>
      <w:r w:rsidR="00EE6A80">
        <w:t xml:space="preserve"> </w:t>
      </w:r>
      <w:r w:rsidR="00D16204">
        <w:t>a</w:t>
      </w:r>
      <w:r w:rsidR="00280E34">
        <w:t> </w:t>
      </w:r>
      <w:r w:rsidR="00D16204">
        <w:t>více</w:t>
      </w:r>
      <w:r w:rsidR="00EE6A80">
        <w:t xml:space="preserve"> let</w:t>
      </w:r>
      <w:bookmarkEnd w:id="47"/>
    </w:p>
    <w:tbl>
      <w:tblPr>
        <w:tblW w:w="8784" w:type="dxa"/>
        <w:jc w:val="center"/>
        <w:tblCellMar>
          <w:left w:w="70" w:type="dxa"/>
          <w:right w:w="70" w:type="dxa"/>
        </w:tblCellMar>
        <w:tblLook w:val="04A0" w:firstRow="1" w:lastRow="0" w:firstColumn="1" w:lastColumn="0" w:noHBand="0" w:noVBand="1"/>
      </w:tblPr>
      <w:tblGrid>
        <w:gridCol w:w="2547"/>
        <w:gridCol w:w="1559"/>
        <w:gridCol w:w="1559"/>
        <w:gridCol w:w="1560"/>
        <w:gridCol w:w="1559"/>
      </w:tblGrid>
      <w:tr w:rsidR="00280E34" w:rsidRPr="00280E34" w14:paraId="404DD2D4" w14:textId="77777777" w:rsidTr="00E971C0">
        <w:trPr>
          <w:trHeight w:val="484"/>
          <w:tblHeader/>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53313AB2" w14:textId="77777777" w:rsidR="00280E34" w:rsidRPr="00280E34" w:rsidRDefault="00280E34" w:rsidP="00280E34">
            <w:pPr>
              <w:jc w:val="center"/>
              <w:rPr>
                <w:rFonts w:ascii="Arial" w:hAnsi="Arial" w:cs="Arial"/>
                <w:b/>
                <w:bCs/>
                <w:color w:val="000000"/>
              </w:rPr>
            </w:pPr>
            <w:r w:rsidRPr="00280E34">
              <w:rPr>
                <w:rFonts w:ascii="Arial" w:hAnsi="Arial" w:cs="Arial"/>
                <w:b/>
                <w:bCs/>
                <w:color w:val="000000"/>
              </w:rPr>
              <w:t>Zobrazovací metody</w:t>
            </w:r>
          </w:p>
        </w:tc>
        <w:tc>
          <w:tcPr>
            <w:tcW w:w="3118" w:type="dxa"/>
            <w:gridSpan w:val="2"/>
            <w:tcBorders>
              <w:top w:val="single" w:sz="4" w:space="0" w:color="auto"/>
              <w:left w:val="nil"/>
              <w:bottom w:val="single" w:sz="4" w:space="0" w:color="auto"/>
              <w:right w:val="single" w:sz="4" w:space="0" w:color="auto"/>
            </w:tcBorders>
            <w:shd w:val="clear" w:color="000000" w:fill="DDEBF7"/>
            <w:vAlign w:val="center"/>
            <w:hideMark/>
          </w:tcPr>
          <w:p w14:paraId="22A58F24" w14:textId="2127C33B" w:rsidR="00280E34" w:rsidRPr="00280E34" w:rsidRDefault="00373934" w:rsidP="00280E34">
            <w:pPr>
              <w:jc w:val="center"/>
              <w:rPr>
                <w:rFonts w:ascii="Arial" w:hAnsi="Arial" w:cs="Arial"/>
                <w:b/>
                <w:bCs/>
                <w:color w:val="000000"/>
              </w:rPr>
            </w:pPr>
            <w:r>
              <w:rPr>
                <w:rFonts w:ascii="Arial" w:hAnsi="Arial" w:cs="Arial"/>
                <w:b/>
                <w:bCs/>
                <w:color w:val="000000"/>
              </w:rPr>
              <w:t xml:space="preserve">Rok </w:t>
            </w:r>
            <w:r w:rsidR="00280E34" w:rsidRPr="00280E34">
              <w:rPr>
                <w:rFonts w:ascii="Arial" w:hAnsi="Arial" w:cs="Arial"/>
                <w:b/>
                <w:bCs/>
                <w:color w:val="000000"/>
              </w:rPr>
              <w:t>2019</w:t>
            </w:r>
          </w:p>
        </w:tc>
        <w:tc>
          <w:tcPr>
            <w:tcW w:w="3119" w:type="dxa"/>
            <w:gridSpan w:val="2"/>
            <w:tcBorders>
              <w:top w:val="single" w:sz="4" w:space="0" w:color="auto"/>
              <w:left w:val="nil"/>
              <w:bottom w:val="single" w:sz="4" w:space="0" w:color="auto"/>
              <w:right w:val="single" w:sz="4" w:space="0" w:color="auto"/>
            </w:tcBorders>
            <w:shd w:val="clear" w:color="000000" w:fill="DDEBF7"/>
            <w:vAlign w:val="center"/>
            <w:hideMark/>
          </w:tcPr>
          <w:p w14:paraId="44710EB3" w14:textId="0E9430AF" w:rsidR="00280E34" w:rsidRPr="00280E34" w:rsidRDefault="00373934" w:rsidP="00280E34">
            <w:pPr>
              <w:jc w:val="center"/>
              <w:rPr>
                <w:rFonts w:ascii="Arial" w:hAnsi="Arial" w:cs="Arial"/>
                <w:b/>
                <w:bCs/>
                <w:color w:val="000000"/>
              </w:rPr>
            </w:pPr>
            <w:r>
              <w:rPr>
                <w:rFonts w:ascii="Arial" w:hAnsi="Arial" w:cs="Arial"/>
                <w:b/>
                <w:bCs/>
                <w:color w:val="000000"/>
              </w:rPr>
              <w:t xml:space="preserve">Rok </w:t>
            </w:r>
            <w:r w:rsidR="00280E34" w:rsidRPr="00280E34">
              <w:rPr>
                <w:rFonts w:ascii="Arial" w:hAnsi="Arial" w:cs="Arial"/>
                <w:b/>
                <w:bCs/>
                <w:color w:val="000000"/>
              </w:rPr>
              <w:t>2023</w:t>
            </w:r>
          </w:p>
        </w:tc>
      </w:tr>
      <w:tr w:rsidR="00280E34" w:rsidRPr="00280E34" w14:paraId="2F5950D3" w14:textId="77777777" w:rsidTr="00E971C0">
        <w:trPr>
          <w:trHeight w:val="420"/>
          <w:tblHeader/>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049DD4C7" w14:textId="77777777" w:rsidR="00280E34" w:rsidRPr="00280E34" w:rsidRDefault="00280E34" w:rsidP="00280E34">
            <w:pPr>
              <w:rPr>
                <w:rFonts w:ascii="Arial" w:hAnsi="Arial" w:cs="Arial"/>
                <w:b/>
                <w:bCs/>
                <w:color w:val="000000"/>
              </w:rPr>
            </w:pPr>
          </w:p>
        </w:tc>
        <w:tc>
          <w:tcPr>
            <w:tcW w:w="1559" w:type="dxa"/>
            <w:tcBorders>
              <w:top w:val="nil"/>
              <w:left w:val="nil"/>
              <w:bottom w:val="single" w:sz="4" w:space="0" w:color="auto"/>
              <w:right w:val="single" w:sz="4" w:space="0" w:color="auto"/>
            </w:tcBorders>
            <w:shd w:val="clear" w:color="000000" w:fill="DDEBF7"/>
            <w:vAlign w:val="center"/>
            <w:hideMark/>
          </w:tcPr>
          <w:p w14:paraId="35F88DE4" w14:textId="77777777" w:rsidR="00280E34" w:rsidRPr="00280E34" w:rsidRDefault="00280E34" w:rsidP="00280E34">
            <w:pPr>
              <w:jc w:val="center"/>
              <w:rPr>
                <w:rFonts w:ascii="Arial" w:hAnsi="Arial" w:cs="Arial"/>
                <w:b/>
                <w:bCs/>
                <w:color w:val="000000"/>
              </w:rPr>
            </w:pPr>
            <w:r w:rsidRPr="00280E34">
              <w:rPr>
                <w:rFonts w:ascii="Arial" w:hAnsi="Arial" w:cs="Arial"/>
                <w:b/>
                <w:bCs/>
                <w:color w:val="000000"/>
              </w:rPr>
              <w:t>(n)</w:t>
            </w:r>
          </w:p>
        </w:tc>
        <w:tc>
          <w:tcPr>
            <w:tcW w:w="1559" w:type="dxa"/>
            <w:tcBorders>
              <w:top w:val="nil"/>
              <w:left w:val="nil"/>
              <w:bottom w:val="single" w:sz="4" w:space="0" w:color="auto"/>
              <w:right w:val="single" w:sz="4" w:space="0" w:color="auto"/>
            </w:tcBorders>
            <w:shd w:val="clear" w:color="000000" w:fill="DDEBF7"/>
            <w:vAlign w:val="center"/>
            <w:hideMark/>
          </w:tcPr>
          <w:p w14:paraId="1B683521" w14:textId="77777777" w:rsidR="00280E34" w:rsidRPr="00280E34" w:rsidRDefault="00280E34" w:rsidP="00280E34">
            <w:pPr>
              <w:jc w:val="center"/>
              <w:rPr>
                <w:rFonts w:ascii="Arial" w:hAnsi="Arial" w:cs="Arial"/>
                <w:b/>
                <w:bCs/>
                <w:color w:val="000000"/>
              </w:rPr>
            </w:pPr>
            <w:r w:rsidRPr="00280E34">
              <w:rPr>
                <w:rFonts w:ascii="Arial" w:hAnsi="Arial" w:cs="Arial"/>
                <w:b/>
                <w:bCs/>
                <w:color w:val="000000"/>
              </w:rPr>
              <w:t>(%)</w:t>
            </w:r>
          </w:p>
        </w:tc>
        <w:tc>
          <w:tcPr>
            <w:tcW w:w="1560" w:type="dxa"/>
            <w:tcBorders>
              <w:top w:val="nil"/>
              <w:left w:val="nil"/>
              <w:bottom w:val="single" w:sz="4" w:space="0" w:color="auto"/>
              <w:right w:val="single" w:sz="4" w:space="0" w:color="auto"/>
            </w:tcBorders>
            <w:shd w:val="clear" w:color="000000" w:fill="DDEBF7"/>
            <w:vAlign w:val="center"/>
            <w:hideMark/>
          </w:tcPr>
          <w:p w14:paraId="07CAE98A" w14:textId="77777777" w:rsidR="00280E34" w:rsidRPr="00280E34" w:rsidRDefault="00280E34" w:rsidP="00280E34">
            <w:pPr>
              <w:jc w:val="center"/>
              <w:rPr>
                <w:rFonts w:ascii="Arial" w:hAnsi="Arial" w:cs="Arial"/>
                <w:b/>
                <w:bCs/>
                <w:color w:val="000000"/>
              </w:rPr>
            </w:pPr>
            <w:r w:rsidRPr="00280E34">
              <w:rPr>
                <w:rFonts w:ascii="Arial" w:hAnsi="Arial" w:cs="Arial"/>
                <w:b/>
                <w:bCs/>
                <w:color w:val="000000"/>
              </w:rPr>
              <w:t>(n)</w:t>
            </w:r>
          </w:p>
        </w:tc>
        <w:tc>
          <w:tcPr>
            <w:tcW w:w="1559" w:type="dxa"/>
            <w:tcBorders>
              <w:top w:val="nil"/>
              <w:left w:val="nil"/>
              <w:bottom w:val="single" w:sz="4" w:space="0" w:color="auto"/>
              <w:right w:val="single" w:sz="4" w:space="0" w:color="auto"/>
            </w:tcBorders>
            <w:shd w:val="clear" w:color="000000" w:fill="DDEBF7"/>
            <w:vAlign w:val="center"/>
            <w:hideMark/>
          </w:tcPr>
          <w:p w14:paraId="0E6E0F9A" w14:textId="77777777" w:rsidR="00280E34" w:rsidRPr="00280E34" w:rsidRDefault="00280E34" w:rsidP="00280E34">
            <w:pPr>
              <w:jc w:val="center"/>
              <w:rPr>
                <w:rFonts w:ascii="Arial" w:hAnsi="Arial" w:cs="Arial"/>
                <w:b/>
                <w:bCs/>
                <w:color w:val="000000"/>
              </w:rPr>
            </w:pPr>
            <w:r w:rsidRPr="00280E34">
              <w:rPr>
                <w:rFonts w:ascii="Arial" w:hAnsi="Arial" w:cs="Arial"/>
                <w:b/>
                <w:bCs/>
                <w:color w:val="000000"/>
              </w:rPr>
              <w:t>(%)</w:t>
            </w:r>
          </w:p>
        </w:tc>
      </w:tr>
      <w:tr w:rsidR="00280E34" w:rsidRPr="00280E34" w14:paraId="7659EAF9" w14:textId="77777777" w:rsidTr="00280E34">
        <w:trPr>
          <w:trHeight w:val="412"/>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107E8C3E" w14:textId="77777777" w:rsidR="00280E34" w:rsidRPr="00280E34" w:rsidRDefault="00280E34" w:rsidP="00280E34">
            <w:pPr>
              <w:jc w:val="center"/>
              <w:rPr>
                <w:rFonts w:ascii="Arial" w:hAnsi="Arial" w:cs="Arial"/>
                <w:color w:val="000000"/>
              </w:rPr>
            </w:pPr>
            <w:r w:rsidRPr="00280E34">
              <w:rPr>
                <w:rFonts w:ascii="Arial" w:hAnsi="Arial" w:cs="Arial"/>
                <w:color w:val="000000"/>
              </w:rPr>
              <w:t>ANO</w:t>
            </w:r>
          </w:p>
        </w:tc>
        <w:tc>
          <w:tcPr>
            <w:tcW w:w="1559" w:type="dxa"/>
            <w:tcBorders>
              <w:top w:val="nil"/>
              <w:left w:val="nil"/>
              <w:bottom w:val="single" w:sz="4" w:space="0" w:color="auto"/>
              <w:right w:val="single" w:sz="4" w:space="0" w:color="auto"/>
            </w:tcBorders>
            <w:shd w:val="clear" w:color="auto" w:fill="auto"/>
            <w:vAlign w:val="center"/>
            <w:hideMark/>
          </w:tcPr>
          <w:p w14:paraId="61D6D4FA" w14:textId="77777777" w:rsidR="00280E34" w:rsidRPr="00280E34" w:rsidRDefault="00280E34" w:rsidP="00280E34">
            <w:pPr>
              <w:jc w:val="center"/>
              <w:rPr>
                <w:rFonts w:ascii="Arial" w:hAnsi="Arial" w:cs="Arial"/>
                <w:color w:val="000000"/>
              </w:rPr>
            </w:pPr>
            <w:r w:rsidRPr="00280E34">
              <w:rPr>
                <w:rFonts w:ascii="Arial" w:hAnsi="Arial" w:cs="Arial"/>
                <w:color w:val="000000"/>
              </w:rPr>
              <w:t>256</w:t>
            </w:r>
          </w:p>
        </w:tc>
        <w:tc>
          <w:tcPr>
            <w:tcW w:w="1559" w:type="dxa"/>
            <w:tcBorders>
              <w:top w:val="nil"/>
              <w:left w:val="nil"/>
              <w:bottom w:val="single" w:sz="4" w:space="0" w:color="auto"/>
              <w:right w:val="single" w:sz="4" w:space="0" w:color="auto"/>
            </w:tcBorders>
            <w:shd w:val="clear" w:color="auto" w:fill="auto"/>
            <w:vAlign w:val="center"/>
            <w:hideMark/>
          </w:tcPr>
          <w:p w14:paraId="09B56C57" w14:textId="5F81F9AA" w:rsidR="00280E34" w:rsidRPr="00280E34" w:rsidRDefault="00280E34" w:rsidP="00280E34">
            <w:pPr>
              <w:jc w:val="center"/>
              <w:rPr>
                <w:rFonts w:ascii="Arial" w:hAnsi="Arial" w:cs="Arial"/>
                <w:color w:val="000000"/>
              </w:rPr>
            </w:pPr>
            <w:r w:rsidRPr="00280E34">
              <w:rPr>
                <w:rFonts w:ascii="Arial" w:hAnsi="Arial" w:cs="Arial"/>
                <w:color w:val="000000"/>
              </w:rPr>
              <w:t>50,29</w:t>
            </w:r>
          </w:p>
        </w:tc>
        <w:tc>
          <w:tcPr>
            <w:tcW w:w="1560" w:type="dxa"/>
            <w:tcBorders>
              <w:top w:val="nil"/>
              <w:left w:val="nil"/>
              <w:bottom w:val="single" w:sz="4" w:space="0" w:color="auto"/>
              <w:right w:val="single" w:sz="4" w:space="0" w:color="auto"/>
            </w:tcBorders>
            <w:shd w:val="clear" w:color="auto" w:fill="auto"/>
            <w:vAlign w:val="center"/>
            <w:hideMark/>
          </w:tcPr>
          <w:p w14:paraId="100A0034" w14:textId="77777777" w:rsidR="00280E34" w:rsidRPr="00280E34" w:rsidRDefault="00280E34" w:rsidP="00280E34">
            <w:pPr>
              <w:jc w:val="center"/>
              <w:rPr>
                <w:rFonts w:ascii="Arial" w:hAnsi="Arial" w:cs="Arial"/>
                <w:color w:val="000000"/>
              </w:rPr>
            </w:pPr>
            <w:r w:rsidRPr="00280E34">
              <w:rPr>
                <w:rFonts w:ascii="Arial" w:hAnsi="Arial" w:cs="Arial"/>
                <w:color w:val="000000"/>
              </w:rPr>
              <w:t>340</w:t>
            </w:r>
          </w:p>
        </w:tc>
        <w:tc>
          <w:tcPr>
            <w:tcW w:w="1559" w:type="dxa"/>
            <w:tcBorders>
              <w:top w:val="nil"/>
              <w:left w:val="nil"/>
              <w:bottom w:val="single" w:sz="4" w:space="0" w:color="auto"/>
              <w:right w:val="single" w:sz="4" w:space="0" w:color="auto"/>
            </w:tcBorders>
            <w:shd w:val="clear" w:color="auto" w:fill="auto"/>
            <w:vAlign w:val="center"/>
            <w:hideMark/>
          </w:tcPr>
          <w:p w14:paraId="6AB68003" w14:textId="50E679BD" w:rsidR="00280E34" w:rsidRPr="00280E34" w:rsidRDefault="00280E34" w:rsidP="00280E34">
            <w:pPr>
              <w:jc w:val="center"/>
              <w:rPr>
                <w:rFonts w:ascii="Arial" w:hAnsi="Arial" w:cs="Arial"/>
                <w:color w:val="000000"/>
              </w:rPr>
            </w:pPr>
            <w:r w:rsidRPr="00280E34">
              <w:rPr>
                <w:rFonts w:ascii="Arial" w:hAnsi="Arial" w:cs="Arial"/>
                <w:color w:val="000000"/>
              </w:rPr>
              <w:t>56,86</w:t>
            </w:r>
          </w:p>
        </w:tc>
      </w:tr>
      <w:tr w:rsidR="00280E34" w:rsidRPr="00280E34" w14:paraId="262D9100" w14:textId="77777777" w:rsidTr="00280E34">
        <w:trPr>
          <w:trHeight w:val="417"/>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72984445" w14:textId="77777777" w:rsidR="00280E34" w:rsidRPr="00280E34" w:rsidRDefault="00280E34" w:rsidP="00280E34">
            <w:pPr>
              <w:jc w:val="center"/>
              <w:rPr>
                <w:rFonts w:ascii="Arial" w:hAnsi="Arial" w:cs="Arial"/>
                <w:color w:val="000000"/>
              </w:rPr>
            </w:pPr>
            <w:r w:rsidRPr="00280E34">
              <w:rPr>
                <w:rFonts w:ascii="Arial" w:hAnsi="Arial" w:cs="Arial"/>
                <w:color w:val="000000"/>
              </w:rPr>
              <w:t>NE</w:t>
            </w:r>
          </w:p>
        </w:tc>
        <w:tc>
          <w:tcPr>
            <w:tcW w:w="1559" w:type="dxa"/>
            <w:tcBorders>
              <w:top w:val="nil"/>
              <w:left w:val="nil"/>
              <w:bottom w:val="single" w:sz="4" w:space="0" w:color="auto"/>
              <w:right w:val="single" w:sz="4" w:space="0" w:color="auto"/>
            </w:tcBorders>
            <w:shd w:val="clear" w:color="auto" w:fill="auto"/>
            <w:vAlign w:val="center"/>
            <w:hideMark/>
          </w:tcPr>
          <w:p w14:paraId="568007F9" w14:textId="77777777" w:rsidR="00280E34" w:rsidRPr="00280E34" w:rsidRDefault="00280E34" w:rsidP="00280E34">
            <w:pPr>
              <w:jc w:val="center"/>
              <w:rPr>
                <w:rFonts w:ascii="Arial" w:hAnsi="Arial" w:cs="Arial"/>
                <w:color w:val="000000"/>
              </w:rPr>
            </w:pPr>
            <w:r w:rsidRPr="00280E34">
              <w:rPr>
                <w:rFonts w:ascii="Arial" w:hAnsi="Arial" w:cs="Arial"/>
                <w:color w:val="000000"/>
              </w:rPr>
              <w:t>253</w:t>
            </w:r>
          </w:p>
        </w:tc>
        <w:tc>
          <w:tcPr>
            <w:tcW w:w="1559" w:type="dxa"/>
            <w:tcBorders>
              <w:top w:val="nil"/>
              <w:left w:val="nil"/>
              <w:bottom w:val="single" w:sz="4" w:space="0" w:color="auto"/>
              <w:right w:val="single" w:sz="4" w:space="0" w:color="auto"/>
            </w:tcBorders>
            <w:shd w:val="clear" w:color="auto" w:fill="auto"/>
            <w:vAlign w:val="center"/>
            <w:hideMark/>
          </w:tcPr>
          <w:p w14:paraId="08BEAD82" w14:textId="090015EE" w:rsidR="00280E34" w:rsidRPr="00280E34" w:rsidRDefault="00280E34" w:rsidP="00280E34">
            <w:pPr>
              <w:jc w:val="center"/>
              <w:rPr>
                <w:rFonts w:ascii="Arial" w:hAnsi="Arial" w:cs="Arial"/>
                <w:color w:val="000000"/>
              </w:rPr>
            </w:pPr>
            <w:r w:rsidRPr="00280E34">
              <w:rPr>
                <w:rFonts w:ascii="Arial" w:hAnsi="Arial" w:cs="Arial"/>
                <w:color w:val="000000"/>
              </w:rPr>
              <w:t>49,71</w:t>
            </w:r>
          </w:p>
        </w:tc>
        <w:tc>
          <w:tcPr>
            <w:tcW w:w="1560" w:type="dxa"/>
            <w:tcBorders>
              <w:top w:val="nil"/>
              <w:left w:val="nil"/>
              <w:bottom w:val="single" w:sz="4" w:space="0" w:color="auto"/>
              <w:right w:val="single" w:sz="4" w:space="0" w:color="auto"/>
            </w:tcBorders>
            <w:shd w:val="clear" w:color="auto" w:fill="auto"/>
            <w:vAlign w:val="center"/>
            <w:hideMark/>
          </w:tcPr>
          <w:p w14:paraId="161303BC" w14:textId="77777777" w:rsidR="00280E34" w:rsidRPr="00280E34" w:rsidRDefault="00280E34" w:rsidP="00280E34">
            <w:pPr>
              <w:jc w:val="center"/>
              <w:rPr>
                <w:rFonts w:ascii="Arial" w:hAnsi="Arial" w:cs="Arial"/>
                <w:color w:val="000000"/>
              </w:rPr>
            </w:pPr>
            <w:r w:rsidRPr="00280E34">
              <w:rPr>
                <w:rFonts w:ascii="Arial" w:hAnsi="Arial" w:cs="Arial"/>
                <w:color w:val="000000"/>
              </w:rPr>
              <w:t>258</w:t>
            </w:r>
          </w:p>
        </w:tc>
        <w:tc>
          <w:tcPr>
            <w:tcW w:w="1559" w:type="dxa"/>
            <w:tcBorders>
              <w:top w:val="nil"/>
              <w:left w:val="nil"/>
              <w:bottom w:val="single" w:sz="4" w:space="0" w:color="auto"/>
              <w:right w:val="single" w:sz="4" w:space="0" w:color="auto"/>
            </w:tcBorders>
            <w:shd w:val="clear" w:color="auto" w:fill="auto"/>
            <w:vAlign w:val="center"/>
            <w:hideMark/>
          </w:tcPr>
          <w:p w14:paraId="7282FCEA" w14:textId="2FF49ADA" w:rsidR="00280E34" w:rsidRPr="00280E34" w:rsidRDefault="00280E34" w:rsidP="00280E34">
            <w:pPr>
              <w:jc w:val="center"/>
              <w:rPr>
                <w:rFonts w:ascii="Arial" w:hAnsi="Arial" w:cs="Arial"/>
                <w:color w:val="000000"/>
              </w:rPr>
            </w:pPr>
            <w:r w:rsidRPr="00280E34">
              <w:rPr>
                <w:rFonts w:ascii="Arial" w:hAnsi="Arial" w:cs="Arial"/>
                <w:color w:val="000000"/>
              </w:rPr>
              <w:t>43,14</w:t>
            </w:r>
          </w:p>
        </w:tc>
      </w:tr>
      <w:tr w:rsidR="00280E34" w:rsidRPr="00280E34" w14:paraId="4CDAE958" w14:textId="77777777" w:rsidTr="00280E34">
        <w:trPr>
          <w:trHeight w:val="424"/>
          <w:jc w:val="center"/>
        </w:trPr>
        <w:tc>
          <w:tcPr>
            <w:tcW w:w="2547" w:type="dxa"/>
            <w:tcBorders>
              <w:top w:val="nil"/>
              <w:left w:val="single" w:sz="4" w:space="0" w:color="auto"/>
              <w:bottom w:val="single" w:sz="4" w:space="0" w:color="auto"/>
              <w:right w:val="single" w:sz="4" w:space="0" w:color="auto"/>
            </w:tcBorders>
            <w:shd w:val="clear" w:color="000000" w:fill="DDEBF7"/>
            <w:vAlign w:val="center"/>
            <w:hideMark/>
          </w:tcPr>
          <w:p w14:paraId="3D20675F" w14:textId="77777777" w:rsidR="00280E34" w:rsidRPr="00280E34" w:rsidRDefault="00280E34" w:rsidP="00280E34">
            <w:pPr>
              <w:jc w:val="center"/>
              <w:rPr>
                <w:rFonts w:ascii="Arial" w:hAnsi="Arial" w:cs="Arial"/>
                <w:b/>
                <w:bCs/>
                <w:color w:val="000000"/>
              </w:rPr>
            </w:pPr>
            <w:r w:rsidRPr="00280E34">
              <w:rPr>
                <w:rFonts w:ascii="Arial" w:hAnsi="Arial" w:cs="Arial"/>
                <w:b/>
                <w:bCs/>
                <w:color w:val="000000"/>
              </w:rPr>
              <w:t>Celkový součet</w:t>
            </w:r>
          </w:p>
        </w:tc>
        <w:tc>
          <w:tcPr>
            <w:tcW w:w="1559" w:type="dxa"/>
            <w:tcBorders>
              <w:top w:val="nil"/>
              <w:left w:val="nil"/>
              <w:bottom w:val="single" w:sz="4" w:space="0" w:color="auto"/>
              <w:right w:val="single" w:sz="4" w:space="0" w:color="auto"/>
            </w:tcBorders>
            <w:shd w:val="clear" w:color="000000" w:fill="DDEBF7"/>
            <w:vAlign w:val="center"/>
            <w:hideMark/>
          </w:tcPr>
          <w:p w14:paraId="1F2A6E19" w14:textId="77777777" w:rsidR="00280E34" w:rsidRPr="00280E34" w:rsidRDefault="00280E34" w:rsidP="00280E34">
            <w:pPr>
              <w:jc w:val="center"/>
              <w:rPr>
                <w:rFonts w:ascii="Arial" w:hAnsi="Arial" w:cs="Arial"/>
                <w:b/>
                <w:bCs/>
                <w:color w:val="000000"/>
              </w:rPr>
            </w:pPr>
            <w:r w:rsidRPr="00280E34">
              <w:rPr>
                <w:rFonts w:ascii="Arial" w:hAnsi="Arial" w:cs="Arial"/>
                <w:b/>
                <w:bCs/>
                <w:color w:val="000000"/>
              </w:rPr>
              <w:t>509</w:t>
            </w:r>
          </w:p>
        </w:tc>
        <w:tc>
          <w:tcPr>
            <w:tcW w:w="1559" w:type="dxa"/>
            <w:tcBorders>
              <w:top w:val="nil"/>
              <w:left w:val="nil"/>
              <w:bottom w:val="single" w:sz="4" w:space="0" w:color="auto"/>
              <w:right w:val="single" w:sz="4" w:space="0" w:color="auto"/>
            </w:tcBorders>
            <w:shd w:val="clear" w:color="000000" w:fill="DDEBF7"/>
            <w:vAlign w:val="center"/>
            <w:hideMark/>
          </w:tcPr>
          <w:p w14:paraId="39CE6C9B" w14:textId="24FE0962" w:rsidR="00280E34" w:rsidRPr="00280E34" w:rsidRDefault="00280E34" w:rsidP="00280E34">
            <w:pPr>
              <w:jc w:val="center"/>
              <w:rPr>
                <w:rFonts w:ascii="Arial" w:hAnsi="Arial" w:cs="Arial"/>
                <w:b/>
                <w:bCs/>
                <w:color w:val="000000"/>
              </w:rPr>
            </w:pPr>
            <w:r w:rsidRPr="00280E34">
              <w:rPr>
                <w:rFonts w:ascii="Arial" w:hAnsi="Arial" w:cs="Arial"/>
                <w:b/>
                <w:bCs/>
                <w:color w:val="000000"/>
              </w:rPr>
              <w:t>100,00</w:t>
            </w:r>
          </w:p>
        </w:tc>
        <w:tc>
          <w:tcPr>
            <w:tcW w:w="1560" w:type="dxa"/>
            <w:tcBorders>
              <w:top w:val="nil"/>
              <w:left w:val="nil"/>
              <w:bottom w:val="single" w:sz="4" w:space="0" w:color="auto"/>
              <w:right w:val="single" w:sz="4" w:space="0" w:color="auto"/>
            </w:tcBorders>
            <w:shd w:val="clear" w:color="000000" w:fill="DDEBF7"/>
            <w:vAlign w:val="center"/>
            <w:hideMark/>
          </w:tcPr>
          <w:p w14:paraId="3F2940A3" w14:textId="77777777" w:rsidR="00280E34" w:rsidRPr="00280E34" w:rsidRDefault="00280E34" w:rsidP="00280E34">
            <w:pPr>
              <w:jc w:val="center"/>
              <w:rPr>
                <w:rFonts w:ascii="Arial" w:hAnsi="Arial" w:cs="Arial"/>
                <w:b/>
                <w:bCs/>
                <w:color w:val="000000"/>
              </w:rPr>
            </w:pPr>
            <w:r w:rsidRPr="00280E34">
              <w:rPr>
                <w:rFonts w:ascii="Arial" w:hAnsi="Arial" w:cs="Arial"/>
                <w:b/>
                <w:bCs/>
                <w:color w:val="000000"/>
              </w:rPr>
              <w:t>598</w:t>
            </w:r>
          </w:p>
        </w:tc>
        <w:tc>
          <w:tcPr>
            <w:tcW w:w="1559" w:type="dxa"/>
            <w:tcBorders>
              <w:top w:val="nil"/>
              <w:left w:val="nil"/>
              <w:bottom w:val="single" w:sz="4" w:space="0" w:color="auto"/>
              <w:right w:val="single" w:sz="4" w:space="0" w:color="auto"/>
            </w:tcBorders>
            <w:shd w:val="clear" w:color="000000" w:fill="DDEBF7"/>
            <w:vAlign w:val="center"/>
            <w:hideMark/>
          </w:tcPr>
          <w:p w14:paraId="2CA18E40" w14:textId="636106E2" w:rsidR="00280E34" w:rsidRPr="00280E34" w:rsidRDefault="00280E34" w:rsidP="00280E34">
            <w:pPr>
              <w:jc w:val="center"/>
              <w:rPr>
                <w:rFonts w:ascii="Arial" w:hAnsi="Arial" w:cs="Arial"/>
                <w:b/>
                <w:bCs/>
                <w:color w:val="000000"/>
              </w:rPr>
            </w:pPr>
            <w:r w:rsidRPr="00280E34">
              <w:rPr>
                <w:rFonts w:ascii="Arial" w:hAnsi="Arial" w:cs="Arial"/>
                <w:b/>
                <w:bCs/>
                <w:color w:val="000000"/>
              </w:rPr>
              <w:t>100,00</w:t>
            </w:r>
          </w:p>
        </w:tc>
      </w:tr>
    </w:tbl>
    <w:p w14:paraId="16B893AB" w14:textId="77777777" w:rsidR="005F29CC" w:rsidRDefault="005F29CC" w:rsidP="008A44B9">
      <w:pPr>
        <w:pStyle w:val="Popisobrzku"/>
      </w:pPr>
    </w:p>
    <w:p w14:paraId="6E9EBA58" w14:textId="5B8BA151" w:rsidR="009843C7" w:rsidRPr="008A44B9" w:rsidRDefault="004E353B" w:rsidP="005F29CC">
      <w:pPr>
        <w:pStyle w:val="Dalodstavce"/>
        <w:ind w:firstLine="0"/>
      </w:pPr>
      <w:r w:rsidRPr="008A44B9">
        <w:t xml:space="preserve">Tabulka </w:t>
      </w:r>
      <w:r w:rsidR="0074031C" w:rsidRPr="008A44B9">
        <w:t>1</w:t>
      </w:r>
      <w:r w:rsidR="00047AC8">
        <w:t>4</w:t>
      </w:r>
      <w:r w:rsidRPr="008A44B9">
        <w:t xml:space="preserve"> </w:t>
      </w:r>
      <w:r w:rsidR="007452FD" w:rsidRPr="008A44B9">
        <w:t>popisuje, zda pacienti absolvovali na NUP FN Brno alespoň jedno vyšetření zobrazovací metodou</w:t>
      </w:r>
      <w:r w:rsidR="00336CC6" w:rsidRPr="008A44B9">
        <w:t xml:space="preserve"> (</w:t>
      </w:r>
      <w:r w:rsidR="004405FF" w:rsidRPr="008A44B9">
        <w:t xml:space="preserve">označeno jako </w:t>
      </w:r>
      <w:r w:rsidR="00336CC6" w:rsidRPr="008A44B9">
        <w:t>ANO)</w:t>
      </w:r>
      <w:r w:rsidR="007452FD" w:rsidRPr="008A44B9">
        <w:t xml:space="preserve"> či nikoliv</w:t>
      </w:r>
      <w:r w:rsidR="00336CC6" w:rsidRPr="008A44B9">
        <w:t xml:space="preserve"> (</w:t>
      </w:r>
      <w:r w:rsidR="004405FF" w:rsidRPr="008A44B9">
        <w:t xml:space="preserve">označeno jako </w:t>
      </w:r>
      <w:r w:rsidR="00336CC6" w:rsidRPr="008A44B9">
        <w:t>NE)</w:t>
      </w:r>
      <w:r w:rsidR="008E3206" w:rsidRPr="008A44B9">
        <w:t>.</w:t>
      </w:r>
      <w:r w:rsidR="00FC10C7" w:rsidRPr="008A44B9">
        <w:t xml:space="preserve"> Zobrazovací metody zahrnují diagnostické techniky</w:t>
      </w:r>
      <w:r w:rsidR="00241A8F" w:rsidRPr="008A44B9">
        <w:t>,</w:t>
      </w:r>
      <w:r w:rsidR="00FC10C7" w:rsidRPr="008A44B9">
        <w:t xml:space="preserve"> jako jsou </w:t>
      </w:r>
      <w:r w:rsidR="00FB3546" w:rsidRPr="008A44B9">
        <w:t>rentgen, ultrasonografie, výpočetní tomografie</w:t>
      </w:r>
      <w:r w:rsidR="008C2148" w:rsidRPr="008A44B9">
        <w:t>,</w:t>
      </w:r>
      <w:r w:rsidR="00BC72FD" w:rsidRPr="008A44B9">
        <w:t xml:space="preserve"> výpočetní tomografie s podáním kontrastní látky,</w:t>
      </w:r>
      <w:r w:rsidR="008C2148" w:rsidRPr="008A44B9">
        <w:t xml:space="preserve"> magnetická rezonance</w:t>
      </w:r>
      <w:r w:rsidR="00C66A3D" w:rsidRPr="008A44B9">
        <w:t xml:space="preserve"> </w:t>
      </w:r>
      <w:r w:rsidR="00C66A3D" w:rsidRPr="008A44B9">
        <w:lastRenderedPageBreak/>
        <w:t>a</w:t>
      </w:r>
      <w:r w:rsidR="00B32501" w:rsidRPr="008A44B9">
        <w:t> </w:t>
      </w:r>
      <w:r w:rsidR="00C66A3D" w:rsidRPr="008A44B9">
        <w:t>endoskopické metody (gastroskopie</w:t>
      </w:r>
      <w:r w:rsidR="00356239" w:rsidRPr="008A44B9">
        <w:t xml:space="preserve"> a bronchoskopie</w:t>
      </w:r>
      <w:r w:rsidR="00C66A3D" w:rsidRPr="008A44B9">
        <w:t>).</w:t>
      </w:r>
      <w:r w:rsidR="00E148F4" w:rsidRPr="008A44B9">
        <w:t xml:space="preserve"> </w:t>
      </w:r>
      <w:r w:rsidR="00B55945" w:rsidRPr="008A44B9">
        <w:t xml:space="preserve">V obou letech </w:t>
      </w:r>
      <w:r w:rsidR="002E5FE2" w:rsidRPr="008A44B9">
        <w:t>převažovali pacienti, u nichž bylo využito vyšetření zobrazovací metod</w:t>
      </w:r>
      <w:r w:rsidR="00C626B8" w:rsidRPr="008A44B9">
        <w:t>ou</w:t>
      </w:r>
      <w:r w:rsidR="0065281F" w:rsidRPr="008A44B9">
        <w:t xml:space="preserve">. </w:t>
      </w:r>
      <w:r w:rsidR="00171BEB" w:rsidRPr="008A44B9">
        <w:t>Ve statistice oddělení byly z</w:t>
      </w:r>
      <w:r w:rsidR="002A4F66" w:rsidRPr="008A44B9">
        <w:t>aznamenáván</w:t>
      </w:r>
      <w:r w:rsidR="0005096B" w:rsidRPr="008A44B9">
        <w:t>y pouze ty zobrazovací metody, které byly indikován</w:t>
      </w:r>
      <w:r w:rsidR="00A61931" w:rsidRPr="008A44B9">
        <w:t>y</w:t>
      </w:r>
      <w:r w:rsidR="0005096B" w:rsidRPr="008A44B9">
        <w:t xml:space="preserve"> </w:t>
      </w:r>
      <w:r w:rsidR="00A61931" w:rsidRPr="008A44B9">
        <w:t xml:space="preserve">přímo </w:t>
      </w:r>
      <w:r w:rsidR="0005096B" w:rsidRPr="008A44B9">
        <w:t xml:space="preserve">na </w:t>
      </w:r>
      <w:r w:rsidR="00C02282" w:rsidRPr="008A44B9">
        <w:t>NUP FN</w:t>
      </w:r>
      <w:r w:rsidR="00AA5B54" w:rsidRPr="008A44B9">
        <w:t> </w:t>
      </w:r>
      <w:r w:rsidR="00C02282" w:rsidRPr="008A44B9">
        <w:t>Brno</w:t>
      </w:r>
      <w:r w:rsidR="00171BEB" w:rsidRPr="008A44B9">
        <w:t>.</w:t>
      </w:r>
      <w:r w:rsidR="009B7A22" w:rsidRPr="009B7A22">
        <w:t xml:space="preserve"> Mezi lety 2019 a 2023 došlo ke statisticky významné změně ve využívání zobrazovacích metod. V roce 2023 byly </w:t>
      </w:r>
      <w:r w:rsidR="00985F1C">
        <w:t xml:space="preserve">zobrazovací </w:t>
      </w:r>
      <w:r w:rsidR="009B7A22" w:rsidRPr="009B7A22">
        <w:t>metody využívány statisticky významně častěji než v roce 2019 (p=0,029).</w:t>
      </w:r>
    </w:p>
    <w:p w14:paraId="74C0CC02" w14:textId="77777777" w:rsidR="00937631" w:rsidRPr="00937631" w:rsidRDefault="00937631" w:rsidP="00937631">
      <w:pPr>
        <w:pStyle w:val="Odstavec1"/>
        <w:rPr>
          <w:lang w:eastAsia="sk-SK"/>
        </w:rPr>
      </w:pPr>
    </w:p>
    <w:p w14:paraId="0B468C02" w14:textId="36E108F3" w:rsidR="009843C7" w:rsidRPr="00EE22D1" w:rsidRDefault="009843C7" w:rsidP="009843C7">
      <w:pPr>
        <w:pStyle w:val="Titulektabulky"/>
      </w:pPr>
      <w:bookmarkStart w:id="48" w:name="_Toc195517140"/>
      <w:r>
        <w:t xml:space="preserve">Tab. </w:t>
      </w:r>
      <w:fldSimple w:instr=" SEQ Tab. \* ARABIC ">
        <w:r w:rsidR="0022490D">
          <w:rPr>
            <w:noProof/>
          </w:rPr>
          <w:t>15</w:t>
        </w:r>
      </w:fldSimple>
      <w:r>
        <w:t xml:space="preserve">: </w:t>
      </w:r>
      <w:r w:rsidR="0040531D">
        <w:t>Využití konzilia specialisty na NUP FN Brno u pacientů ve věkové kategorii 75</w:t>
      </w:r>
      <w:r w:rsidR="00356759">
        <w:t xml:space="preserve"> </w:t>
      </w:r>
      <w:r w:rsidR="0040531D">
        <w:t>a více</w:t>
      </w:r>
      <w:r w:rsidR="00356759">
        <w:t xml:space="preserve"> let</w:t>
      </w:r>
      <w:bookmarkEnd w:id="48"/>
    </w:p>
    <w:tbl>
      <w:tblPr>
        <w:tblW w:w="8647" w:type="dxa"/>
        <w:jc w:val="center"/>
        <w:tblCellMar>
          <w:left w:w="70" w:type="dxa"/>
          <w:right w:w="70" w:type="dxa"/>
        </w:tblCellMar>
        <w:tblLook w:val="04A0" w:firstRow="1" w:lastRow="0" w:firstColumn="1" w:lastColumn="0" w:noHBand="0" w:noVBand="1"/>
      </w:tblPr>
      <w:tblGrid>
        <w:gridCol w:w="3256"/>
        <w:gridCol w:w="1417"/>
        <w:gridCol w:w="1418"/>
        <w:gridCol w:w="1275"/>
        <w:gridCol w:w="1281"/>
      </w:tblGrid>
      <w:tr w:rsidR="001D0054" w:rsidRPr="001D0054" w14:paraId="64F466A8" w14:textId="77777777" w:rsidTr="00EE3D9A">
        <w:trPr>
          <w:trHeight w:val="423"/>
          <w:tblHeader/>
          <w:jc w:val="center"/>
        </w:trPr>
        <w:tc>
          <w:tcPr>
            <w:tcW w:w="3256"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29C89277" w14:textId="77777777" w:rsidR="001D0054" w:rsidRPr="001D0054" w:rsidRDefault="001D0054" w:rsidP="001D0054">
            <w:pPr>
              <w:jc w:val="center"/>
              <w:rPr>
                <w:rFonts w:ascii="Arial" w:hAnsi="Arial" w:cs="Arial"/>
                <w:b/>
                <w:bCs/>
                <w:color w:val="000000"/>
              </w:rPr>
            </w:pPr>
            <w:r w:rsidRPr="001D0054">
              <w:rPr>
                <w:rFonts w:ascii="Arial" w:hAnsi="Arial" w:cs="Arial"/>
                <w:b/>
                <w:bCs/>
                <w:color w:val="000000"/>
              </w:rPr>
              <w:t>Konzilium specialisty</w:t>
            </w:r>
          </w:p>
        </w:tc>
        <w:tc>
          <w:tcPr>
            <w:tcW w:w="2835" w:type="dxa"/>
            <w:gridSpan w:val="2"/>
            <w:tcBorders>
              <w:top w:val="single" w:sz="4" w:space="0" w:color="auto"/>
              <w:left w:val="nil"/>
              <w:bottom w:val="single" w:sz="4" w:space="0" w:color="auto"/>
              <w:right w:val="single" w:sz="4" w:space="0" w:color="auto"/>
            </w:tcBorders>
            <w:shd w:val="clear" w:color="000000" w:fill="DDEBF7"/>
            <w:vAlign w:val="center"/>
            <w:hideMark/>
          </w:tcPr>
          <w:p w14:paraId="0EA7A362" w14:textId="430ADDC7" w:rsidR="001D0054" w:rsidRPr="001D0054" w:rsidRDefault="00373934" w:rsidP="001D0054">
            <w:pPr>
              <w:jc w:val="center"/>
              <w:rPr>
                <w:rFonts w:ascii="Arial" w:hAnsi="Arial" w:cs="Arial"/>
                <w:b/>
                <w:bCs/>
                <w:color w:val="000000"/>
              </w:rPr>
            </w:pPr>
            <w:r>
              <w:rPr>
                <w:rFonts w:ascii="Arial" w:hAnsi="Arial" w:cs="Arial"/>
                <w:b/>
                <w:bCs/>
                <w:color w:val="000000"/>
              </w:rPr>
              <w:t xml:space="preserve">Rok </w:t>
            </w:r>
            <w:r w:rsidR="001D0054" w:rsidRPr="001D0054">
              <w:rPr>
                <w:rFonts w:ascii="Arial" w:hAnsi="Arial" w:cs="Arial"/>
                <w:b/>
                <w:bCs/>
                <w:color w:val="000000"/>
              </w:rPr>
              <w:t>2019</w:t>
            </w:r>
          </w:p>
        </w:tc>
        <w:tc>
          <w:tcPr>
            <w:tcW w:w="2556" w:type="dxa"/>
            <w:gridSpan w:val="2"/>
            <w:tcBorders>
              <w:top w:val="single" w:sz="4" w:space="0" w:color="auto"/>
              <w:left w:val="nil"/>
              <w:bottom w:val="single" w:sz="4" w:space="0" w:color="auto"/>
              <w:right w:val="single" w:sz="4" w:space="0" w:color="auto"/>
            </w:tcBorders>
            <w:shd w:val="clear" w:color="000000" w:fill="DDEBF7"/>
            <w:vAlign w:val="center"/>
            <w:hideMark/>
          </w:tcPr>
          <w:p w14:paraId="50338EA6" w14:textId="5B4F01D5" w:rsidR="001D0054" w:rsidRPr="001D0054" w:rsidRDefault="00373934" w:rsidP="001D0054">
            <w:pPr>
              <w:jc w:val="center"/>
              <w:rPr>
                <w:rFonts w:ascii="Arial" w:hAnsi="Arial" w:cs="Arial"/>
                <w:b/>
                <w:bCs/>
                <w:color w:val="000000"/>
              </w:rPr>
            </w:pPr>
            <w:r>
              <w:rPr>
                <w:rFonts w:ascii="Arial" w:hAnsi="Arial" w:cs="Arial"/>
                <w:b/>
                <w:bCs/>
                <w:color w:val="000000"/>
              </w:rPr>
              <w:t xml:space="preserve">Rok </w:t>
            </w:r>
            <w:r w:rsidR="001D0054" w:rsidRPr="001D0054">
              <w:rPr>
                <w:rFonts w:ascii="Arial" w:hAnsi="Arial" w:cs="Arial"/>
                <w:b/>
                <w:bCs/>
                <w:color w:val="000000"/>
              </w:rPr>
              <w:t>2023</w:t>
            </w:r>
          </w:p>
        </w:tc>
      </w:tr>
      <w:tr w:rsidR="001D0054" w:rsidRPr="001D0054" w14:paraId="5A3B2CC0" w14:textId="77777777" w:rsidTr="00EE3D9A">
        <w:trPr>
          <w:trHeight w:val="416"/>
          <w:tblHeade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0F133637" w14:textId="77777777" w:rsidR="001D0054" w:rsidRPr="001D0054" w:rsidRDefault="001D0054" w:rsidP="001D0054">
            <w:pPr>
              <w:rPr>
                <w:rFonts w:ascii="Arial" w:hAnsi="Arial" w:cs="Arial"/>
                <w:b/>
                <w:bCs/>
                <w:color w:val="000000"/>
              </w:rPr>
            </w:pPr>
          </w:p>
        </w:tc>
        <w:tc>
          <w:tcPr>
            <w:tcW w:w="1417" w:type="dxa"/>
            <w:tcBorders>
              <w:top w:val="nil"/>
              <w:left w:val="nil"/>
              <w:bottom w:val="single" w:sz="4" w:space="0" w:color="auto"/>
              <w:right w:val="single" w:sz="4" w:space="0" w:color="auto"/>
            </w:tcBorders>
            <w:shd w:val="clear" w:color="000000" w:fill="DDEBF7"/>
            <w:vAlign w:val="center"/>
            <w:hideMark/>
          </w:tcPr>
          <w:p w14:paraId="6F13A722" w14:textId="77777777" w:rsidR="001D0054" w:rsidRPr="001D0054" w:rsidRDefault="001D0054" w:rsidP="001D0054">
            <w:pPr>
              <w:jc w:val="center"/>
              <w:rPr>
                <w:rFonts w:ascii="Arial" w:hAnsi="Arial" w:cs="Arial"/>
                <w:b/>
                <w:bCs/>
                <w:color w:val="000000"/>
              </w:rPr>
            </w:pPr>
            <w:r w:rsidRPr="001D0054">
              <w:rPr>
                <w:rFonts w:ascii="Arial" w:hAnsi="Arial" w:cs="Arial"/>
                <w:b/>
                <w:bCs/>
                <w:color w:val="000000"/>
              </w:rPr>
              <w:t>(n)</w:t>
            </w:r>
          </w:p>
        </w:tc>
        <w:tc>
          <w:tcPr>
            <w:tcW w:w="1418" w:type="dxa"/>
            <w:tcBorders>
              <w:top w:val="nil"/>
              <w:left w:val="nil"/>
              <w:bottom w:val="single" w:sz="4" w:space="0" w:color="auto"/>
              <w:right w:val="single" w:sz="4" w:space="0" w:color="auto"/>
            </w:tcBorders>
            <w:shd w:val="clear" w:color="000000" w:fill="DDEBF7"/>
            <w:vAlign w:val="center"/>
            <w:hideMark/>
          </w:tcPr>
          <w:p w14:paraId="5FFFA44F" w14:textId="77777777" w:rsidR="001D0054" w:rsidRPr="001D0054" w:rsidRDefault="001D0054" w:rsidP="001D0054">
            <w:pPr>
              <w:jc w:val="center"/>
              <w:rPr>
                <w:rFonts w:ascii="Arial" w:hAnsi="Arial" w:cs="Arial"/>
                <w:b/>
                <w:bCs/>
                <w:color w:val="000000"/>
              </w:rPr>
            </w:pPr>
            <w:r w:rsidRPr="001D0054">
              <w:rPr>
                <w:rFonts w:ascii="Arial" w:hAnsi="Arial" w:cs="Arial"/>
                <w:b/>
                <w:bCs/>
                <w:color w:val="000000"/>
              </w:rPr>
              <w:t>(%)</w:t>
            </w:r>
          </w:p>
        </w:tc>
        <w:tc>
          <w:tcPr>
            <w:tcW w:w="1275" w:type="dxa"/>
            <w:tcBorders>
              <w:top w:val="nil"/>
              <w:left w:val="nil"/>
              <w:bottom w:val="single" w:sz="4" w:space="0" w:color="auto"/>
              <w:right w:val="single" w:sz="4" w:space="0" w:color="auto"/>
            </w:tcBorders>
            <w:shd w:val="clear" w:color="000000" w:fill="DDEBF7"/>
            <w:vAlign w:val="center"/>
            <w:hideMark/>
          </w:tcPr>
          <w:p w14:paraId="6D4F4656" w14:textId="77777777" w:rsidR="001D0054" w:rsidRPr="001D0054" w:rsidRDefault="001D0054" w:rsidP="001D0054">
            <w:pPr>
              <w:jc w:val="center"/>
              <w:rPr>
                <w:rFonts w:ascii="Arial" w:hAnsi="Arial" w:cs="Arial"/>
                <w:b/>
                <w:bCs/>
                <w:color w:val="000000"/>
              </w:rPr>
            </w:pPr>
            <w:r w:rsidRPr="001D0054">
              <w:rPr>
                <w:rFonts w:ascii="Arial" w:hAnsi="Arial" w:cs="Arial"/>
                <w:b/>
                <w:bCs/>
                <w:color w:val="000000"/>
              </w:rPr>
              <w:t>(n)</w:t>
            </w:r>
          </w:p>
        </w:tc>
        <w:tc>
          <w:tcPr>
            <w:tcW w:w="1281" w:type="dxa"/>
            <w:tcBorders>
              <w:top w:val="nil"/>
              <w:left w:val="nil"/>
              <w:bottom w:val="single" w:sz="4" w:space="0" w:color="auto"/>
              <w:right w:val="single" w:sz="4" w:space="0" w:color="auto"/>
            </w:tcBorders>
            <w:shd w:val="clear" w:color="000000" w:fill="DDEBF7"/>
            <w:vAlign w:val="center"/>
            <w:hideMark/>
          </w:tcPr>
          <w:p w14:paraId="154A30B4" w14:textId="77777777" w:rsidR="001D0054" w:rsidRPr="001D0054" w:rsidRDefault="001D0054" w:rsidP="001D0054">
            <w:pPr>
              <w:jc w:val="center"/>
              <w:rPr>
                <w:rFonts w:ascii="Arial" w:hAnsi="Arial" w:cs="Arial"/>
                <w:b/>
                <w:bCs/>
                <w:color w:val="000000"/>
              </w:rPr>
            </w:pPr>
            <w:r w:rsidRPr="001D0054">
              <w:rPr>
                <w:rFonts w:ascii="Arial" w:hAnsi="Arial" w:cs="Arial"/>
                <w:b/>
                <w:bCs/>
                <w:color w:val="000000"/>
              </w:rPr>
              <w:t>(%)</w:t>
            </w:r>
          </w:p>
        </w:tc>
      </w:tr>
      <w:tr w:rsidR="001D0054" w:rsidRPr="001D0054" w14:paraId="57925AD2" w14:textId="77777777" w:rsidTr="004300BE">
        <w:trPr>
          <w:trHeight w:val="408"/>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2B30A6E8" w14:textId="77777777" w:rsidR="001D0054" w:rsidRPr="001D0054" w:rsidRDefault="001D0054" w:rsidP="001D0054">
            <w:pPr>
              <w:jc w:val="center"/>
              <w:rPr>
                <w:rFonts w:ascii="Arial" w:hAnsi="Arial" w:cs="Arial"/>
                <w:color w:val="000000"/>
              </w:rPr>
            </w:pPr>
            <w:r w:rsidRPr="001D0054">
              <w:rPr>
                <w:rFonts w:ascii="Arial" w:hAnsi="Arial" w:cs="Arial"/>
                <w:color w:val="000000"/>
              </w:rPr>
              <w:t>ANO</w:t>
            </w:r>
          </w:p>
        </w:tc>
        <w:tc>
          <w:tcPr>
            <w:tcW w:w="1417" w:type="dxa"/>
            <w:tcBorders>
              <w:top w:val="nil"/>
              <w:left w:val="nil"/>
              <w:bottom w:val="single" w:sz="4" w:space="0" w:color="auto"/>
              <w:right w:val="single" w:sz="4" w:space="0" w:color="auto"/>
            </w:tcBorders>
            <w:shd w:val="clear" w:color="auto" w:fill="auto"/>
            <w:vAlign w:val="center"/>
            <w:hideMark/>
          </w:tcPr>
          <w:p w14:paraId="047FCE01" w14:textId="77777777" w:rsidR="001D0054" w:rsidRPr="001D0054" w:rsidRDefault="001D0054" w:rsidP="001D0054">
            <w:pPr>
              <w:jc w:val="center"/>
              <w:rPr>
                <w:rFonts w:ascii="Arial" w:hAnsi="Arial" w:cs="Arial"/>
                <w:color w:val="000000"/>
              </w:rPr>
            </w:pPr>
            <w:r w:rsidRPr="001D0054">
              <w:rPr>
                <w:rFonts w:ascii="Arial" w:hAnsi="Arial" w:cs="Arial"/>
                <w:color w:val="000000"/>
              </w:rPr>
              <w:t>24</w:t>
            </w:r>
          </w:p>
        </w:tc>
        <w:tc>
          <w:tcPr>
            <w:tcW w:w="1418" w:type="dxa"/>
            <w:tcBorders>
              <w:top w:val="nil"/>
              <w:left w:val="nil"/>
              <w:bottom w:val="single" w:sz="4" w:space="0" w:color="auto"/>
              <w:right w:val="single" w:sz="4" w:space="0" w:color="auto"/>
            </w:tcBorders>
            <w:shd w:val="clear" w:color="auto" w:fill="auto"/>
            <w:vAlign w:val="center"/>
            <w:hideMark/>
          </w:tcPr>
          <w:p w14:paraId="360EA6EC" w14:textId="36752BA8" w:rsidR="001D0054" w:rsidRPr="001D0054" w:rsidRDefault="001D0054" w:rsidP="001D0054">
            <w:pPr>
              <w:jc w:val="center"/>
              <w:rPr>
                <w:rFonts w:ascii="Arial" w:hAnsi="Arial" w:cs="Arial"/>
                <w:color w:val="000000"/>
              </w:rPr>
            </w:pPr>
            <w:r w:rsidRPr="001D0054">
              <w:rPr>
                <w:rFonts w:ascii="Arial" w:hAnsi="Arial" w:cs="Arial"/>
                <w:color w:val="000000"/>
              </w:rPr>
              <w:t>4,72</w:t>
            </w:r>
          </w:p>
        </w:tc>
        <w:tc>
          <w:tcPr>
            <w:tcW w:w="1275" w:type="dxa"/>
            <w:tcBorders>
              <w:top w:val="nil"/>
              <w:left w:val="nil"/>
              <w:bottom w:val="single" w:sz="4" w:space="0" w:color="auto"/>
              <w:right w:val="single" w:sz="4" w:space="0" w:color="auto"/>
            </w:tcBorders>
            <w:shd w:val="clear" w:color="auto" w:fill="auto"/>
            <w:vAlign w:val="center"/>
            <w:hideMark/>
          </w:tcPr>
          <w:p w14:paraId="6B268C2A" w14:textId="77777777" w:rsidR="001D0054" w:rsidRPr="001D0054" w:rsidRDefault="001D0054" w:rsidP="001D0054">
            <w:pPr>
              <w:jc w:val="center"/>
              <w:rPr>
                <w:rFonts w:ascii="Arial" w:hAnsi="Arial" w:cs="Arial"/>
                <w:color w:val="000000"/>
              </w:rPr>
            </w:pPr>
            <w:r w:rsidRPr="001D0054">
              <w:rPr>
                <w:rFonts w:ascii="Arial" w:hAnsi="Arial" w:cs="Arial"/>
                <w:color w:val="000000"/>
              </w:rPr>
              <w:t>16</w:t>
            </w:r>
          </w:p>
        </w:tc>
        <w:tc>
          <w:tcPr>
            <w:tcW w:w="1281" w:type="dxa"/>
            <w:tcBorders>
              <w:top w:val="nil"/>
              <w:left w:val="nil"/>
              <w:bottom w:val="single" w:sz="4" w:space="0" w:color="auto"/>
              <w:right w:val="single" w:sz="4" w:space="0" w:color="auto"/>
            </w:tcBorders>
            <w:shd w:val="clear" w:color="auto" w:fill="auto"/>
            <w:vAlign w:val="center"/>
            <w:hideMark/>
          </w:tcPr>
          <w:p w14:paraId="40DC1EB2" w14:textId="28A1CC7D" w:rsidR="001D0054" w:rsidRPr="001D0054" w:rsidRDefault="001D0054" w:rsidP="001D0054">
            <w:pPr>
              <w:jc w:val="center"/>
              <w:rPr>
                <w:rFonts w:ascii="Arial" w:hAnsi="Arial" w:cs="Arial"/>
                <w:color w:val="000000"/>
              </w:rPr>
            </w:pPr>
            <w:r w:rsidRPr="001D0054">
              <w:rPr>
                <w:rFonts w:ascii="Arial" w:hAnsi="Arial" w:cs="Arial"/>
                <w:color w:val="000000"/>
              </w:rPr>
              <w:t>2,68</w:t>
            </w:r>
          </w:p>
        </w:tc>
      </w:tr>
      <w:tr w:rsidR="001D0054" w:rsidRPr="001D0054" w14:paraId="689EC4B0" w14:textId="77777777" w:rsidTr="004300BE">
        <w:trPr>
          <w:trHeight w:val="428"/>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24B3010F" w14:textId="77777777" w:rsidR="001D0054" w:rsidRPr="001D0054" w:rsidRDefault="001D0054" w:rsidP="001D0054">
            <w:pPr>
              <w:jc w:val="center"/>
              <w:rPr>
                <w:rFonts w:ascii="Arial" w:hAnsi="Arial" w:cs="Arial"/>
                <w:color w:val="000000"/>
              </w:rPr>
            </w:pPr>
            <w:r w:rsidRPr="001D0054">
              <w:rPr>
                <w:rFonts w:ascii="Arial" w:hAnsi="Arial" w:cs="Arial"/>
                <w:color w:val="000000"/>
              </w:rPr>
              <w:t>NE</w:t>
            </w:r>
          </w:p>
        </w:tc>
        <w:tc>
          <w:tcPr>
            <w:tcW w:w="1417" w:type="dxa"/>
            <w:tcBorders>
              <w:top w:val="nil"/>
              <w:left w:val="nil"/>
              <w:bottom w:val="single" w:sz="4" w:space="0" w:color="auto"/>
              <w:right w:val="single" w:sz="4" w:space="0" w:color="auto"/>
            </w:tcBorders>
            <w:shd w:val="clear" w:color="auto" w:fill="auto"/>
            <w:vAlign w:val="center"/>
            <w:hideMark/>
          </w:tcPr>
          <w:p w14:paraId="023C5CF7" w14:textId="77777777" w:rsidR="001D0054" w:rsidRPr="001D0054" w:rsidRDefault="001D0054" w:rsidP="001D0054">
            <w:pPr>
              <w:jc w:val="center"/>
              <w:rPr>
                <w:rFonts w:ascii="Arial" w:hAnsi="Arial" w:cs="Arial"/>
                <w:color w:val="000000"/>
              </w:rPr>
            </w:pPr>
            <w:r w:rsidRPr="001D0054">
              <w:rPr>
                <w:rFonts w:ascii="Arial" w:hAnsi="Arial" w:cs="Arial"/>
                <w:color w:val="000000"/>
              </w:rPr>
              <w:t>485</w:t>
            </w:r>
          </w:p>
        </w:tc>
        <w:tc>
          <w:tcPr>
            <w:tcW w:w="1418" w:type="dxa"/>
            <w:tcBorders>
              <w:top w:val="nil"/>
              <w:left w:val="nil"/>
              <w:bottom w:val="single" w:sz="4" w:space="0" w:color="auto"/>
              <w:right w:val="single" w:sz="4" w:space="0" w:color="auto"/>
            </w:tcBorders>
            <w:shd w:val="clear" w:color="auto" w:fill="auto"/>
            <w:vAlign w:val="center"/>
            <w:hideMark/>
          </w:tcPr>
          <w:p w14:paraId="60C73244" w14:textId="7F37B15A" w:rsidR="001D0054" w:rsidRPr="001D0054" w:rsidRDefault="001D0054" w:rsidP="001D0054">
            <w:pPr>
              <w:jc w:val="center"/>
              <w:rPr>
                <w:rFonts w:ascii="Arial" w:hAnsi="Arial" w:cs="Arial"/>
                <w:color w:val="000000"/>
              </w:rPr>
            </w:pPr>
            <w:r w:rsidRPr="001D0054">
              <w:rPr>
                <w:rFonts w:ascii="Arial" w:hAnsi="Arial" w:cs="Arial"/>
                <w:color w:val="000000"/>
              </w:rPr>
              <w:t>95,28</w:t>
            </w:r>
          </w:p>
        </w:tc>
        <w:tc>
          <w:tcPr>
            <w:tcW w:w="1275" w:type="dxa"/>
            <w:tcBorders>
              <w:top w:val="nil"/>
              <w:left w:val="nil"/>
              <w:bottom w:val="single" w:sz="4" w:space="0" w:color="auto"/>
              <w:right w:val="single" w:sz="4" w:space="0" w:color="auto"/>
            </w:tcBorders>
            <w:shd w:val="clear" w:color="auto" w:fill="auto"/>
            <w:vAlign w:val="center"/>
            <w:hideMark/>
          </w:tcPr>
          <w:p w14:paraId="54E03FEF" w14:textId="77777777" w:rsidR="001D0054" w:rsidRPr="001D0054" w:rsidRDefault="001D0054" w:rsidP="001D0054">
            <w:pPr>
              <w:jc w:val="center"/>
              <w:rPr>
                <w:rFonts w:ascii="Arial" w:hAnsi="Arial" w:cs="Arial"/>
                <w:color w:val="000000"/>
              </w:rPr>
            </w:pPr>
            <w:r w:rsidRPr="001D0054">
              <w:rPr>
                <w:rFonts w:ascii="Arial" w:hAnsi="Arial" w:cs="Arial"/>
                <w:color w:val="000000"/>
              </w:rPr>
              <w:t>582</w:t>
            </w:r>
          </w:p>
        </w:tc>
        <w:tc>
          <w:tcPr>
            <w:tcW w:w="1281" w:type="dxa"/>
            <w:tcBorders>
              <w:top w:val="nil"/>
              <w:left w:val="nil"/>
              <w:bottom w:val="single" w:sz="4" w:space="0" w:color="auto"/>
              <w:right w:val="single" w:sz="4" w:space="0" w:color="auto"/>
            </w:tcBorders>
            <w:shd w:val="clear" w:color="auto" w:fill="auto"/>
            <w:vAlign w:val="center"/>
            <w:hideMark/>
          </w:tcPr>
          <w:p w14:paraId="3A018D84" w14:textId="343409C2" w:rsidR="001D0054" w:rsidRPr="001D0054" w:rsidRDefault="001D0054" w:rsidP="001D0054">
            <w:pPr>
              <w:jc w:val="center"/>
              <w:rPr>
                <w:rFonts w:ascii="Arial" w:hAnsi="Arial" w:cs="Arial"/>
                <w:color w:val="000000"/>
              </w:rPr>
            </w:pPr>
            <w:r w:rsidRPr="001D0054">
              <w:rPr>
                <w:rFonts w:ascii="Arial" w:hAnsi="Arial" w:cs="Arial"/>
                <w:color w:val="000000"/>
              </w:rPr>
              <w:t>97,32</w:t>
            </w:r>
          </w:p>
        </w:tc>
      </w:tr>
      <w:tr w:rsidR="001D0054" w:rsidRPr="001D0054" w14:paraId="0FA8E882" w14:textId="77777777" w:rsidTr="004300BE">
        <w:trPr>
          <w:trHeight w:val="406"/>
          <w:jc w:val="center"/>
        </w:trPr>
        <w:tc>
          <w:tcPr>
            <w:tcW w:w="3256" w:type="dxa"/>
            <w:tcBorders>
              <w:top w:val="nil"/>
              <w:left w:val="single" w:sz="4" w:space="0" w:color="auto"/>
              <w:bottom w:val="single" w:sz="4" w:space="0" w:color="auto"/>
              <w:right w:val="single" w:sz="4" w:space="0" w:color="auto"/>
            </w:tcBorders>
            <w:shd w:val="clear" w:color="000000" w:fill="DDEBF7"/>
            <w:vAlign w:val="center"/>
            <w:hideMark/>
          </w:tcPr>
          <w:p w14:paraId="2DEC7592" w14:textId="77777777" w:rsidR="001D0054" w:rsidRPr="001D0054" w:rsidRDefault="001D0054" w:rsidP="001D0054">
            <w:pPr>
              <w:jc w:val="center"/>
              <w:rPr>
                <w:rFonts w:ascii="Arial" w:hAnsi="Arial" w:cs="Arial"/>
                <w:b/>
                <w:bCs/>
                <w:color w:val="000000"/>
              </w:rPr>
            </w:pPr>
            <w:r w:rsidRPr="001D0054">
              <w:rPr>
                <w:rFonts w:ascii="Arial" w:hAnsi="Arial" w:cs="Arial"/>
                <w:b/>
                <w:bCs/>
                <w:color w:val="000000"/>
              </w:rPr>
              <w:t>Celkový součet</w:t>
            </w:r>
          </w:p>
        </w:tc>
        <w:tc>
          <w:tcPr>
            <w:tcW w:w="1417" w:type="dxa"/>
            <w:tcBorders>
              <w:top w:val="nil"/>
              <w:left w:val="nil"/>
              <w:bottom w:val="single" w:sz="4" w:space="0" w:color="auto"/>
              <w:right w:val="single" w:sz="4" w:space="0" w:color="auto"/>
            </w:tcBorders>
            <w:shd w:val="clear" w:color="000000" w:fill="DDEBF7"/>
            <w:vAlign w:val="center"/>
            <w:hideMark/>
          </w:tcPr>
          <w:p w14:paraId="63672F83" w14:textId="77777777" w:rsidR="001D0054" w:rsidRPr="001D0054" w:rsidRDefault="001D0054" w:rsidP="001D0054">
            <w:pPr>
              <w:jc w:val="center"/>
              <w:rPr>
                <w:rFonts w:ascii="Arial" w:hAnsi="Arial" w:cs="Arial"/>
                <w:b/>
                <w:bCs/>
                <w:color w:val="000000"/>
              </w:rPr>
            </w:pPr>
            <w:r w:rsidRPr="001D0054">
              <w:rPr>
                <w:rFonts w:ascii="Arial" w:hAnsi="Arial" w:cs="Arial"/>
                <w:b/>
                <w:bCs/>
                <w:color w:val="000000"/>
              </w:rPr>
              <w:t>509</w:t>
            </w:r>
          </w:p>
        </w:tc>
        <w:tc>
          <w:tcPr>
            <w:tcW w:w="1418" w:type="dxa"/>
            <w:tcBorders>
              <w:top w:val="nil"/>
              <w:left w:val="nil"/>
              <w:bottom w:val="single" w:sz="4" w:space="0" w:color="auto"/>
              <w:right w:val="single" w:sz="4" w:space="0" w:color="auto"/>
            </w:tcBorders>
            <w:shd w:val="clear" w:color="000000" w:fill="DDEBF7"/>
            <w:vAlign w:val="center"/>
            <w:hideMark/>
          </w:tcPr>
          <w:p w14:paraId="0896ADC1" w14:textId="4D846153" w:rsidR="001D0054" w:rsidRPr="001D0054" w:rsidRDefault="001D0054" w:rsidP="001D0054">
            <w:pPr>
              <w:jc w:val="center"/>
              <w:rPr>
                <w:rFonts w:ascii="Arial" w:hAnsi="Arial" w:cs="Arial"/>
                <w:b/>
                <w:bCs/>
                <w:color w:val="000000"/>
              </w:rPr>
            </w:pPr>
            <w:r w:rsidRPr="001D0054">
              <w:rPr>
                <w:rFonts w:ascii="Arial" w:hAnsi="Arial" w:cs="Arial"/>
                <w:b/>
                <w:bCs/>
                <w:color w:val="000000"/>
              </w:rPr>
              <w:t>100,00</w:t>
            </w:r>
          </w:p>
        </w:tc>
        <w:tc>
          <w:tcPr>
            <w:tcW w:w="1275" w:type="dxa"/>
            <w:tcBorders>
              <w:top w:val="nil"/>
              <w:left w:val="nil"/>
              <w:bottom w:val="single" w:sz="4" w:space="0" w:color="auto"/>
              <w:right w:val="single" w:sz="4" w:space="0" w:color="auto"/>
            </w:tcBorders>
            <w:shd w:val="clear" w:color="000000" w:fill="DDEBF7"/>
            <w:vAlign w:val="center"/>
            <w:hideMark/>
          </w:tcPr>
          <w:p w14:paraId="17946D94" w14:textId="77777777" w:rsidR="001D0054" w:rsidRPr="001D0054" w:rsidRDefault="001D0054" w:rsidP="001D0054">
            <w:pPr>
              <w:jc w:val="center"/>
              <w:rPr>
                <w:rFonts w:ascii="Arial" w:hAnsi="Arial" w:cs="Arial"/>
                <w:b/>
                <w:bCs/>
                <w:color w:val="000000"/>
              </w:rPr>
            </w:pPr>
            <w:r w:rsidRPr="001D0054">
              <w:rPr>
                <w:rFonts w:ascii="Arial" w:hAnsi="Arial" w:cs="Arial"/>
                <w:b/>
                <w:bCs/>
                <w:color w:val="000000"/>
              </w:rPr>
              <w:t>598</w:t>
            </w:r>
          </w:p>
        </w:tc>
        <w:tc>
          <w:tcPr>
            <w:tcW w:w="1281" w:type="dxa"/>
            <w:tcBorders>
              <w:top w:val="nil"/>
              <w:left w:val="nil"/>
              <w:bottom w:val="single" w:sz="4" w:space="0" w:color="auto"/>
              <w:right w:val="single" w:sz="4" w:space="0" w:color="auto"/>
            </w:tcBorders>
            <w:shd w:val="clear" w:color="000000" w:fill="DDEBF7"/>
            <w:vAlign w:val="center"/>
            <w:hideMark/>
          </w:tcPr>
          <w:p w14:paraId="343C7D8A" w14:textId="64270ADD" w:rsidR="001D0054" w:rsidRPr="001D0054" w:rsidRDefault="001D0054" w:rsidP="001D0054">
            <w:pPr>
              <w:jc w:val="center"/>
              <w:rPr>
                <w:rFonts w:ascii="Arial" w:hAnsi="Arial" w:cs="Arial"/>
                <w:b/>
                <w:bCs/>
                <w:color w:val="000000"/>
              </w:rPr>
            </w:pPr>
            <w:r w:rsidRPr="001D0054">
              <w:rPr>
                <w:rFonts w:ascii="Arial" w:hAnsi="Arial" w:cs="Arial"/>
                <w:b/>
                <w:bCs/>
                <w:color w:val="000000"/>
              </w:rPr>
              <w:t>100,00</w:t>
            </w:r>
          </w:p>
        </w:tc>
      </w:tr>
    </w:tbl>
    <w:p w14:paraId="60D5150B" w14:textId="77777777" w:rsidR="005F29CC" w:rsidRDefault="005F29CC" w:rsidP="008A44B9">
      <w:pPr>
        <w:pStyle w:val="Popisobrzku"/>
      </w:pPr>
    </w:p>
    <w:p w14:paraId="139F1B2D" w14:textId="0F6640EA" w:rsidR="009843C7" w:rsidRPr="008A44B9" w:rsidRDefault="00501305" w:rsidP="005F29CC">
      <w:pPr>
        <w:pStyle w:val="Dalodstavce"/>
        <w:ind w:firstLine="0"/>
      </w:pPr>
      <w:r w:rsidRPr="008A44B9">
        <w:t>Výsledky</w:t>
      </w:r>
      <w:r w:rsidR="005D42EB" w:rsidRPr="008A44B9">
        <w:t xml:space="preserve"> uvedené</w:t>
      </w:r>
      <w:r w:rsidR="00527830" w:rsidRPr="008A44B9">
        <w:t xml:space="preserve"> </w:t>
      </w:r>
      <w:r w:rsidRPr="008A44B9">
        <w:t xml:space="preserve">v Tabulce </w:t>
      </w:r>
      <w:r w:rsidR="00813886" w:rsidRPr="008A44B9">
        <w:t>1</w:t>
      </w:r>
      <w:r w:rsidR="00047AC8">
        <w:t>5</w:t>
      </w:r>
      <w:r w:rsidR="00527830" w:rsidRPr="008A44B9">
        <w:t xml:space="preserve"> </w:t>
      </w:r>
      <w:r w:rsidR="002E3E95" w:rsidRPr="008A44B9">
        <w:t>popisují</w:t>
      </w:r>
      <w:r w:rsidR="007B30EE" w:rsidRPr="008A44B9">
        <w:t xml:space="preserve"> využití konzilia specialisty</w:t>
      </w:r>
      <w:r w:rsidR="004D702A" w:rsidRPr="008A44B9">
        <w:t>,</w:t>
      </w:r>
      <w:r w:rsidR="00425CA5" w:rsidRPr="008A44B9">
        <w:t xml:space="preserve"> </w:t>
      </w:r>
      <w:r w:rsidR="002E3E95" w:rsidRPr="008A44B9">
        <w:t xml:space="preserve">s </w:t>
      </w:r>
      <w:r w:rsidR="00425CA5" w:rsidRPr="008A44B9">
        <w:t>v</w:t>
      </w:r>
      <w:r w:rsidR="002E3E95" w:rsidRPr="008A44B9">
        <w:t>ý</w:t>
      </w:r>
      <w:r w:rsidR="00425CA5" w:rsidRPr="008A44B9">
        <w:t>j</w:t>
      </w:r>
      <w:r w:rsidR="002E3E95" w:rsidRPr="008A44B9">
        <w:t>i</w:t>
      </w:r>
      <w:r w:rsidR="00425CA5" w:rsidRPr="008A44B9">
        <w:t>m</w:t>
      </w:r>
      <w:r w:rsidR="002E3E95" w:rsidRPr="008A44B9">
        <w:t>kou</w:t>
      </w:r>
      <w:r w:rsidR="00425CA5" w:rsidRPr="008A44B9">
        <w:t xml:space="preserve"> vyšetření lékařem internistou či neurologem NUP FN Brno</w:t>
      </w:r>
      <w:r w:rsidRPr="008A44B9">
        <w:t>.</w:t>
      </w:r>
      <w:r w:rsidR="003A4518" w:rsidRPr="008A44B9">
        <w:t xml:space="preserve"> V obou letech výrazně převažovali pacienti, kteří nevyžadovali konzilium dalšího specialisty</w:t>
      </w:r>
      <w:r w:rsidR="007B30EE" w:rsidRPr="008A44B9">
        <w:t>.</w:t>
      </w:r>
      <w:r w:rsidR="00B0183D">
        <w:t xml:space="preserve"> </w:t>
      </w:r>
      <w:r w:rsidR="00B0183D" w:rsidRPr="00B0183D">
        <w:t>Mezi jednotlivými roky však nebyly zjištěny statisticky významné rozdíly v</w:t>
      </w:r>
      <w:r w:rsidR="004928AD">
        <w:t>e využívání konzilií dalšího speciality</w:t>
      </w:r>
      <w:r w:rsidR="00422A6A">
        <w:t xml:space="preserve"> na NUP</w:t>
      </w:r>
      <w:r w:rsidR="004928AD">
        <w:t>.</w:t>
      </w:r>
    </w:p>
    <w:p w14:paraId="70780931" w14:textId="77777777" w:rsidR="00937631" w:rsidRPr="00937631" w:rsidRDefault="00937631" w:rsidP="00937631">
      <w:pPr>
        <w:pStyle w:val="Odstavec1"/>
        <w:rPr>
          <w:lang w:eastAsia="sk-SK"/>
        </w:rPr>
      </w:pPr>
    </w:p>
    <w:p w14:paraId="2BB8185A" w14:textId="0A9EDF25" w:rsidR="005354C4" w:rsidRPr="00EE22D1" w:rsidRDefault="009843C7" w:rsidP="00B148D0">
      <w:pPr>
        <w:pStyle w:val="Titulektabulky"/>
      </w:pPr>
      <w:bookmarkStart w:id="49" w:name="_Toc195517141"/>
      <w:r>
        <w:t xml:space="preserve">Tab. </w:t>
      </w:r>
      <w:fldSimple w:instr=" SEQ Tab. \* ARABIC ">
        <w:r w:rsidR="0022490D">
          <w:rPr>
            <w:noProof/>
          </w:rPr>
          <w:t>16</w:t>
        </w:r>
      </w:fldSimple>
      <w:r>
        <w:t xml:space="preserve">: </w:t>
      </w:r>
      <w:r w:rsidR="00792247">
        <w:t>Způsob ukončení ošetření na NUP FN Brno u pacientů ve věkové kategorii 75</w:t>
      </w:r>
      <w:r w:rsidR="00AC357F">
        <w:t xml:space="preserve"> </w:t>
      </w:r>
      <w:r w:rsidR="00792247">
        <w:t>a více</w:t>
      </w:r>
      <w:r w:rsidR="00AC357F">
        <w:t xml:space="preserve"> let</w:t>
      </w:r>
      <w:bookmarkEnd w:id="49"/>
    </w:p>
    <w:tbl>
      <w:tblPr>
        <w:tblW w:w="8642" w:type="dxa"/>
        <w:jc w:val="center"/>
        <w:tblCellMar>
          <w:left w:w="70" w:type="dxa"/>
          <w:right w:w="70" w:type="dxa"/>
        </w:tblCellMar>
        <w:tblLook w:val="04A0" w:firstRow="1" w:lastRow="0" w:firstColumn="1" w:lastColumn="0" w:noHBand="0" w:noVBand="1"/>
      </w:tblPr>
      <w:tblGrid>
        <w:gridCol w:w="3681"/>
        <w:gridCol w:w="1276"/>
        <w:gridCol w:w="1171"/>
        <w:gridCol w:w="1251"/>
        <w:gridCol w:w="1263"/>
      </w:tblGrid>
      <w:tr w:rsidR="0075058E" w:rsidRPr="0079003D" w14:paraId="0F648ECF" w14:textId="77777777" w:rsidTr="00E971C0">
        <w:trPr>
          <w:trHeight w:val="513"/>
          <w:tblHeader/>
          <w:jc w:val="center"/>
        </w:trPr>
        <w:tc>
          <w:tcPr>
            <w:tcW w:w="3681" w:type="dxa"/>
            <w:vMerge w:val="restart"/>
            <w:tcBorders>
              <w:top w:val="single" w:sz="4" w:space="0" w:color="auto"/>
              <w:left w:val="single" w:sz="4" w:space="0" w:color="auto"/>
              <w:bottom w:val="single" w:sz="4" w:space="0" w:color="000000"/>
              <w:right w:val="single" w:sz="4" w:space="0" w:color="auto"/>
            </w:tcBorders>
            <w:shd w:val="clear" w:color="000000" w:fill="DDEBF7"/>
            <w:vAlign w:val="center"/>
            <w:hideMark/>
          </w:tcPr>
          <w:p w14:paraId="4CB3B6BA" w14:textId="076CBD1B" w:rsidR="0079003D" w:rsidRPr="0079003D" w:rsidRDefault="005354C4" w:rsidP="0079003D">
            <w:pPr>
              <w:jc w:val="center"/>
              <w:rPr>
                <w:rFonts w:ascii="Arial" w:hAnsi="Arial" w:cs="Arial"/>
                <w:b/>
                <w:bCs/>
                <w:color w:val="000000"/>
              </w:rPr>
            </w:pPr>
            <w:r>
              <w:rPr>
                <w:rFonts w:ascii="Arial" w:hAnsi="Arial" w:cs="Arial"/>
                <w:b/>
                <w:bCs/>
                <w:color w:val="000000"/>
              </w:rPr>
              <w:t>Způsob u</w:t>
            </w:r>
            <w:r w:rsidR="0079003D" w:rsidRPr="0079003D">
              <w:rPr>
                <w:rFonts w:ascii="Arial" w:hAnsi="Arial" w:cs="Arial"/>
                <w:b/>
                <w:bCs/>
                <w:color w:val="000000"/>
              </w:rPr>
              <w:t>končení</w:t>
            </w:r>
            <w:r>
              <w:rPr>
                <w:rFonts w:ascii="Arial" w:hAnsi="Arial" w:cs="Arial"/>
                <w:b/>
                <w:bCs/>
                <w:color w:val="000000"/>
              </w:rPr>
              <w:t xml:space="preserve"> ošetření</w:t>
            </w:r>
          </w:p>
        </w:tc>
        <w:tc>
          <w:tcPr>
            <w:tcW w:w="2447" w:type="dxa"/>
            <w:gridSpan w:val="2"/>
            <w:tcBorders>
              <w:top w:val="single" w:sz="4" w:space="0" w:color="auto"/>
              <w:left w:val="nil"/>
              <w:bottom w:val="single" w:sz="4" w:space="0" w:color="auto"/>
              <w:right w:val="single" w:sz="4" w:space="0" w:color="000000"/>
            </w:tcBorders>
            <w:shd w:val="clear" w:color="000000" w:fill="DDEBF7"/>
            <w:vAlign w:val="center"/>
            <w:hideMark/>
          </w:tcPr>
          <w:p w14:paraId="2575E4E6" w14:textId="3A7E5C13" w:rsidR="0079003D" w:rsidRPr="0079003D" w:rsidRDefault="00373934" w:rsidP="0079003D">
            <w:pPr>
              <w:jc w:val="center"/>
              <w:rPr>
                <w:rFonts w:ascii="Arial" w:hAnsi="Arial" w:cs="Arial"/>
                <w:b/>
                <w:bCs/>
                <w:color w:val="000000"/>
              </w:rPr>
            </w:pPr>
            <w:r>
              <w:rPr>
                <w:rFonts w:ascii="Arial" w:hAnsi="Arial" w:cs="Arial"/>
                <w:b/>
                <w:bCs/>
                <w:color w:val="000000"/>
              </w:rPr>
              <w:t xml:space="preserve">Rok </w:t>
            </w:r>
            <w:r w:rsidR="0079003D" w:rsidRPr="0079003D">
              <w:rPr>
                <w:rFonts w:ascii="Arial" w:hAnsi="Arial" w:cs="Arial"/>
                <w:b/>
                <w:bCs/>
                <w:color w:val="000000"/>
              </w:rPr>
              <w:t>2019</w:t>
            </w:r>
          </w:p>
        </w:tc>
        <w:tc>
          <w:tcPr>
            <w:tcW w:w="2514" w:type="dxa"/>
            <w:gridSpan w:val="2"/>
            <w:tcBorders>
              <w:top w:val="single" w:sz="4" w:space="0" w:color="auto"/>
              <w:left w:val="nil"/>
              <w:bottom w:val="single" w:sz="4" w:space="0" w:color="auto"/>
              <w:right w:val="single" w:sz="4" w:space="0" w:color="000000"/>
            </w:tcBorders>
            <w:shd w:val="clear" w:color="000000" w:fill="DDEBF7"/>
            <w:vAlign w:val="center"/>
            <w:hideMark/>
          </w:tcPr>
          <w:p w14:paraId="36DB1FED" w14:textId="11258371" w:rsidR="0079003D" w:rsidRPr="0079003D" w:rsidRDefault="00373934" w:rsidP="0079003D">
            <w:pPr>
              <w:jc w:val="center"/>
              <w:rPr>
                <w:rFonts w:ascii="Arial" w:hAnsi="Arial" w:cs="Arial"/>
                <w:b/>
                <w:bCs/>
                <w:color w:val="000000"/>
              </w:rPr>
            </w:pPr>
            <w:r>
              <w:rPr>
                <w:rFonts w:ascii="Arial" w:hAnsi="Arial" w:cs="Arial"/>
                <w:b/>
                <w:bCs/>
                <w:color w:val="000000"/>
              </w:rPr>
              <w:t xml:space="preserve">Rok </w:t>
            </w:r>
            <w:r w:rsidR="0079003D" w:rsidRPr="0079003D">
              <w:rPr>
                <w:rFonts w:ascii="Arial" w:hAnsi="Arial" w:cs="Arial"/>
                <w:b/>
                <w:bCs/>
                <w:color w:val="000000"/>
              </w:rPr>
              <w:t>2023</w:t>
            </w:r>
          </w:p>
        </w:tc>
      </w:tr>
      <w:tr w:rsidR="009B6EC0" w:rsidRPr="0079003D" w14:paraId="727C1A4E" w14:textId="77777777" w:rsidTr="00E971C0">
        <w:trPr>
          <w:trHeight w:val="563"/>
          <w:tblHeader/>
          <w:jc w:val="center"/>
        </w:trPr>
        <w:tc>
          <w:tcPr>
            <w:tcW w:w="3681" w:type="dxa"/>
            <w:vMerge/>
            <w:tcBorders>
              <w:top w:val="single" w:sz="4" w:space="0" w:color="auto"/>
              <w:left w:val="single" w:sz="4" w:space="0" w:color="auto"/>
              <w:bottom w:val="single" w:sz="4" w:space="0" w:color="000000"/>
              <w:right w:val="single" w:sz="4" w:space="0" w:color="auto"/>
            </w:tcBorders>
            <w:vAlign w:val="center"/>
            <w:hideMark/>
          </w:tcPr>
          <w:p w14:paraId="1FC74829" w14:textId="77777777" w:rsidR="0079003D" w:rsidRPr="0079003D" w:rsidRDefault="0079003D" w:rsidP="0079003D">
            <w:pPr>
              <w:rPr>
                <w:rFonts w:ascii="Arial" w:hAnsi="Arial" w:cs="Arial"/>
                <w:b/>
                <w:bCs/>
                <w:color w:val="000000"/>
              </w:rPr>
            </w:pPr>
          </w:p>
        </w:tc>
        <w:tc>
          <w:tcPr>
            <w:tcW w:w="1276" w:type="dxa"/>
            <w:tcBorders>
              <w:top w:val="nil"/>
              <w:left w:val="nil"/>
              <w:bottom w:val="single" w:sz="4" w:space="0" w:color="auto"/>
              <w:right w:val="single" w:sz="4" w:space="0" w:color="auto"/>
            </w:tcBorders>
            <w:shd w:val="clear" w:color="000000" w:fill="DDEBF7"/>
            <w:vAlign w:val="center"/>
            <w:hideMark/>
          </w:tcPr>
          <w:p w14:paraId="3B27FFC5" w14:textId="77777777" w:rsidR="0079003D" w:rsidRPr="0079003D" w:rsidRDefault="0079003D" w:rsidP="0079003D">
            <w:pPr>
              <w:jc w:val="center"/>
              <w:rPr>
                <w:rFonts w:ascii="Arial" w:hAnsi="Arial" w:cs="Arial"/>
                <w:b/>
                <w:bCs/>
                <w:color w:val="000000"/>
              </w:rPr>
            </w:pPr>
            <w:r w:rsidRPr="0079003D">
              <w:rPr>
                <w:rFonts w:ascii="Arial" w:hAnsi="Arial" w:cs="Arial"/>
                <w:b/>
                <w:bCs/>
                <w:color w:val="000000"/>
              </w:rPr>
              <w:t>(n)</w:t>
            </w:r>
          </w:p>
        </w:tc>
        <w:tc>
          <w:tcPr>
            <w:tcW w:w="1171" w:type="dxa"/>
            <w:tcBorders>
              <w:top w:val="nil"/>
              <w:left w:val="nil"/>
              <w:bottom w:val="single" w:sz="4" w:space="0" w:color="auto"/>
              <w:right w:val="single" w:sz="4" w:space="0" w:color="auto"/>
            </w:tcBorders>
            <w:shd w:val="clear" w:color="000000" w:fill="DDEBF7"/>
            <w:vAlign w:val="center"/>
            <w:hideMark/>
          </w:tcPr>
          <w:p w14:paraId="088C0F39" w14:textId="77777777" w:rsidR="0079003D" w:rsidRPr="0079003D" w:rsidRDefault="0079003D" w:rsidP="0079003D">
            <w:pPr>
              <w:jc w:val="center"/>
              <w:rPr>
                <w:rFonts w:ascii="Arial" w:hAnsi="Arial" w:cs="Arial"/>
                <w:b/>
                <w:bCs/>
                <w:color w:val="000000"/>
              </w:rPr>
            </w:pPr>
            <w:r w:rsidRPr="0079003D">
              <w:rPr>
                <w:rFonts w:ascii="Arial" w:hAnsi="Arial" w:cs="Arial"/>
                <w:b/>
                <w:bCs/>
                <w:color w:val="000000"/>
              </w:rPr>
              <w:t>(%)</w:t>
            </w:r>
          </w:p>
        </w:tc>
        <w:tc>
          <w:tcPr>
            <w:tcW w:w="1251" w:type="dxa"/>
            <w:tcBorders>
              <w:top w:val="nil"/>
              <w:left w:val="nil"/>
              <w:bottom w:val="single" w:sz="4" w:space="0" w:color="auto"/>
              <w:right w:val="single" w:sz="4" w:space="0" w:color="auto"/>
            </w:tcBorders>
            <w:shd w:val="clear" w:color="000000" w:fill="DDEBF7"/>
            <w:vAlign w:val="center"/>
            <w:hideMark/>
          </w:tcPr>
          <w:p w14:paraId="0030AB58" w14:textId="77777777" w:rsidR="0079003D" w:rsidRPr="0079003D" w:rsidRDefault="0079003D" w:rsidP="0079003D">
            <w:pPr>
              <w:jc w:val="center"/>
              <w:rPr>
                <w:rFonts w:ascii="Arial" w:hAnsi="Arial" w:cs="Arial"/>
                <w:b/>
                <w:bCs/>
                <w:color w:val="000000"/>
              </w:rPr>
            </w:pPr>
            <w:r w:rsidRPr="0079003D">
              <w:rPr>
                <w:rFonts w:ascii="Arial" w:hAnsi="Arial" w:cs="Arial"/>
                <w:b/>
                <w:bCs/>
                <w:color w:val="000000"/>
              </w:rPr>
              <w:t>(n)</w:t>
            </w:r>
          </w:p>
        </w:tc>
        <w:tc>
          <w:tcPr>
            <w:tcW w:w="1263" w:type="dxa"/>
            <w:tcBorders>
              <w:top w:val="nil"/>
              <w:left w:val="nil"/>
              <w:bottom w:val="single" w:sz="4" w:space="0" w:color="auto"/>
              <w:right w:val="single" w:sz="4" w:space="0" w:color="auto"/>
            </w:tcBorders>
            <w:shd w:val="clear" w:color="000000" w:fill="DDEBF7"/>
            <w:vAlign w:val="center"/>
            <w:hideMark/>
          </w:tcPr>
          <w:p w14:paraId="6629F3D5" w14:textId="77777777" w:rsidR="0079003D" w:rsidRPr="0079003D" w:rsidRDefault="0079003D" w:rsidP="0079003D">
            <w:pPr>
              <w:jc w:val="center"/>
              <w:rPr>
                <w:rFonts w:ascii="Arial" w:hAnsi="Arial" w:cs="Arial"/>
                <w:b/>
                <w:bCs/>
                <w:color w:val="000000"/>
              </w:rPr>
            </w:pPr>
            <w:r w:rsidRPr="0079003D">
              <w:rPr>
                <w:rFonts w:ascii="Arial" w:hAnsi="Arial" w:cs="Arial"/>
                <w:b/>
                <w:bCs/>
                <w:color w:val="000000"/>
              </w:rPr>
              <w:t>(%)</w:t>
            </w:r>
          </w:p>
        </w:tc>
      </w:tr>
      <w:tr w:rsidR="009B6EC0" w:rsidRPr="0079003D" w14:paraId="5D992BD3" w14:textId="77777777" w:rsidTr="00085AA2">
        <w:trPr>
          <w:trHeight w:val="747"/>
          <w:jc w:val="center"/>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1E0A0817" w14:textId="77777777" w:rsidR="0079003D" w:rsidRPr="0079003D" w:rsidRDefault="0079003D" w:rsidP="0079003D">
            <w:pPr>
              <w:jc w:val="center"/>
              <w:rPr>
                <w:rFonts w:ascii="Arial" w:hAnsi="Arial" w:cs="Arial"/>
                <w:color w:val="000000"/>
              </w:rPr>
            </w:pPr>
            <w:r w:rsidRPr="0079003D">
              <w:rPr>
                <w:rFonts w:ascii="Arial" w:hAnsi="Arial" w:cs="Arial"/>
                <w:color w:val="000000"/>
              </w:rPr>
              <w:t>Hospitalizace (standardní lůžko)</w:t>
            </w:r>
          </w:p>
        </w:tc>
        <w:tc>
          <w:tcPr>
            <w:tcW w:w="1276" w:type="dxa"/>
            <w:tcBorders>
              <w:top w:val="nil"/>
              <w:left w:val="nil"/>
              <w:bottom w:val="single" w:sz="4" w:space="0" w:color="auto"/>
              <w:right w:val="single" w:sz="4" w:space="0" w:color="auto"/>
            </w:tcBorders>
            <w:shd w:val="clear" w:color="auto" w:fill="auto"/>
            <w:vAlign w:val="center"/>
            <w:hideMark/>
          </w:tcPr>
          <w:p w14:paraId="01E5279C" w14:textId="77777777" w:rsidR="0079003D" w:rsidRPr="0079003D" w:rsidRDefault="0079003D" w:rsidP="0079003D">
            <w:pPr>
              <w:jc w:val="center"/>
              <w:rPr>
                <w:rFonts w:ascii="Arial" w:hAnsi="Arial" w:cs="Arial"/>
                <w:color w:val="000000"/>
              </w:rPr>
            </w:pPr>
            <w:r w:rsidRPr="0079003D">
              <w:rPr>
                <w:rFonts w:ascii="Arial" w:hAnsi="Arial" w:cs="Arial"/>
                <w:color w:val="000000"/>
              </w:rPr>
              <w:t>193</w:t>
            </w:r>
          </w:p>
        </w:tc>
        <w:tc>
          <w:tcPr>
            <w:tcW w:w="1171" w:type="dxa"/>
            <w:tcBorders>
              <w:top w:val="nil"/>
              <w:left w:val="nil"/>
              <w:bottom w:val="single" w:sz="4" w:space="0" w:color="auto"/>
              <w:right w:val="single" w:sz="4" w:space="0" w:color="auto"/>
            </w:tcBorders>
            <w:shd w:val="clear" w:color="auto" w:fill="auto"/>
            <w:vAlign w:val="center"/>
            <w:hideMark/>
          </w:tcPr>
          <w:p w14:paraId="4F2D4990" w14:textId="527D5630" w:rsidR="0079003D" w:rsidRPr="0079003D" w:rsidRDefault="0079003D" w:rsidP="0079003D">
            <w:pPr>
              <w:jc w:val="center"/>
              <w:rPr>
                <w:rFonts w:ascii="Arial" w:hAnsi="Arial" w:cs="Arial"/>
                <w:color w:val="000000"/>
              </w:rPr>
            </w:pPr>
            <w:r w:rsidRPr="0079003D">
              <w:rPr>
                <w:rFonts w:ascii="Arial" w:hAnsi="Arial" w:cs="Arial"/>
                <w:color w:val="000000"/>
              </w:rPr>
              <w:t>37,92</w:t>
            </w:r>
          </w:p>
        </w:tc>
        <w:tc>
          <w:tcPr>
            <w:tcW w:w="1251" w:type="dxa"/>
            <w:tcBorders>
              <w:top w:val="nil"/>
              <w:left w:val="nil"/>
              <w:bottom w:val="single" w:sz="4" w:space="0" w:color="auto"/>
              <w:right w:val="single" w:sz="4" w:space="0" w:color="auto"/>
            </w:tcBorders>
            <w:shd w:val="clear" w:color="auto" w:fill="auto"/>
            <w:vAlign w:val="center"/>
            <w:hideMark/>
          </w:tcPr>
          <w:p w14:paraId="176BF481" w14:textId="77777777" w:rsidR="0079003D" w:rsidRPr="0079003D" w:rsidRDefault="0079003D" w:rsidP="0079003D">
            <w:pPr>
              <w:jc w:val="center"/>
              <w:rPr>
                <w:rFonts w:ascii="Arial" w:hAnsi="Arial" w:cs="Arial"/>
                <w:color w:val="000000"/>
              </w:rPr>
            </w:pPr>
            <w:r w:rsidRPr="0079003D">
              <w:rPr>
                <w:rFonts w:ascii="Arial" w:hAnsi="Arial" w:cs="Arial"/>
                <w:color w:val="000000"/>
              </w:rPr>
              <w:t>219</w:t>
            </w:r>
          </w:p>
        </w:tc>
        <w:tc>
          <w:tcPr>
            <w:tcW w:w="1263" w:type="dxa"/>
            <w:tcBorders>
              <w:top w:val="nil"/>
              <w:left w:val="nil"/>
              <w:bottom w:val="single" w:sz="4" w:space="0" w:color="auto"/>
              <w:right w:val="single" w:sz="4" w:space="0" w:color="auto"/>
            </w:tcBorders>
            <w:shd w:val="clear" w:color="auto" w:fill="auto"/>
            <w:vAlign w:val="center"/>
            <w:hideMark/>
          </w:tcPr>
          <w:p w14:paraId="238FC584" w14:textId="4D116F5E" w:rsidR="0079003D" w:rsidRPr="0079003D" w:rsidRDefault="0079003D" w:rsidP="0079003D">
            <w:pPr>
              <w:jc w:val="center"/>
              <w:rPr>
                <w:rFonts w:ascii="Arial" w:hAnsi="Arial" w:cs="Arial"/>
                <w:color w:val="000000"/>
              </w:rPr>
            </w:pPr>
            <w:r w:rsidRPr="0079003D">
              <w:rPr>
                <w:rFonts w:ascii="Arial" w:hAnsi="Arial" w:cs="Arial"/>
                <w:color w:val="000000"/>
              </w:rPr>
              <w:t>36,62</w:t>
            </w:r>
          </w:p>
        </w:tc>
      </w:tr>
      <w:tr w:rsidR="009B6EC0" w:rsidRPr="0079003D" w14:paraId="39FB1FB5" w14:textId="77777777" w:rsidTr="00085AA2">
        <w:trPr>
          <w:trHeight w:val="759"/>
          <w:jc w:val="center"/>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3F581318" w14:textId="780D6592" w:rsidR="0075058E" w:rsidRDefault="00643250" w:rsidP="0079003D">
            <w:pPr>
              <w:jc w:val="center"/>
              <w:rPr>
                <w:rFonts w:ascii="Arial" w:hAnsi="Arial" w:cs="Arial"/>
                <w:color w:val="000000"/>
              </w:rPr>
            </w:pPr>
            <w:r>
              <w:rPr>
                <w:rFonts w:ascii="Arial" w:hAnsi="Arial" w:cs="Arial"/>
                <w:color w:val="000000"/>
              </w:rPr>
              <w:t>Propuštění do d</w:t>
            </w:r>
            <w:r w:rsidR="0079003D" w:rsidRPr="0079003D">
              <w:rPr>
                <w:rFonts w:ascii="Arial" w:hAnsi="Arial" w:cs="Arial"/>
                <w:color w:val="000000"/>
              </w:rPr>
              <w:t>omácí či jin</w:t>
            </w:r>
            <w:r>
              <w:rPr>
                <w:rFonts w:ascii="Arial" w:hAnsi="Arial" w:cs="Arial"/>
                <w:color w:val="000000"/>
              </w:rPr>
              <w:t>é</w:t>
            </w:r>
            <w:r w:rsidR="0079003D" w:rsidRPr="0079003D">
              <w:rPr>
                <w:rFonts w:ascii="Arial" w:hAnsi="Arial" w:cs="Arial"/>
                <w:color w:val="000000"/>
              </w:rPr>
              <w:t xml:space="preserve"> form</w:t>
            </w:r>
            <w:r>
              <w:rPr>
                <w:rFonts w:ascii="Arial" w:hAnsi="Arial" w:cs="Arial"/>
                <w:color w:val="000000"/>
              </w:rPr>
              <w:t>y</w:t>
            </w:r>
            <w:r w:rsidR="0079003D" w:rsidRPr="0079003D">
              <w:rPr>
                <w:rFonts w:ascii="Arial" w:hAnsi="Arial" w:cs="Arial"/>
                <w:color w:val="000000"/>
              </w:rPr>
              <w:t xml:space="preserve"> péče </w:t>
            </w:r>
          </w:p>
          <w:p w14:paraId="58331372" w14:textId="47270783" w:rsidR="0079003D" w:rsidRPr="0079003D" w:rsidRDefault="0079003D" w:rsidP="0079003D">
            <w:pPr>
              <w:jc w:val="center"/>
              <w:rPr>
                <w:rFonts w:ascii="Arial" w:hAnsi="Arial" w:cs="Arial"/>
                <w:color w:val="000000"/>
              </w:rPr>
            </w:pPr>
            <w:r w:rsidRPr="0079003D">
              <w:rPr>
                <w:rFonts w:ascii="Arial" w:hAnsi="Arial" w:cs="Arial"/>
                <w:color w:val="000000"/>
              </w:rPr>
              <w:t>(převoz po vlastní ose)</w:t>
            </w:r>
          </w:p>
        </w:tc>
        <w:tc>
          <w:tcPr>
            <w:tcW w:w="1276" w:type="dxa"/>
            <w:tcBorders>
              <w:top w:val="nil"/>
              <w:left w:val="nil"/>
              <w:bottom w:val="single" w:sz="4" w:space="0" w:color="auto"/>
              <w:right w:val="single" w:sz="4" w:space="0" w:color="auto"/>
            </w:tcBorders>
            <w:shd w:val="clear" w:color="auto" w:fill="auto"/>
            <w:vAlign w:val="center"/>
            <w:hideMark/>
          </w:tcPr>
          <w:p w14:paraId="3A7DD56E" w14:textId="77777777" w:rsidR="0079003D" w:rsidRPr="0079003D" w:rsidRDefault="0079003D" w:rsidP="0079003D">
            <w:pPr>
              <w:jc w:val="center"/>
              <w:rPr>
                <w:rFonts w:ascii="Arial" w:hAnsi="Arial" w:cs="Arial"/>
                <w:color w:val="000000"/>
              </w:rPr>
            </w:pPr>
            <w:r w:rsidRPr="0079003D">
              <w:rPr>
                <w:rFonts w:ascii="Arial" w:hAnsi="Arial" w:cs="Arial"/>
                <w:color w:val="000000"/>
              </w:rPr>
              <w:t>127</w:t>
            </w:r>
          </w:p>
        </w:tc>
        <w:tc>
          <w:tcPr>
            <w:tcW w:w="1171" w:type="dxa"/>
            <w:tcBorders>
              <w:top w:val="nil"/>
              <w:left w:val="nil"/>
              <w:bottom w:val="single" w:sz="4" w:space="0" w:color="auto"/>
              <w:right w:val="single" w:sz="4" w:space="0" w:color="auto"/>
            </w:tcBorders>
            <w:shd w:val="clear" w:color="auto" w:fill="auto"/>
            <w:vAlign w:val="center"/>
            <w:hideMark/>
          </w:tcPr>
          <w:p w14:paraId="0871AEB6" w14:textId="72E93972" w:rsidR="0079003D" w:rsidRPr="0079003D" w:rsidRDefault="0079003D" w:rsidP="0079003D">
            <w:pPr>
              <w:jc w:val="center"/>
              <w:rPr>
                <w:rFonts w:ascii="Arial" w:hAnsi="Arial" w:cs="Arial"/>
                <w:color w:val="000000"/>
              </w:rPr>
            </w:pPr>
            <w:r w:rsidRPr="0079003D">
              <w:rPr>
                <w:rFonts w:ascii="Arial" w:hAnsi="Arial" w:cs="Arial"/>
                <w:color w:val="000000"/>
              </w:rPr>
              <w:t>24,95</w:t>
            </w:r>
          </w:p>
        </w:tc>
        <w:tc>
          <w:tcPr>
            <w:tcW w:w="1251" w:type="dxa"/>
            <w:tcBorders>
              <w:top w:val="nil"/>
              <w:left w:val="nil"/>
              <w:bottom w:val="single" w:sz="4" w:space="0" w:color="auto"/>
              <w:right w:val="single" w:sz="4" w:space="0" w:color="auto"/>
            </w:tcBorders>
            <w:shd w:val="clear" w:color="auto" w:fill="auto"/>
            <w:vAlign w:val="center"/>
            <w:hideMark/>
          </w:tcPr>
          <w:p w14:paraId="0C48361D" w14:textId="77777777" w:rsidR="0079003D" w:rsidRPr="0079003D" w:rsidRDefault="0079003D" w:rsidP="0079003D">
            <w:pPr>
              <w:jc w:val="center"/>
              <w:rPr>
                <w:rFonts w:ascii="Arial" w:hAnsi="Arial" w:cs="Arial"/>
                <w:color w:val="000000"/>
              </w:rPr>
            </w:pPr>
            <w:r w:rsidRPr="0079003D">
              <w:rPr>
                <w:rFonts w:ascii="Arial" w:hAnsi="Arial" w:cs="Arial"/>
                <w:color w:val="000000"/>
              </w:rPr>
              <w:t>166</w:t>
            </w:r>
          </w:p>
        </w:tc>
        <w:tc>
          <w:tcPr>
            <w:tcW w:w="1263" w:type="dxa"/>
            <w:tcBorders>
              <w:top w:val="nil"/>
              <w:left w:val="nil"/>
              <w:bottom w:val="single" w:sz="4" w:space="0" w:color="auto"/>
              <w:right w:val="single" w:sz="4" w:space="0" w:color="auto"/>
            </w:tcBorders>
            <w:shd w:val="clear" w:color="auto" w:fill="auto"/>
            <w:vAlign w:val="center"/>
            <w:hideMark/>
          </w:tcPr>
          <w:p w14:paraId="4950C0A4" w14:textId="1EED9839" w:rsidR="0079003D" w:rsidRPr="0079003D" w:rsidRDefault="0079003D" w:rsidP="0079003D">
            <w:pPr>
              <w:jc w:val="center"/>
              <w:rPr>
                <w:rFonts w:ascii="Arial" w:hAnsi="Arial" w:cs="Arial"/>
                <w:color w:val="000000"/>
              </w:rPr>
            </w:pPr>
            <w:r w:rsidRPr="0079003D">
              <w:rPr>
                <w:rFonts w:ascii="Arial" w:hAnsi="Arial" w:cs="Arial"/>
                <w:color w:val="000000"/>
              </w:rPr>
              <w:t>27,76</w:t>
            </w:r>
          </w:p>
        </w:tc>
      </w:tr>
      <w:tr w:rsidR="009B6EC0" w:rsidRPr="0079003D" w14:paraId="3FE215BA" w14:textId="77777777" w:rsidTr="00085AA2">
        <w:trPr>
          <w:trHeight w:val="772"/>
          <w:jc w:val="center"/>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2DC4703E" w14:textId="46A3C0E1" w:rsidR="0075058E" w:rsidRDefault="000209D7" w:rsidP="0079003D">
            <w:pPr>
              <w:jc w:val="center"/>
              <w:rPr>
                <w:rFonts w:ascii="Arial" w:hAnsi="Arial" w:cs="Arial"/>
                <w:color w:val="000000"/>
              </w:rPr>
            </w:pPr>
            <w:r>
              <w:rPr>
                <w:rFonts w:ascii="Arial" w:hAnsi="Arial" w:cs="Arial"/>
                <w:color w:val="000000"/>
              </w:rPr>
              <w:t>Propuštění do d</w:t>
            </w:r>
            <w:r w:rsidR="0079003D" w:rsidRPr="0079003D">
              <w:rPr>
                <w:rFonts w:ascii="Arial" w:hAnsi="Arial" w:cs="Arial"/>
                <w:color w:val="000000"/>
              </w:rPr>
              <w:t>omácí či jin</w:t>
            </w:r>
            <w:r>
              <w:rPr>
                <w:rFonts w:ascii="Arial" w:hAnsi="Arial" w:cs="Arial"/>
                <w:color w:val="000000"/>
              </w:rPr>
              <w:t>é</w:t>
            </w:r>
            <w:r w:rsidR="0079003D" w:rsidRPr="0079003D">
              <w:rPr>
                <w:rFonts w:ascii="Arial" w:hAnsi="Arial" w:cs="Arial"/>
                <w:color w:val="000000"/>
              </w:rPr>
              <w:t xml:space="preserve"> form</w:t>
            </w:r>
            <w:r>
              <w:rPr>
                <w:rFonts w:ascii="Arial" w:hAnsi="Arial" w:cs="Arial"/>
                <w:color w:val="000000"/>
              </w:rPr>
              <w:t>y</w:t>
            </w:r>
            <w:r w:rsidR="0079003D" w:rsidRPr="0079003D">
              <w:rPr>
                <w:rFonts w:ascii="Arial" w:hAnsi="Arial" w:cs="Arial"/>
                <w:color w:val="000000"/>
              </w:rPr>
              <w:t xml:space="preserve"> péče </w:t>
            </w:r>
          </w:p>
          <w:p w14:paraId="71FC2B35" w14:textId="00393575" w:rsidR="0079003D" w:rsidRPr="0079003D" w:rsidRDefault="0079003D" w:rsidP="0079003D">
            <w:pPr>
              <w:jc w:val="center"/>
              <w:rPr>
                <w:rFonts w:ascii="Arial" w:hAnsi="Arial" w:cs="Arial"/>
                <w:color w:val="000000"/>
              </w:rPr>
            </w:pPr>
            <w:r w:rsidRPr="0079003D">
              <w:rPr>
                <w:rFonts w:ascii="Arial" w:hAnsi="Arial" w:cs="Arial"/>
                <w:color w:val="000000"/>
              </w:rPr>
              <w:t>(převoz sanitním vozem)</w:t>
            </w:r>
          </w:p>
        </w:tc>
        <w:tc>
          <w:tcPr>
            <w:tcW w:w="1276" w:type="dxa"/>
            <w:tcBorders>
              <w:top w:val="nil"/>
              <w:left w:val="nil"/>
              <w:bottom w:val="single" w:sz="4" w:space="0" w:color="auto"/>
              <w:right w:val="single" w:sz="4" w:space="0" w:color="auto"/>
            </w:tcBorders>
            <w:shd w:val="clear" w:color="auto" w:fill="auto"/>
            <w:vAlign w:val="center"/>
            <w:hideMark/>
          </w:tcPr>
          <w:p w14:paraId="721282E4" w14:textId="77777777" w:rsidR="0079003D" w:rsidRPr="0079003D" w:rsidRDefault="0079003D" w:rsidP="0079003D">
            <w:pPr>
              <w:jc w:val="center"/>
              <w:rPr>
                <w:rFonts w:ascii="Arial" w:hAnsi="Arial" w:cs="Arial"/>
                <w:color w:val="000000"/>
              </w:rPr>
            </w:pPr>
            <w:r w:rsidRPr="0079003D">
              <w:rPr>
                <w:rFonts w:ascii="Arial" w:hAnsi="Arial" w:cs="Arial"/>
                <w:color w:val="000000"/>
              </w:rPr>
              <w:t>64</w:t>
            </w:r>
          </w:p>
        </w:tc>
        <w:tc>
          <w:tcPr>
            <w:tcW w:w="1171" w:type="dxa"/>
            <w:tcBorders>
              <w:top w:val="nil"/>
              <w:left w:val="nil"/>
              <w:bottom w:val="single" w:sz="4" w:space="0" w:color="auto"/>
              <w:right w:val="single" w:sz="4" w:space="0" w:color="auto"/>
            </w:tcBorders>
            <w:shd w:val="clear" w:color="auto" w:fill="auto"/>
            <w:vAlign w:val="center"/>
            <w:hideMark/>
          </w:tcPr>
          <w:p w14:paraId="4B3461BC" w14:textId="18D99E25" w:rsidR="0079003D" w:rsidRPr="0079003D" w:rsidRDefault="0079003D" w:rsidP="0079003D">
            <w:pPr>
              <w:jc w:val="center"/>
              <w:rPr>
                <w:rFonts w:ascii="Arial" w:hAnsi="Arial" w:cs="Arial"/>
                <w:color w:val="000000"/>
              </w:rPr>
            </w:pPr>
            <w:r w:rsidRPr="0079003D">
              <w:rPr>
                <w:rFonts w:ascii="Arial" w:hAnsi="Arial" w:cs="Arial"/>
                <w:color w:val="000000"/>
              </w:rPr>
              <w:t>12,57</w:t>
            </w:r>
          </w:p>
        </w:tc>
        <w:tc>
          <w:tcPr>
            <w:tcW w:w="1251" w:type="dxa"/>
            <w:tcBorders>
              <w:top w:val="nil"/>
              <w:left w:val="nil"/>
              <w:bottom w:val="single" w:sz="4" w:space="0" w:color="auto"/>
              <w:right w:val="single" w:sz="4" w:space="0" w:color="auto"/>
            </w:tcBorders>
            <w:shd w:val="clear" w:color="auto" w:fill="auto"/>
            <w:vAlign w:val="center"/>
            <w:hideMark/>
          </w:tcPr>
          <w:p w14:paraId="33963B58" w14:textId="77777777" w:rsidR="0079003D" w:rsidRPr="0079003D" w:rsidRDefault="0079003D" w:rsidP="0079003D">
            <w:pPr>
              <w:jc w:val="center"/>
              <w:rPr>
                <w:rFonts w:ascii="Arial" w:hAnsi="Arial" w:cs="Arial"/>
                <w:color w:val="000000"/>
              </w:rPr>
            </w:pPr>
            <w:r w:rsidRPr="0079003D">
              <w:rPr>
                <w:rFonts w:ascii="Arial" w:hAnsi="Arial" w:cs="Arial"/>
                <w:color w:val="000000"/>
              </w:rPr>
              <w:t>78</w:t>
            </w:r>
          </w:p>
        </w:tc>
        <w:tc>
          <w:tcPr>
            <w:tcW w:w="1263" w:type="dxa"/>
            <w:tcBorders>
              <w:top w:val="nil"/>
              <w:left w:val="nil"/>
              <w:bottom w:val="single" w:sz="4" w:space="0" w:color="auto"/>
              <w:right w:val="single" w:sz="4" w:space="0" w:color="auto"/>
            </w:tcBorders>
            <w:shd w:val="clear" w:color="auto" w:fill="auto"/>
            <w:vAlign w:val="center"/>
            <w:hideMark/>
          </w:tcPr>
          <w:p w14:paraId="256F74D7" w14:textId="3941ECB6" w:rsidR="0079003D" w:rsidRPr="0079003D" w:rsidRDefault="0079003D" w:rsidP="0079003D">
            <w:pPr>
              <w:jc w:val="center"/>
              <w:rPr>
                <w:rFonts w:ascii="Arial" w:hAnsi="Arial" w:cs="Arial"/>
                <w:color w:val="000000"/>
              </w:rPr>
            </w:pPr>
            <w:r w:rsidRPr="0079003D">
              <w:rPr>
                <w:rFonts w:ascii="Arial" w:hAnsi="Arial" w:cs="Arial"/>
                <w:color w:val="000000"/>
              </w:rPr>
              <w:t>13,04</w:t>
            </w:r>
          </w:p>
        </w:tc>
      </w:tr>
      <w:tr w:rsidR="009B6EC0" w:rsidRPr="0079003D" w14:paraId="569E2A76" w14:textId="77777777" w:rsidTr="00085AA2">
        <w:trPr>
          <w:trHeight w:val="783"/>
          <w:jc w:val="center"/>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5F684E32" w14:textId="77777777" w:rsidR="0079003D" w:rsidRPr="0079003D" w:rsidRDefault="0079003D" w:rsidP="0079003D">
            <w:pPr>
              <w:jc w:val="center"/>
              <w:rPr>
                <w:rFonts w:ascii="Arial" w:hAnsi="Arial" w:cs="Arial"/>
                <w:color w:val="000000"/>
              </w:rPr>
            </w:pPr>
            <w:r w:rsidRPr="0079003D">
              <w:rPr>
                <w:rFonts w:ascii="Arial" w:hAnsi="Arial" w:cs="Arial"/>
                <w:color w:val="000000"/>
              </w:rPr>
              <w:t>Hospitalizace (intenzivní lůžko)</w:t>
            </w:r>
          </w:p>
        </w:tc>
        <w:tc>
          <w:tcPr>
            <w:tcW w:w="1276" w:type="dxa"/>
            <w:tcBorders>
              <w:top w:val="nil"/>
              <w:left w:val="nil"/>
              <w:bottom w:val="single" w:sz="4" w:space="0" w:color="auto"/>
              <w:right w:val="single" w:sz="4" w:space="0" w:color="auto"/>
            </w:tcBorders>
            <w:shd w:val="clear" w:color="auto" w:fill="auto"/>
            <w:vAlign w:val="center"/>
            <w:hideMark/>
          </w:tcPr>
          <w:p w14:paraId="3F8CB4E6" w14:textId="77777777" w:rsidR="0079003D" w:rsidRPr="0079003D" w:rsidRDefault="0079003D" w:rsidP="0079003D">
            <w:pPr>
              <w:jc w:val="center"/>
              <w:rPr>
                <w:rFonts w:ascii="Arial" w:hAnsi="Arial" w:cs="Arial"/>
                <w:color w:val="000000"/>
              </w:rPr>
            </w:pPr>
            <w:r w:rsidRPr="0079003D">
              <w:rPr>
                <w:rFonts w:ascii="Arial" w:hAnsi="Arial" w:cs="Arial"/>
                <w:color w:val="000000"/>
              </w:rPr>
              <w:t>58</w:t>
            </w:r>
          </w:p>
        </w:tc>
        <w:tc>
          <w:tcPr>
            <w:tcW w:w="1171" w:type="dxa"/>
            <w:tcBorders>
              <w:top w:val="nil"/>
              <w:left w:val="nil"/>
              <w:bottom w:val="single" w:sz="4" w:space="0" w:color="auto"/>
              <w:right w:val="single" w:sz="4" w:space="0" w:color="auto"/>
            </w:tcBorders>
            <w:shd w:val="clear" w:color="auto" w:fill="auto"/>
            <w:vAlign w:val="center"/>
            <w:hideMark/>
          </w:tcPr>
          <w:p w14:paraId="1404A224" w14:textId="70320234" w:rsidR="0079003D" w:rsidRPr="0079003D" w:rsidRDefault="0079003D" w:rsidP="0079003D">
            <w:pPr>
              <w:jc w:val="center"/>
              <w:rPr>
                <w:rFonts w:ascii="Arial" w:hAnsi="Arial" w:cs="Arial"/>
                <w:color w:val="000000"/>
              </w:rPr>
            </w:pPr>
            <w:r w:rsidRPr="0079003D">
              <w:rPr>
                <w:rFonts w:ascii="Arial" w:hAnsi="Arial" w:cs="Arial"/>
                <w:color w:val="000000"/>
              </w:rPr>
              <w:t>11,39</w:t>
            </w:r>
          </w:p>
        </w:tc>
        <w:tc>
          <w:tcPr>
            <w:tcW w:w="1251" w:type="dxa"/>
            <w:tcBorders>
              <w:top w:val="nil"/>
              <w:left w:val="nil"/>
              <w:bottom w:val="single" w:sz="4" w:space="0" w:color="auto"/>
              <w:right w:val="single" w:sz="4" w:space="0" w:color="auto"/>
            </w:tcBorders>
            <w:shd w:val="clear" w:color="auto" w:fill="auto"/>
            <w:vAlign w:val="center"/>
            <w:hideMark/>
          </w:tcPr>
          <w:p w14:paraId="10CCF69A" w14:textId="77777777" w:rsidR="0079003D" w:rsidRPr="0079003D" w:rsidRDefault="0079003D" w:rsidP="0079003D">
            <w:pPr>
              <w:jc w:val="center"/>
              <w:rPr>
                <w:rFonts w:ascii="Arial" w:hAnsi="Arial" w:cs="Arial"/>
                <w:color w:val="000000"/>
              </w:rPr>
            </w:pPr>
            <w:r w:rsidRPr="0079003D">
              <w:rPr>
                <w:rFonts w:ascii="Arial" w:hAnsi="Arial" w:cs="Arial"/>
                <w:color w:val="000000"/>
              </w:rPr>
              <w:t>63</w:t>
            </w:r>
          </w:p>
        </w:tc>
        <w:tc>
          <w:tcPr>
            <w:tcW w:w="1263" w:type="dxa"/>
            <w:tcBorders>
              <w:top w:val="nil"/>
              <w:left w:val="nil"/>
              <w:bottom w:val="single" w:sz="4" w:space="0" w:color="auto"/>
              <w:right w:val="single" w:sz="4" w:space="0" w:color="auto"/>
            </w:tcBorders>
            <w:shd w:val="clear" w:color="auto" w:fill="auto"/>
            <w:vAlign w:val="center"/>
            <w:hideMark/>
          </w:tcPr>
          <w:p w14:paraId="221D3C47" w14:textId="42845A3F" w:rsidR="0079003D" w:rsidRPr="0079003D" w:rsidRDefault="0079003D" w:rsidP="0079003D">
            <w:pPr>
              <w:jc w:val="center"/>
              <w:rPr>
                <w:rFonts w:ascii="Arial" w:hAnsi="Arial" w:cs="Arial"/>
                <w:color w:val="000000"/>
              </w:rPr>
            </w:pPr>
            <w:r w:rsidRPr="0079003D">
              <w:rPr>
                <w:rFonts w:ascii="Arial" w:hAnsi="Arial" w:cs="Arial"/>
                <w:color w:val="000000"/>
              </w:rPr>
              <w:t>10,54</w:t>
            </w:r>
          </w:p>
        </w:tc>
      </w:tr>
      <w:tr w:rsidR="009B6EC0" w:rsidRPr="0079003D" w14:paraId="148D98F7" w14:textId="77777777" w:rsidTr="00085AA2">
        <w:trPr>
          <w:trHeight w:val="654"/>
          <w:jc w:val="center"/>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0CCFD354" w14:textId="4A1D4421" w:rsidR="0079003D" w:rsidRPr="0079003D" w:rsidRDefault="005579C0" w:rsidP="0079003D">
            <w:pPr>
              <w:jc w:val="center"/>
              <w:rPr>
                <w:rFonts w:ascii="Arial" w:hAnsi="Arial" w:cs="Arial"/>
                <w:color w:val="000000"/>
              </w:rPr>
            </w:pPr>
            <w:r>
              <w:rPr>
                <w:rFonts w:ascii="Arial" w:hAnsi="Arial" w:cs="Arial"/>
                <w:color w:val="000000"/>
              </w:rPr>
              <w:lastRenderedPageBreak/>
              <w:t>Předání na jinou</w:t>
            </w:r>
            <w:r w:rsidR="0079003D" w:rsidRPr="0079003D">
              <w:rPr>
                <w:rFonts w:ascii="Arial" w:hAnsi="Arial" w:cs="Arial"/>
                <w:color w:val="000000"/>
              </w:rPr>
              <w:t xml:space="preserve"> ambulanc</w:t>
            </w:r>
            <w:r>
              <w:rPr>
                <w:rFonts w:ascii="Arial" w:hAnsi="Arial" w:cs="Arial"/>
                <w:color w:val="000000"/>
              </w:rPr>
              <w:t>i</w:t>
            </w:r>
            <w:r w:rsidR="0079003D" w:rsidRPr="0079003D">
              <w:rPr>
                <w:rFonts w:ascii="Arial" w:hAnsi="Arial" w:cs="Arial"/>
                <w:color w:val="000000"/>
              </w:rPr>
              <w:t xml:space="preserve"> FN</w:t>
            </w:r>
            <w:r>
              <w:rPr>
                <w:rFonts w:ascii="Arial" w:hAnsi="Arial" w:cs="Arial"/>
                <w:color w:val="000000"/>
              </w:rPr>
              <w:t> </w:t>
            </w:r>
            <w:r w:rsidR="0079003D" w:rsidRPr="0079003D">
              <w:rPr>
                <w:rFonts w:ascii="Arial" w:hAnsi="Arial" w:cs="Arial"/>
                <w:color w:val="000000"/>
              </w:rPr>
              <w:t>Brno</w:t>
            </w:r>
          </w:p>
        </w:tc>
        <w:tc>
          <w:tcPr>
            <w:tcW w:w="1276" w:type="dxa"/>
            <w:tcBorders>
              <w:top w:val="nil"/>
              <w:left w:val="nil"/>
              <w:bottom w:val="single" w:sz="4" w:space="0" w:color="auto"/>
              <w:right w:val="single" w:sz="4" w:space="0" w:color="auto"/>
            </w:tcBorders>
            <w:shd w:val="clear" w:color="auto" w:fill="auto"/>
            <w:vAlign w:val="center"/>
            <w:hideMark/>
          </w:tcPr>
          <w:p w14:paraId="1BEAE48E" w14:textId="77777777" w:rsidR="0079003D" w:rsidRPr="0079003D" w:rsidRDefault="0079003D" w:rsidP="0079003D">
            <w:pPr>
              <w:jc w:val="center"/>
              <w:rPr>
                <w:rFonts w:ascii="Arial" w:hAnsi="Arial" w:cs="Arial"/>
                <w:color w:val="000000"/>
              </w:rPr>
            </w:pPr>
            <w:r w:rsidRPr="0079003D">
              <w:rPr>
                <w:rFonts w:ascii="Arial" w:hAnsi="Arial" w:cs="Arial"/>
                <w:color w:val="000000"/>
              </w:rPr>
              <w:t>37</w:t>
            </w:r>
          </w:p>
        </w:tc>
        <w:tc>
          <w:tcPr>
            <w:tcW w:w="1171" w:type="dxa"/>
            <w:tcBorders>
              <w:top w:val="nil"/>
              <w:left w:val="nil"/>
              <w:bottom w:val="single" w:sz="4" w:space="0" w:color="auto"/>
              <w:right w:val="single" w:sz="4" w:space="0" w:color="auto"/>
            </w:tcBorders>
            <w:shd w:val="clear" w:color="auto" w:fill="auto"/>
            <w:vAlign w:val="center"/>
            <w:hideMark/>
          </w:tcPr>
          <w:p w14:paraId="1D4EE76A" w14:textId="1EBE347F" w:rsidR="0079003D" w:rsidRPr="0079003D" w:rsidRDefault="0079003D" w:rsidP="0079003D">
            <w:pPr>
              <w:jc w:val="center"/>
              <w:rPr>
                <w:rFonts w:ascii="Arial" w:hAnsi="Arial" w:cs="Arial"/>
                <w:color w:val="000000"/>
              </w:rPr>
            </w:pPr>
            <w:r w:rsidRPr="0079003D">
              <w:rPr>
                <w:rFonts w:ascii="Arial" w:hAnsi="Arial" w:cs="Arial"/>
                <w:color w:val="000000"/>
              </w:rPr>
              <w:t>7,27</w:t>
            </w:r>
          </w:p>
        </w:tc>
        <w:tc>
          <w:tcPr>
            <w:tcW w:w="1251" w:type="dxa"/>
            <w:tcBorders>
              <w:top w:val="nil"/>
              <w:left w:val="nil"/>
              <w:bottom w:val="single" w:sz="4" w:space="0" w:color="auto"/>
              <w:right w:val="single" w:sz="4" w:space="0" w:color="auto"/>
            </w:tcBorders>
            <w:shd w:val="clear" w:color="auto" w:fill="auto"/>
            <w:vAlign w:val="center"/>
            <w:hideMark/>
          </w:tcPr>
          <w:p w14:paraId="7710A073" w14:textId="77777777" w:rsidR="0079003D" w:rsidRPr="0079003D" w:rsidRDefault="0079003D" w:rsidP="0079003D">
            <w:pPr>
              <w:jc w:val="center"/>
              <w:rPr>
                <w:rFonts w:ascii="Arial" w:hAnsi="Arial" w:cs="Arial"/>
                <w:color w:val="000000"/>
              </w:rPr>
            </w:pPr>
            <w:r w:rsidRPr="0079003D">
              <w:rPr>
                <w:rFonts w:ascii="Arial" w:hAnsi="Arial" w:cs="Arial"/>
                <w:color w:val="000000"/>
              </w:rPr>
              <w:t>32</w:t>
            </w:r>
          </w:p>
        </w:tc>
        <w:tc>
          <w:tcPr>
            <w:tcW w:w="1263" w:type="dxa"/>
            <w:tcBorders>
              <w:top w:val="nil"/>
              <w:left w:val="nil"/>
              <w:bottom w:val="single" w:sz="4" w:space="0" w:color="auto"/>
              <w:right w:val="single" w:sz="4" w:space="0" w:color="auto"/>
            </w:tcBorders>
            <w:shd w:val="clear" w:color="auto" w:fill="auto"/>
            <w:vAlign w:val="center"/>
            <w:hideMark/>
          </w:tcPr>
          <w:p w14:paraId="53E85EE7" w14:textId="2D9AF33D" w:rsidR="0079003D" w:rsidRPr="0079003D" w:rsidRDefault="0079003D" w:rsidP="0079003D">
            <w:pPr>
              <w:jc w:val="center"/>
              <w:rPr>
                <w:rFonts w:ascii="Arial" w:hAnsi="Arial" w:cs="Arial"/>
                <w:color w:val="000000"/>
              </w:rPr>
            </w:pPr>
            <w:r w:rsidRPr="0079003D">
              <w:rPr>
                <w:rFonts w:ascii="Arial" w:hAnsi="Arial" w:cs="Arial"/>
                <w:color w:val="000000"/>
              </w:rPr>
              <w:t>5,35</w:t>
            </w:r>
          </w:p>
        </w:tc>
      </w:tr>
      <w:tr w:rsidR="009B6EC0" w:rsidRPr="0079003D" w14:paraId="066F064F" w14:textId="77777777" w:rsidTr="00085AA2">
        <w:trPr>
          <w:trHeight w:val="665"/>
          <w:jc w:val="center"/>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1731F56E" w14:textId="242F9AA2" w:rsidR="0079003D" w:rsidRPr="0079003D" w:rsidRDefault="005579C0" w:rsidP="0079003D">
            <w:pPr>
              <w:jc w:val="center"/>
              <w:rPr>
                <w:rFonts w:ascii="Arial" w:hAnsi="Arial" w:cs="Arial"/>
                <w:color w:val="000000"/>
              </w:rPr>
            </w:pPr>
            <w:r>
              <w:rPr>
                <w:rFonts w:ascii="Arial" w:hAnsi="Arial" w:cs="Arial"/>
                <w:color w:val="000000"/>
              </w:rPr>
              <w:t>Předání do j</w:t>
            </w:r>
            <w:r w:rsidR="0079003D" w:rsidRPr="0079003D">
              <w:rPr>
                <w:rFonts w:ascii="Arial" w:hAnsi="Arial" w:cs="Arial"/>
                <w:color w:val="000000"/>
              </w:rPr>
              <w:t>iné</w:t>
            </w:r>
            <w:r>
              <w:rPr>
                <w:rFonts w:ascii="Arial" w:hAnsi="Arial" w:cs="Arial"/>
                <w:color w:val="000000"/>
              </w:rPr>
              <w:t>ho</w:t>
            </w:r>
            <w:r w:rsidR="0079003D" w:rsidRPr="0079003D">
              <w:rPr>
                <w:rFonts w:ascii="Arial" w:hAnsi="Arial" w:cs="Arial"/>
                <w:color w:val="000000"/>
              </w:rPr>
              <w:t xml:space="preserve"> nemocniční</w:t>
            </w:r>
            <w:r>
              <w:rPr>
                <w:rFonts w:ascii="Arial" w:hAnsi="Arial" w:cs="Arial"/>
                <w:color w:val="000000"/>
              </w:rPr>
              <w:t>ho</w:t>
            </w:r>
            <w:r w:rsidR="0079003D" w:rsidRPr="0079003D">
              <w:rPr>
                <w:rFonts w:ascii="Arial" w:hAnsi="Arial" w:cs="Arial"/>
                <w:color w:val="000000"/>
              </w:rPr>
              <w:t xml:space="preserve"> zařízení</w:t>
            </w:r>
          </w:p>
        </w:tc>
        <w:tc>
          <w:tcPr>
            <w:tcW w:w="1276" w:type="dxa"/>
            <w:tcBorders>
              <w:top w:val="nil"/>
              <w:left w:val="nil"/>
              <w:bottom w:val="single" w:sz="4" w:space="0" w:color="auto"/>
              <w:right w:val="single" w:sz="4" w:space="0" w:color="auto"/>
            </w:tcBorders>
            <w:shd w:val="clear" w:color="auto" w:fill="auto"/>
            <w:vAlign w:val="center"/>
            <w:hideMark/>
          </w:tcPr>
          <w:p w14:paraId="72A12B30" w14:textId="77777777" w:rsidR="0079003D" w:rsidRPr="0079003D" w:rsidRDefault="0079003D" w:rsidP="0079003D">
            <w:pPr>
              <w:jc w:val="center"/>
              <w:rPr>
                <w:rFonts w:ascii="Arial" w:hAnsi="Arial" w:cs="Arial"/>
                <w:color w:val="000000"/>
              </w:rPr>
            </w:pPr>
            <w:r w:rsidRPr="0079003D">
              <w:rPr>
                <w:rFonts w:ascii="Arial" w:hAnsi="Arial" w:cs="Arial"/>
                <w:color w:val="000000"/>
              </w:rPr>
              <w:t>28</w:t>
            </w:r>
          </w:p>
        </w:tc>
        <w:tc>
          <w:tcPr>
            <w:tcW w:w="1171" w:type="dxa"/>
            <w:tcBorders>
              <w:top w:val="nil"/>
              <w:left w:val="nil"/>
              <w:bottom w:val="single" w:sz="4" w:space="0" w:color="auto"/>
              <w:right w:val="single" w:sz="4" w:space="0" w:color="auto"/>
            </w:tcBorders>
            <w:shd w:val="clear" w:color="auto" w:fill="auto"/>
            <w:vAlign w:val="center"/>
            <w:hideMark/>
          </w:tcPr>
          <w:p w14:paraId="2C02D36A" w14:textId="0F3D7B47" w:rsidR="0079003D" w:rsidRPr="0079003D" w:rsidRDefault="0079003D" w:rsidP="0079003D">
            <w:pPr>
              <w:jc w:val="center"/>
              <w:rPr>
                <w:rFonts w:ascii="Arial" w:hAnsi="Arial" w:cs="Arial"/>
                <w:color w:val="000000"/>
              </w:rPr>
            </w:pPr>
            <w:r w:rsidRPr="0079003D">
              <w:rPr>
                <w:rFonts w:ascii="Arial" w:hAnsi="Arial" w:cs="Arial"/>
                <w:color w:val="000000"/>
              </w:rPr>
              <w:t>5,50</w:t>
            </w:r>
          </w:p>
        </w:tc>
        <w:tc>
          <w:tcPr>
            <w:tcW w:w="1251" w:type="dxa"/>
            <w:tcBorders>
              <w:top w:val="nil"/>
              <w:left w:val="nil"/>
              <w:bottom w:val="single" w:sz="4" w:space="0" w:color="auto"/>
              <w:right w:val="single" w:sz="4" w:space="0" w:color="auto"/>
            </w:tcBorders>
            <w:shd w:val="clear" w:color="auto" w:fill="auto"/>
            <w:vAlign w:val="center"/>
            <w:hideMark/>
          </w:tcPr>
          <w:p w14:paraId="03755078" w14:textId="77777777" w:rsidR="0079003D" w:rsidRPr="0079003D" w:rsidRDefault="0079003D" w:rsidP="0079003D">
            <w:pPr>
              <w:jc w:val="center"/>
              <w:rPr>
                <w:rFonts w:ascii="Arial" w:hAnsi="Arial" w:cs="Arial"/>
                <w:color w:val="000000"/>
              </w:rPr>
            </w:pPr>
            <w:r w:rsidRPr="0079003D">
              <w:rPr>
                <w:rFonts w:ascii="Arial" w:hAnsi="Arial" w:cs="Arial"/>
                <w:color w:val="000000"/>
              </w:rPr>
              <w:t>26</w:t>
            </w:r>
          </w:p>
        </w:tc>
        <w:tc>
          <w:tcPr>
            <w:tcW w:w="1263" w:type="dxa"/>
            <w:tcBorders>
              <w:top w:val="nil"/>
              <w:left w:val="nil"/>
              <w:bottom w:val="single" w:sz="4" w:space="0" w:color="auto"/>
              <w:right w:val="single" w:sz="4" w:space="0" w:color="auto"/>
            </w:tcBorders>
            <w:shd w:val="clear" w:color="auto" w:fill="auto"/>
            <w:vAlign w:val="center"/>
            <w:hideMark/>
          </w:tcPr>
          <w:p w14:paraId="469CBF98" w14:textId="2B23118D" w:rsidR="0079003D" w:rsidRPr="0079003D" w:rsidRDefault="0079003D" w:rsidP="0079003D">
            <w:pPr>
              <w:jc w:val="center"/>
              <w:rPr>
                <w:rFonts w:ascii="Arial" w:hAnsi="Arial" w:cs="Arial"/>
                <w:color w:val="000000"/>
              </w:rPr>
            </w:pPr>
            <w:r w:rsidRPr="0079003D">
              <w:rPr>
                <w:rFonts w:ascii="Arial" w:hAnsi="Arial" w:cs="Arial"/>
                <w:color w:val="000000"/>
              </w:rPr>
              <w:t>4,35</w:t>
            </w:r>
          </w:p>
        </w:tc>
      </w:tr>
      <w:tr w:rsidR="009B6EC0" w:rsidRPr="0079003D" w14:paraId="7F7C728B" w14:textId="77777777" w:rsidTr="00085AA2">
        <w:trPr>
          <w:trHeight w:val="678"/>
          <w:jc w:val="center"/>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6C51C13D" w14:textId="72416983" w:rsidR="0079003D" w:rsidRPr="0079003D" w:rsidRDefault="00ED461E" w:rsidP="0079003D">
            <w:pPr>
              <w:jc w:val="center"/>
              <w:rPr>
                <w:rFonts w:ascii="Arial" w:hAnsi="Arial" w:cs="Arial"/>
                <w:color w:val="000000"/>
              </w:rPr>
            </w:pPr>
            <w:r>
              <w:rPr>
                <w:rFonts w:ascii="Arial" w:hAnsi="Arial" w:cs="Arial"/>
                <w:color w:val="000000"/>
              </w:rPr>
              <w:t xml:space="preserve">Přijetí na </w:t>
            </w:r>
            <w:r w:rsidR="009C6365">
              <w:rPr>
                <w:rFonts w:ascii="Arial" w:hAnsi="Arial" w:cs="Arial"/>
                <w:color w:val="000000"/>
              </w:rPr>
              <w:t>K</w:t>
            </w:r>
            <w:r w:rsidR="0079003D" w:rsidRPr="0079003D">
              <w:rPr>
                <w:rFonts w:ascii="Arial" w:hAnsi="Arial" w:cs="Arial"/>
                <w:color w:val="000000"/>
              </w:rPr>
              <w:t>rizové centrum FN</w:t>
            </w:r>
            <w:r>
              <w:rPr>
                <w:rFonts w:ascii="Arial" w:hAnsi="Arial" w:cs="Arial"/>
                <w:color w:val="000000"/>
              </w:rPr>
              <w:t> </w:t>
            </w:r>
            <w:r w:rsidR="0079003D" w:rsidRPr="0079003D">
              <w:rPr>
                <w:rFonts w:ascii="Arial" w:hAnsi="Arial" w:cs="Arial"/>
                <w:color w:val="000000"/>
              </w:rPr>
              <w:t>Brno</w:t>
            </w:r>
          </w:p>
        </w:tc>
        <w:tc>
          <w:tcPr>
            <w:tcW w:w="1276" w:type="dxa"/>
            <w:tcBorders>
              <w:top w:val="nil"/>
              <w:left w:val="nil"/>
              <w:bottom w:val="single" w:sz="4" w:space="0" w:color="auto"/>
              <w:right w:val="single" w:sz="4" w:space="0" w:color="auto"/>
            </w:tcBorders>
            <w:shd w:val="clear" w:color="auto" w:fill="auto"/>
            <w:vAlign w:val="center"/>
            <w:hideMark/>
          </w:tcPr>
          <w:p w14:paraId="176F3860" w14:textId="77777777" w:rsidR="0079003D" w:rsidRPr="0079003D" w:rsidRDefault="0079003D" w:rsidP="0079003D">
            <w:pPr>
              <w:jc w:val="center"/>
              <w:rPr>
                <w:rFonts w:ascii="Arial" w:hAnsi="Arial" w:cs="Arial"/>
                <w:color w:val="000000"/>
              </w:rPr>
            </w:pPr>
            <w:r w:rsidRPr="0079003D">
              <w:rPr>
                <w:rFonts w:ascii="Arial" w:hAnsi="Arial" w:cs="Arial"/>
                <w:color w:val="000000"/>
              </w:rPr>
              <w:t>1</w:t>
            </w:r>
          </w:p>
        </w:tc>
        <w:tc>
          <w:tcPr>
            <w:tcW w:w="1171" w:type="dxa"/>
            <w:tcBorders>
              <w:top w:val="nil"/>
              <w:left w:val="nil"/>
              <w:bottom w:val="single" w:sz="4" w:space="0" w:color="auto"/>
              <w:right w:val="single" w:sz="4" w:space="0" w:color="auto"/>
            </w:tcBorders>
            <w:shd w:val="clear" w:color="auto" w:fill="auto"/>
            <w:vAlign w:val="center"/>
            <w:hideMark/>
          </w:tcPr>
          <w:p w14:paraId="20D26E0E" w14:textId="0447327C" w:rsidR="0079003D" w:rsidRPr="0079003D" w:rsidRDefault="0079003D" w:rsidP="0079003D">
            <w:pPr>
              <w:jc w:val="center"/>
              <w:rPr>
                <w:rFonts w:ascii="Arial" w:hAnsi="Arial" w:cs="Arial"/>
                <w:color w:val="000000"/>
              </w:rPr>
            </w:pPr>
            <w:r w:rsidRPr="0079003D">
              <w:rPr>
                <w:rFonts w:ascii="Arial" w:hAnsi="Arial" w:cs="Arial"/>
                <w:color w:val="000000"/>
              </w:rPr>
              <w:t>0,20</w:t>
            </w:r>
          </w:p>
        </w:tc>
        <w:tc>
          <w:tcPr>
            <w:tcW w:w="1251" w:type="dxa"/>
            <w:tcBorders>
              <w:top w:val="nil"/>
              <w:left w:val="nil"/>
              <w:bottom w:val="single" w:sz="4" w:space="0" w:color="auto"/>
              <w:right w:val="single" w:sz="4" w:space="0" w:color="auto"/>
            </w:tcBorders>
            <w:shd w:val="clear" w:color="auto" w:fill="auto"/>
            <w:vAlign w:val="center"/>
            <w:hideMark/>
          </w:tcPr>
          <w:p w14:paraId="43D4C4E2" w14:textId="77777777" w:rsidR="0079003D" w:rsidRPr="0079003D" w:rsidRDefault="0079003D" w:rsidP="0079003D">
            <w:pPr>
              <w:jc w:val="center"/>
              <w:rPr>
                <w:rFonts w:ascii="Arial" w:hAnsi="Arial" w:cs="Arial"/>
                <w:color w:val="000000"/>
              </w:rPr>
            </w:pPr>
            <w:r w:rsidRPr="0079003D">
              <w:rPr>
                <w:rFonts w:ascii="Arial" w:hAnsi="Arial" w:cs="Arial"/>
                <w:color w:val="000000"/>
              </w:rPr>
              <w:t>9</w:t>
            </w:r>
          </w:p>
        </w:tc>
        <w:tc>
          <w:tcPr>
            <w:tcW w:w="1263" w:type="dxa"/>
            <w:tcBorders>
              <w:top w:val="nil"/>
              <w:left w:val="nil"/>
              <w:bottom w:val="single" w:sz="4" w:space="0" w:color="auto"/>
              <w:right w:val="single" w:sz="4" w:space="0" w:color="auto"/>
            </w:tcBorders>
            <w:shd w:val="clear" w:color="auto" w:fill="auto"/>
            <w:vAlign w:val="center"/>
            <w:hideMark/>
          </w:tcPr>
          <w:p w14:paraId="5491FBF9" w14:textId="28FB011A" w:rsidR="0079003D" w:rsidRPr="0079003D" w:rsidRDefault="0079003D" w:rsidP="0079003D">
            <w:pPr>
              <w:jc w:val="center"/>
              <w:rPr>
                <w:rFonts w:ascii="Arial" w:hAnsi="Arial" w:cs="Arial"/>
                <w:color w:val="000000"/>
              </w:rPr>
            </w:pPr>
            <w:r w:rsidRPr="0079003D">
              <w:rPr>
                <w:rFonts w:ascii="Arial" w:hAnsi="Arial" w:cs="Arial"/>
                <w:color w:val="000000"/>
              </w:rPr>
              <w:t>1,51</w:t>
            </w:r>
          </w:p>
        </w:tc>
      </w:tr>
      <w:tr w:rsidR="009B6EC0" w:rsidRPr="0079003D" w14:paraId="2C65C463" w14:textId="77777777" w:rsidTr="00085AA2">
        <w:trPr>
          <w:trHeight w:val="689"/>
          <w:jc w:val="center"/>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64433EB2" w14:textId="657DEE84" w:rsidR="0079003D" w:rsidRPr="0079003D" w:rsidRDefault="00ED461E" w:rsidP="00ED461E">
            <w:pPr>
              <w:jc w:val="center"/>
              <w:rPr>
                <w:rFonts w:ascii="Arial" w:hAnsi="Arial" w:cs="Arial"/>
                <w:color w:val="000000"/>
              </w:rPr>
            </w:pPr>
            <w:r>
              <w:rPr>
                <w:rFonts w:ascii="Arial" w:hAnsi="Arial" w:cs="Arial"/>
                <w:color w:val="000000"/>
              </w:rPr>
              <w:t>Překlad na o</w:t>
            </w:r>
            <w:r w:rsidR="0079003D" w:rsidRPr="0079003D">
              <w:rPr>
                <w:rFonts w:ascii="Arial" w:hAnsi="Arial" w:cs="Arial"/>
                <w:color w:val="000000"/>
              </w:rPr>
              <w:t>ddělení urgentního příjmu</w:t>
            </w:r>
            <w:r>
              <w:rPr>
                <w:rFonts w:ascii="Arial" w:hAnsi="Arial" w:cs="Arial"/>
                <w:color w:val="000000"/>
              </w:rPr>
              <w:t xml:space="preserve"> </w:t>
            </w:r>
            <w:r w:rsidR="0079003D" w:rsidRPr="0079003D">
              <w:rPr>
                <w:rFonts w:ascii="Arial" w:hAnsi="Arial" w:cs="Arial"/>
                <w:color w:val="000000"/>
              </w:rPr>
              <w:t>(</w:t>
            </w:r>
            <w:proofErr w:type="spellStart"/>
            <w:r w:rsidR="0079003D" w:rsidRPr="0079003D">
              <w:rPr>
                <w:rFonts w:ascii="Arial" w:hAnsi="Arial" w:cs="Arial"/>
                <w:color w:val="000000"/>
              </w:rPr>
              <w:t>vysokoprahová</w:t>
            </w:r>
            <w:proofErr w:type="spellEnd"/>
            <w:r w:rsidR="0079003D" w:rsidRPr="0079003D">
              <w:rPr>
                <w:rFonts w:ascii="Arial" w:hAnsi="Arial" w:cs="Arial"/>
                <w:color w:val="000000"/>
              </w:rPr>
              <w:t xml:space="preserve"> část)</w:t>
            </w:r>
          </w:p>
        </w:tc>
        <w:tc>
          <w:tcPr>
            <w:tcW w:w="1276" w:type="dxa"/>
            <w:tcBorders>
              <w:top w:val="nil"/>
              <w:left w:val="nil"/>
              <w:bottom w:val="single" w:sz="4" w:space="0" w:color="auto"/>
              <w:right w:val="single" w:sz="4" w:space="0" w:color="auto"/>
            </w:tcBorders>
            <w:shd w:val="clear" w:color="auto" w:fill="auto"/>
            <w:vAlign w:val="center"/>
            <w:hideMark/>
          </w:tcPr>
          <w:p w14:paraId="02C92AC7" w14:textId="77777777" w:rsidR="0079003D" w:rsidRPr="0079003D" w:rsidRDefault="0079003D" w:rsidP="0079003D">
            <w:pPr>
              <w:jc w:val="center"/>
              <w:rPr>
                <w:rFonts w:ascii="Arial" w:hAnsi="Arial" w:cs="Arial"/>
                <w:color w:val="000000"/>
              </w:rPr>
            </w:pPr>
            <w:r w:rsidRPr="0079003D">
              <w:rPr>
                <w:rFonts w:ascii="Arial" w:hAnsi="Arial" w:cs="Arial"/>
                <w:color w:val="000000"/>
              </w:rPr>
              <w:t>1</w:t>
            </w:r>
          </w:p>
        </w:tc>
        <w:tc>
          <w:tcPr>
            <w:tcW w:w="1171" w:type="dxa"/>
            <w:tcBorders>
              <w:top w:val="nil"/>
              <w:left w:val="nil"/>
              <w:bottom w:val="single" w:sz="4" w:space="0" w:color="auto"/>
              <w:right w:val="single" w:sz="4" w:space="0" w:color="auto"/>
            </w:tcBorders>
            <w:shd w:val="clear" w:color="auto" w:fill="auto"/>
            <w:vAlign w:val="center"/>
            <w:hideMark/>
          </w:tcPr>
          <w:p w14:paraId="7A7ACE49" w14:textId="57735EEC" w:rsidR="0079003D" w:rsidRPr="0079003D" w:rsidRDefault="0079003D" w:rsidP="0079003D">
            <w:pPr>
              <w:jc w:val="center"/>
              <w:rPr>
                <w:rFonts w:ascii="Arial" w:hAnsi="Arial" w:cs="Arial"/>
                <w:color w:val="000000"/>
              </w:rPr>
            </w:pPr>
            <w:r w:rsidRPr="0079003D">
              <w:rPr>
                <w:rFonts w:ascii="Arial" w:hAnsi="Arial" w:cs="Arial"/>
                <w:color w:val="000000"/>
              </w:rPr>
              <w:t>0,20</w:t>
            </w:r>
          </w:p>
        </w:tc>
        <w:tc>
          <w:tcPr>
            <w:tcW w:w="1251" w:type="dxa"/>
            <w:tcBorders>
              <w:top w:val="nil"/>
              <w:left w:val="nil"/>
              <w:bottom w:val="single" w:sz="4" w:space="0" w:color="auto"/>
              <w:right w:val="single" w:sz="4" w:space="0" w:color="auto"/>
            </w:tcBorders>
            <w:shd w:val="clear" w:color="auto" w:fill="auto"/>
            <w:vAlign w:val="center"/>
            <w:hideMark/>
          </w:tcPr>
          <w:p w14:paraId="5448B6FD" w14:textId="77777777" w:rsidR="0079003D" w:rsidRPr="0079003D" w:rsidRDefault="0079003D" w:rsidP="0079003D">
            <w:pPr>
              <w:jc w:val="center"/>
              <w:rPr>
                <w:rFonts w:ascii="Arial" w:hAnsi="Arial" w:cs="Arial"/>
                <w:color w:val="000000"/>
              </w:rPr>
            </w:pPr>
            <w:r w:rsidRPr="0079003D">
              <w:rPr>
                <w:rFonts w:ascii="Arial" w:hAnsi="Arial" w:cs="Arial"/>
                <w:color w:val="000000"/>
              </w:rPr>
              <w:t>5</w:t>
            </w:r>
          </w:p>
        </w:tc>
        <w:tc>
          <w:tcPr>
            <w:tcW w:w="1263" w:type="dxa"/>
            <w:tcBorders>
              <w:top w:val="nil"/>
              <w:left w:val="nil"/>
              <w:bottom w:val="single" w:sz="4" w:space="0" w:color="auto"/>
              <w:right w:val="single" w:sz="4" w:space="0" w:color="auto"/>
            </w:tcBorders>
            <w:shd w:val="clear" w:color="auto" w:fill="auto"/>
            <w:vAlign w:val="center"/>
            <w:hideMark/>
          </w:tcPr>
          <w:p w14:paraId="04A0EB0B" w14:textId="6EE4F484" w:rsidR="0079003D" w:rsidRPr="0079003D" w:rsidRDefault="0079003D" w:rsidP="0079003D">
            <w:pPr>
              <w:jc w:val="center"/>
              <w:rPr>
                <w:rFonts w:ascii="Arial" w:hAnsi="Arial" w:cs="Arial"/>
                <w:color w:val="000000"/>
              </w:rPr>
            </w:pPr>
            <w:r w:rsidRPr="0079003D">
              <w:rPr>
                <w:rFonts w:ascii="Arial" w:hAnsi="Arial" w:cs="Arial"/>
                <w:color w:val="000000"/>
              </w:rPr>
              <w:t>0,84</w:t>
            </w:r>
          </w:p>
        </w:tc>
      </w:tr>
      <w:tr w:rsidR="009B6EC0" w:rsidRPr="0079003D" w14:paraId="5C6A745C" w14:textId="77777777" w:rsidTr="00085AA2">
        <w:trPr>
          <w:trHeight w:val="701"/>
          <w:jc w:val="center"/>
        </w:trPr>
        <w:tc>
          <w:tcPr>
            <w:tcW w:w="3681" w:type="dxa"/>
            <w:tcBorders>
              <w:top w:val="nil"/>
              <w:left w:val="single" w:sz="4" w:space="0" w:color="auto"/>
              <w:bottom w:val="single" w:sz="4" w:space="0" w:color="auto"/>
              <w:right w:val="single" w:sz="4" w:space="0" w:color="auto"/>
            </w:tcBorders>
            <w:shd w:val="clear" w:color="000000" w:fill="DDEBF7"/>
            <w:vAlign w:val="center"/>
            <w:hideMark/>
          </w:tcPr>
          <w:p w14:paraId="572BD711" w14:textId="77777777" w:rsidR="0079003D" w:rsidRPr="0079003D" w:rsidRDefault="0079003D" w:rsidP="0079003D">
            <w:pPr>
              <w:jc w:val="center"/>
              <w:rPr>
                <w:rFonts w:ascii="Arial" w:hAnsi="Arial" w:cs="Arial"/>
                <w:b/>
                <w:bCs/>
                <w:color w:val="000000"/>
              </w:rPr>
            </w:pPr>
            <w:r w:rsidRPr="0079003D">
              <w:rPr>
                <w:rFonts w:ascii="Arial" w:hAnsi="Arial" w:cs="Arial"/>
                <w:b/>
                <w:bCs/>
                <w:color w:val="000000"/>
              </w:rPr>
              <w:t>Celkový součet</w:t>
            </w:r>
          </w:p>
        </w:tc>
        <w:tc>
          <w:tcPr>
            <w:tcW w:w="1276" w:type="dxa"/>
            <w:tcBorders>
              <w:top w:val="nil"/>
              <w:left w:val="nil"/>
              <w:bottom w:val="single" w:sz="4" w:space="0" w:color="auto"/>
              <w:right w:val="single" w:sz="4" w:space="0" w:color="auto"/>
            </w:tcBorders>
            <w:shd w:val="clear" w:color="000000" w:fill="DDEBF7"/>
            <w:vAlign w:val="center"/>
            <w:hideMark/>
          </w:tcPr>
          <w:p w14:paraId="47E67D7E" w14:textId="77777777" w:rsidR="0079003D" w:rsidRPr="0079003D" w:rsidRDefault="0079003D" w:rsidP="0079003D">
            <w:pPr>
              <w:jc w:val="center"/>
              <w:rPr>
                <w:rFonts w:ascii="Arial" w:hAnsi="Arial" w:cs="Arial"/>
                <w:b/>
                <w:bCs/>
                <w:color w:val="000000"/>
              </w:rPr>
            </w:pPr>
            <w:r w:rsidRPr="0079003D">
              <w:rPr>
                <w:rFonts w:ascii="Arial" w:hAnsi="Arial" w:cs="Arial"/>
                <w:b/>
                <w:bCs/>
                <w:color w:val="000000"/>
              </w:rPr>
              <w:t>509</w:t>
            </w:r>
          </w:p>
        </w:tc>
        <w:tc>
          <w:tcPr>
            <w:tcW w:w="1171" w:type="dxa"/>
            <w:tcBorders>
              <w:top w:val="nil"/>
              <w:left w:val="nil"/>
              <w:bottom w:val="single" w:sz="4" w:space="0" w:color="auto"/>
              <w:right w:val="single" w:sz="4" w:space="0" w:color="auto"/>
            </w:tcBorders>
            <w:shd w:val="clear" w:color="000000" w:fill="DDEBF7"/>
            <w:vAlign w:val="center"/>
            <w:hideMark/>
          </w:tcPr>
          <w:p w14:paraId="70692E33" w14:textId="6133A32E" w:rsidR="0079003D" w:rsidRPr="0079003D" w:rsidRDefault="0079003D" w:rsidP="0079003D">
            <w:pPr>
              <w:jc w:val="center"/>
              <w:rPr>
                <w:rFonts w:ascii="Arial" w:hAnsi="Arial" w:cs="Arial"/>
                <w:b/>
                <w:bCs/>
                <w:color w:val="000000"/>
              </w:rPr>
            </w:pPr>
            <w:r w:rsidRPr="0079003D">
              <w:rPr>
                <w:rFonts w:ascii="Arial" w:hAnsi="Arial" w:cs="Arial"/>
                <w:b/>
                <w:bCs/>
                <w:color w:val="000000"/>
              </w:rPr>
              <w:t>100,00</w:t>
            </w:r>
          </w:p>
        </w:tc>
        <w:tc>
          <w:tcPr>
            <w:tcW w:w="1251" w:type="dxa"/>
            <w:tcBorders>
              <w:top w:val="nil"/>
              <w:left w:val="nil"/>
              <w:bottom w:val="single" w:sz="4" w:space="0" w:color="auto"/>
              <w:right w:val="single" w:sz="4" w:space="0" w:color="auto"/>
            </w:tcBorders>
            <w:shd w:val="clear" w:color="000000" w:fill="DDEBF7"/>
            <w:vAlign w:val="center"/>
            <w:hideMark/>
          </w:tcPr>
          <w:p w14:paraId="0E1E5C28" w14:textId="77777777" w:rsidR="0079003D" w:rsidRPr="0079003D" w:rsidRDefault="0079003D" w:rsidP="0079003D">
            <w:pPr>
              <w:jc w:val="center"/>
              <w:rPr>
                <w:rFonts w:ascii="Arial" w:hAnsi="Arial" w:cs="Arial"/>
                <w:b/>
                <w:bCs/>
                <w:color w:val="000000"/>
              </w:rPr>
            </w:pPr>
            <w:r w:rsidRPr="0079003D">
              <w:rPr>
                <w:rFonts w:ascii="Arial" w:hAnsi="Arial" w:cs="Arial"/>
                <w:b/>
                <w:bCs/>
                <w:color w:val="000000"/>
              </w:rPr>
              <w:t>598</w:t>
            </w:r>
          </w:p>
        </w:tc>
        <w:tc>
          <w:tcPr>
            <w:tcW w:w="1263" w:type="dxa"/>
            <w:tcBorders>
              <w:top w:val="nil"/>
              <w:left w:val="nil"/>
              <w:bottom w:val="single" w:sz="4" w:space="0" w:color="auto"/>
              <w:right w:val="single" w:sz="4" w:space="0" w:color="auto"/>
            </w:tcBorders>
            <w:shd w:val="clear" w:color="000000" w:fill="DDEBF7"/>
            <w:vAlign w:val="center"/>
            <w:hideMark/>
          </w:tcPr>
          <w:p w14:paraId="3DC2274C" w14:textId="53313540" w:rsidR="0079003D" w:rsidRPr="0079003D" w:rsidRDefault="0079003D" w:rsidP="0079003D">
            <w:pPr>
              <w:jc w:val="center"/>
              <w:rPr>
                <w:rFonts w:ascii="Arial" w:hAnsi="Arial" w:cs="Arial"/>
                <w:b/>
                <w:bCs/>
                <w:color w:val="000000"/>
              </w:rPr>
            </w:pPr>
            <w:r w:rsidRPr="0079003D">
              <w:rPr>
                <w:rFonts w:ascii="Arial" w:hAnsi="Arial" w:cs="Arial"/>
                <w:b/>
                <w:bCs/>
                <w:color w:val="000000"/>
              </w:rPr>
              <w:t>100,0</w:t>
            </w:r>
            <w:r w:rsidR="0075058E">
              <w:rPr>
                <w:rFonts w:ascii="Arial" w:hAnsi="Arial" w:cs="Arial"/>
                <w:b/>
                <w:bCs/>
                <w:color w:val="000000"/>
              </w:rPr>
              <w:t>0</w:t>
            </w:r>
          </w:p>
        </w:tc>
      </w:tr>
    </w:tbl>
    <w:p w14:paraId="05E87A99" w14:textId="77777777" w:rsidR="005F29CC" w:rsidRDefault="005F29CC" w:rsidP="008A44B9">
      <w:pPr>
        <w:pStyle w:val="Popisobrzku"/>
      </w:pPr>
    </w:p>
    <w:p w14:paraId="2C8BC1FB" w14:textId="37850A4A" w:rsidR="008767CA" w:rsidRPr="008A44B9" w:rsidRDefault="00CA4546" w:rsidP="005F29CC">
      <w:pPr>
        <w:pStyle w:val="Dalodstavce"/>
        <w:ind w:firstLine="0"/>
      </w:pPr>
      <w:r w:rsidRPr="008A44B9">
        <w:t>Tabulka 1</w:t>
      </w:r>
      <w:r w:rsidR="00D50C8F">
        <w:t>6</w:t>
      </w:r>
      <w:r w:rsidRPr="008A44B9">
        <w:t xml:space="preserve"> zachycuje</w:t>
      </w:r>
      <w:r w:rsidR="009C5D9D" w:rsidRPr="008A44B9">
        <w:t xml:space="preserve"> způsob ukončení ošetření pacientů na NUP FN Brno</w:t>
      </w:r>
      <w:r w:rsidR="00F4700B" w:rsidRPr="008A44B9">
        <w:t>.</w:t>
      </w:r>
      <w:r w:rsidR="00F36983" w:rsidRPr="008A44B9">
        <w:t xml:space="preserve"> </w:t>
      </w:r>
      <w:r w:rsidR="00785992" w:rsidRPr="008A44B9">
        <w:t>Pořadí</w:t>
      </w:r>
      <w:r w:rsidR="003F7612" w:rsidRPr="008A44B9">
        <w:t xml:space="preserve"> </w:t>
      </w:r>
      <w:r w:rsidR="00B067FA" w:rsidRPr="008A44B9">
        <w:t>jednotlivých způsobů ukončení ošetření zůstal</w:t>
      </w:r>
      <w:r w:rsidR="00E033D6" w:rsidRPr="008A44B9">
        <w:t>o</w:t>
      </w:r>
      <w:r w:rsidR="00B067FA" w:rsidRPr="008A44B9">
        <w:t xml:space="preserve"> v obou sledovaných kalendářních letech </w:t>
      </w:r>
      <w:r w:rsidR="00714760" w:rsidRPr="008A44B9">
        <w:t>neměnné.</w:t>
      </w:r>
      <w:r w:rsidR="00FC079B" w:rsidRPr="008A44B9">
        <w:t xml:space="preserve"> </w:t>
      </w:r>
      <w:r w:rsidR="003F50AA" w:rsidRPr="008A44B9">
        <w:t>N</w:t>
      </w:r>
      <w:r w:rsidR="00FC079B" w:rsidRPr="008A44B9">
        <w:t xml:space="preserve">ejčastěji </w:t>
      </w:r>
      <w:r w:rsidR="003F50AA" w:rsidRPr="008A44B9">
        <w:t xml:space="preserve">byli pacienti </w:t>
      </w:r>
      <w:r w:rsidR="00FC079B" w:rsidRPr="008A44B9">
        <w:t>h</w:t>
      </w:r>
      <w:r w:rsidR="008220BC" w:rsidRPr="008A44B9">
        <w:t>ospitalizováni na standardním lůžku</w:t>
      </w:r>
      <w:r w:rsidR="002E5AB8" w:rsidRPr="008A44B9">
        <w:t>.</w:t>
      </w:r>
      <w:r w:rsidR="009B7199">
        <w:t xml:space="preserve"> </w:t>
      </w:r>
      <w:r w:rsidR="009B7199" w:rsidRPr="009B7199">
        <w:t xml:space="preserve">Mezi roky 2019 a 2023 nebyly zjištěny statisticky významné rozdíly ve </w:t>
      </w:r>
      <w:r w:rsidR="00B67611">
        <w:t>způsobu ukončení ošetření na NUP</w:t>
      </w:r>
      <w:r w:rsidR="009B7199" w:rsidRPr="009B7199">
        <w:t>.</w:t>
      </w:r>
    </w:p>
    <w:p w14:paraId="7DA4C7F6" w14:textId="77777777" w:rsidR="00F4196A" w:rsidRPr="00F4196A" w:rsidRDefault="00F4196A" w:rsidP="00F4196A">
      <w:pPr>
        <w:pStyle w:val="Odstavec1"/>
        <w:rPr>
          <w:lang w:eastAsia="sk-SK"/>
        </w:rPr>
      </w:pPr>
    </w:p>
    <w:p w14:paraId="6C8D50E0" w14:textId="21A03409" w:rsidR="00F4196A" w:rsidRDefault="00F4196A" w:rsidP="00F4196A">
      <w:pPr>
        <w:pStyle w:val="Titulek"/>
        <w:keepNext/>
        <w:spacing w:before="240"/>
      </w:pPr>
      <w:bookmarkStart w:id="50" w:name="_Toc195517156"/>
      <w:r>
        <w:t xml:space="preserve">Graf </w:t>
      </w:r>
      <w:fldSimple w:instr=" SEQ Graf \* ARABIC ">
        <w:r w:rsidR="0022490D">
          <w:rPr>
            <w:noProof/>
          </w:rPr>
          <w:t>4</w:t>
        </w:r>
      </w:fldSimple>
      <w:r>
        <w:t>: Diagnostické kapitoly</w:t>
      </w:r>
      <w:r w:rsidRPr="00000DBC">
        <w:t xml:space="preserve"> u pacientů </w:t>
      </w:r>
      <w:r>
        <w:t xml:space="preserve">na NUP FN Brno </w:t>
      </w:r>
      <w:r w:rsidRPr="00000DBC">
        <w:t>ve věkové kategorii 75 a více</w:t>
      </w:r>
      <w:r>
        <w:t xml:space="preserve"> let</w:t>
      </w:r>
      <w:bookmarkEnd w:id="50"/>
    </w:p>
    <w:p w14:paraId="0464A45B" w14:textId="77777777" w:rsidR="00F4196A" w:rsidRDefault="00F4196A" w:rsidP="00F4196A">
      <w:pPr>
        <w:pStyle w:val="Dalodstavce"/>
        <w:ind w:firstLine="0"/>
        <w:jc w:val="center"/>
      </w:pPr>
      <w:r>
        <w:rPr>
          <w:noProof/>
        </w:rPr>
        <w:drawing>
          <wp:inline distT="0" distB="0" distL="0" distR="0" wp14:anchorId="1E9E68E8" wp14:editId="3E2B508B">
            <wp:extent cx="5538787" cy="2191883"/>
            <wp:effectExtent l="19050" t="19050" r="24130" b="18415"/>
            <wp:docPr id="1376591209" name="Obrázek 3" descr="Obsah obrázku text, snímek obrazovky, diagram, Barevnost&#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591209" name="Obrázek 3" descr="Obsah obrázku text, snímek obrazovky, diagram, Barevnost&#10;&#10;Obsah vygenerovaný umělou inteligencí může být nesprávný."/>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555769" cy="2198604"/>
                    </a:xfrm>
                    <a:prstGeom prst="rect">
                      <a:avLst/>
                    </a:prstGeom>
                    <a:noFill/>
                    <a:ln>
                      <a:solidFill>
                        <a:schemeClr val="bg2">
                          <a:lumMod val="90000"/>
                        </a:schemeClr>
                      </a:solidFill>
                    </a:ln>
                  </pic:spPr>
                </pic:pic>
              </a:graphicData>
            </a:graphic>
          </wp:inline>
        </w:drawing>
      </w:r>
    </w:p>
    <w:p w14:paraId="10E379CA" w14:textId="77777777" w:rsidR="005F29CC" w:rsidRDefault="005F29CC" w:rsidP="008A44B9">
      <w:pPr>
        <w:pStyle w:val="Popisobrzku"/>
      </w:pPr>
    </w:p>
    <w:p w14:paraId="2401D7A8" w14:textId="1A39ABC9" w:rsidR="00F4196A" w:rsidRDefault="00F4196A" w:rsidP="005F29CC">
      <w:pPr>
        <w:pStyle w:val="Dalodstavce"/>
        <w:ind w:firstLine="0"/>
      </w:pPr>
      <w:r w:rsidRPr="0043055A">
        <w:t>Graf</w:t>
      </w:r>
      <w:r>
        <w:t xml:space="preserve"> </w:t>
      </w:r>
      <w:r w:rsidR="00D50C8F">
        <w:t>4</w:t>
      </w:r>
      <w:r>
        <w:t xml:space="preserve"> zachycuje procentuální zastoupení jednotlivých diagnostických kapitol u pacientů, kteří byli ošetřeni na NUP FN Brno. Diagnostické kapitoly odpovídají struktuře MKN-10</w:t>
      </w:r>
      <w:r>
        <w:fldChar w:fldCharType="begin"/>
      </w:r>
      <w:r w:rsidR="001300F0">
        <w:instrText xml:space="preserve"> ADDIN ZOTERO_ITEM CSL_CITATION {"citationID":"teh9wuaJ","properties":{"formattedCitation":"\\super 42\\nosupersub{}","plainCitation":"42","noteIndex":0},"citationItems":[{"id":205,"uris":["http://zotero.org/users/9426386/items/TMPGUP4F"],"itemData":{"id":205,"type":"webpage","container-title":"MKN-10 2024","language":"cs","title":"MKN-10 klasifikace","URL":"https://mkn10.uzis.cz/","accessed":{"date-parts":[["2024",11,5]]}}}],"schema":"https://github.com/citation-style-language/schema/raw/master/csl-citation.json"} </w:instrText>
      </w:r>
      <w:r>
        <w:fldChar w:fldCharType="separate"/>
      </w:r>
      <w:r w:rsidR="001300F0" w:rsidRPr="001300F0">
        <w:rPr>
          <w:vertAlign w:val="superscript"/>
        </w:rPr>
        <w:t>42</w:t>
      </w:r>
      <w:r>
        <w:fldChar w:fldCharType="end"/>
      </w:r>
      <w:r>
        <w:t xml:space="preserve">. Pro rok 2019 byly konkrétní diagnózy zjištěny u 97 pacientů (100 %) a pro </w:t>
      </w:r>
      <w:r>
        <w:lastRenderedPageBreak/>
        <w:t>rok 2023 u 198 pacientů (100 %). Zaznamenány byly následující diagnostické kapitoly: Příznaky, znaky a abnormální klinické a laboratorní nálezy nezařazené jinde (</w:t>
      </w:r>
      <w:r w:rsidRPr="00DE2574">
        <w:rPr>
          <w:b/>
          <w:bCs/>
        </w:rPr>
        <w:t>R00</w:t>
      </w:r>
      <w:r w:rsidR="00C96A8A">
        <w:rPr>
          <w:b/>
          <w:bCs/>
        </w:rPr>
        <w:noBreakHyphen/>
      </w:r>
      <w:r w:rsidRPr="00DE2574">
        <w:rPr>
          <w:b/>
          <w:bCs/>
        </w:rPr>
        <w:t>R99</w:t>
      </w:r>
      <w:r>
        <w:t>); Nemoci oběhové soustavy (</w:t>
      </w:r>
      <w:r w:rsidRPr="00DE2574">
        <w:rPr>
          <w:b/>
          <w:bCs/>
        </w:rPr>
        <w:t>I00-I99</w:t>
      </w:r>
      <w:r>
        <w:t>); Nemoci trávicí soustavy (</w:t>
      </w:r>
      <w:r w:rsidRPr="00DE2574">
        <w:rPr>
          <w:b/>
          <w:bCs/>
        </w:rPr>
        <w:t>K00-K93</w:t>
      </w:r>
      <w:r>
        <w:t>); Nemoci dýchací soustavy (</w:t>
      </w:r>
      <w:r w:rsidRPr="00DE2574">
        <w:rPr>
          <w:b/>
          <w:bCs/>
        </w:rPr>
        <w:t>J00-J99</w:t>
      </w:r>
      <w:r>
        <w:t>); Nemoci endokrinní, výživy a přeměny látek (</w:t>
      </w:r>
      <w:r w:rsidRPr="00DE2574">
        <w:rPr>
          <w:b/>
          <w:bCs/>
        </w:rPr>
        <w:t>E00</w:t>
      </w:r>
      <w:r w:rsidR="006C6DCF">
        <w:rPr>
          <w:b/>
          <w:bCs/>
        </w:rPr>
        <w:noBreakHyphen/>
      </w:r>
      <w:r w:rsidRPr="00DE2574">
        <w:rPr>
          <w:b/>
          <w:bCs/>
        </w:rPr>
        <w:t>E90</w:t>
      </w:r>
      <w:r>
        <w:t>); Nemoci močové a pohlavní soustavy (</w:t>
      </w:r>
      <w:r w:rsidRPr="00DE2574">
        <w:rPr>
          <w:b/>
          <w:bCs/>
        </w:rPr>
        <w:t>N00-N99</w:t>
      </w:r>
      <w:r>
        <w:t>); Poranění, otravy a některé jiné následky vnějších příčin (</w:t>
      </w:r>
      <w:r w:rsidRPr="00DE2574">
        <w:rPr>
          <w:b/>
          <w:bCs/>
        </w:rPr>
        <w:t>S00-T98</w:t>
      </w:r>
      <w:r>
        <w:t>); Nemoci svalové a kosterní soustavy a</w:t>
      </w:r>
      <w:r w:rsidR="006C6DCF">
        <w:t> </w:t>
      </w:r>
      <w:r>
        <w:t>pojivové tkáně (</w:t>
      </w:r>
      <w:r w:rsidRPr="00DE2574">
        <w:rPr>
          <w:b/>
          <w:bCs/>
        </w:rPr>
        <w:t>M00-M99</w:t>
      </w:r>
      <w:r>
        <w:t>); Faktory ovlivňující zdravotní stav a kontakt se zdravotními službami (</w:t>
      </w:r>
      <w:r w:rsidRPr="00DE2574">
        <w:rPr>
          <w:b/>
          <w:bCs/>
        </w:rPr>
        <w:t>Z00-Z99</w:t>
      </w:r>
      <w:r>
        <w:t>); Novotvary (</w:t>
      </w:r>
      <w:r w:rsidRPr="00DE2574">
        <w:rPr>
          <w:b/>
          <w:bCs/>
        </w:rPr>
        <w:t>C00-D48</w:t>
      </w:r>
      <w:r>
        <w:t>); Nemoci krve a krvetvorných orgánů a některé poruchy imunity (</w:t>
      </w:r>
      <w:r w:rsidRPr="00DE2574">
        <w:rPr>
          <w:b/>
          <w:bCs/>
        </w:rPr>
        <w:t>D50-D89</w:t>
      </w:r>
      <w:r>
        <w:t>); Nemoci nervové soustavy (</w:t>
      </w:r>
      <w:r w:rsidRPr="00DE2574">
        <w:rPr>
          <w:b/>
          <w:bCs/>
        </w:rPr>
        <w:t>G00-G99</w:t>
      </w:r>
      <w:r>
        <w:t>); Poruchy duševní a poruchy chování (</w:t>
      </w:r>
      <w:r w:rsidRPr="00DE2574">
        <w:rPr>
          <w:b/>
          <w:bCs/>
        </w:rPr>
        <w:t>F00-F99</w:t>
      </w:r>
      <w:r>
        <w:t>); Některé infekční a parazitární nemoci (</w:t>
      </w:r>
      <w:r w:rsidRPr="00DE2574">
        <w:rPr>
          <w:b/>
          <w:bCs/>
        </w:rPr>
        <w:t>A00</w:t>
      </w:r>
      <w:r w:rsidR="006C6DCF">
        <w:rPr>
          <w:b/>
          <w:bCs/>
        </w:rPr>
        <w:noBreakHyphen/>
      </w:r>
      <w:r w:rsidRPr="00DE2574">
        <w:rPr>
          <w:b/>
          <w:bCs/>
        </w:rPr>
        <w:t>B99</w:t>
      </w:r>
      <w:r>
        <w:t>) a Nemoci kůže a podkožního vaziva (</w:t>
      </w:r>
      <w:r w:rsidRPr="00DE2574">
        <w:rPr>
          <w:b/>
          <w:bCs/>
        </w:rPr>
        <w:t>L00-L99</w:t>
      </w:r>
      <w:r>
        <w:t xml:space="preserve">). V obou sledovaných letech byla nejpočetnější diagnostická kapitola </w:t>
      </w:r>
      <w:r w:rsidRPr="00E61E8A">
        <w:t>R00-R99</w:t>
      </w:r>
      <w:r>
        <w:t>. V meziročním srovnání nedošlo k významným změnám v zastoupení jednotlivých diagnostických kapitol.</w:t>
      </w:r>
      <w:r w:rsidR="00D439E0">
        <w:t xml:space="preserve"> </w:t>
      </w:r>
      <w:r w:rsidR="00BC39FB" w:rsidRPr="00BC39FB">
        <w:t>Vzhledem k</w:t>
      </w:r>
      <w:r w:rsidR="006C6DCF">
        <w:t> </w:t>
      </w:r>
      <w:r w:rsidR="00BC39FB" w:rsidRPr="00BC39FB">
        <w:t xml:space="preserve">obtížné dostupnosti dat bylo možné sledovat diagnózy pouze u omezeného počtu pacientů ze zkoumaného souboru. </w:t>
      </w:r>
      <w:r w:rsidR="00D439E0" w:rsidRPr="00D439E0">
        <w:t>Výzkumný vzorek byl vzhledem k počtu různých diagnóz příliš malý, a</w:t>
      </w:r>
      <w:r w:rsidR="006E5343">
        <w:t> </w:t>
      </w:r>
      <w:r w:rsidR="00D439E0" w:rsidRPr="00D439E0">
        <w:t xml:space="preserve">proto neumožňoval další smysluplnou analýzu. Pacientské diagnózy a diagnostické skupiny </w:t>
      </w:r>
      <w:r w:rsidR="00D439E0">
        <w:t>(viz graf</w:t>
      </w:r>
      <w:r w:rsidR="00F06E53">
        <w:t>y</w:t>
      </w:r>
      <w:r w:rsidR="00D439E0">
        <w:t xml:space="preserve"> </w:t>
      </w:r>
      <w:r w:rsidR="00A37CE6">
        <w:t>4 a 5</w:t>
      </w:r>
      <w:r w:rsidR="00D439E0">
        <w:t xml:space="preserve">) </w:t>
      </w:r>
      <w:r w:rsidR="00D439E0" w:rsidRPr="00D439E0">
        <w:t>tedy slouž</w:t>
      </w:r>
      <w:r w:rsidR="0024529D">
        <w:t>il</w:t>
      </w:r>
      <w:r w:rsidR="00A72955">
        <w:t>y</w:t>
      </w:r>
      <w:r w:rsidR="00D439E0" w:rsidRPr="00D439E0">
        <w:t xml:space="preserve"> pouze k</w:t>
      </w:r>
      <w:r w:rsidR="00A37CE6">
        <w:t> </w:t>
      </w:r>
      <w:r w:rsidR="00D439E0" w:rsidRPr="00D439E0">
        <w:t>představení výzkumného souboru pacientů ve věku 75 a více let.</w:t>
      </w:r>
    </w:p>
    <w:p w14:paraId="75BAFC07" w14:textId="77777777" w:rsidR="00F4196A" w:rsidRPr="009B7100" w:rsidRDefault="00F4196A" w:rsidP="00F4196A">
      <w:pPr>
        <w:pStyle w:val="Dalodstavce"/>
        <w:ind w:firstLine="0"/>
        <w:rPr>
          <w:lang w:eastAsia="sk-SK"/>
        </w:rPr>
      </w:pPr>
    </w:p>
    <w:p w14:paraId="21639AFF" w14:textId="7D960B1C" w:rsidR="00F4196A" w:rsidRDefault="00F4196A" w:rsidP="00F4196A">
      <w:pPr>
        <w:pStyle w:val="Titulek"/>
        <w:keepNext/>
        <w:spacing w:before="240"/>
      </w:pPr>
      <w:bookmarkStart w:id="51" w:name="_Toc195517157"/>
      <w:r>
        <w:t xml:space="preserve">Graf </w:t>
      </w:r>
      <w:fldSimple w:instr=" SEQ Graf \* ARABIC ">
        <w:r w:rsidR="00A37CE6">
          <w:rPr>
            <w:noProof/>
          </w:rPr>
          <w:t>5</w:t>
        </w:r>
      </w:fldSimple>
      <w:r>
        <w:t>: N</w:t>
      </w:r>
      <w:r w:rsidRPr="007024EE">
        <w:t>ejčastější diagnóz</w:t>
      </w:r>
      <w:r>
        <w:t xml:space="preserve">y u pacientů na NUP FN Brno </w:t>
      </w:r>
      <w:r w:rsidRPr="007024EE">
        <w:t>ve věkové kategorii 75</w:t>
      </w:r>
      <w:r>
        <w:t xml:space="preserve"> </w:t>
      </w:r>
      <w:r w:rsidRPr="007024EE">
        <w:t>a</w:t>
      </w:r>
      <w:r>
        <w:t> </w:t>
      </w:r>
      <w:r w:rsidRPr="007024EE">
        <w:t>více</w:t>
      </w:r>
      <w:r>
        <w:t xml:space="preserve"> let</w:t>
      </w:r>
      <w:bookmarkEnd w:id="51"/>
    </w:p>
    <w:p w14:paraId="053DE542" w14:textId="77777777" w:rsidR="00F4196A" w:rsidRDefault="00F4196A" w:rsidP="00F4196A">
      <w:pPr>
        <w:pStyle w:val="Dalodstavce"/>
        <w:ind w:firstLine="0"/>
        <w:jc w:val="center"/>
      </w:pPr>
      <w:r>
        <w:rPr>
          <w:noProof/>
        </w:rPr>
        <w:drawing>
          <wp:inline distT="0" distB="0" distL="0" distR="0" wp14:anchorId="1EBDAA2F" wp14:editId="40252638">
            <wp:extent cx="4546600" cy="1879600"/>
            <wp:effectExtent l="0" t="0" r="6350" b="6350"/>
            <wp:docPr id="782633004" name="Graf 1">
              <a:extLst xmlns:a="http://schemas.openxmlformats.org/drawingml/2006/main">
                <a:ext uri="{FF2B5EF4-FFF2-40B4-BE49-F238E27FC236}">
                  <a16:creationId xmlns:a16="http://schemas.microsoft.com/office/drawing/2014/main" id="{BBAD69B6-3927-4999-E7FA-5E808A8D16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8F9E635" w14:textId="785FB06B" w:rsidR="006C6DCF" w:rsidRDefault="00F4196A" w:rsidP="0083105C">
      <w:pPr>
        <w:pStyle w:val="Dalodstavce"/>
        <w:ind w:firstLine="0"/>
        <w:jc w:val="center"/>
      </w:pPr>
      <w:r>
        <w:rPr>
          <w:noProof/>
        </w:rPr>
        <w:drawing>
          <wp:inline distT="0" distB="0" distL="0" distR="0" wp14:anchorId="5E8137CF" wp14:editId="0208E025">
            <wp:extent cx="4552950" cy="1913890"/>
            <wp:effectExtent l="0" t="0" r="0" b="10160"/>
            <wp:docPr id="1092657861" name="Graf 1">
              <a:extLst xmlns:a="http://schemas.openxmlformats.org/drawingml/2006/main">
                <a:ext uri="{FF2B5EF4-FFF2-40B4-BE49-F238E27FC236}">
                  <a16:creationId xmlns:a16="http://schemas.microsoft.com/office/drawing/2014/main" id="{2A415AEC-B76E-41A9-7B37-9A5EB39E6E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759BB28" w14:textId="20C9A516" w:rsidR="0082302C" w:rsidRPr="0082302C" w:rsidRDefault="00F4196A" w:rsidP="006C6DCF">
      <w:pPr>
        <w:pStyle w:val="Dalodstavce"/>
        <w:ind w:firstLine="0"/>
      </w:pPr>
      <w:r w:rsidRPr="00E07B4B">
        <w:lastRenderedPageBreak/>
        <w:t xml:space="preserve">Graf </w:t>
      </w:r>
      <w:r w:rsidR="00D50C8F">
        <w:t>5</w:t>
      </w:r>
      <w:r w:rsidRPr="00E07B4B">
        <w:t xml:space="preserve"> znázorňuje procentuální zastoupení nejčastějších diagnóz u pacientů ošetřených na NUP FN Brno</w:t>
      </w:r>
      <w:r>
        <w:t>. Kódové označení a přesné znění jednotlivých diagnóz vycházejí z databáze MKN-10</w:t>
      </w:r>
      <w:r>
        <w:fldChar w:fldCharType="begin"/>
      </w:r>
      <w:r w:rsidR="001300F0">
        <w:instrText xml:space="preserve"> ADDIN ZOTERO_ITEM CSL_CITATION {"citationID":"foCiW5ny","properties":{"formattedCitation":"\\super 42\\nosupersub{}","plainCitation":"42","noteIndex":0},"citationItems":[{"id":205,"uris":["http://zotero.org/users/9426386/items/TMPGUP4F"],"itemData":{"id":205,"type":"webpage","container-title":"MKN-10 2024","language":"cs","title":"MKN-10 klasifikace","URL":"https://mkn10.uzis.cz/","accessed":{"date-parts":[["2024",11,5]]}}}],"schema":"https://github.com/citation-style-language/schema/raw/master/csl-citation.json"} </w:instrText>
      </w:r>
      <w:r>
        <w:fldChar w:fldCharType="separate"/>
      </w:r>
      <w:r w:rsidR="001300F0" w:rsidRPr="001300F0">
        <w:rPr>
          <w:vertAlign w:val="superscript"/>
        </w:rPr>
        <w:t>42</w:t>
      </w:r>
      <w:r>
        <w:fldChar w:fldCharType="end"/>
      </w:r>
      <w:r>
        <w:t>. Užívaná zkratka NS odpovídá termínu „nespecifikovaný“. V grafu jsou zachyceny následující diagnózy: Bolest hrudi NS (</w:t>
      </w:r>
      <w:r w:rsidRPr="00C67A3F">
        <w:rPr>
          <w:b/>
          <w:bCs/>
        </w:rPr>
        <w:t>R07.4</w:t>
      </w:r>
      <w:r>
        <w:t>), Dušnost (dyspnoe) (</w:t>
      </w:r>
      <w:r w:rsidRPr="00C67A3F">
        <w:rPr>
          <w:b/>
          <w:bCs/>
        </w:rPr>
        <w:t>R06.0</w:t>
      </w:r>
      <w:r>
        <w:t>), Mdloba (synkopa) a zhroucení (kolaps) (</w:t>
      </w:r>
      <w:r w:rsidRPr="00C67A3F">
        <w:rPr>
          <w:b/>
          <w:bCs/>
        </w:rPr>
        <w:t>R55</w:t>
      </w:r>
      <w:r>
        <w:t>), Esenciální (primární) hypertenze (</w:t>
      </w:r>
      <w:r w:rsidRPr="00C67A3F">
        <w:rPr>
          <w:b/>
          <w:bCs/>
        </w:rPr>
        <w:t>I10</w:t>
      </w:r>
      <w:r>
        <w:t>), Bronchopneumonie NS (</w:t>
      </w:r>
      <w:r w:rsidRPr="00C67A3F">
        <w:rPr>
          <w:b/>
          <w:bCs/>
        </w:rPr>
        <w:t>J18.0</w:t>
      </w:r>
      <w:r>
        <w:t>), Závrať (</w:t>
      </w:r>
      <w:proofErr w:type="spellStart"/>
      <w:r>
        <w:t>vertigo</w:t>
      </w:r>
      <w:proofErr w:type="spellEnd"/>
      <w:r>
        <w:t>) (</w:t>
      </w:r>
      <w:r w:rsidRPr="00C67A3F">
        <w:rPr>
          <w:b/>
          <w:bCs/>
        </w:rPr>
        <w:t>R42</w:t>
      </w:r>
      <w:r>
        <w:t>), Městnavé selhání srdce (</w:t>
      </w:r>
      <w:r w:rsidRPr="00C67A3F">
        <w:rPr>
          <w:b/>
          <w:bCs/>
        </w:rPr>
        <w:t>I50.0</w:t>
      </w:r>
      <w:r>
        <w:t>), Funkční dyspepsie (</w:t>
      </w:r>
      <w:r w:rsidRPr="00C67A3F">
        <w:rPr>
          <w:b/>
          <w:bCs/>
        </w:rPr>
        <w:t>K30</w:t>
      </w:r>
      <w:r>
        <w:t>), Přetrvávající (perzistující) fibrilace síní (</w:t>
      </w:r>
      <w:r w:rsidRPr="00C67A3F">
        <w:rPr>
          <w:b/>
          <w:bCs/>
        </w:rPr>
        <w:t>I48.1</w:t>
      </w:r>
      <w:r>
        <w:t>), Cévní mozková příhoda (mrtvice) neurčená jako krvácení nebo infarkt (</w:t>
      </w:r>
      <w:r w:rsidRPr="00C67A3F">
        <w:rPr>
          <w:b/>
          <w:bCs/>
        </w:rPr>
        <w:t>I64</w:t>
      </w:r>
      <w:r>
        <w:t>), Horečka NS (</w:t>
      </w:r>
      <w:r w:rsidRPr="00C67A3F">
        <w:rPr>
          <w:b/>
          <w:bCs/>
        </w:rPr>
        <w:t>R50.9</w:t>
      </w:r>
      <w:r>
        <w:t>); Nevolnost a únava (</w:t>
      </w:r>
      <w:r w:rsidRPr="00C67A3F">
        <w:rPr>
          <w:b/>
          <w:bCs/>
        </w:rPr>
        <w:t>R53</w:t>
      </w:r>
      <w:r>
        <w:t>) a Infekce močového ústrojí neurčené lokalizace (</w:t>
      </w:r>
      <w:r w:rsidRPr="00C67A3F">
        <w:rPr>
          <w:b/>
          <w:bCs/>
        </w:rPr>
        <w:t>N39.0</w:t>
      </w:r>
      <w:r>
        <w:t xml:space="preserve">). Znázorněné nejčastější diagnózy tvořily 64,95 % z celkového souboru zjištěných diagnóz pro rok 2019 a 66,16 % pro rok 2023. </w:t>
      </w:r>
      <w:r w:rsidRPr="00465C96">
        <w:t>V</w:t>
      </w:r>
      <w:r>
        <w:t> </w:t>
      </w:r>
      <w:r w:rsidRPr="00465C96">
        <w:t>meziročním srovnání se zastoupení nejčastějších diagnóz téměř nezměnilo, avšak docházelo ke změnám v jejich pořadí.</w:t>
      </w:r>
    </w:p>
    <w:p w14:paraId="647EF83F" w14:textId="76A57606" w:rsidR="008767CA" w:rsidRDefault="008767CA" w:rsidP="008767CA">
      <w:pPr>
        <w:pStyle w:val="Nadpis3"/>
        <w:numPr>
          <w:ilvl w:val="2"/>
          <w:numId w:val="14"/>
        </w:numPr>
        <w:rPr>
          <w:lang w:eastAsia="sk-SK"/>
        </w:rPr>
      </w:pPr>
      <w:r>
        <w:rPr>
          <w:lang w:eastAsia="sk-SK"/>
        </w:rPr>
        <w:t xml:space="preserve">Cíl č. </w:t>
      </w:r>
      <w:r w:rsidR="00D56924">
        <w:rPr>
          <w:lang w:eastAsia="sk-SK"/>
        </w:rPr>
        <w:t>2</w:t>
      </w:r>
      <w:r>
        <w:rPr>
          <w:lang w:eastAsia="sk-SK"/>
        </w:rPr>
        <w:t>:</w:t>
      </w:r>
      <w:r w:rsidR="00F87C32">
        <w:rPr>
          <w:lang w:eastAsia="sk-SK"/>
        </w:rPr>
        <w:t xml:space="preserve"> </w:t>
      </w:r>
      <w:r w:rsidR="00F87C32" w:rsidRPr="00F87C32">
        <w:rPr>
          <w:lang w:eastAsia="sk-SK"/>
        </w:rPr>
        <w:t>Pop</w:t>
      </w:r>
      <w:r w:rsidR="00F87C32">
        <w:rPr>
          <w:lang w:eastAsia="sk-SK"/>
        </w:rPr>
        <w:t>sat</w:t>
      </w:r>
      <w:r w:rsidR="00F87C32" w:rsidRPr="00F87C32">
        <w:rPr>
          <w:lang w:eastAsia="sk-SK"/>
        </w:rPr>
        <w:t xml:space="preserve"> trajektori</w:t>
      </w:r>
      <w:r w:rsidR="00F87C32">
        <w:rPr>
          <w:lang w:eastAsia="sk-SK"/>
        </w:rPr>
        <w:t xml:space="preserve">i pacientů </w:t>
      </w:r>
      <w:r w:rsidR="00CB1345">
        <w:rPr>
          <w:lang w:eastAsia="sk-SK"/>
        </w:rPr>
        <w:t>ve věku 75</w:t>
      </w:r>
      <w:r w:rsidR="00594AD3">
        <w:rPr>
          <w:lang w:eastAsia="sk-SK"/>
        </w:rPr>
        <w:t xml:space="preserve"> a více let</w:t>
      </w:r>
      <w:r w:rsidR="007E6AF6">
        <w:rPr>
          <w:lang w:eastAsia="sk-SK"/>
        </w:rPr>
        <w:t xml:space="preserve"> ošetřených </w:t>
      </w:r>
      <w:r w:rsidR="00F87C32">
        <w:rPr>
          <w:lang w:eastAsia="sk-SK"/>
        </w:rPr>
        <w:t>na N</w:t>
      </w:r>
      <w:r w:rsidR="00594AD3">
        <w:rPr>
          <w:lang w:eastAsia="sk-SK"/>
        </w:rPr>
        <w:t>ízkoprahovém urgentním příjmu</w:t>
      </w:r>
      <w:r w:rsidR="00F87C32">
        <w:rPr>
          <w:lang w:eastAsia="sk-SK"/>
        </w:rPr>
        <w:t xml:space="preserve"> F</w:t>
      </w:r>
      <w:r w:rsidR="00594AD3">
        <w:rPr>
          <w:lang w:eastAsia="sk-SK"/>
        </w:rPr>
        <w:t>akultní nemocnice</w:t>
      </w:r>
      <w:r w:rsidR="00F87C32">
        <w:rPr>
          <w:lang w:eastAsia="sk-SK"/>
        </w:rPr>
        <w:t xml:space="preserve"> Brno</w:t>
      </w:r>
      <w:r w:rsidR="00F87C32" w:rsidRPr="00F87C32">
        <w:rPr>
          <w:lang w:eastAsia="sk-SK"/>
        </w:rPr>
        <w:t xml:space="preserve"> v</w:t>
      </w:r>
      <w:r w:rsidR="00594AD3">
        <w:rPr>
          <w:lang w:eastAsia="sk-SK"/>
        </w:rPr>
        <w:t> </w:t>
      </w:r>
      <w:r w:rsidR="00F87C32" w:rsidRPr="00F87C32">
        <w:rPr>
          <w:lang w:eastAsia="sk-SK"/>
        </w:rPr>
        <w:t>roce 2023</w:t>
      </w:r>
      <w:r w:rsidR="007E6AF6">
        <w:rPr>
          <w:lang w:eastAsia="sk-SK"/>
        </w:rPr>
        <w:t>.</w:t>
      </w:r>
    </w:p>
    <w:p w14:paraId="3FEFF20F" w14:textId="18026BF4" w:rsidR="007E6AF6" w:rsidRDefault="000342DA" w:rsidP="007E6AF6">
      <w:pPr>
        <w:pStyle w:val="Odstavec1"/>
        <w:rPr>
          <w:lang w:eastAsia="sk-SK"/>
        </w:rPr>
      </w:pPr>
      <w:r w:rsidRPr="000342DA">
        <w:rPr>
          <w:lang w:eastAsia="sk-SK"/>
        </w:rPr>
        <w:t xml:space="preserve">Pro naplnění Cíle č. 2 byla jako výchozí zvolena nejnovější dostupná data, tedy kalendářní rok 2023. Tento cíl se opíral o </w:t>
      </w:r>
      <w:r w:rsidR="000414DF">
        <w:rPr>
          <w:lang w:eastAsia="sk-SK"/>
        </w:rPr>
        <w:t>tři</w:t>
      </w:r>
      <w:r w:rsidRPr="000342DA">
        <w:rPr>
          <w:lang w:eastAsia="sk-SK"/>
        </w:rPr>
        <w:t xml:space="preserve"> body (a, b</w:t>
      </w:r>
      <w:r w:rsidR="00C52E9E">
        <w:rPr>
          <w:lang w:eastAsia="sk-SK"/>
        </w:rPr>
        <w:t xml:space="preserve"> a </w:t>
      </w:r>
      <w:r w:rsidRPr="000342DA">
        <w:rPr>
          <w:lang w:eastAsia="sk-SK"/>
        </w:rPr>
        <w:t xml:space="preserve">c), </w:t>
      </w:r>
      <w:r w:rsidR="00C52E9E">
        <w:rPr>
          <w:lang w:eastAsia="sk-SK"/>
        </w:rPr>
        <w:t>které byly</w:t>
      </w:r>
      <w:r w:rsidR="006A0B1E">
        <w:rPr>
          <w:lang w:eastAsia="sk-SK"/>
        </w:rPr>
        <w:t xml:space="preserve"> dále využity</w:t>
      </w:r>
      <w:r w:rsidR="00013F73">
        <w:rPr>
          <w:lang w:eastAsia="sk-SK"/>
        </w:rPr>
        <w:t> </w:t>
      </w:r>
      <w:r w:rsidRPr="000342DA">
        <w:rPr>
          <w:lang w:eastAsia="sk-SK"/>
        </w:rPr>
        <w:t>k vyhodnocení Cíle č. 3 (viz</w:t>
      </w:r>
      <w:r w:rsidR="008612E6">
        <w:rPr>
          <w:lang w:eastAsia="sk-SK"/>
        </w:rPr>
        <w:t> podkapitola 5.5.3</w:t>
      </w:r>
      <w:r w:rsidRPr="000342DA">
        <w:rPr>
          <w:lang w:eastAsia="sk-SK"/>
        </w:rPr>
        <w:t>).</w:t>
      </w:r>
    </w:p>
    <w:p w14:paraId="34EA53D0" w14:textId="77777777" w:rsidR="0057353F" w:rsidRPr="0057353F" w:rsidRDefault="0057353F" w:rsidP="0057353F">
      <w:pPr>
        <w:pStyle w:val="Dalodstavce"/>
        <w:ind w:firstLine="0"/>
        <w:rPr>
          <w:lang w:eastAsia="sk-SK"/>
        </w:rPr>
      </w:pPr>
    </w:p>
    <w:p w14:paraId="040C7336" w14:textId="37ACC915" w:rsidR="00B21A94" w:rsidRPr="00B67684" w:rsidRDefault="00D90DA7" w:rsidP="00B21A94">
      <w:pPr>
        <w:pStyle w:val="Dalodstavce"/>
        <w:numPr>
          <w:ilvl w:val="0"/>
          <w:numId w:val="26"/>
        </w:numPr>
        <w:rPr>
          <w:b/>
          <w:bCs/>
          <w:lang w:eastAsia="sk-SK"/>
        </w:rPr>
      </w:pPr>
      <w:r w:rsidRPr="00D90DA7">
        <w:rPr>
          <w:b/>
          <w:bCs/>
          <w:lang w:eastAsia="sk-SK"/>
        </w:rPr>
        <w:t>Ovlivň</w:t>
      </w:r>
      <w:r w:rsidR="00CF5E25">
        <w:rPr>
          <w:b/>
          <w:bCs/>
          <w:lang w:eastAsia="sk-SK"/>
        </w:rPr>
        <w:t>oval</w:t>
      </w:r>
      <w:r w:rsidR="007925C6">
        <w:rPr>
          <w:b/>
          <w:bCs/>
          <w:lang w:eastAsia="sk-SK"/>
        </w:rPr>
        <w:t>y</w:t>
      </w:r>
      <w:r w:rsidRPr="00D90DA7">
        <w:rPr>
          <w:b/>
          <w:bCs/>
          <w:lang w:eastAsia="sk-SK"/>
        </w:rPr>
        <w:t xml:space="preserve"> pohlaví, věk a spádovost průchod pacienta </w:t>
      </w:r>
      <w:r w:rsidR="007925C6">
        <w:rPr>
          <w:b/>
          <w:bCs/>
          <w:lang w:eastAsia="sk-SK"/>
        </w:rPr>
        <w:t xml:space="preserve">ve věku </w:t>
      </w:r>
      <w:r w:rsidRPr="00D90DA7">
        <w:rPr>
          <w:b/>
          <w:bCs/>
          <w:lang w:eastAsia="sk-SK"/>
        </w:rPr>
        <w:t>75+ nízkoprahovým urgentním příjmem?</w:t>
      </w:r>
    </w:p>
    <w:p w14:paraId="6CAC8CB2" w14:textId="3271B217" w:rsidR="00B21A94" w:rsidRDefault="00B21A94" w:rsidP="0054694F">
      <w:pPr>
        <w:pStyle w:val="Dalodstavce"/>
        <w:ind w:firstLine="0"/>
        <w:rPr>
          <w:lang w:eastAsia="sk-SK"/>
        </w:rPr>
      </w:pPr>
      <w:r>
        <w:rPr>
          <w:lang w:eastAsia="sk-SK"/>
        </w:rPr>
        <w:t xml:space="preserve">Bylo zjišťováno, zda existuje vztah mezi nezávisle proměnnými </w:t>
      </w:r>
      <w:r w:rsidR="0054694F">
        <w:rPr>
          <w:lang w:eastAsia="sk-SK"/>
        </w:rPr>
        <w:t>–</w:t>
      </w:r>
      <w:r>
        <w:rPr>
          <w:lang w:eastAsia="sk-SK"/>
        </w:rPr>
        <w:t xml:space="preserve"> pohlavím, věkem a</w:t>
      </w:r>
      <w:r w:rsidR="0054694F">
        <w:rPr>
          <w:lang w:eastAsia="sk-SK"/>
        </w:rPr>
        <w:t> </w:t>
      </w:r>
      <w:r w:rsidR="004B5885">
        <w:rPr>
          <w:lang w:eastAsia="sk-SK"/>
        </w:rPr>
        <w:t>spádovostí</w:t>
      </w:r>
      <w:r>
        <w:rPr>
          <w:lang w:eastAsia="sk-SK"/>
        </w:rPr>
        <w:t>, a zda tyto charakteristiky souvisí s tím:</w:t>
      </w:r>
    </w:p>
    <w:p w14:paraId="6D5D9A48" w14:textId="7DFF6305" w:rsidR="005D3A74" w:rsidRDefault="005D3A74" w:rsidP="005D3A74">
      <w:pPr>
        <w:pStyle w:val="Dalodstavce"/>
        <w:numPr>
          <w:ilvl w:val="0"/>
          <w:numId w:val="34"/>
        </w:numPr>
        <w:rPr>
          <w:lang w:eastAsia="sk-SK"/>
        </w:rPr>
      </w:pPr>
      <w:r w:rsidRPr="005D3A74">
        <w:rPr>
          <w:lang w:eastAsia="sk-SK"/>
        </w:rPr>
        <w:t>jakým způsobem byl pacient dopraven k ošetření,</w:t>
      </w:r>
    </w:p>
    <w:p w14:paraId="329E7DB4" w14:textId="2C81A7C2" w:rsidR="00B21A94" w:rsidRDefault="00B21A94" w:rsidP="0054694F">
      <w:pPr>
        <w:pStyle w:val="Dalodstavce"/>
        <w:numPr>
          <w:ilvl w:val="0"/>
          <w:numId w:val="27"/>
        </w:numPr>
        <w:rPr>
          <w:lang w:eastAsia="sk-SK"/>
        </w:rPr>
      </w:pPr>
      <w:r>
        <w:rPr>
          <w:lang w:eastAsia="sk-SK"/>
        </w:rPr>
        <w:t xml:space="preserve">na jaké ambulanci byl pacient vyšetřen, </w:t>
      </w:r>
    </w:p>
    <w:p w14:paraId="054931BE" w14:textId="23577AF3" w:rsidR="00B21A94" w:rsidRDefault="00B21A94" w:rsidP="0054694F">
      <w:pPr>
        <w:pStyle w:val="Dalodstavce"/>
        <w:numPr>
          <w:ilvl w:val="0"/>
          <w:numId w:val="27"/>
        </w:numPr>
        <w:rPr>
          <w:lang w:eastAsia="sk-SK"/>
        </w:rPr>
      </w:pPr>
      <w:r>
        <w:rPr>
          <w:lang w:eastAsia="sk-SK"/>
        </w:rPr>
        <w:t>zda bylo vy</w:t>
      </w:r>
      <w:r w:rsidR="005D3A74">
        <w:rPr>
          <w:lang w:eastAsia="sk-SK"/>
        </w:rPr>
        <w:t>žadováno</w:t>
      </w:r>
      <w:r>
        <w:rPr>
          <w:lang w:eastAsia="sk-SK"/>
        </w:rPr>
        <w:t xml:space="preserve"> observační lůžko, </w:t>
      </w:r>
    </w:p>
    <w:p w14:paraId="64060736" w14:textId="637A271F" w:rsidR="00B21A94" w:rsidRDefault="00B21A94" w:rsidP="0054694F">
      <w:pPr>
        <w:pStyle w:val="Dalodstavce"/>
        <w:numPr>
          <w:ilvl w:val="0"/>
          <w:numId w:val="27"/>
        </w:numPr>
        <w:rPr>
          <w:lang w:eastAsia="sk-SK"/>
        </w:rPr>
      </w:pPr>
      <w:r>
        <w:rPr>
          <w:lang w:eastAsia="sk-SK"/>
        </w:rPr>
        <w:t xml:space="preserve">jestli byly k vyšetření použity zobrazovací metody </w:t>
      </w:r>
    </w:p>
    <w:p w14:paraId="01E7046A" w14:textId="4BADD3DB" w:rsidR="001C5D57" w:rsidRDefault="00B21A94" w:rsidP="000D5F26">
      <w:pPr>
        <w:pStyle w:val="Dalodstavce"/>
        <w:numPr>
          <w:ilvl w:val="0"/>
          <w:numId w:val="27"/>
        </w:numPr>
        <w:rPr>
          <w:lang w:eastAsia="sk-SK"/>
        </w:rPr>
      </w:pPr>
      <w:r>
        <w:rPr>
          <w:lang w:eastAsia="sk-SK"/>
        </w:rPr>
        <w:t>a zda bylo potřeba konzilium</w:t>
      </w:r>
      <w:r w:rsidR="00D56162">
        <w:rPr>
          <w:lang w:eastAsia="sk-SK"/>
        </w:rPr>
        <w:t xml:space="preserve"> specialisty</w:t>
      </w:r>
      <w:r w:rsidR="0054694F">
        <w:rPr>
          <w:lang w:eastAsia="sk-SK"/>
        </w:rPr>
        <w:t>.</w:t>
      </w:r>
    </w:p>
    <w:p w14:paraId="54EF0E00" w14:textId="77777777" w:rsidR="00451053" w:rsidRDefault="00451053" w:rsidP="00451053">
      <w:pPr>
        <w:pStyle w:val="Dalodstavce"/>
        <w:ind w:firstLine="0"/>
        <w:rPr>
          <w:lang w:eastAsia="sk-SK"/>
        </w:rPr>
      </w:pPr>
    </w:p>
    <w:p w14:paraId="2036A021" w14:textId="58600FF8" w:rsidR="009F3DC6" w:rsidRPr="009F3DC6" w:rsidRDefault="00E04CD1" w:rsidP="00451053">
      <w:pPr>
        <w:pStyle w:val="Dalodstavce"/>
        <w:ind w:firstLine="0"/>
        <w:rPr>
          <w:b/>
          <w:bCs/>
          <w:lang w:eastAsia="sk-SK"/>
        </w:rPr>
      </w:pPr>
      <w:r w:rsidRPr="00724EDB">
        <w:rPr>
          <w:b/>
          <w:bCs/>
          <w:lang w:eastAsia="sk-SK"/>
        </w:rPr>
        <w:t>Neb</w:t>
      </w:r>
      <w:r w:rsidR="008F2083" w:rsidRPr="00724EDB">
        <w:rPr>
          <w:b/>
          <w:bCs/>
          <w:lang w:eastAsia="sk-SK"/>
        </w:rPr>
        <w:t>yla z</w:t>
      </w:r>
      <w:r w:rsidR="008F2083" w:rsidRPr="00990CA0">
        <w:rPr>
          <w:b/>
          <w:bCs/>
          <w:lang w:eastAsia="sk-SK"/>
        </w:rPr>
        <w:t>jištěna signifikantní korelac</w:t>
      </w:r>
      <w:r w:rsidRPr="00990CA0">
        <w:rPr>
          <w:b/>
          <w:bCs/>
          <w:lang w:eastAsia="sk-SK"/>
        </w:rPr>
        <w:t xml:space="preserve">e </w:t>
      </w:r>
      <w:r w:rsidR="004F041A" w:rsidRPr="00990CA0">
        <w:rPr>
          <w:b/>
          <w:bCs/>
          <w:lang w:eastAsia="sk-SK"/>
        </w:rPr>
        <w:t xml:space="preserve">mezi pohlavím pacienta </w:t>
      </w:r>
      <w:r w:rsidR="007D3D9F">
        <w:rPr>
          <w:b/>
          <w:bCs/>
          <w:lang w:eastAsia="sk-SK"/>
        </w:rPr>
        <w:t>ve věku 75</w:t>
      </w:r>
      <w:r w:rsidR="006F37D7">
        <w:rPr>
          <w:b/>
          <w:bCs/>
          <w:lang w:eastAsia="sk-SK"/>
        </w:rPr>
        <w:t xml:space="preserve"> a více let </w:t>
      </w:r>
      <w:r w:rsidR="004F041A" w:rsidRPr="00990CA0">
        <w:rPr>
          <w:b/>
          <w:bCs/>
          <w:lang w:eastAsia="sk-SK"/>
        </w:rPr>
        <w:t xml:space="preserve">a jeho trajektorií na NUP FN Brno </w:t>
      </w:r>
      <w:r w:rsidR="007874CD">
        <w:rPr>
          <w:b/>
          <w:bCs/>
          <w:lang w:eastAsia="sk-SK"/>
        </w:rPr>
        <w:t>v roce</w:t>
      </w:r>
      <w:r w:rsidR="004F041A" w:rsidRPr="00990CA0">
        <w:rPr>
          <w:b/>
          <w:bCs/>
          <w:lang w:eastAsia="sk-SK"/>
        </w:rPr>
        <w:t xml:space="preserve"> 2023</w:t>
      </w:r>
      <w:r w:rsidR="008F2083" w:rsidRPr="00990CA0">
        <w:rPr>
          <w:b/>
          <w:bCs/>
          <w:lang w:eastAsia="sk-SK"/>
        </w:rPr>
        <w:t>.</w:t>
      </w:r>
    </w:p>
    <w:p w14:paraId="4B6D6A7E" w14:textId="476D26A3" w:rsidR="005D5813" w:rsidRDefault="008F4750" w:rsidP="005D5813">
      <w:pPr>
        <w:pStyle w:val="Dalodstavce"/>
      </w:pPr>
      <w:r>
        <w:t>Muži ve věku 75 a více let</w:t>
      </w:r>
      <w:r w:rsidR="00161B7C">
        <w:t xml:space="preserve"> </w:t>
      </w:r>
      <w:r w:rsidR="00E82016">
        <w:t xml:space="preserve">nevyžadovali </w:t>
      </w:r>
      <w:r w:rsidR="00161B7C">
        <w:t xml:space="preserve">konzilium </w:t>
      </w:r>
      <w:r w:rsidR="00FA10D9">
        <w:t xml:space="preserve">dalšího </w:t>
      </w:r>
      <w:r w:rsidR="00161B7C">
        <w:t>specialisty</w:t>
      </w:r>
      <w:r w:rsidR="002547C5">
        <w:t xml:space="preserve"> </w:t>
      </w:r>
      <w:r w:rsidR="00105BB6" w:rsidRPr="00105BB6">
        <w:t>častěji, než by odpovídalo náhodnému rozložení</w:t>
      </w:r>
      <w:r w:rsidR="006B0F6A">
        <w:t xml:space="preserve">. </w:t>
      </w:r>
      <w:r w:rsidR="00832E6D">
        <w:t xml:space="preserve">Oproti tomu </w:t>
      </w:r>
      <w:r w:rsidR="006B0F6A">
        <w:t>ženy</w:t>
      </w:r>
      <w:r w:rsidR="00642D88">
        <w:t xml:space="preserve"> konzilium specialisty </w:t>
      </w:r>
      <w:r w:rsidR="00087B23">
        <w:t>vyžadoval</w:t>
      </w:r>
      <w:r w:rsidR="00105BB6">
        <w:t>y</w:t>
      </w:r>
      <w:r w:rsidR="00087B23">
        <w:t xml:space="preserve"> </w:t>
      </w:r>
      <w:r w:rsidR="00642D88">
        <w:t>častěji než náhodn</w:t>
      </w:r>
      <w:r w:rsidR="00087B23">
        <w:t>ě</w:t>
      </w:r>
      <w:r w:rsidR="00642D88">
        <w:t>.</w:t>
      </w:r>
      <w:r w:rsidR="008A05B1">
        <w:t xml:space="preserve"> </w:t>
      </w:r>
      <w:r w:rsidR="00213CA0" w:rsidRPr="00213CA0">
        <w:t xml:space="preserve">Mezi pohlavím pacientů ve věku 75+ a </w:t>
      </w:r>
      <w:r w:rsidR="00B62656">
        <w:t>dalšími proměnnými</w:t>
      </w:r>
      <w:r w:rsidR="00213CA0" w:rsidRPr="00213CA0">
        <w:t xml:space="preserve"> nebyly na základě analýzy adjustovaných </w:t>
      </w:r>
      <w:proofErr w:type="spellStart"/>
      <w:r w:rsidR="00213CA0" w:rsidRPr="00213CA0">
        <w:t>reziduálů</w:t>
      </w:r>
      <w:proofErr w:type="spellEnd"/>
      <w:r w:rsidR="00213CA0" w:rsidRPr="00213CA0">
        <w:t xml:space="preserve"> zjištěny žádné statisticky významné odchylky v četnostech.</w:t>
      </w:r>
      <w:r w:rsidR="00B62656">
        <w:t xml:space="preserve"> </w:t>
      </w:r>
      <w:r w:rsidR="004854B4" w:rsidRPr="004854B4">
        <w:t>Žádný z výsledků nebyl statisticky významný</w:t>
      </w:r>
      <w:r w:rsidR="00ED35BF">
        <w:t xml:space="preserve"> </w:t>
      </w:r>
      <w:r w:rsidR="00ED35BF" w:rsidRPr="00ED35BF">
        <w:t xml:space="preserve">na </w:t>
      </w:r>
      <w:proofErr w:type="gramStart"/>
      <w:r w:rsidR="00ED35BF" w:rsidRPr="00ED35BF">
        <w:t>5%</w:t>
      </w:r>
      <w:proofErr w:type="gramEnd"/>
      <w:r w:rsidR="00ED35BF" w:rsidRPr="00ED35BF">
        <w:t xml:space="preserve"> hladině významnosti</w:t>
      </w:r>
      <w:r w:rsidR="00E2101F">
        <w:t xml:space="preserve"> (viz Tabulka 17)</w:t>
      </w:r>
      <w:r w:rsidR="001E2A3F">
        <w:t>.</w:t>
      </w:r>
    </w:p>
    <w:p w14:paraId="150B7FC0" w14:textId="77777777" w:rsidR="002873B2" w:rsidRDefault="002873B2" w:rsidP="002873B2">
      <w:pPr>
        <w:pStyle w:val="Dalodstavce"/>
        <w:ind w:firstLine="0"/>
      </w:pPr>
    </w:p>
    <w:p w14:paraId="0A34B846" w14:textId="25CB95CB" w:rsidR="006B2727" w:rsidRPr="006B2727" w:rsidRDefault="006B2727" w:rsidP="004E6824">
      <w:pPr>
        <w:pStyle w:val="Dalodstavce"/>
        <w:ind w:firstLine="0"/>
        <w:rPr>
          <w:b/>
          <w:bCs/>
        </w:rPr>
      </w:pPr>
      <w:r w:rsidRPr="00724EDB">
        <w:rPr>
          <w:b/>
          <w:bCs/>
        </w:rPr>
        <w:lastRenderedPageBreak/>
        <w:t>Byl zjištěn statisticky významný</w:t>
      </w:r>
      <w:r w:rsidRPr="006B2727">
        <w:rPr>
          <w:b/>
          <w:bCs/>
        </w:rPr>
        <w:t>, ale slabý vztah mezi věkem pacienta (75+) a</w:t>
      </w:r>
      <w:r w:rsidR="007D06D1">
        <w:rPr>
          <w:b/>
          <w:bCs/>
        </w:rPr>
        <w:t> </w:t>
      </w:r>
      <w:r w:rsidRPr="006B2727">
        <w:rPr>
          <w:b/>
          <w:bCs/>
        </w:rPr>
        <w:t xml:space="preserve">jeho trajektorií na NUP FN Brno. </w:t>
      </w:r>
      <w:r w:rsidRPr="00E437B1">
        <w:t xml:space="preserve">Statisticky významná asociace byla nalezena mezi věkem pacienta a </w:t>
      </w:r>
      <w:r w:rsidR="00B522A3" w:rsidRPr="00E437B1">
        <w:t>typem ošetřující ambulance (</w:t>
      </w:r>
      <w:r w:rsidR="005824D3" w:rsidRPr="00E437B1">
        <w:t>p=0,007</w:t>
      </w:r>
      <w:r w:rsidR="00384B49" w:rsidRPr="00E437B1">
        <w:t>; CV=0,122</w:t>
      </w:r>
      <w:r w:rsidR="00B522A3" w:rsidRPr="00E437B1">
        <w:t xml:space="preserve">) </w:t>
      </w:r>
      <w:r w:rsidR="000F1078" w:rsidRPr="00E437B1">
        <w:t xml:space="preserve">a mezi </w:t>
      </w:r>
      <w:r w:rsidRPr="00E437B1">
        <w:t>využitím observačního lůžka (p=0,0</w:t>
      </w:r>
      <w:r w:rsidR="00DD2720" w:rsidRPr="00E437B1">
        <w:t>18</w:t>
      </w:r>
      <w:r w:rsidR="00384B49" w:rsidRPr="00E437B1">
        <w:t>; CV=0,130</w:t>
      </w:r>
      <w:r w:rsidRPr="00E437B1">
        <w:t xml:space="preserve">), avšak síla </w:t>
      </w:r>
      <w:r w:rsidR="007D06D1" w:rsidRPr="00E437B1">
        <w:t xml:space="preserve">obou </w:t>
      </w:r>
      <w:r w:rsidRPr="00E437B1">
        <w:t>vztah</w:t>
      </w:r>
      <w:r w:rsidR="007D06D1" w:rsidRPr="00E437B1">
        <w:t>ů</w:t>
      </w:r>
      <w:r w:rsidRPr="00E437B1">
        <w:t xml:space="preserve"> byla slabá</w:t>
      </w:r>
      <w:r w:rsidR="007C4769" w:rsidRPr="00E437B1">
        <w:t>,</w:t>
      </w:r>
      <w:r w:rsidR="00857BED" w:rsidRPr="00E437B1">
        <w:t xml:space="preserve"> a tedy pravděpodobně klinicky nevýznamn</w:t>
      </w:r>
      <w:r w:rsidR="007C4769" w:rsidRPr="00E437B1">
        <w:t>á.</w:t>
      </w:r>
    </w:p>
    <w:p w14:paraId="70104DB4" w14:textId="04DCA01D" w:rsidR="00BB20AF" w:rsidRDefault="00E87195" w:rsidP="008D2938">
      <w:pPr>
        <w:pStyle w:val="Dalodstavce"/>
      </w:pPr>
      <w:r w:rsidRPr="00E87195">
        <w:t>Aby byly splněny podmínky týkající se minimálních četností v buňkách pro výpočet chí-kvadrátu, byli seniorní pacienti v některých případech rozděleni do dvou věkových skupin</w:t>
      </w:r>
      <w:r w:rsidR="006B2727" w:rsidRPr="006B2727">
        <w:t>: mladší (75–84 let) a starší (85+ let). Mladší senioři statisticky významně častěji nevyžadovali umístění na observační lůžko oproti starším seniorům, kteří jej vyžadovali častěji. Lze předpokládat, že tento trend by mohl být obdobný i</w:t>
      </w:r>
      <w:r w:rsidR="00BB20AF">
        <w:t> </w:t>
      </w:r>
      <w:r w:rsidR="006B2727" w:rsidRPr="006B2727">
        <w:t>v</w:t>
      </w:r>
      <w:r w:rsidR="00BB20AF">
        <w:t> </w:t>
      </w:r>
      <w:r w:rsidR="006B2727" w:rsidRPr="006B2727">
        <w:t>celkové populaci pacientů 75+ na NUP FN Brno.</w:t>
      </w:r>
    </w:p>
    <w:p w14:paraId="1CAD6A4C" w14:textId="4D32B149" w:rsidR="006B2727" w:rsidRPr="006B2727" w:rsidRDefault="00BB20AF" w:rsidP="00BB20AF">
      <w:pPr>
        <w:pStyle w:val="Dalodstavce"/>
      </w:pPr>
      <w:r w:rsidRPr="006B2727">
        <w:t>Souběžné vyšetření od internisty i neurologa statisticky významně častěji podstupovali pacienti ve věku 90</w:t>
      </w:r>
      <w:r>
        <w:t xml:space="preserve"> a více</w:t>
      </w:r>
      <w:r w:rsidRPr="006B2727">
        <w:t xml:space="preserve"> let, kteří byli zároveň významně méně často vyšetřeni pouze na neurologii. Pacienti ve věku 85–89 let byli významně častěji vyšetřeni na interní ambulanci, zatímco souběžné vyšetření internistou i neurologem vyžadovali méně často.</w:t>
      </w:r>
      <w:r>
        <w:t xml:space="preserve"> </w:t>
      </w:r>
      <w:r w:rsidR="00294545">
        <w:t>T</w:t>
      </w:r>
      <w:r>
        <w:t>yto</w:t>
      </w:r>
      <w:r w:rsidR="00294545">
        <w:t xml:space="preserve"> </w:t>
      </w:r>
      <w:r w:rsidR="000C5FF1" w:rsidRPr="006B2727">
        <w:t>vztah</w:t>
      </w:r>
      <w:r>
        <w:t>y</w:t>
      </w:r>
      <w:r w:rsidR="000C5FF1">
        <w:t xml:space="preserve"> </w:t>
      </w:r>
      <w:r w:rsidR="000C5FF1" w:rsidRPr="006B2727">
        <w:t>byl</w:t>
      </w:r>
      <w:r>
        <w:t>y</w:t>
      </w:r>
      <w:r w:rsidR="000C5FF1" w:rsidRPr="006B2727">
        <w:t xml:space="preserve"> statisticky významn</w:t>
      </w:r>
      <w:r>
        <w:t>é</w:t>
      </w:r>
      <w:r w:rsidR="000C5FF1" w:rsidRPr="006B2727">
        <w:t xml:space="preserve"> na hladině α=0,05</w:t>
      </w:r>
      <w:r w:rsidR="00373953">
        <w:t xml:space="preserve"> (viz Tabulka 18)</w:t>
      </w:r>
      <w:r w:rsidR="000C5FF1" w:rsidRPr="006B2727">
        <w:t>.</w:t>
      </w:r>
    </w:p>
    <w:p w14:paraId="2B7046F4" w14:textId="28203B2F" w:rsidR="006B2727" w:rsidRDefault="006B2727" w:rsidP="008A49D9">
      <w:pPr>
        <w:pStyle w:val="Dalodstavce"/>
      </w:pPr>
      <w:r w:rsidRPr="006B2727">
        <w:t>Mladší senioři také častěji nevyžadovali konzilium specialisty, zatímco starší senioři jej vyžadovali častěji. Pro lepší interpretaci typu ošetřující ambulance a využití zobrazovacích metod bylo využito dělení do pětiletých věkových kategorií. Pacienti ve věkové skupině 80–84 let byli statisticky významně častěji ošetřováni na neurologické ambulanci a méně často na ambulanci interní.</w:t>
      </w:r>
    </w:p>
    <w:p w14:paraId="0C98A21F" w14:textId="4FB12DEB" w:rsidR="007B1A38" w:rsidRDefault="007B1A38" w:rsidP="008A49D9">
      <w:pPr>
        <w:pStyle w:val="Dalodstavce"/>
      </w:pPr>
      <w:r w:rsidRPr="007B1A38">
        <w:t xml:space="preserve">Pacienti ve věku 85–89 let byli častěji přivezeni </w:t>
      </w:r>
      <w:r w:rsidR="00341C6C">
        <w:t>zdravotnickou záchrannou službou (</w:t>
      </w:r>
      <w:r w:rsidRPr="007B1A38">
        <w:t>ZZS</w:t>
      </w:r>
      <w:r w:rsidR="00341C6C">
        <w:t>)</w:t>
      </w:r>
      <w:r w:rsidRPr="007B1A38">
        <w:t>, přičemž se méně často dopravovali na NUP sami nebo s</w:t>
      </w:r>
      <w:r w:rsidR="00D53C3D">
        <w:t> </w:t>
      </w:r>
      <w:r w:rsidRPr="007B1A38">
        <w:t>doprovodem</w:t>
      </w:r>
      <w:r w:rsidR="00D53C3D">
        <w:t xml:space="preserve"> blízké osoby</w:t>
      </w:r>
      <w:r w:rsidRPr="007B1A38">
        <w:t>. Stejný trend byl patrný i u pacientů ve věku 90 a více let, zatímco pacienti ve věku 74–79 let se naopak častěji dostavili sami nebo s</w:t>
      </w:r>
      <w:r w:rsidR="003E4696">
        <w:t> </w:t>
      </w:r>
      <w:r w:rsidRPr="007B1A38">
        <w:t>doprovodem</w:t>
      </w:r>
      <w:r w:rsidR="003E4696">
        <w:t xml:space="preserve"> blízké osoby</w:t>
      </w:r>
      <w:r w:rsidRPr="007B1A38">
        <w:t xml:space="preserve">. </w:t>
      </w:r>
      <w:r w:rsidR="00A02319">
        <w:t>Z</w:t>
      </w:r>
      <w:r w:rsidR="00341C6C">
        <w:t>dravotnick</w:t>
      </w:r>
      <w:r w:rsidR="00CF1489">
        <w:t>á</w:t>
      </w:r>
      <w:r w:rsidR="00341C6C">
        <w:t xml:space="preserve"> </w:t>
      </w:r>
      <w:r w:rsidR="00A02319">
        <w:t xml:space="preserve">dopravní </w:t>
      </w:r>
      <w:r w:rsidR="00341C6C">
        <w:t>služb</w:t>
      </w:r>
      <w:r w:rsidR="00CF1489">
        <w:t>a (</w:t>
      </w:r>
      <w:r w:rsidRPr="007B1A38">
        <w:t>Z</w:t>
      </w:r>
      <w:r w:rsidR="00A02319">
        <w:t>D</w:t>
      </w:r>
      <w:r w:rsidRPr="007B1A38">
        <w:t>S</w:t>
      </w:r>
      <w:r w:rsidR="00CF1489">
        <w:t>)</w:t>
      </w:r>
      <w:r w:rsidRPr="007B1A38">
        <w:t xml:space="preserve"> nejčastěji převážela </w:t>
      </w:r>
      <w:r w:rsidR="002F3F97">
        <w:t xml:space="preserve">na NUP </w:t>
      </w:r>
      <w:r w:rsidRPr="007B1A38">
        <w:t>pacienty ve věku 90 a</w:t>
      </w:r>
      <w:r w:rsidR="002F3F97">
        <w:t> </w:t>
      </w:r>
      <w:r w:rsidRPr="007B1A38">
        <w:t>více let, naopak nejméně často pacienty ve věku 74–79 let. U pacientů ve věku 80–84 let bylo častější, že na NUP přicházeli v rámci konziliárního vyšetření nebo jako předaní z</w:t>
      </w:r>
      <w:r w:rsidR="00A02319">
        <w:t> </w:t>
      </w:r>
      <w:r w:rsidRPr="007B1A38">
        <w:t>jiné ambulance FN Brno.</w:t>
      </w:r>
    </w:p>
    <w:p w14:paraId="7D067827" w14:textId="6D229E83" w:rsidR="00F567C1" w:rsidRDefault="006B2727" w:rsidP="00FD2093">
      <w:pPr>
        <w:pStyle w:val="Dalodstavce"/>
      </w:pPr>
      <w:r w:rsidRPr="006B2727">
        <w:t>Využití zobrazovacích metod bylo statisticky významně častější u pacientů ve věku 85–89 let, zatímco pacienti ve věku 80–84 let je vyžadovali méně často.</w:t>
      </w:r>
      <w:r w:rsidR="00294545">
        <w:t xml:space="preserve"> </w:t>
      </w:r>
      <w:r w:rsidR="00294545" w:rsidRPr="00294545">
        <w:t>Tyto vztahy však již nebyly statisticky významné na hladině</w:t>
      </w:r>
      <w:r w:rsidR="008C54D1">
        <w:t xml:space="preserve"> významnosti</w:t>
      </w:r>
      <w:r w:rsidR="00294545" w:rsidRPr="00294545">
        <w:t xml:space="preserve"> α=0,05</w:t>
      </w:r>
      <w:r w:rsidR="00B10A0D">
        <w:t>.</w:t>
      </w:r>
    </w:p>
    <w:p w14:paraId="4611739F" w14:textId="77777777" w:rsidR="00F567C1" w:rsidRDefault="00F567C1" w:rsidP="00F567C1">
      <w:pPr>
        <w:pStyle w:val="Dalodstavce"/>
        <w:ind w:firstLine="0"/>
      </w:pPr>
    </w:p>
    <w:p w14:paraId="4288888B" w14:textId="16434554" w:rsidR="00FD2093" w:rsidRPr="006B2727" w:rsidRDefault="00C421DE" w:rsidP="00C421DE">
      <w:pPr>
        <w:pStyle w:val="Dalodstavce"/>
        <w:ind w:firstLine="0"/>
        <w:rPr>
          <w:b/>
          <w:bCs/>
        </w:rPr>
      </w:pPr>
      <w:r w:rsidRPr="00724EDB">
        <w:rPr>
          <w:b/>
          <w:bCs/>
        </w:rPr>
        <w:t>Byl zjištěn statisticky významný</w:t>
      </w:r>
      <w:r w:rsidR="00FC5914">
        <w:rPr>
          <w:b/>
          <w:bCs/>
        </w:rPr>
        <w:t xml:space="preserve"> </w:t>
      </w:r>
      <w:r w:rsidRPr="006B2727">
        <w:rPr>
          <w:b/>
          <w:bCs/>
        </w:rPr>
        <w:t xml:space="preserve">vztah mezi </w:t>
      </w:r>
      <w:r w:rsidR="002E1035">
        <w:rPr>
          <w:b/>
          <w:bCs/>
        </w:rPr>
        <w:t xml:space="preserve">spádovostí </w:t>
      </w:r>
      <w:r w:rsidRPr="006B2727">
        <w:rPr>
          <w:b/>
          <w:bCs/>
        </w:rPr>
        <w:t xml:space="preserve">pacienta </w:t>
      </w:r>
      <w:r w:rsidR="001547C3">
        <w:rPr>
          <w:b/>
          <w:bCs/>
        </w:rPr>
        <w:t xml:space="preserve">ve věku </w:t>
      </w:r>
      <w:r w:rsidRPr="006B2727">
        <w:rPr>
          <w:b/>
          <w:bCs/>
        </w:rPr>
        <w:t>75+ a</w:t>
      </w:r>
      <w:r w:rsidR="001547C3">
        <w:rPr>
          <w:b/>
          <w:bCs/>
        </w:rPr>
        <w:t> </w:t>
      </w:r>
      <w:r w:rsidRPr="006B2727">
        <w:rPr>
          <w:b/>
          <w:bCs/>
        </w:rPr>
        <w:t xml:space="preserve">jeho trajektorií na NUP FN Brno. </w:t>
      </w:r>
      <w:r w:rsidRPr="00AC04BF">
        <w:t xml:space="preserve">Statisticky významná asociace byla nalezena mezi </w:t>
      </w:r>
      <w:r w:rsidR="002E1035" w:rsidRPr="00AC04BF">
        <w:t>spádovostí</w:t>
      </w:r>
      <w:r w:rsidRPr="00AC04BF">
        <w:t xml:space="preserve"> pacienta </w:t>
      </w:r>
      <w:r w:rsidR="00334DED" w:rsidRPr="00AC04BF">
        <w:t>a</w:t>
      </w:r>
      <w:r w:rsidR="00E00D7E" w:rsidRPr="00AC04BF">
        <w:t xml:space="preserve"> způsobem dopravy k ošetření (p </w:t>
      </w:r>
      <w:r w:rsidR="00E00D7E" w:rsidRPr="00AC04BF">
        <w:rPr>
          <w:rFonts w:ascii="Calibri" w:hAnsi="Calibri" w:cs="Calibri"/>
        </w:rPr>
        <w:t>&lt;</w:t>
      </w:r>
      <w:r w:rsidR="00E00D7E" w:rsidRPr="00AC04BF">
        <w:t>0,001</w:t>
      </w:r>
      <w:r w:rsidR="008F3C63" w:rsidRPr="00AC04BF">
        <w:t>; Fí=0,282</w:t>
      </w:r>
      <w:r w:rsidR="00E00D7E" w:rsidRPr="00AC04BF">
        <w:t xml:space="preserve">) </w:t>
      </w:r>
      <w:r w:rsidRPr="00AC04BF">
        <w:t>a</w:t>
      </w:r>
      <w:r w:rsidR="00E75F14" w:rsidRPr="00AC04BF">
        <w:t> </w:t>
      </w:r>
      <w:r w:rsidR="00E00D7E" w:rsidRPr="00AC04BF">
        <w:t>mezi</w:t>
      </w:r>
      <w:r w:rsidRPr="00AC04BF">
        <w:t xml:space="preserve"> využitím observačního lůžka (p</w:t>
      </w:r>
      <w:r w:rsidR="003A111F" w:rsidRPr="00AC04BF">
        <w:t xml:space="preserve"> </w:t>
      </w:r>
      <w:r w:rsidR="003A111F" w:rsidRPr="00AC04BF">
        <w:rPr>
          <w:rFonts w:ascii="Calibri" w:hAnsi="Calibri" w:cs="Calibri"/>
        </w:rPr>
        <w:t>&lt;</w:t>
      </w:r>
      <w:r w:rsidR="003A111F" w:rsidRPr="00AC04BF">
        <w:t>0,001</w:t>
      </w:r>
      <w:r w:rsidR="008F3C63" w:rsidRPr="00AC04BF">
        <w:t>; Fí=0,237</w:t>
      </w:r>
      <w:r w:rsidRPr="00AC04BF">
        <w:t>)</w:t>
      </w:r>
      <w:r w:rsidR="003A111F" w:rsidRPr="00AC04BF">
        <w:t xml:space="preserve">. </w:t>
      </w:r>
      <w:r w:rsidR="003302B2" w:rsidRPr="00AC04BF">
        <w:t>Síla</w:t>
      </w:r>
      <w:r w:rsidR="00E83582" w:rsidRPr="00AC04BF">
        <w:t xml:space="preserve"> </w:t>
      </w:r>
      <w:r w:rsidR="008F3C63" w:rsidRPr="00AC04BF">
        <w:t xml:space="preserve">obou </w:t>
      </w:r>
      <w:r w:rsidR="003A111F" w:rsidRPr="00AC04BF">
        <w:t>zjištěn</w:t>
      </w:r>
      <w:r w:rsidR="008F3C63" w:rsidRPr="00AC04BF">
        <w:t xml:space="preserve">ých </w:t>
      </w:r>
      <w:r w:rsidR="003A111F" w:rsidRPr="00AC04BF">
        <w:t>v</w:t>
      </w:r>
      <w:r w:rsidRPr="00AC04BF">
        <w:t>ztah</w:t>
      </w:r>
      <w:r w:rsidR="008F3C63" w:rsidRPr="00AC04BF">
        <w:t>ů</w:t>
      </w:r>
      <w:r w:rsidRPr="00AC04BF">
        <w:t xml:space="preserve"> byla </w:t>
      </w:r>
      <w:r w:rsidR="00E83582" w:rsidRPr="00AC04BF">
        <w:t xml:space="preserve">středně </w:t>
      </w:r>
      <w:r w:rsidR="003302B2" w:rsidRPr="00AC04BF">
        <w:t>vysoká</w:t>
      </w:r>
      <w:r w:rsidRPr="00AC04BF">
        <w:t>.</w:t>
      </w:r>
    </w:p>
    <w:p w14:paraId="62EA3DDD" w14:textId="67A6CFAB" w:rsidR="00704AC1" w:rsidRDefault="00C95815" w:rsidP="00704AC1">
      <w:pPr>
        <w:pStyle w:val="Dalodstavce"/>
      </w:pPr>
      <w:r>
        <w:t>U</w:t>
      </w:r>
      <w:r w:rsidR="001547C3">
        <w:t>kázalo, že spádoví pacienti častěji využívali observační lůžko než pacienti nespádoví</w:t>
      </w:r>
      <w:r w:rsidR="008E4880">
        <w:t xml:space="preserve">. </w:t>
      </w:r>
      <w:r w:rsidR="008E4880" w:rsidRPr="008E4880">
        <w:t xml:space="preserve">Spádoví pacienti byli na NUP </w:t>
      </w:r>
      <w:r w:rsidR="009E4C71">
        <w:t xml:space="preserve">FN Brno </w:t>
      </w:r>
      <w:r w:rsidR="008E4880" w:rsidRPr="008E4880">
        <w:t>častěji dopraveni</w:t>
      </w:r>
      <w:r w:rsidR="009B79FC">
        <w:t xml:space="preserve"> </w:t>
      </w:r>
      <w:r w:rsidR="008E4880" w:rsidRPr="008E4880">
        <w:t>ZZS nebo Z</w:t>
      </w:r>
      <w:r w:rsidR="009B79FC">
        <w:t>D</w:t>
      </w:r>
      <w:r w:rsidR="008E4880" w:rsidRPr="008E4880">
        <w:t>S. Naopak nespádoví pacienti se na NUP častěji dostavili sami (či s</w:t>
      </w:r>
      <w:r w:rsidR="00296E94">
        <w:t> </w:t>
      </w:r>
      <w:r w:rsidR="008E4880" w:rsidRPr="008E4880">
        <w:t>doprovodem</w:t>
      </w:r>
      <w:r w:rsidR="00296E94">
        <w:t xml:space="preserve"> blízké osoby</w:t>
      </w:r>
      <w:r w:rsidR="008E4880" w:rsidRPr="008E4880">
        <w:t xml:space="preserve">) </w:t>
      </w:r>
      <w:r w:rsidR="008E4880" w:rsidRPr="008E4880">
        <w:lastRenderedPageBreak/>
        <w:t>nebo</w:t>
      </w:r>
      <w:r w:rsidR="00296E94">
        <w:t xml:space="preserve"> </w:t>
      </w:r>
      <w:r w:rsidR="008E4880" w:rsidRPr="008E4880">
        <w:t>v rámci konziliárního vyšetření či předání z jiné ambulance FN Brno.</w:t>
      </w:r>
      <w:r w:rsidR="008E4880">
        <w:t xml:space="preserve"> Popsané</w:t>
      </w:r>
      <w:r w:rsidR="001547C3">
        <w:t xml:space="preserve"> asociace byl</w:t>
      </w:r>
      <w:r w:rsidR="008E4880">
        <w:t>y</w:t>
      </w:r>
      <w:r w:rsidR="001547C3">
        <w:t xml:space="preserve"> statisticky významn</w:t>
      </w:r>
      <w:r w:rsidR="008E4880">
        <w:t>é</w:t>
      </w:r>
      <w:r w:rsidR="001547C3">
        <w:t xml:space="preserve"> (p &lt;0,001)</w:t>
      </w:r>
      <w:r w:rsidR="00E144F3">
        <w:t>, viz Tabulka 19</w:t>
      </w:r>
      <w:r w:rsidR="001547C3">
        <w:t>.</w:t>
      </w:r>
    </w:p>
    <w:p w14:paraId="09F6195B" w14:textId="5BBA0BCC" w:rsidR="002A64E9" w:rsidRDefault="001547C3" w:rsidP="00704AC1">
      <w:pPr>
        <w:pStyle w:val="Dalodstavce"/>
      </w:pPr>
      <w:r>
        <w:t xml:space="preserve">Dále bylo zjištěno, že spádoví pacienti častěji potřebovali vyšetření </w:t>
      </w:r>
      <w:r w:rsidR="00DE3A29">
        <w:t xml:space="preserve">zobrazovacími metodami </w:t>
      </w:r>
      <w:r>
        <w:t>nebo konzili</w:t>
      </w:r>
      <w:r w:rsidR="00F730B1">
        <w:t>um</w:t>
      </w:r>
      <w:r>
        <w:t xml:space="preserve"> specialist</w:t>
      </w:r>
      <w:r w:rsidR="00F730B1">
        <w:t>y</w:t>
      </w:r>
      <w:r>
        <w:t xml:space="preserve">. Vzhledem k tomu, že proměnná „typ ošetřující ambulance“ nesplňovala podmínky pro test chí-kvadrát, byla analyzována ve zjednodušené podobě, kdy byli pacienti rozděleni do dvou skupin: (1) ošetření pouze internistou a (2) ošetření </w:t>
      </w:r>
      <w:r w:rsidR="00B9538A">
        <w:t xml:space="preserve">pouze </w:t>
      </w:r>
      <w:r>
        <w:t xml:space="preserve">neurologem nebo </w:t>
      </w:r>
      <w:r w:rsidR="000B3DF2">
        <w:t xml:space="preserve">současně </w:t>
      </w:r>
      <w:r>
        <w:t>internist</w:t>
      </w:r>
      <w:r w:rsidR="000B3DF2">
        <w:t>ou</w:t>
      </w:r>
      <w:r>
        <w:t xml:space="preserve"> a neurolog</w:t>
      </w:r>
      <w:r w:rsidR="000B3DF2">
        <w:t>em</w:t>
      </w:r>
      <w:r>
        <w:t>. Výsledky ukázaly, že spádoví pacienti byli častěji ošetřeni na neurologické ambulanci nebo současně na interní i neurologické ambulanci, zatímco méně často pouze na interní ambulanci.</w:t>
      </w:r>
    </w:p>
    <w:p w14:paraId="09181172" w14:textId="77777777" w:rsidR="00F567C1" w:rsidRDefault="00F567C1" w:rsidP="00FD2093">
      <w:pPr>
        <w:pStyle w:val="Dalodstavce"/>
        <w:ind w:firstLine="0"/>
      </w:pPr>
    </w:p>
    <w:p w14:paraId="0498230C" w14:textId="119F328E" w:rsidR="008D3010" w:rsidRDefault="008D3010" w:rsidP="00FD2093">
      <w:pPr>
        <w:pStyle w:val="Dalodstavce"/>
        <w:ind w:firstLine="0"/>
        <w:sectPr w:rsidR="008D3010" w:rsidSect="002005DB">
          <w:headerReference w:type="even" r:id="rId37"/>
          <w:headerReference w:type="default" r:id="rId38"/>
          <w:type w:val="oddPage"/>
          <w:pgSz w:w="11906" w:h="16838" w:code="9"/>
          <w:pgMar w:top="1980" w:right="1140" w:bottom="2380" w:left="1140" w:header="1140" w:footer="1420" w:gutter="860"/>
          <w:cols w:space="708"/>
          <w:docGrid w:linePitch="360"/>
        </w:sectPr>
      </w:pPr>
    </w:p>
    <w:p w14:paraId="616EE3A6" w14:textId="31BB26AC" w:rsidR="001C5D57" w:rsidRDefault="00767ED9" w:rsidP="00EA624D">
      <w:pPr>
        <w:pStyle w:val="Titulektabulky"/>
      </w:pPr>
      <w:bookmarkStart w:id="52" w:name="_Toc195517142"/>
      <w:r>
        <w:lastRenderedPageBreak/>
        <w:t>Tab</w:t>
      </w:r>
      <w:r w:rsidRPr="00724EDB">
        <w:t xml:space="preserve">. </w:t>
      </w:r>
      <w:fldSimple w:instr=" SEQ Tab. \* ARABIC ">
        <w:r w:rsidR="0022490D">
          <w:rPr>
            <w:noProof/>
          </w:rPr>
          <w:t>17</w:t>
        </w:r>
      </w:fldSimple>
      <w:r w:rsidRPr="00724EDB">
        <w:t xml:space="preserve">: </w:t>
      </w:r>
      <w:r w:rsidR="00E83CA1" w:rsidRPr="00724EDB">
        <w:t xml:space="preserve">Závislost </w:t>
      </w:r>
      <w:r w:rsidR="000C2AB4" w:rsidRPr="00724EDB">
        <w:t>mezi</w:t>
      </w:r>
      <w:r w:rsidR="000C2AB4">
        <w:t xml:space="preserve"> pohlavím pacienta </w:t>
      </w:r>
      <w:r w:rsidR="006F37D7">
        <w:t xml:space="preserve">ve věku 75 a více let </w:t>
      </w:r>
      <w:r w:rsidR="000C2AB4">
        <w:t xml:space="preserve">a jeho </w:t>
      </w:r>
      <w:r w:rsidR="00E83CA1" w:rsidRPr="00E83CA1">
        <w:t>trajektori</w:t>
      </w:r>
      <w:r w:rsidR="000C2AB4">
        <w:t>í</w:t>
      </w:r>
      <w:r w:rsidR="00E83CA1" w:rsidRPr="00E83CA1">
        <w:t xml:space="preserve"> na NUP</w:t>
      </w:r>
      <w:r w:rsidR="00E83CA1">
        <w:t xml:space="preserve"> FN Brno</w:t>
      </w:r>
      <w:r w:rsidR="00E83CA1" w:rsidRPr="00E83CA1">
        <w:t xml:space="preserve"> </w:t>
      </w:r>
      <w:r w:rsidR="000C2AB4">
        <w:t>–</w:t>
      </w:r>
      <w:r w:rsidR="00E83CA1" w:rsidRPr="00E83CA1">
        <w:t xml:space="preserve"> rok 2023 (</w:t>
      </w:r>
      <w:r w:rsidR="003F274C">
        <w:t xml:space="preserve">řádková %; </w:t>
      </w:r>
      <w:r w:rsidR="00E83CA1" w:rsidRPr="00E83CA1">
        <w:t>N=598</w:t>
      </w:r>
      <w:r w:rsidR="004C51C5">
        <w:t>; *N=592</w:t>
      </w:r>
      <w:r w:rsidR="00E83CA1" w:rsidRPr="00E83CA1">
        <w:t>)</w:t>
      </w:r>
      <w:bookmarkEnd w:id="52"/>
    </w:p>
    <w:tbl>
      <w:tblPr>
        <w:tblW w:w="12469" w:type="dxa"/>
        <w:tblCellMar>
          <w:left w:w="70" w:type="dxa"/>
          <w:right w:w="70" w:type="dxa"/>
        </w:tblCellMar>
        <w:tblLook w:val="04A0" w:firstRow="1" w:lastRow="0" w:firstColumn="1" w:lastColumn="0" w:noHBand="0" w:noVBand="1"/>
      </w:tblPr>
      <w:tblGrid>
        <w:gridCol w:w="2547"/>
        <w:gridCol w:w="3827"/>
        <w:gridCol w:w="1559"/>
        <w:gridCol w:w="1560"/>
        <w:gridCol w:w="1559"/>
        <w:gridCol w:w="1417"/>
      </w:tblGrid>
      <w:tr w:rsidR="00D9684F" w:rsidRPr="00DF61E1" w14:paraId="765909D5" w14:textId="77777777" w:rsidTr="003151F3">
        <w:trPr>
          <w:trHeight w:val="285"/>
        </w:trPr>
        <w:tc>
          <w:tcPr>
            <w:tcW w:w="2547"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4E70673" w14:textId="77777777" w:rsidR="00DF61E1" w:rsidRPr="00DF61E1" w:rsidRDefault="00DF61E1" w:rsidP="00EA624D">
            <w:pPr>
              <w:jc w:val="center"/>
              <w:rPr>
                <w:rFonts w:ascii="Arial" w:hAnsi="Arial" w:cs="Arial"/>
                <w:b/>
                <w:bCs/>
                <w:color w:val="000000"/>
              </w:rPr>
            </w:pPr>
            <w:r w:rsidRPr="00DF61E1">
              <w:rPr>
                <w:rFonts w:ascii="Arial" w:hAnsi="Arial" w:cs="Arial"/>
                <w:b/>
                <w:bCs/>
                <w:color w:val="000000"/>
              </w:rPr>
              <w:t>Proměnná</w:t>
            </w:r>
          </w:p>
        </w:tc>
        <w:tc>
          <w:tcPr>
            <w:tcW w:w="3827" w:type="dxa"/>
            <w:tcBorders>
              <w:top w:val="single" w:sz="4" w:space="0" w:color="auto"/>
              <w:left w:val="nil"/>
              <w:bottom w:val="single" w:sz="4" w:space="0" w:color="auto"/>
              <w:right w:val="single" w:sz="4" w:space="0" w:color="auto"/>
            </w:tcBorders>
            <w:shd w:val="clear" w:color="000000" w:fill="DDEBF7"/>
            <w:noWrap/>
            <w:vAlign w:val="center"/>
            <w:hideMark/>
          </w:tcPr>
          <w:p w14:paraId="3DEF5A65" w14:textId="77777777" w:rsidR="00DF61E1" w:rsidRPr="00DF61E1" w:rsidRDefault="00DF61E1" w:rsidP="00EA624D">
            <w:pPr>
              <w:jc w:val="center"/>
              <w:rPr>
                <w:rFonts w:ascii="Arial" w:hAnsi="Arial" w:cs="Arial"/>
                <w:b/>
                <w:bCs/>
                <w:color w:val="000000"/>
              </w:rPr>
            </w:pPr>
            <w:r w:rsidRPr="00DF61E1">
              <w:rPr>
                <w:rFonts w:ascii="Arial" w:hAnsi="Arial" w:cs="Arial"/>
                <w:b/>
                <w:bCs/>
                <w:color w:val="000000"/>
              </w:rPr>
              <w:t>Výsledek</w:t>
            </w:r>
          </w:p>
        </w:tc>
        <w:tc>
          <w:tcPr>
            <w:tcW w:w="1559" w:type="dxa"/>
            <w:tcBorders>
              <w:top w:val="single" w:sz="4" w:space="0" w:color="auto"/>
              <w:left w:val="nil"/>
              <w:bottom w:val="single" w:sz="4" w:space="0" w:color="auto"/>
              <w:right w:val="single" w:sz="4" w:space="0" w:color="auto"/>
            </w:tcBorders>
            <w:shd w:val="clear" w:color="000000" w:fill="DDEBF7"/>
            <w:noWrap/>
            <w:vAlign w:val="center"/>
            <w:hideMark/>
          </w:tcPr>
          <w:p w14:paraId="226BAEC2" w14:textId="77777777" w:rsidR="00DF61E1" w:rsidRPr="00DF61E1" w:rsidRDefault="00DF61E1" w:rsidP="00EA624D">
            <w:pPr>
              <w:jc w:val="center"/>
              <w:rPr>
                <w:rFonts w:ascii="Arial" w:hAnsi="Arial" w:cs="Arial"/>
                <w:b/>
                <w:bCs/>
                <w:color w:val="000000"/>
              </w:rPr>
            </w:pPr>
            <w:r w:rsidRPr="00DF61E1">
              <w:rPr>
                <w:rFonts w:ascii="Arial" w:hAnsi="Arial" w:cs="Arial"/>
                <w:b/>
                <w:bCs/>
                <w:color w:val="000000"/>
              </w:rPr>
              <w:t>Muži</w:t>
            </w:r>
          </w:p>
        </w:tc>
        <w:tc>
          <w:tcPr>
            <w:tcW w:w="1560" w:type="dxa"/>
            <w:tcBorders>
              <w:top w:val="single" w:sz="4" w:space="0" w:color="auto"/>
              <w:left w:val="nil"/>
              <w:bottom w:val="single" w:sz="4" w:space="0" w:color="auto"/>
              <w:right w:val="single" w:sz="4" w:space="0" w:color="auto"/>
            </w:tcBorders>
            <w:shd w:val="clear" w:color="000000" w:fill="DDEBF7"/>
            <w:noWrap/>
            <w:vAlign w:val="center"/>
            <w:hideMark/>
          </w:tcPr>
          <w:p w14:paraId="181C08B1" w14:textId="77777777" w:rsidR="00DF61E1" w:rsidRPr="00DF61E1" w:rsidRDefault="00DF61E1" w:rsidP="00EA624D">
            <w:pPr>
              <w:jc w:val="center"/>
              <w:rPr>
                <w:rFonts w:ascii="Arial" w:hAnsi="Arial" w:cs="Arial"/>
                <w:b/>
                <w:bCs/>
                <w:color w:val="000000"/>
              </w:rPr>
            </w:pPr>
            <w:r w:rsidRPr="00DF61E1">
              <w:rPr>
                <w:rFonts w:ascii="Arial" w:hAnsi="Arial" w:cs="Arial"/>
                <w:b/>
                <w:bCs/>
                <w:color w:val="000000"/>
              </w:rPr>
              <w:t>Ženy</w:t>
            </w:r>
          </w:p>
        </w:tc>
        <w:tc>
          <w:tcPr>
            <w:tcW w:w="1559" w:type="dxa"/>
            <w:tcBorders>
              <w:top w:val="single" w:sz="4" w:space="0" w:color="auto"/>
              <w:left w:val="nil"/>
              <w:bottom w:val="single" w:sz="4" w:space="0" w:color="auto"/>
              <w:right w:val="single" w:sz="4" w:space="0" w:color="auto"/>
            </w:tcBorders>
            <w:shd w:val="clear" w:color="000000" w:fill="DDEBF7"/>
            <w:noWrap/>
            <w:vAlign w:val="center"/>
            <w:hideMark/>
          </w:tcPr>
          <w:p w14:paraId="06863B55" w14:textId="77777777" w:rsidR="00DF61E1" w:rsidRPr="00DF61E1" w:rsidRDefault="00DF61E1" w:rsidP="00EA624D">
            <w:pPr>
              <w:jc w:val="center"/>
              <w:rPr>
                <w:rFonts w:ascii="Arial" w:hAnsi="Arial" w:cs="Arial"/>
                <w:b/>
                <w:bCs/>
                <w:color w:val="000000"/>
              </w:rPr>
            </w:pPr>
            <w:r w:rsidRPr="00DF61E1">
              <w:rPr>
                <w:rFonts w:ascii="Arial" w:hAnsi="Arial" w:cs="Arial"/>
                <w:b/>
                <w:bCs/>
                <w:color w:val="000000"/>
              </w:rPr>
              <w:t>Celkem</w:t>
            </w:r>
          </w:p>
        </w:tc>
        <w:tc>
          <w:tcPr>
            <w:tcW w:w="1417" w:type="dxa"/>
            <w:tcBorders>
              <w:top w:val="single" w:sz="4" w:space="0" w:color="auto"/>
              <w:left w:val="nil"/>
              <w:bottom w:val="single" w:sz="4" w:space="0" w:color="auto"/>
              <w:right w:val="single" w:sz="4" w:space="0" w:color="auto"/>
            </w:tcBorders>
            <w:shd w:val="clear" w:color="000000" w:fill="DDEBF7"/>
            <w:noWrap/>
            <w:vAlign w:val="center"/>
            <w:hideMark/>
          </w:tcPr>
          <w:p w14:paraId="669ED4DD" w14:textId="1D79AE81" w:rsidR="00DF61E1" w:rsidRPr="00DF61E1" w:rsidRDefault="0002004F" w:rsidP="00EA624D">
            <w:pPr>
              <w:jc w:val="center"/>
              <w:rPr>
                <w:rFonts w:ascii="Arial" w:hAnsi="Arial" w:cs="Arial"/>
                <w:b/>
                <w:bCs/>
                <w:color w:val="000000"/>
              </w:rPr>
            </w:pPr>
            <w:r>
              <w:rPr>
                <w:rFonts w:ascii="Arial" w:hAnsi="Arial" w:cs="Arial"/>
                <w:b/>
                <w:bCs/>
                <w:color w:val="000000"/>
              </w:rPr>
              <w:t>p</w:t>
            </w:r>
            <w:r w:rsidR="00DF61E1" w:rsidRPr="00DF61E1">
              <w:rPr>
                <w:rFonts w:ascii="Arial" w:hAnsi="Arial" w:cs="Arial"/>
                <w:b/>
                <w:bCs/>
                <w:color w:val="000000"/>
              </w:rPr>
              <w:t>-hodnota</w:t>
            </w:r>
          </w:p>
        </w:tc>
      </w:tr>
      <w:tr w:rsidR="00601035" w:rsidRPr="00DF61E1" w14:paraId="3009A70F" w14:textId="77777777" w:rsidTr="006A2B27">
        <w:trPr>
          <w:trHeight w:val="397"/>
        </w:trPr>
        <w:tc>
          <w:tcPr>
            <w:tcW w:w="2547" w:type="dxa"/>
            <w:vMerge w:val="restart"/>
            <w:tcBorders>
              <w:top w:val="nil"/>
              <w:left w:val="single" w:sz="4" w:space="0" w:color="auto"/>
              <w:right w:val="single" w:sz="4" w:space="0" w:color="auto"/>
            </w:tcBorders>
            <w:shd w:val="clear" w:color="auto" w:fill="auto"/>
            <w:vAlign w:val="center"/>
          </w:tcPr>
          <w:p w14:paraId="65089667" w14:textId="37067934" w:rsidR="00601035" w:rsidRDefault="004C51C5" w:rsidP="00674975">
            <w:pPr>
              <w:jc w:val="center"/>
              <w:rPr>
                <w:rFonts w:ascii="Arial" w:hAnsi="Arial" w:cs="Arial"/>
                <w:color w:val="000000"/>
              </w:rPr>
            </w:pPr>
            <w:r>
              <w:rPr>
                <w:rFonts w:ascii="Arial" w:hAnsi="Arial" w:cs="Arial"/>
                <w:color w:val="000000"/>
              </w:rPr>
              <w:t>*</w:t>
            </w:r>
            <w:r w:rsidR="00601035">
              <w:rPr>
                <w:rFonts w:ascii="Arial" w:hAnsi="Arial" w:cs="Arial"/>
                <w:color w:val="000000"/>
              </w:rPr>
              <w:t>Způsob dopravy</w:t>
            </w:r>
          </w:p>
          <w:p w14:paraId="6A7DF2F6" w14:textId="09678FE9" w:rsidR="00601035" w:rsidRPr="00DF61E1" w:rsidRDefault="00601035" w:rsidP="00674975">
            <w:pPr>
              <w:jc w:val="center"/>
              <w:rPr>
                <w:rFonts w:ascii="Arial" w:hAnsi="Arial" w:cs="Arial"/>
                <w:color w:val="000000"/>
              </w:rPr>
            </w:pPr>
            <w:r>
              <w:rPr>
                <w:rFonts w:ascii="Arial" w:hAnsi="Arial" w:cs="Arial"/>
                <w:color w:val="000000"/>
              </w:rPr>
              <w:t>k ošetření</w:t>
            </w:r>
          </w:p>
        </w:tc>
        <w:tc>
          <w:tcPr>
            <w:tcW w:w="3827" w:type="dxa"/>
            <w:tcBorders>
              <w:top w:val="nil"/>
              <w:left w:val="nil"/>
              <w:bottom w:val="single" w:sz="4" w:space="0" w:color="auto"/>
              <w:right w:val="single" w:sz="4" w:space="0" w:color="auto"/>
            </w:tcBorders>
            <w:shd w:val="clear" w:color="auto" w:fill="auto"/>
            <w:noWrap/>
            <w:vAlign w:val="center"/>
          </w:tcPr>
          <w:p w14:paraId="7CDEC192" w14:textId="77D959F8" w:rsidR="00601035" w:rsidRPr="00674975" w:rsidRDefault="00601035" w:rsidP="00674975">
            <w:pPr>
              <w:jc w:val="center"/>
              <w:rPr>
                <w:rFonts w:ascii="Arial" w:hAnsi="Arial" w:cs="Arial"/>
                <w:color w:val="000000"/>
              </w:rPr>
            </w:pPr>
            <w:r w:rsidRPr="00674975">
              <w:rPr>
                <w:rFonts w:ascii="Arial" w:hAnsi="Arial" w:cs="Arial"/>
              </w:rPr>
              <w:t>ZZS</w:t>
            </w:r>
          </w:p>
        </w:tc>
        <w:tc>
          <w:tcPr>
            <w:tcW w:w="1559" w:type="dxa"/>
            <w:tcBorders>
              <w:top w:val="nil"/>
              <w:left w:val="nil"/>
              <w:bottom w:val="single" w:sz="4" w:space="0" w:color="auto"/>
              <w:right w:val="single" w:sz="4" w:space="0" w:color="auto"/>
            </w:tcBorders>
            <w:shd w:val="clear" w:color="auto" w:fill="auto"/>
            <w:noWrap/>
            <w:vAlign w:val="center"/>
          </w:tcPr>
          <w:p w14:paraId="08B50810" w14:textId="13E7FB9F" w:rsidR="00601035" w:rsidRPr="00DF61E1" w:rsidRDefault="00B54A48" w:rsidP="00B54A48">
            <w:pPr>
              <w:jc w:val="center"/>
              <w:rPr>
                <w:rFonts w:ascii="Arial" w:hAnsi="Arial" w:cs="Arial"/>
                <w:color w:val="000000"/>
              </w:rPr>
            </w:pPr>
            <w:r>
              <w:rPr>
                <w:rFonts w:ascii="Arial" w:hAnsi="Arial" w:cs="Arial"/>
                <w:color w:val="000000"/>
              </w:rPr>
              <w:t>143 (62,2 %)</w:t>
            </w:r>
          </w:p>
        </w:tc>
        <w:tc>
          <w:tcPr>
            <w:tcW w:w="1560" w:type="dxa"/>
            <w:tcBorders>
              <w:top w:val="nil"/>
              <w:left w:val="nil"/>
              <w:bottom w:val="single" w:sz="4" w:space="0" w:color="auto"/>
              <w:right w:val="single" w:sz="4" w:space="0" w:color="auto"/>
            </w:tcBorders>
            <w:shd w:val="clear" w:color="auto" w:fill="auto"/>
            <w:noWrap/>
            <w:vAlign w:val="center"/>
          </w:tcPr>
          <w:p w14:paraId="2402F168" w14:textId="0B8D6063" w:rsidR="00601035" w:rsidRPr="00DF61E1" w:rsidRDefault="004C52E6" w:rsidP="004C52E6">
            <w:pPr>
              <w:jc w:val="center"/>
              <w:rPr>
                <w:rFonts w:ascii="Arial" w:hAnsi="Arial" w:cs="Arial"/>
                <w:color w:val="000000"/>
              </w:rPr>
            </w:pPr>
            <w:r>
              <w:rPr>
                <w:rFonts w:ascii="Arial" w:hAnsi="Arial" w:cs="Arial"/>
                <w:color w:val="000000"/>
              </w:rPr>
              <w:t>226 (62,4 %)</w:t>
            </w:r>
          </w:p>
        </w:tc>
        <w:tc>
          <w:tcPr>
            <w:tcW w:w="1559" w:type="dxa"/>
            <w:tcBorders>
              <w:top w:val="nil"/>
              <w:left w:val="nil"/>
              <w:bottom w:val="single" w:sz="4" w:space="0" w:color="auto"/>
              <w:right w:val="single" w:sz="4" w:space="0" w:color="auto"/>
            </w:tcBorders>
            <w:shd w:val="clear" w:color="auto" w:fill="auto"/>
            <w:noWrap/>
            <w:vAlign w:val="center"/>
          </w:tcPr>
          <w:p w14:paraId="1FF3E0F9" w14:textId="7A91AF49" w:rsidR="00601035" w:rsidRPr="00DF61E1" w:rsidRDefault="00B111FB" w:rsidP="00B111FB">
            <w:pPr>
              <w:jc w:val="center"/>
              <w:rPr>
                <w:rFonts w:ascii="Arial" w:hAnsi="Arial" w:cs="Arial"/>
                <w:color w:val="000000"/>
              </w:rPr>
            </w:pPr>
            <w:r>
              <w:rPr>
                <w:rFonts w:ascii="Arial" w:hAnsi="Arial" w:cs="Arial"/>
                <w:color w:val="000000"/>
              </w:rPr>
              <w:t>369 (62,3 %)</w:t>
            </w:r>
          </w:p>
        </w:tc>
        <w:tc>
          <w:tcPr>
            <w:tcW w:w="1417" w:type="dxa"/>
            <w:vMerge w:val="restart"/>
            <w:tcBorders>
              <w:top w:val="nil"/>
              <w:left w:val="single" w:sz="4" w:space="0" w:color="auto"/>
              <w:right w:val="single" w:sz="4" w:space="0" w:color="auto"/>
            </w:tcBorders>
            <w:shd w:val="clear" w:color="auto" w:fill="auto"/>
            <w:noWrap/>
            <w:vAlign w:val="center"/>
          </w:tcPr>
          <w:p w14:paraId="6A0A8127" w14:textId="27E84968" w:rsidR="00601035" w:rsidRPr="00DF61E1" w:rsidRDefault="00243EA7" w:rsidP="00674975">
            <w:pPr>
              <w:jc w:val="center"/>
              <w:rPr>
                <w:rFonts w:ascii="Arial" w:hAnsi="Arial" w:cs="Arial"/>
                <w:color w:val="000000"/>
              </w:rPr>
            </w:pPr>
            <w:r w:rsidRPr="00724EDB">
              <w:rPr>
                <w:rFonts w:ascii="Arial" w:hAnsi="Arial" w:cs="Arial"/>
                <w:color w:val="000000"/>
              </w:rPr>
              <w:t>0,923</w:t>
            </w:r>
          </w:p>
        </w:tc>
      </w:tr>
      <w:tr w:rsidR="00601035" w:rsidRPr="00DF61E1" w14:paraId="02035F6E" w14:textId="77777777" w:rsidTr="006A2B27">
        <w:trPr>
          <w:trHeight w:val="397"/>
        </w:trPr>
        <w:tc>
          <w:tcPr>
            <w:tcW w:w="2547" w:type="dxa"/>
            <w:vMerge/>
            <w:tcBorders>
              <w:left w:val="single" w:sz="4" w:space="0" w:color="auto"/>
              <w:right w:val="single" w:sz="4" w:space="0" w:color="auto"/>
            </w:tcBorders>
            <w:shd w:val="clear" w:color="auto" w:fill="auto"/>
            <w:vAlign w:val="center"/>
          </w:tcPr>
          <w:p w14:paraId="560C6923" w14:textId="77777777" w:rsidR="00601035" w:rsidRPr="00DF61E1" w:rsidRDefault="00601035" w:rsidP="00674975">
            <w:pPr>
              <w:jc w:val="center"/>
              <w:rPr>
                <w:rFonts w:ascii="Arial" w:hAnsi="Arial" w:cs="Arial"/>
                <w:color w:val="000000"/>
              </w:rPr>
            </w:pPr>
          </w:p>
        </w:tc>
        <w:tc>
          <w:tcPr>
            <w:tcW w:w="3827" w:type="dxa"/>
            <w:tcBorders>
              <w:top w:val="nil"/>
              <w:left w:val="nil"/>
              <w:bottom w:val="single" w:sz="4" w:space="0" w:color="auto"/>
              <w:right w:val="single" w:sz="4" w:space="0" w:color="auto"/>
            </w:tcBorders>
            <w:shd w:val="clear" w:color="auto" w:fill="auto"/>
            <w:noWrap/>
            <w:vAlign w:val="center"/>
          </w:tcPr>
          <w:p w14:paraId="352A3995" w14:textId="33AF190E" w:rsidR="00601035" w:rsidRPr="002A327A" w:rsidRDefault="00601035" w:rsidP="002A327A">
            <w:pPr>
              <w:jc w:val="center"/>
              <w:rPr>
                <w:rFonts w:ascii="Arial" w:hAnsi="Arial" w:cs="Arial"/>
              </w:rPr>
            </w:pPr>
            <w:r w:rsidRPr="00674975">
              <w:rPr>
                <w:rFonts w:ascii="Arial" w:hAnsi="Arial" w:cs="Arial"/>
              </w:rPr>
              <w:t>Sám(a)/doprovod</w:t>
            </w:r>
          </w:p>
        </w:tc>
        <w:tc>
          <w:tcPr>
            <w:tcW w:w="1559" w:type="dxa"/>
            <w:tcBorders>
              <w:top w:val="nil"/>
              <w:left w:val="nil"/>
              <w:bottom w:val="single" w:sz="4" w:space="0" w:color="auto"/>
              <w:right w:val="single" w:sz="4" w:space="0" w:color="auto"/>
            </w:tcBorders>
            <w:shd w:val="clear" w:color="auto" w:fill="auto"/>
            <w:noWrap/>
            <w:vAlign w:val="center"/>
          </w:tcPr>
          <w:p w14:paraId="2FEFE91D" w14:textId="7B4F2548" w:rsidR="00601035" w:rsidRPr="00DF61E1" w:rsidRDefault="00AF693A" w:rsidP="00AF693A">
            <w:pPr>
              <w:jc w:val="center"/>
              <w:rPr>
                <w:rFonts w:ascii="Arial" w:hAnsi="Arial" w:cs="Arial"/>
                <w:color w:val="000000"/>
              </w:rPr>
            </w:pPr>
            <w:r>
              <w:rPr>
                <w:rFonts w:ascii="Arial" w:hAnsi="Arial" w:cs="Arial"/>
                <w:color w:val="000000"/>
              </w:rPr>
              <w:t>43 (18,7 %)</w:t>
            </w:r>
          </w:p>
        </w:tc>
        <w:tc>
          <w:tcPr>
            <w:tcW w:w="1560" w:type="dxa"/>
            <w:tcBorders>
              <w:top w:val="nil"/>
              <w:left w:val="nil"/>
              <w:bottom w:val="single" w:sz="4" w:space="0" w:color="auto"/>
              <w:right w:val="single" w:sz="4" w:space="0" w:color="auto"/>
            </w:tcBorders>
            <w:shd w:val="clear" w:color="auto" w:fill="auto"/>
            <w:noWrap/>
            <w:vAlign w:val="center"/>
          </w:tcPr>
          <w:p w14:paraId="21CECB2A" w14:textId="27248E98" w:rsidR="00601035" w:rsidRPr="00DF61E1" w:rsidRDefault="004C52E6" w:rsidP="004C52E6">
            <w:pPr>
              <w:jc w:val="center"/>
              <w:rPr>
                <w:rFonts w:ascii="Arial" w:hAnsi="Arial" w:cs="Arial"/>
                <w:color w:val="000000"/>
              </w:rPr>
            </w:pPr>
            <w:r>
              <w:rPr>
                <w:rFonts w:ascii="Arial" w:hAnsi="Arial" w:cs="Arial"/>
                <w:color w:val="000000"/>
              </w:rPr>
              <w:t>62 (17,1 %)</w:t>
            </w:r>
          </w:p>
        </w:tc>
        <w:tc>
          <w:tcPr>
            <w:tcW w:w="1559" w:type="dxa"/>
            <w:tcBorders>
              <w:top w:val="nil"/>
              <w:left w:val="nil"/>
              <w:bottom w:val="single" w:sz="4" w:space="0" w:color="auto"/>
              <w:right w:val="single" w:sz="4" w:space="0" w:color="auto"/>
            </w:tcBorders>
            <w:shd w:val="clear" w:color="auto" w:fill="auto"/>
            <w:noWrap/>
            <w:vAlign w:val="center"/>
          </w:tcPr>
          <w:p w14:paraId="1554C4A1" w14:textId="70DBD352" w:rsidR="00601035" w:rsidRPr="00DF61E1" w:rsidRDefault="00B111FB" w:rsidP="00B111FB">
            <w:pPr>
              <w:jc w:val="center"/>
              <w:rPr>
                <w:rFonts w:ascii="Arial" w:hAnsi="Arial" w:cs="Arial"/>
                <w:color w:val="000000"/>
              </w:rPr>
            </w:pPr>
            <w:r>
              <w:rPr>
                <w:rFonts w:ascii="Arial" w:hAnsi="Arial" w:cs="Arial"/>
                <w:color w:val="000000"/>
              </w:rPr>
              <w:t>105 (17,7 %)</w:t>
            </w:r>
          </w:p>
        </w:tc>
        <w:tc>
          <w:tcPr>
            <w:tcW w:w="1417" w:type="dxa"/>
            <w:vMerge/>
            <w:tcBorders>
              <w:left w:val="single" w:sz="4" w:space="0" w:color="auto"/>
              <w:right w:val="single" w:sz="4" w:space="0" w:color="auto"/>
            </w:tcBorders>
            <w:shd w:val="clear" w:color="auto" w:fill="auto"/>
            <w:noWrap/>
            <w:vAlign w:val="center"/>
          </w:tcPr>
          <w:p w14:paraId="70081B11" w14:textId="77777777" w:rsidR="00601035" w:rsidRPr="00DF61E1" w:rsidRDefault="00601035" w:rsidP="00674975">
            <w:pPr>
              <w:jc w:val="center"/>
              <w:rPr>
                <w:rFonts w:ascii="Arial" w:hAnsi="Arial" w:cs="Arial"/>
                <w:color w:val="000000"/>
              </w:rPr>
            </w:pPr>
          </w:p>
        </w:tc>
      </w:tr>
      <w:tr w:rsidR="00601035" w:rsidRPr="00DF61E1" w14:paraId="41899AB7" w14:textId="77777777" w:rsidTr="006A2B27">
        <w:trPr>
          <w:trHeight w:val="397"/>
        </w:trPr>
        <w:tc>
          <w:tcPr>
            <w:tcW w:w="2547" w:type="dxa"/>
            <w:vMerge/>
            <w:tcBorders>
              <w:left w:val="single" w:sz="4" w:space="0" w:color="auto"/>
              <w:right w:val="single" w:sz="4" w:space="0" w:color="auto"/>
            </w:tcBorders>
            <w:shd w:val="clear" w:color="auto" w:fill="auto"/>
            <w:vAlign w:val="center"/>
          </w:tcPr>
          <w:p w14:paraId="21A934D4" w14:textId="77777777" w:rsidR="00601035" w:rsidRPr="00DF61E1" w:rsidRDefault="00601035" w:rsidP="00674975">
            <w:pPr>
              <w:jc w:val="center"/>
              <w:rPr>
                <w:rFonts w:ascii="Arial" w:hAnsi="Arial" w:cs="Arial"/>
                <w:color w:val="000000"/>
              </w:rPr>
            </w:pPr>
          </w:p>
        </w:tc>
        <w:tc>
          <w:tcPr>
            <w:tcW w:w="3827" w:type="dxa"/>
            <w:tcBorders>
              <w:top w:val="nil"/>
              <w:left w:val="nil"/>
              <w:bottom w:val="single" w:sz="4" w:space="0" w:color="auto"/>
              <w:right w:val="single" w:sz="4" w:space="0" w:color="auto"/>
            </w:tcBorders>
            <w:shd w:val="clear" w:color="auto" w:fill="auto"/>
            <w:noWrap/>
            <w:vAlign w:val="center"/>
          </w:tcPr>
          <w:p w14:paraId="735C68C7" w14:textId="0510292D" w:rsidR="00601035" w:rsidRPr="00674975" w:rsidRDefault="00601035" w:rsidP="00674975">
            <w:pPr>
              <w:jc w:val="center"/>
              <w:rPr>
                <w:rFonts w:ascii="Arial" w:hAnsi="Arial" w:cs="Arial"/>
                <w:color w:val="000000"/>
              </w:rPr>
            </w:pPr>
            <w:r w:rsidRPr="00674975">
              <w:rPr>
                <w:rFonts w:ascii="Arial" w:hAnsi="Arial" w:cs="Arial"/>
              </w:rPr>
              <w:t>ZDS</w:t>
            </w:r>
          </w:p>
        </w:tc>
        <w:tc>
          <w:tcPr>
            <w:tcW w:w="1559" w:type="dxa"/>
            <w:tcBorders>
              <w:top w:val="nil"/>
              <w:left w:val="nil"/>
              <w:bottom w:val="single" w:sz="4" w:space="0" w:color="auto"/>
              <w:right w:val="single" w:sz="4" w:space="0" w:color="auto"/>
            </w:tcBorders>
            <w:shd w:val="clear" w:color="auto" w:fill="auto"/>
            <w:noWrap/>
            <w:vAlign w:val="center"/>
          </w:tcPr>
          <w:p w14:paraId="3B2C8A3D" w14:textId="1D1F491B" w:rsidR="00601035" w:rsidRPr="00DF61E1" w:rsidRDefault="00AF693A" w:rsidP="00AF693A">
            <w:pPr>
              <w:jc w:val="center"/>
              <w:rPr>
                <w:rFonts w:ascii="Arial" w:hAnsi="Arial" w:cs="Arial"/>
                <w:color w:val="000000"/>
              </w:rPr>
            </w:pPr>
            <w:r>
              <w:rPr>
                <w:rFonts w:ascii="Arial" w:hAnsi="Arial" w:cs="Arial"/>
                <w:color w:val="000000"/>
              </w:rPr>
              <w:t>15 (6,5 %)</w:t>
            </w:r>
          </w:p>
        </w:tc>
        <w:tc>
          <w:tcPr>
            <w:tcW w:w="1560" w:type="dxa"/>
            <w:tcBorders>
              <w:top w:val="nil"/>
              <w:left w:val="nil"/>
              <w:bottom w:val="single" w:sz="4" w:space="0" w:color="auto"/>
              <w:right w:val="single" w:sz="4" w:space="0" w:color="auto"/>
            </w:tcBorders>
            <w:shd w:val="clear" w:color="auto" w:fill="auto"/>
            <w:noWrap/>
            <w:vAlign w:val="center"/>
          </w:tcPr>
          <w:p w14:paraId="36C00806" w14:textId="77A69E8F" w:rsidR="00601035" w:rsidRPr="00DF61E1" w:rsidRDefault="004C52E6" w:rsidP="004C52E6">
            <w:pPr>
              <w:jc w:val="center"/>
              <w:rPr>
                <w:rFonts w:ascii="Arial" w:hAnsi="Arial" w:cs="Arial"/>
                <w:color w:val="000000"/>
              </w:rPr>
            </w:pPr>
            <w:r>
              <w:rPr>
                <w:rFonts w:ascii="Arial" w:hAnsi="Arial" w:cs="Arial"/>
                <w:color w:val="000000"/>
              </w:rPr>
              <w:t>28 (7,7 %)</w:t>
            </w:r>
          </w:p>
        </w:tc>
        <w:tc>
          <w:tcPr>
            <w:tcW w:w="1559" w:type="dxa"/>
            <w:tcBorders>
              <w:top w:val="nil"/>
              <w:left w:val="nil"/>
              <w:bottom w:val="single" w:sz="4" w:space="0" w:color="auto"/>
              <w:right w:val="single" w:sz="4" w:space="0" w:color="auto"/>
            </w:tcBorders>
            <w:shd w:val="clear" w:color="auto" w:fill="auto"/>
            <w:noWrap/>
            <w:vAlign w:val="center"/>
          </w:tcPr>
          <w:p w14:paraId="00009B0F" w14:textId="05CBC50C" w:rsidR="00601035" w:rsidRPr="00DF61E1" w:rsidRDefault="00790609" w:rsidP="00790609">
            <w:pPr>
              <w:jc w:val="center"/>
              <w:rPr>
                <w:rFonts w:ascii="Arial" w:hAnsi="Arial" w:cs="Arial"/>
                <w:color w:val="000000"/>
              </w:rPr>
            </w:pPr>
            <w:r>
              <w:rPr>
                <w:rFonts w:ascii="Arial" w:hAnsi="Arial" w:cs="Arial"/>
                <w:color w:val="000000"/>
              </w:rPr>
              <w:t>43 (7,3 %)</w:t>
            </w:r>
          </w:p>
        </w:tc>
        <w:tc>
          <w:tcPr>
            <w:tcW w:w="1417" w:type="dxa"/>
            <w:vMerge/>
            <w:tcBorders>
              <w:left w:val="single" w:sz="4" w:space="0" w:color="auto"/>
              <w:right w:val="single" w:sz="4" w:space="0" w:color="auto"/>
            </w:tcBorders>
            <w:shd w:val="clear" w:color="auto" w:fill="auto"/>
            <w:noWrap/>
            <w:vAlign w:val="center"/>
          </w:tcPr>
          <w:p w14:paraId="32494FDD" w14:textId="77777777" w:rsidR="00601035" w:rsidRPr="00DF61E1" w:rsidRDefault="00601035" w:rsidP="00674975">
            <w:pPr>
              <w:jc w:val="center"/>
              <w:rPr>
                <w:rFonts w:ascii="Arial" w:hAnsi="Arial" w:cs="Arial"/>
                <w:color w:val="000000"/>
              </w:rPr>
            </w:pPr>
          </w:p>
        </w:tc>
      </w:tr>
      <w:tr w:rsidR="00601035" w:rsidRPr="00DF61E1" w14:paraId="297E149C" w14:textId="77777777" w:rsidTr="006A2B27">
        <w:trPr>
          <w:trHeight w:val="397"/>
        </w:trPr>
        <w:tc>
          <w:tcPr>
            <w:tcW w:w="2547" w:type="dxa"/>
            <w:vMerge/>
            <w:tcBorders>
              <w:left w:val="single" w:sz="4" w:space="0" w:color="auto"/>
              <w:bottom w:val="single" w:sz="4" w:space="0" w:color="auto"/>
              <w:right w:val="single" w:sz="4" w:space="0" w:color="auto"/>
            </w:tcBorders>
            <w:shd w:val="clear" w:color="auto" w:fill="auto"/>
            <w:vAlign w:val="center"/>
          </w:tcPr>
          <w:p w14:paraId="46858843" w14:textId="77777777" w:rsidR="00601035" w:rsidRPr="00DF61E1" w:rsidRDefault="00601035" w:rsidP="00674975">
            <w:pPr>
              <w:jc w:val="center"/>
              <w:rPr>
                <w:rFonts w:ascii="Arial" w:hAnsi="Arial" w:cs="Arial"/>
                <w:color w:val="000000"/>
              </w:rPr>
            </w:pPr>
          </w:p>
        </w:tc>
        <w:tc>
          <w:tcPr>
            <w:tcW w:w="3827" w:type="dxa"/>
            <w:tcBorders>
              <w:top w:val="nil"/>
              <w:left w:val="nil"/>
              <w:bottom w:val="single" w:sz="4" w:space="0" w:color="auto"/>
              <w:right w:val="single" w:sz="4" w:space="0" w:color="auto"/>
            </w:tcBorders>
            <w:shd w:val="clear" w:color="auto" w:fill="auto"/>
            <w:noWrap/>
            <w:vAlign w:val="center"/>
          </w:tcPr>
          <w:p w14:paraId="0BC950FA" w14:textId="51A30E68" w:rsidR="00601035" w:rsidRPr="002A327A" w:rsidRDefault="00601035" w:rsidP="002A327A">
            <w:pPr>
              <w:jc w:val="center"/>
              <w:rPr>
                <w:rFonts w:ascii="Arial" w:hAnsi="Arial" w:cs="Arial"/>
              </w:rPr>
            </w:pPr>
            <w:r w:rsidRPr="00674975">
              <w:rPr>
                <w:rFonts w:ascii="Arial" w:hAnsi="Arial" w:cs="Arial"/>
              </w:rPr>
              <w:t>Konzilium/předání</w:t>
            </w:r>
          </w:p>
        </w:tc>
        <w:tc>
          <w:tcPr>
            <w:tcW w:w="1559" w:type="dxa"/>
            <w:tcBorders>
              <w:top w:val="nil"/>
              <w:left w:val="nil"/>
              <w:bottom w:val="single" w:sz="4" w:space="0" w:color="auto"/>
              <w:right w:val="single" w:sz="4" w:space="0" w:color="auto"/>
            </w:tcBorders>
            <w:shd w:val="clear" w:color="auto" w:fill="auto"/>
            <w:noWrap/>
            <w:vAlign w:val="center"/>
          </w:tcPr>
          <w:p w14:paraId="45344A1B" w14:textId="14FFED63" w:rsidR="00601035" w:rsidRPr="00DF61E1" w:rsidRDefault="00AF693A" w:rsidP="00AF693A">
            <w:pPr>
              <w:jc w:val="center"/>
              <w:rPr>
                <w:rFonts w:ascii="Arial" w:hAnsi="Arial" w:cs="Arial"/>
                <w:color w:val="000000"/>
              </w:rPr>
            </w:pPr>
            <w:r>
              <w:rPr>
                <w:rFonts w:ascii="Arial" w:hAnsi="Arial" w:cs="Arial"/>
                <w:color w:val="000000"/>
              </w:rPr>
              <w:t>29 (12,6 %)</w:t>
            </w:r>
          </w:p>
        </w:tc>
        <w:tc>
          <w:tcPr>
            <w:tcW w:w="1560" w:type="dxa"/>
            <w:tcBorders>
              <w:top w:val="nil"/>
              <w:left w:val="nil"/>
              <w:bottom w:val="single" w:sz="4" w:space="0" w:color="auto"/>
              <w:right w:val="single" w:sz="4" w:space="0" w:color="auto"/>
            </w:tcBorders>
            <w:shd w:val="clear" w:color="auto" w:fill="auto"/>
            <w:noWrap/>
            <w:vAlign w:val="center"/>
          </w:tcPr>
          <w:p w14:paraId="020BCBFF" w14:textId="4C416136" w:rsidR="00601035" w:rsidRPr="00DF61E1" w:rsidRDefault="00B111FB" w:rsidP="00B111FB">
            <w:pPr>
              <w:jc w:val="center"/>
              <w:rPr>
                <w:rFonts w:ascii="Arial" w:hAnsi="Arial" w:cs="Arial"/>
                <w:color w:val="000000"/>
              </w:rPr>
            </w:pPr>
            <w:r>
              <w:rPr>
                <w:rFonts w:ascii="Arial" w:hAnsi="Arial" w:cs="Arial"/>
                <w:color w:val="000000"/>
              </w:rPr>
              <w:t>46 (12,7 %)</w:t>
            </w:r>
          </w:p>
        </w:tc>
        <w:tc>
          <w:tcPr>
            <w:tcW w:w="1559" w:type="dxa"/>
            <w:tcBorders>
              <w:top w:val="nil"/>
              <w:left w:val="nil"/>
              <w:bottom w:val="single" w:sz="4" w:space="0" w:color="auto"/>
              <w:right w:val="single" w:sz="4" w:space="0" w:color="auto"/>
            </w:tcBorders>
            <w:shd w:val="clear" w:color="auto" w:fill="auto"/>
            <w:noWrap/>
            <w:vAlign w:val="center"/>
          </w:tcPr>
          <w:p w14:paraId="199DB57A" w14:textId="42E8B422" w:rsidR="00601035" w:rsidRPr="00DF61E1" w:rsidRDefault="00790609" w:rsidP="00790609">
            <w:pPr>
              <w:jc w:val="center"/>
              <w:rPr>
                <w:rFonts w:ascii="Arial" w:hAnsi="Arial" w:cs="Arial"/>
                <w:color w:val="000000"/>
              </w:rPr>
            </w:pPr>
            <w:r>
              <w:rPr>
                <w:rFonts w:ascii="Arial" w:hAnsi="Arial" w:cs="Arial"/>
                <w:color w:val="000000"/>
              </w:rPr>
              <w:t>75 (12,7 %)</w:t>
            </w:r>
          </w:p>
        </w:tc>
        <w:tc>
          <w:tcPr>
            <w:tcW w:w="1417" w:type="dxa"/>
            <w:vMerge/>
            <w:tcBorders>
              <w:left w:val="single" w:sz="4" w:space="0" w:color="auto"/>
              <w:bottom w:val="single" w:sz="4" w:space="0" w:color="000000"/>
              <w:right w:val="single" w:sz="4" w:space="0" w:color="auto"/>
            </w:tcBorders>
            <w:shd w:val="clear" w:color="auto" w:fill="auto"/>
            <w:noWrap/>
            <w:vAlign w:val="center"/>
          </w:tcPr>
          <w:p w14:paraId="5247D9DF" w14:textId="77777777" w:rsidR="00601035" w:rsidRPr="00DF61E1" w:rsidRDefault="00601035" w:rsidP="00674975">
            <w:pPr>
              <w:jc w:val="center"/>
              <w:rPr>
                <w:rFonts w:ascii="Arial" w:hAnsi="Arial" w:cs="Arial"/>
                <w:color w:val="000000"/>
              </w:rPr>
            </w:pPr>
          </w:p>
        </w:tc>
      </w:tr>
      <w:tr w:rsidR="00674975" w:rsidRPr="00DF61E1" w14:paraId="25A59BDE" w14:textId="77777777" w:rsidTr="00680055">
        <w:trPr>
          <w:trHeight w:val="397"/>
        </w:trPr>
        <w:tc>
          <w:tcPr>
            <w:tcW w:w="2547" w:type="dxa"/>
            <w:vMerge w:val="restart"/>
            <w:tcBorders>
              <w:top w:val="nil"/>
              <w:left w:val="single" w:sz="4" w:space="0" w:color="auto"/>
              <w:bottom w:val="single" w:sz="4" w:space="0" w:color="auto"/>
              <w:right w:val="single" w:sz="4" w:space="0" w:color="auto"/>
            </w:tcBorders>
            <w:shd w:val="clear" w:color="auto" w:fill="auto"/>
            <w:vAlign w:val="center"/>
            <w:hideMark/>
          </w:tcPr>
          <w:p w14:paraId="50DB31A1" w14:textId="77777777" w:rsidR="00674975" w:rsidRPr="00DF61E1" w:rsidRDefault="00674975" w:rsidP="00674975">
            <w:pPr>
              <w:jc w:val="center"/>
              <w:rPr>
                <w:rFonts w:ascii="Arial" w:hAnsi="Arial" w:cs="Arial"/>
                <w:color w:val="000000"/>
              </w:rPr>
            </w:pPr>
            <w:r w:rsidRPr="00DF61E1">
              <w:rPr>
                <w:rFonts w:ascii="Arial" w:hAnsi="Arial" w:cs="Arial"/>
                <w:color w:val="000000"/>
              </w:rPr>
              <w:t>Ošetřující ambulance</w:t>
            </w:r>
          </w:p>
        </w:tc>
        <w:tc>
          <w:tcPr>
            <w:tcW w:w="3827" w:type="dxa"/>
            <w:tcBorders>
              <w:top w:val="nil"/>
              <w:left w:val="nil"/>
              <w:bottom w:val="single" w:sz="4" w:space="0" w:color="auto"/>
              <w:right w:val="single" w:sz="4" w:space="0" w:color="auto"/>
            </w:tcBorders>
            <w:shd w:val="clear" w:color="auto" w:fill="auto"/>
            <w:noWrap/>
            <w:vAlign w:val="center"/>
            <w:hideMark/>
          </w:tcPr>
          <w:p w14:paraId="040BD412" w14:textId="77777777" w:rsidR="00674975" w:rsidRPr="00DF61E1" w:rsidRDefault="00674975" w:rsidP="00674975">
            <w:pPr>
              <w:jc w:val="center"/>
              <w:rPr>
                <w:rFonts w:ascii="Arial" w:hAnsi="Arial" w:cs="Arial"/>
                <w:color w:val="000000"/>
              </w:rPr>
            </w:pPr>
            <w:r w:rsidRPr="00DF61E1">
              <w:rPr>
                <w:rFonts w:ascii="Arial" w:hAnsi="Arial" w:cs="Arial"/>
                <w:color w:val="000000"/>
              </w:rPr>
              <w:t>Interní</w:t>
            </w:r>
          </w:p>
        </w:tc>
        <w:tc>
          <w:tcPr>
            <w:tcW w:w="1559" w:type="dxa"/>
            <w:tcBorders>
              <w:top w:val="nil"/>
              <w:left w:val="nil"/>
              <w:bottom w:val="single" w:sz="4" w:space="0" w:color="auto"/>
              <w:right w:val="single" w:sz="4" w:space="0" w:color="auto"/>
            </w:tcBorders>
            <w:shd w:val="clear" w:color="auto" w:fill="auto"/>
            <w:noWrap/>
            <w:vAlign w:val="center"/>
            <w:hideMark/>
          </w:tcPr>
          <w:p w14:paraId="54D35D33" w14:textId="77777777" w:rsidR="00674975" w:rsidRPr="00DF61E1" w:rsidRDefault="00674975" w:rsidP="00674975">
            <w:pPr>
              <w:jc w:val="center"/>
              <w:rPr>
                <w:rFonts w:ascii="Arial" w:hAnsi="Arial" w:cs="Arial"/>
                <w:color w:val="000000"/>
              </w:rPr>
            </w:pPr>
            <w:r w:rsidRPr="00DF61E1">
              <w:rPr>
                <w:rFonts w:ascii="Arial" w:hAnsi="Arial" w:cs="Arial"/>
                <w:color w:val="000000"/>
              </w:rPr>
              <w:t>184 (79,7 %)</w:t>
            </w:r>
          </w:p>
        </w:tc>
        <w:tc>
          <w:tcPr>
            <w:tcW w:w="1560" w:type="dxa"/>
            <w:tcBorders>
              <w:top w:val="nil"/>
              <w:left w:val="nil"/>
              <w:bottom w:val="single" w:sz="4" w:space="0" w:color="auto"/>
              <w:right w:val="single" w:sz="4" w:space="0" w:color="auto"/>
            </w:tcBorders>
            <w:shd w:val="clear" w:color="auto" w:fill="auto"/>
            <w:noWrap/>
            <w:vAlign w:val="center"/>
            <w:hideMark/>
          </w:tcPr>
          <w:p w14:paraId="4BAB633D" w14:textId="77777777" w:rsidR="00674975" w:rsidRPr="00DF61E1" w:rsidRDefault="00674975" w:rsidP="00674975">
            <w:pPr>
              <w:jc w:val="center"/>
              <w:rPr>
                <w:rFonts w:ascii="Arial" w:hAnsi="Arial" w:cs="Arial"/>
                <w:color w:val="000000"/>
              </w:rPr>
            </w:pPr>
            <w:r w:rsidRPr="00DF61E1">
              <w:rPr>
                <w:rFonts w:ascii="Arial" w:hAnsi="Arial" w:cs="Arial"/>
                <w:color w:val="000000"/>
              </w:rPr>
              <w:t>286 (77,9 %)</w:t>
            </w:r>
          </w:p>
        </w:tc>
        <w:tc>
          <w:tcPr>
            <w:tcW w:w="1559" w:type="dxa"/>
            <w:tcBorders>
              <w:top w:val="nil"/>
              <w:left w:val="nil"/>
              <w:bottom w:val="single" w:sz="4" w:space="0" w:color="auto"/>
              <w:right w:val="single" w:sz="4" w:space="0" w:color="auto"/>
            </w:tcBorders>
            <w:shd w:val="clear" w:color="auto" w:fill="auto"/>
            <w:noWrap/>
            <w:vAlign w:val="center"/>
            <w:hideMark/>
          </w:tcPr>
          <w:p w14:paraId="090B02B7" w14:textId="77777777" w:rsidR="00674975" w:rsidRPr="00DF61E1" w:rsidRDefault="00674975" w:rsidP="00674975">
            <w:pPr>
              <w:jc w:val="center"/>
              <w:rPr>
                <w:rFonts w:ascii="Arial" w:hAnsi="Arial" w:cs="Arial"/>
                <w:color w:val="000000"/>
              </w:rPr>
            </w:pPr>
            <w:r w:rsidRPr="00DF61E1">
              <w:rPr>
                <w:rFonts w:ascii="Arial" w:hAnsi="Arial" w:cs="Arial"/>
                <w:color w:val="000000"/>
              </w:rPr>
              <w:t>470 (78,6 %)</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673DB02" w14:textId="77777777" w:rsidR="00674975" w:rsidRPr="00724EDB" w:rsidRDefault="00674975" w:rsidP="00674975">
            <w:pPr>
              <w:jc w:val="center"/>
              <w:rPr>
                <w:rFonts w:ascii="Arial" w:hAnsi="Arial" w:cs="Arial"/>
                <w:color w:val="000000"/>
              </w:rPr>
            </w:pPr>
            <w:r w:rsidRPr="00724EDB">
              <w:rPr>
                <w:rFonts w:ascii="Arial" w:hAnsi="Arial" w:cs="Arial"/>
                <w:color w:val="000000"/>
              </w:rPr>
              <w:t>0,683</w:t>
            </w:r>
          </w:p>
        </w:tc>
      </w:tr>
      <w:tr w:rsidR="00674975" w:rsidRPr="00DF61E1" w14:paraId="030F20AE" w14:textId="77777777" w:rsidTr="00680055">
        <w:trPr>
          <w:trHeight w:val="397"/>
        </w:trPr>
        <w:tc>
          <w:tcPr>
            <w:tcW w:w="2547" w:type="dxa"/>
            <w:vMerge/>
            <w:tcBorders>
              <w:top w:val="nil"/>
              <w:left w:val="single" w:sz="4" w:space="0" w:color="auto"/>
              <w:bottom w:val="single" w:sz="4" w:space="0" w:color="auto"/>
              <w:right w:val="single" w:sz="4" w:space="0" w:color="auto"/>
            </w:tcBorders>
            <w:vAlign w:val="center"/>
            <w:hideMark/>
          </w:tcPr>
          <w:p w14:paraId="5D5959B4" w14:textId="77777777" w:rsidR="00674975" w:rsidRPr="00DF61E1" w:rsidRDefault="00674975" w:rsidP="00674975">
            <w:pPr>
              <w:jc w:val="center"/>
              <w:rPr>
                <w:rFonts w:ascii="Arial" w:hAnsi="Arial" w:cs="Arial"/>
                <w:color w:val="000000"/>
              </w:rPr>
            </w:pPr>
          </w:p>
        </w:tc>
        <w:tc>
          <w:tcPr>
            <w:tcW w:w="3827" w:type="dxa"/>
            <w:tcBorders>
              <w:top w:val="nil"/>
              <w:left w:val="nil"/>
              <w:bottom w:val="single" w:sz="4" w:space="0" w:color="auto"/>
              <w:right w:val="single" w:sz="4" w:space="0" w:color="auto"/>
            </w:tcBorders>
            <w:shd w:val="clear" w:color="auto" w:fill="auto"/>
            <w:noWrap/>
            <w:vAlign w:val="center"/>
            <w:hideMark/>
          </w:tcPr>
          <w:p w14:paraId="47D34839" w14:textId="77777777" w:rsidR="00674975" w:rsidRPr="00DF61E1" w:rsidRDefault="00674975" w:rsidP="00674975">
            <w:pPr>
              <w:jc w:val="center"/>
              <w:rPr>
                <w:rFonts w:ascii="Arial" w:hAnsi="Arial" w:cs="Arial"/>
                <w:color w:val="000000"/>
              </w:rPr>
            </w:pPr>
            <w:r w:rsidRPr="00DF61E1">
              <w:rPr>
                <w:rFonts w:ascii="Arial" w:hAnsi="Arial" w:cs="Arial"/>
                <w:color w:val="000000"/>
              </w:rPr>
              <w:t>Neurologická</w:t>
            </w:r>
          </w:p>
        </w:tc>
        <w:tc>
          <w:tcPr>
            <w:tcW w:w="1559" w:type="dxa"/>
            <w:tcBorders>
              <w:top w:val="nil"/>
              <w:left w:val="nil"/>
              <w:bottom w:val="single" w:sz="4" w:space="0" w:color="auto"/>
              <w:right w:val="single" w:sz="4" w:space="0" w:color="auto"/>
            </w:tcBorders>
            <w:shd w:val="clear" w:color="auto" w:fill="auto"/>
            <w:noWrap/>
            <w:vAlign w:val="center"/>
            <w:hideMark/>
          </w:tcPr>
          <w:p w14:paraId="0F8699E3" w14:textId="77777777" w:rsidR="00674975" w:rsidRPr="00DF61E1" w:rsidRDefault="00674975" w:rsidP="00674975">
            <w:pPr>
              <w:jc w:val="center"/>
              <w:rPr>
                <w:rFonts w:ascii="Arial" w:hAnsi="Arial" w:cs="Arial"/>
                <w:color w:val="000000"/>
              </w:rPr>
            </w:pPr>
            <w:r w:rsidRPr="00DF61E1">
              <w:rPr>
                <w:rFonts w:ascii="Arial" w:hAnsi="Arial" w:cs="Arial"/>
                <w:color w:val="000000"/>
              </w:rPr>
              <w:t>38 (16,5 %)</w:t>
            </w:r>
          </w:p>
        </w:tc>
        <w:tc>
          <w:tcPr>
            <w:tcW w:w="1560" w:type="dxa"/>
            <w:tcBorders>
              <w:top w:val="nil"/>
              <w:left w:val="nil"/>
              <w:bottom w:val="single" w:sz="4" w:space="0" w:color="auto"/>
              <w:right w:val="single" w:sz="4" w:space="0" w:color="auto"/>
            </w:tcBorders>
            <w:shd w:val="clear" w:color="auto" w:fill="auto"/>
            <w:noWrap/>
            <w:vAlign w:val="center"/>
            <w:hideMark/>
          </w:tcPr>
          <w:p w14:paraId="39CA5183" w14:textId="77777777" w:rsidR="00674975" w:rsidRPr="00DF61E1" w:rsidRDefault="00674975" w:rsidP="00674975">
            <w:pPr>
              <w:jc w:val="center"/>
              <w:rPr>
                <w:rFonts w:ascii="Arial" w:hAnsi="Arial" w:cs="Arial"/>
                <w:color w:val="000000"/>
              </w:rPr>
            </w:pPr>
            <w:r w:rsidRPr="00DF61E1">
              <w:rPr>
                <w:rFonts w:ascii="Arial" w:hAnsi="Arial" w:cs="Arial"/>
                <w:color w:val="000000"/>
              </w:rPr>
              <w:t>61 (16,6 %)</w:t>
            </w:r>
          </w:p>
        </w:tc>
        <w:tc>
          <w:tcPr>
            <w:tcW w:w="1559" w:type="dxa"/>
            <w:tcBorders>
              <w:top w:val="nil"/>
              <w:left w:val="nil"/>
              <w:bottom w:val="single" w:sz="4" w:space="0" w:color="auto"/>
              <w:right w:val="single" w:sz="4" w:space="0" w:color="auto"/>
            </w:tcBorders>
            <w:shd w:val="clear" w:color="auto" w:fill="auto"/>
            <w:noWrap/>
            <w:vAlign w:val="center"/>
            <w:hideMark/>
          </w:tcPr>
          <w:p w14:paraId="21A5E356" w14:textId="77777777" w:rsidR="00674975" w:rsidRPr="00DF61E1" w:rsidRDefault="00674975" w:rsidP="00674975">
            <w:pPr>
              <w:jc w:val="center"/>
              <w:rPr>
                <w:rFonts w:ascii="Arial" w:hAnsi="Arial" w:cs="Arial"/>
                <w:color w:val="000000"/>
              </w:rPr>
            </w:pPr>
            <w:r w:rsidRPr="00DF61E1">
              <w:rPr>
                <w:rFonts w:ascii="Arial" w:hAnsi="Arial" w:cs="Arial"/>
                <w:color w:val="000000"/>
              </w:rPr>
              <w:t>99 (16,6 %)</w:t>
            </w:r>
          </w:p>
        </w:tc>
        <w:tc>
          <w:tcPr>
            <w:tcW w:w="1417" w:type="dxa"/>
            <w:vMerge/>
            <w:tcBorders>
              <w:top w:val="nil"/>
              <w:left w:val="single" w:sz="4" w:space="0" w:color="auto"/>
              <w:bottom w:val="single" w:sz="4" w:space="0" w:color="000000"/>
              <w:right w:val="single" w:sz="4" w:space="0" w:color="auto"/>
            </w:tcBorders>
            <w:vAlign w:val="center"/>
            <w:hideMark/>
          </w:tcPr>
          <w:p w14:paraId="740F1E6D" w14:textId="77777777" w:rsidR="00674975" w:rsidRPr="00724EDB" w:rsidRDefault="00674975" w:rsidP="00674975">
            <w:pPr>
              <w:jc w:val="center"/>
              <w:rPr>
                <w:rFonts w:ascii="Arial" w:hAnsi="Arial" w:cs="Arial"/>
                <w:color w:val="000000"/>
              </w:rPr>
            </w:pPr>
          </w:p>
        </w:tc>
      </w:tr>
      <w:tr w:rsidR="00674975" w:rsidRPr="00DF61E1" w14:paraId="361E9208" w14:textId="77777777" w:rsidTr="00680055">
        <w:trPr>
          <w:trHeight w:val="397"/>
        </w:trPr>
        <w:tc>
          <w:tcPr>
            <w:tcW w:w="2547" w:type="dxa"/>
            <w:vMerge/>
            <w:tcBorders>
              <w:top w:val="nil"/>
              <w:left w:val="single" w:sz="4" w:space="0" w:color="auto"/>
              <w:bottom w:val="single" w:sz="4" w:space="0" w:color="auto"/>
              <w:right w:val="single" w:sz="4" w:space="0" w:color="auto"/>
            </w:tcBorders>
            <w:vAlign w:val="center"/>
            <w:hideMark/>
          </w:tcPr>
          <w:p w14:paraId="76656808" w14:textId="77777777" w:rsidR="00674975" w:rsidRPr="00DF61E1" w:rsidRDefault="00674975" w:rsidP="00674975">
            <w:pPr>
              <w:jc w:val="center"/>
              <w:rPr>
                <w:rFonts w:ascii="Arial" w:hAnsi="Arial" w:cs="Arial"/>
                <w:color w:val="000000"/>
              </w:rPr>
            </w:pPr>
          </w:p>
        </w:tc>
        <w:tc>
          <w:tcPr>
            <w:tcW w:w="3827" w:type="dxa"/>
            <w:tcBorders>
              <w:top w:val="nil"/>
              <w:left w:val="nil"/>
              <w:bottom w:val="single" w:sz="4" w:space="0" w:color="auto"/>
              <w:right w:val="single" w:sz="4" w:space="0" w:color="auto"/>
            </w:tcBorders>
            <w:shd w:val="clear" w:color="auto" w:fill="auto"/>
            <w:noWrap/>
            <w:vAlign w:val="center"/>
            <w:hideMark/>
          </w:tcPr>
          <w:p w14:paraId="2B54FD49" w14:textId="77777777" w:rsidR="00674975" w:rsidRPr="00DF61E1" w:rsidRDefault="00674975" w:rsidP="00674975">
            <w:pPr>
              <w:jc w:val="center"/>
              <w:rPr>
                <w:rFonts w:ascii="Arial" w:hAnsi="Arial" w:cs="Arial"/>
                <w:color w:val="000000"/>
              </w:rPr>
            </w:pPr>
            <w:r w:rsidRPr="00DF61E1">
              <w:rPr>
                <w:rFonts w:ascii="Arial" w:hAnsi="Arial" w:cs="Arial"/>
                <w:color w:val="000000"/>
              </w:rPr>
              <w:t>Současně interní a neurologická</w:t>
            </w:r>
          </w:p>
        </w:tc>
        <w:tc>
          <w:tcPr>
            <w:tcW w:w="1559" w:type="dxa"/>
            <w:tcBorders>
              <w:top w:val="nil"/>
              <w:left w:val="nil"/>
              <w:bottom w:val="single" w:sz="4" w:space="0" w:color="auto"/>
              <w:right w:val="single" w:sz="4" w:space="0" w:color="auto"/>
            </w:tcBorders>
            <w:shd w:val="clear" w:color="auto" w:fill="auto"/>
            <w:noWrap/>
            <w:vAlign w:val="center"/>
            <w:hideMark/>
          </w:tcPr>
          <w:p w14:paraId="7685A62B" w14:textId="77777777" w:rsidR="00674975" w:rsidRPr="00DF61E1" w:rsidRDefault="00674975" w:rsidP="00674975">
            <w:pPr>
              <w:jc w:val="center"/>
              <w:rPr>
                <w:rFonts w:ascii="Arial" w:hAnsi="Arial" w:cs="Arial"/>
                <w:color w:val="000000"/>
              </w:rPr>
            </w:pPr>
            <w:r w:rsidRPr="00DF61E1">
              <w:rPr>
                <w:rFonts w:ascii="Arial" w:hAnsi="Arial" w:cs="Arial"/>
                <w:color w:val="000000"/>
              </w:rPr>
              <w:t>9 (3,9 %)</w:t>
            </w:r>
          </w:p>
        </w:tc>
        <w:tc>
          <w:tcPr>
            <w:tcW w:w="1560" w:type="dxa"/>
            <w:tcBorders>
              <w:top w:val="nil"/>
              <w:left w:val="nil"/>
              <w:bottom w:val="single" w:sz="4" w:space="0" w:color="auto"/>
              <w:right w:val="single" w:sz="4" w:space="0" w:color="auto"/>
            </w:tcBorders>
            <w:shd w:val="clear" w:color="auto" w:fill="auto"/>
            <w:noWrap/>
            <w:vAlign w:val="center"/>
            <w:hideMark/>
          </w:tcPr>
          <w:p w14:paraId="0044B8DC" w14:textId="77777777" w:rsidR="00674975" w:rsidRPr="00DF61E1" w:rsidRDefault="00674975" w:rsidP="00674975">
            <w:pPr>
              <w:jc w:val="center"/>
              <w:rPr>
                <w:rFonts w:ascii="Arial" w:hAnsi="Arial" w:cs="Arial"/>
                <w:color w:val="000000"/>
              </w:rPr>
            </w:pPr>
            <w:r w:rsidRPr="00DF61E1">
              <w:rPr>
                <w:rFonts w:ascii="Arial" w:hAnsi="Arial" w:cs="Arial"/>
                <w:color w:val="000000"/>
              </w:rPr>
              <w:t>20 (5,4 %)</w:t>
            </w:r>
          </w:p>
        </w:tc>
        <w:tc>
          <w:tcPr>
            <w:tcW w:w="1559" w:type="dxa"/>
            <w:tcBorders>
              <w:top w:val="nil"/>
              <w:left w:val="nil"/>
              <w:bottom w:val="single" w:sz="4" w:space="0" w:color="auto"/>
              <w:right w:val="single" w:sz="4" w:space="0" w:color="auto"/>
            </w:tcBorders>
            <w:shd w:val="clear" w:color="auto" w:fill="auto"/>
            <w:noWrap/>
            <w:vAlign w:val="center"/>
            <w:hideMark/>
          </w:tcPr>
          <w:p w14:paraId="67747F80" w14:textId="77777777" w:rsidR="00674975" w:rsidRPr="00DF61E1" w:rsidRDefault="00674975" w:rsidP="00674975">
            <w:pPr>
              <w:jc w:val="center"/>
              <w:rPr>
                <w:rFonts w:ascii="Arial" w:hAnsi="Arial" w:cs="Arial"/>
                <w:color w:val="000000"/>
              </w:rPr>
            </w:pPr>
            <w:r w:rsidRPr="00DF61E1">
              <w:rPr>
                <w:rFonts w:ascii="Arial" w:hAnsi="Arial" w:cs="Arial"/>
                <w:color w:val="000000"/>
              </w:rPr>
              <w:t>29 (4,8 %)</w:t>
            </w:r>
          </w:p>
        </w:tc>
        <w:tc>
          <w:tcPr>
            <w:tcW w:w="1417" w:type="dxa"/>
            <w:vMerge/>
            <w:tcBorders>
              <w:top w:val="nil"/>
              <w:left w:val="single" w:sz="4" w:space="0" w:color="auto"/>
              <w:bottom w:val="single" w:sz="4" w:space="0" w:color="000000"/>
              <w:right w:val="single" w:sz="4" w:space="0" w:color="auto"/>
            </w:tcBorders>
            <w:vAlign w:val="center"/>
            <w:hideMark/>
          </w:tcPr>
          <w:p w14:paraId="7B4C3873" w14:textId="77777777" w:rsidR="00674975" w:rsidRPr="00724EDB" w:rsidRDefault="00674975" w:rsidP="00674975">
            <w:pPr>
              <w:jc w:val="center"/>
              <w:rPr>
                <w:rFonts w:ascii="Arial" w:hAnsi="Arial" w:cs="Arial"/>
                <w:color w:val="000000"/>
              </w:rPr>
            </w:pPr>
          </w:p>
        </w:tc>
      </w:tr>
      <w:tr w:rsidR="00674975" w:rsidRPr="00DF61E1" w14:paraId="048AF296" w14:textId="77777777" w:rsidTr="00680055">
        <w:trPr>
          <w:trHeight w:val="397"/>
        </w:trPr>
        <w:tc>
          <w:tcPr>
            <w:tcW w:w="2547" w:type="dxa"/>
            <w:vMerge w:val="restart"/>
            <w:tcBorders>
              <w:top w:val="nil"/>
              <w:left w:val="single" w:sz="4" w:space="0" w:color="auto"/>
              <w:bottom w:val="single" w:sz="4" w:space="0" w:color="auto"/>
              <w:right w:val="single" w:sz="4" w:space="0" w:color="auto"/>
            </w:tcBorders>
            <w:shd w:val="clear" w:color="auto" w:fill="auto"/>
            <w:vAlign w:val="center"/>
            <w:hideMark/>
          </w:tcPr>
          <w:p w14:paraId="4DD5194B" w14:textId="77777777" w:rsidR="00674975" w:rsidRPr="00DF61E1" w:rsidRDefault="00674975" w:rsidP="00674975">
            <w:pPr>
              <w:jc w:val="center"/>
              <w:rPr>
                <w:rFonts w:ascii="Arial" w:hAnsi="Arial" w:cs="Arial"/>
                <w:color w:val="000000"/>
              </w:rPr>
            </w:pPr>
            <w:r w:rsidRPr="00DF61E1">
              <w:rPr>
                <w:rFonts w:ascii="Arial" w:hAnsi="Arial" w:cs="Arial"/>
                <w:color w:val="000000"/>
              </w:rPr>
              <w:t>Využití observačního lůžka</w:t>
            </w:r>
          </w:p>
        </w:tc>
        <w:tc>
          <w:tcPr>
            <w:tcW w:w="3827" w:type="dxa"/>
            <w:tcBorders>
              <w:top w:val="nil"/>
              <w:left w:val="nil"/>
              <w:bottom w:val="single" w:sz="4" w:space="0" w:color="auto"/>
              <w:right w:val="single" w:sz="4" w:space="0" w:color="auto"/>
            </w:tcBorders>
            <w:shd w:val="clear" w:color="auto" w:fill="auto"/>
            <w:noWrap/>
            <w:vAlign w:val="center"/>
            <w:hideMark/>
          </w:tcPr>
          <w:p w14:paraId="03382AAA" w14:textId="77777777" w:rsidR="00674975" w:rsidRPr="00DF61E1" w:rsidRDefault="00674975" w:rsidP="00674975">
            <w:pPr>
              <w:jc w:val="center"/>
              <w:rPr>
                <w:rFonts w:ascii="Arial" w:hAnsi="Arial" w:cs="Arial"/>
                <w:color w:val="000000"/>
              </w:rPr>
            </w:pPr>
            <w:r w:rsidRPr="00DF61E1">
              <w:rPr>
                <w:rFonts w:ascii="Arial" w:hAnsi="Arial" w:cs="Arial"/>
                <w:color w:val="000000"/>
              </w:rPr>
              <w:t>ANO</w:t>
            </w:r>
          </w:p>
        </w:tc>
        <w:tc>
          <w:tcPr>
            <w:tcW w:w="1559" w:type="dxa"/>
            <w:tcBorders>
              <w:top w:val="nil"/>
              <w:left w:val="nil"/>
              <w:bottom w:val="single" w:sz="4" w:space="0" w:color="auto"/>
              <w:right w:val="single" w:sz="4" w:space="0" w:color="auto"/>
            </w:tcBorders>
            <w:shd w:val="clear" w:color="auto" w:fill="auto"/>
            <w:noWrap/>
            <w:vAlign w:val="center"/>
            <w:hideMark/>
          </w:tcPr>
          <w:p w14:paraId="1CC97C20" w14:textId="77777777" w:rsidR="00674975" w:rsidRPr="00DF61E1" w:rsidRDefault="00674975" w:rsidP="00674975">
            <w:pPr>
              <w:jc w:val="center"/>
              <w:rPr>
                <w:rFonts w:ascii="Arial" w:hAnsi="Arial" w:cs="Arial"/>
                <w:color w:val="000000"/>
              </w:rPr>
            </w:pPr>
            <w:r w:rsidRPr="00DF61E1">
              <w:rPr>
                <w:rFonts w:ascii="Arial" w:hAnsi="Arial" w:cs="Arial"/>
                <w:color w:val="000000"/>
              </w:rPr>
              <w:t>176 (76,2 %)</w:t>
            </w:r>
          </w:p>
        </w:tc>
        <w:tc>
          <w:tcPr>
            <w:tcW w:w="1560" w:type="dxa"/>
            <w:tcBorders>
              <w:top w:val="nil"/>
              <w:left w:val="nil"/>
              <w:bottom w:val="single" w:sz="4" w:space="0" w:color="auto"/>
              <w:right w:val="single" w:sz="4" w:space="0" w:color="auto"/>
            </w:tcBorders>
            <w:shd w:val="clear" w:color="auto" w:fill="auto"/>
            <w:noWrap/>
            <w:vAlign w:val="center"/>
            <w:hideMark/>
          </w:tcPr>
          <w:p w14:paraId="78AB8C39" w14:textId="77777777" w:rsidR="00674975" w:rsidRPr="00DF61E1" w:rsidRDefault="00674975" w:rsidP="00674975">
            <w:pPr>
              <w:jc w:val="center"/>
              <w:rPr>
                <w:rFonts w:ascii="Arial" w:hAnsi="Arial" w:cs="Arial"/>
                <w:color w:val="000000"/>
              </w:rPr>
            </w:pPr>
            <w:r w:rsidRPr="00DF61E1">
              <w:rPr>
                <w:rFonts w:ascii="Arial" w:hAnsi="Arial" w:cs="Arial"/>
                <w:color w:val="000000"/>
              </w:rPr>
              <w:t>269 (73,3 %)</w:t>
            </w:r>
          </w:p>
        </w:tc>
        <w:tc>
          <w:tcPr>
            <w:tcW w:w="1559" w:type="dxa"/>
            <w:tcBorders>
              <w:top w:val="nil"/>
              <w:left w:val="nil"/>
              <w:bottom w:val="single" w:sz="4" w:space="0" w:color="auto"/>
              <w:right w:val="single" w:sz="4" w:space="0" w:color="auto"/>
            </w:tcBorders>
            <w:shd w:val="clear" w:color="auto" w:fill="auto"/>
            <w:noWrap/>
            <w:vAlign w:val="center"/>
            <w:hideMark/>
          </w:tcPr>
          <w:p w14:paraId="682F6B2E" w14:textId="77777777" w:rsidR="00674975" w:rsidRPr="00DF61E1" w:rsidRDefault="00674975" w:rsidP="00674975">
            <w:pPr>
              <w:jc w:val="center"/>
              <w:rPr>
                <w:rFonts w:ascii="Arial" w:hAnsi="Arial" w:cs="Arial"/>
                <w:color w:val="000000"/>
              </w:rPr>
            </w:pPr>
            <w:r w:rsidRPr="00DF61E1">
              <w:rPr>
                <w:rFonts w:ascii="Arial" w:hAnsi="Arial" w:cs="Arial"/>
                <w:color w:val="000000"/>
              </w:rPr>
              <w:t>445 (74,4 %)</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E2FA2F1" w14:textId="77777777" w:rsidR="00674975" w:rsidRPr="00724EDB" w:rsidRDefault="00674975" w:rsidP="00674975">
            <w:pPr>
              <w:jc w:val="center"/>
              <w:rPr>
                <w:rFonts w:ascii="Arial" w:hAnsi="Arial" w:cs="Arial"/>
                <w:color w:val="000000"/>
              </w:rPr>
            </w:pPr>
            <w:r w:rsidRPr="00724EDB">
              <w:rPr>
                <w:rFonts w:ascii="Arial" w:hAnsi="Arial" w:cs="Arial"/>
                <w:color w:val="000000"/>
              </w:rPr>
              <w:t>0,430</w:t>
            </w:r>
          </w:p>
        </w:tc>
      </w:tr>
      <w:tr w:rsidR="00674975" w:rsidRPr="00DF61E1" w14:paraId="203DD3BA" w14:textId="77777777" w:rsidTr="00680055">
        <w:trPr>
          <w:trHeight w:val="397"/>
        </w:trPr>
        <w:tc>
          <w:tcPr>
            <w:tcW w:w="2547" w:type="dxa"/>
            <w:vMerge/>
            <w:tcBorders>
              <w:top w:val="nil"/>
              <w:left w:val="single" w:sz="4" w:space="0" w:color="auto"/>
              <w:bottom w:val="single" w:sz="4" w:space="0" w:color="auto"/>
              <w:right w:val="single" w:sz="4" w:space="0" w:color="auto"/>
            </w:tcBorders>
            <w:vAlign w:val="center"/>
            <w:hideMark/>
          </w:tcPr>
          <w:p w14:paraId="618921DB" w14:textId="77777777" w:rsidR="00674975" w:rsidRPr="00DF61E1" w:rsidRDefault="00674975" w:rsidP="00674975">
            <w:pPr>
              <w:jc w:val="center"/>
              <w:rPr>
                <w:rFonts w:ascii="Arial" w:hAnsi="Arial" w:cs="Arial"/>
                <w:color w:val="000000"/>
              </w:rPr>
            </w:pPr>
          </w:p>
        </w:tc>
        <w:tc>
          <w:tcPr>
            <w:tcW w:w="3827" w:type="dxa"/>
            <w:tcBorders>
              <w:top w:val="nil"/>
              <w:left w:val="nil"/>
              <w:bottom w:val="single" w:sz="4" w:space="0" w:color="auto"/>
              <w:right w:val="single" w:sz="4" w:space="0" w:color="auto"/>
            </w:tcBorders>
            <w:shd w:val="clear" w:color="auto" w:fill="auto"/>
            <w:noWrap/>
            <w:vAlign w:val="center"/>
            <w:hideMark/>
          </w:tcPr>
          <w:p w14:paraId="64E4C5B1" w14:textId="77777777" w:rsidR="00674975" w:rsidRPr="00DF61E1" w:rsidRDefault="00674975" w:rsidP="00674975">
            <w:pPr>
              <w:jc w:val="center"/>
              <w:rPr>
                <w:rFonts w:ascii="Arial" w:hAnsi="Arial" w:cs="Arial"/>
                <w:color w:val="000000"/>
              </w:rPr>
            </w:pPr>
            <w:r w:rsidRPr="00DF61E1">
              <w:rPr>
                <w:rFonts w:ascii="Arial" w:hAnsi="Arial" w:cs="Arial"/>
                <w:color w:val="000000"/>
              </w:rPr>
              <w:t>NE</w:t>
            </w:r>
          </w:p>
        </w:tc>
        <w:tc>
          <w:tcPr>
            <w:tcW w:w="1559" w:type="dxa"/>
            <w:tcBorders>
              <w:top w:val="nil"/>
              <w:left w:val="nil"/>
              <w:bottom w:val="single" w:sz="4" w:space="0" w:color="auto"/>
              <w:right w:val="single" w:sz="4" w:space="0" w:color="auto"/>
            </w:tcBorders>
            <w:shd w:val="clear" w:color="auto" w:fill="auto"/>
            <w:noWrap/>
            <w:vAlign w:val="center"/>
            <w:hideMark/>
          </w:tcPr>
          <w:p w14:paraId="37811029" w14:textId="77777777" w:rsidR="00674975" w:rsidRPr="00DF61E1" w:rsidRDefault="00674975" w:rsidP="00674975">
            <w:pPr>
              <w:jc w:val="center"/>
              <w:rPr>
                <w:rFonts w:ascii="Arial" w:hAnsi="Arial" w:cs="Arial"/>
                <w:color w:val="000000"/>
              </w:rPr>
            </w:pPr>
            <w:r w:rsidRPr="00DF61E1">
              <w:rPr>
                <w:rFonts w:ascii="Arial" w:hAnsi="Arial" w:cs="Arial"/>
                <w:color w:val="000000"/>
              </w:rPr>
              <w:t>55 (23,8 %)</w:t>
            </w:r>
          </w:p>
        </w:tc>
        <w:tc>
          <w:tcPr>
            <w:tcW w:w="1560" w:type="dxa"/>
            <w:tcBorders>
              <w:top w:val="nil"/>
              <w:left w:val="nil"/>
              <w:bottom w:val="single" w:sz="4" w:space="0" w:color="auto"/>
              <w:right w:val="single" w:sz="4" w:space="0" w:color="auto"/>
            </w:tcBorders>
            <w:shd w:val="clear" w:color="auto" w:fill="auto"/>
            <w:noWrap/>
            <w:vAlign w:val="center"/>
            <w:hideMark/>
          </w:tcPr>
          <w:p w14:paraId="6D55CE35" w14:textId="77777777" w:rsidR="00674975" w:rsidRPr="00DF61E1" w:rsidRDefault="00674975" w:rsidP="00674975">
            <w:pPr>
              <w:jc w:val="center"/>
              <w:rPr>
                <w:rFonts w:ascii="Arial" w:hAnsi="Arial" w:cs="Arial"/>
                <w:color w:val="000000"/>
              </w:rPr>
            </w:pPr>
            <w:r w:rsidRPr="00DF61E1">
              <w:rPr>
                <w:rFonts w:ascii="Arial" w:hAnsi="Arial" w:cs="Arial"/>
                <w:color w:val="000000"/>
              </w:rPr>
              <w:t>98 (26,7 %)</w:t>
            </w:r>
          </w:p>
        </w:tc>
        <w:tc>
          <w:tcPr>
            <w:tcW w:w="1559" w:type="dxa"/>
            <w:tcBorders>
              <w:top w:val="nil"/>
              <w:left w:val="nil"/>
              <w:bottom w:val="single" w:sz="4" w:space="0" w:color="auto"/>
              <w:right w:val="single" w:sz="4" w:space="0" w:color="auto"/>
            </w:tcBorders>
            <w:shd w:val="clear" w:color="auto" w:fill="auto"/>
            <w:noWrap/>
            <w:vAlign w:val="center"/>
            <w:hideMark/>
          </w:tcPr>
          <w:p w14:paraId="0FD4B4E1" w14:textId="77777777" w:rsidR="00674975" w:rsidRPr="00DF61E1" w:rsidRDefault="00674975" w:rsidP="00674975">
            <w:pPr>
              <w:jc w:val="center"/>
              <w:rPr>
                <w:rFonts w:ascii="Arial" w:hAnsi="Arial" w:cs="Arial"/>
                <w:color w:val="000000"/>
              </w:rPr>
            </w:pPr>
            <w:r w:rsidRPr="00DF61E1">
              <w:rPr>
                <w:rFonts w:ascii="Arial" w:hAnsi="Arial" w:cs="Arial"/>
                <w:color w:val="000000"/>
              </w:rPr>
              <w:t>153 (25,6 %)</w:t>
            </w:r>
          </w:p>
        </w:tc>
        <w:tc>
          <w:tcPr>
            <w:tcW w:w="1417" w:type="dxa"/>
            <w:vMerge/>
            <w:tcBorders>
              <w:top w:val="nil"/>
              <w:left w:val="single" w:sz="4" w:space="0" w:color="auto"/>
              <w:bottom w:val="single" w:sz="4" w:space="0" w:color="000000"/>
              <w:right w:val="single" w:sz="4" w:space="0" w:color="auto"/>
            </w:tcBorders>
            <w:vAlign w:val="center"/>
            <w:hideMark/>
          </w:tcPr>
          <w:p w14:paraId="6E2BC552" w14:textId="77777777" w:rsidR="00674975" w:rsidRPr="00724EDB" w:rsidRDefault="00674975" w:rsidP="00674975">
            <w:pPr>
              <w:jc w:val="center"/>
              <w:rPr>
                <w:rFonts w:ascii="Arial" w:hAnsi="Arial" w:cs="Arial"/>
                <w:color w:val="000000"/>
              </w:rPr>
            </w:pPr>
          </w:p>
        </w:tc>
      </w:tr>
      <w:tr w:rsidR="00674975" w:rsidRPr="00DF61E1" w14:paraId="55122FBF" w14:textId="77777777" w:rsidTr="00680055">
        <w:trPr>
          <w:trHeight w:val="397"/>
        </w:trPr>
        <w:tc>
          <w:tcPr>
            <w:tcW w:w="2547" w:type="dxa"/>
            <w:vMerge w:val="restart"/>
            <w:tcBorders>
              <w:top w:val="nil"/>
              <w:left w:val="single" w:sz="4" w:space="0" w:color="auto"/>
              <w:bottom w:val="single" w:sz="4" w:space="0" w:color="auto"/>
              <w:right w:val="single" w:sz="4" w:space="0" w:color="auto"/>
            </w:tcBorders>
            <w:shd w:val="clear" w:color="auto" w:fill="auto"/>
            <w:vAlign w:val="center"/>
            <w:hideMark/>
          </w:tcPr>
          <w:p w14:paraId="7EF040A3" w14:textId="77777777" w:rsidR="00674975" w:rsidRPr="00DF61E1" w:rsidRDefault="00674975" w:rsidP="00674975">
            <w:pPr>
              <w:jc w:val="center"/>
              <w:rPr>
                <w:rFonts w:ascii="Arial" w:hAnsi="Arial" w:cs="Arial"/>
                <w:color w:val="000000"/>
              </w:rPr>
            </w:pPr>
            <w:r w:rsidRPr="00DF61E1">
              <w:rPr>
                <w:rFonts w:ascii="Arial" w:hAnsi="Arial" w:cs="Arial"/>
                <w:color w:val="000000"/>
              </w:rPr>
              <w:t>Využití zobrazovacích metod</w:t>
            </w:r>
          </w:p>
        </w:tc>
        <w:tc>
          <w:tcPr>
            <w:tcW w:w="3827" w:type="dxa"/>
            <w:tcBorders>
              <w:top w:val="nil"/>
              <w:left w:val="nil"/>
              <w:bottom w:val="single" w:sz="4" w:space="0" w:color="auto"/>
              <w:right w:val="single" w:sz="4" w:space="0" w:color="auto"/>
            </w:tcBorders>
            <w:shd w:val="clear" w:color="auto" w:fill="auto"/>
            <w:noWrap/>
            <w:vAlign w:val="center"/>
            <w:hideMark/>
          </w:tcPr>
          <w:p w14:paraId="61ECA4A6" w14:textId="77777777" w:rsidR="00674975" w:rsidRPr="00DF61E1" w:rsidRDefault="00674975" w:rsidP="00674975">
            <w:pPr>
              <w:jc w:val="center"/>
              <w:rPr>
                <w:rFonts w:ascii="Arial" w:hAnsi="Arial" w:cs="Arial"/>
                <w:color w:val="000000"/>
              </w:rPr>
            </w:pPr>
            <w:r w:rsidRPr="00DF61E1">
              <w:rPr>
                <w:rFonts w:ascii="Arial" w:hAnsi="Arial" w:cs="Arial"/>
                <w:color w:val="000000"/>
              </w:rPr>
              <w:t>ANO</w:t>
            </w:r>
          </w:p>
        </w:tc>
        <w:tc>
          <w:tcPr>
            <w:tcW w:w="1559" w:type="dxa"/>
            <w:tcBorders>
              <w:top w:val="nil"/>
              <w:left w:val="nil"/>
              <w:bottom w:val="single" w:sz="4" w:space="0" w:color="auto"/>
              <w:right w:val="single" w:sz="4" w:space="0" w:color="auto"/>
            </w:tcBorders>
            <w:shd w:val="clear" w:color="auto" w:fill="auto"/>
            <w:noWrap/>
            <w:vAlign w:val="center"/>
            <w:hideMark/>
          </w:tcPr>
          <w:p w14:paraId="4E7562D3" w14:textId="77777777" w:rsidR="00674975" w:rsidRPr="00DF61E1" w:rsidRDefault="00674975" w:rsidP="00674975">
            <w:pPr>
              <w:jc w:val="center"/>
              <w:rPr>
                <w:rFonts w:ascii="Arial" w:hAnsi="Arial" w:cs="Arial"/>
                <w:color w:val="000000"/>
              </w:rPr>
            </w:pPr>
            <w:r w:rsidRPr="00DF61E1">
              <w:rPr>
                <w:rFonts w:ascii="Arial" w:hAnsi="Arial" w:cs="Arial"/>
                <w:color w:val="000000"/>
              </w:rPr>
              <w:t>136 (58,9 %)</w:t>
            </w:r>
          </w:p>
        </w:tc>
        <w:tc>
          <w:tcPr>
            <w:tcW w:w="1560" w:type="dxa"/>
            <w:tcBorders>
              <w:top w:val="nil"/>
              <w:left w:val="nil"/>
              <w:bottom w:val="single" w:sz="4" w:space="0" w:color="auto"/>
              <w:right w:val="single" w:sz="4" w:space="0" w:color="auto"/>
            </w:tcBorders>
            <w:shd w:val="clear" w:color="auto" w:fill="auto"/>
            <w:noWrap/>
            <w:vAlign w:val="center"/>
            <w:hideMark/>
          </w:tcPr>
          <w:p w14:paraId="085D0F6C" w14:textId="77777777" w:rsidR="00674975" w:rsidRPr="00DF61E1" w:rsidRDefault="00674975" w:rsidP="00674975">
            <w:pPr>
              <w:jc w:val="center"/>
              <w:rPr>
                <w:rFonts w:ascii="Arial" w:hAnsi="Arial" w:cs="Arial"/>
                <w:color w:val="000000"/>
              </w:rPr>
            </w:pPr>
            <w:r w:rsidRPr="00DF61E1">
              <w:rPr>
                <w:rFonts w:ascii="Arial" w:hAnsi="Arial" w:cs="Arial"/>
                <w:color w:val="000000"/>
              </w:rPr>
              <w:t>204 (55,6 %)</w:t>
            </w:r>
          </w:p>
        </w:tc>
        <w:tc>
          <w:tcPr>
            <w:tcW w:w="1559" w:type="dxa"/>
            <w:tcBorders>
              <w:top w:val="nil"/>
              <w:left w:val="nil"/>
              <w:bottom w:val="single" w:sz="4" w:space="0" w:color="auto"/>
              <w:right w:val="single" w:sz="4" w:space="0" w:color="auto"/>
            </w:tcBorders>
            <w:shd w:val="clear" w:color="auto" w:fill="auto"/>
            <w:noWrap/>
            <w:vAlign w:val="center"/>
            <w:hideMark/>
          </w:tcPr>
          <w:p w14:paraId="752562BF" w14:textId="77777777" w:rsidR="00674975" w:rsidRPr="00DF61E1" w:rsidRDefault="00674975" w:rsidP="00674975">
            <w:pPr>
              <w:jc w:val="center"/>
              <w:rPr>
                <w:rFonts w:ascii="Arial" w:hAnsi="Arial" w:cs="Arial"/>
                <w:color w:val="000000"/>
              </w:rPr>
            </w:pPr>
            <w:r w:rsidRPr="00DF61E1">
              <w:rPr>
                <w:rFonts w:ascii="Arial" w:hAnsi="Arial" w:cs="Arial"/>
                <w:color w:val="000000"/>
              </w:rPr>
              <w:t>340 (56,9 %)</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64A224A" w14:textId="77777777" w:rsidR="00674975" w:rsidRPr="00724EDB" w:rsidRDefault="00674975" w:rsidP="00674975">
            <w:pPr>
              <w:jc w:val="center"/>
              <w:rPr>
                <w:rFonts w:ascii="Arial" w:hAnsi="Arial" w:cs="Arial"/>
                <w:color w:val="000000"/>
              </w:rPr>
            </w:pPr>
            <w:r w:rsidRPr="00724EDB">
              <w:rPr>
                <w:rFonts w:ascii="Arial" w:hAnsi="Arial" w:cs="Arial"/>
                <w:color w:val="000000"/>
              </w:rPr>
              <w:t>0,429</w:t>
            </w:r>
          </w:p>
        </w:tc>
      </w:tr>
      <w:tr w:rsidR="00674975" w:rsidRPr="00DF61E1" w14:paraId="68F43943" w14:textId="77777777" w:rsidTr="00680055">
        <w:trPr>
          <w:trHeight w:val="397"/>
        </w:trPr>
        <w:tc>
          <w:tcPr>
            <w:tcW w:w="2547" w:type="dxa"/>
            <w:vMerge/>
            <w:tcBorders>
              <w:top w:val="nil"/>
              <w:left w:val="single" w:sz="4" w:space="0" w:color="auto"/>
              <w:bottom w:val="single" w:sz="4" w:space="0" w:color="auto"/>
              <w:right w:val="single" w:sz="4" w:space="0" w:color="auto"/>
            </w:tcBorders>
            <w:vAlign w:val="center"/>
            <w:hideMark/>
          </w:tcPr>
          <w:p w14:paraId="35BE9B70" w14:textId="77777777" w:rsidR="00674975" w:rsidRPr="00DF61E1" w:rsidRDefault="00674975" w:rsidP="00674975">
            <w:pPr>
              <w:jc w:val="center"/>
              <w:rPr>
                <w:rFonts w:ascii="Arial" w:hAnsi="Arial" w:cs="Arial"/>
                <w:color w:val="000000"/>
              </w:rPr>
            </w:pPr>
          </w:p>
        </w:tc>
        <w:tc>
          <w:tcPr>
            <w:tcW w:w="3827" w:type="dxa"/>
            <w:tcBorders>
              <w:top w:val="nil"/>
              <w:left w:val="nil"/>
              <w:bottom w:val="single" w:sz="4" w:space="0" w:color="auto"/>
              <w:right w:val="single" w:sz="4" w:space="0" w:color="auto"/>
            </w:tcBorders>
            <w:shd w:val="clear" w:color="auto" w:fill="auto"/>
            <w:noWrap/>
            <w:vAlign w:val="center"/>
            <w:hideMark/>
          </w:tcPr>
          <w:p w14:paraId="6C5DE47D" w14:textId="77777777" w:rsidR="00674975" w:rsidRPr="00DF61E1" w:rsidRDefault="00674975" w:rsidP="00674975">
            <w:pPr>
              <w:jc w:val="center"/>
              <w:rPr>
                <w:rFonts w:ascii="Arial" w:hAnsi="Arial" w:cs="Arial"/>
                <w:color w:val="000000"/>
              </w:rPr>
            </w:pPr>
            <w:r w:rsidRPr="00DF61E1">
              <w:rPr>
                <w:rFonts w:ascii="Arial" w:hAnsi="Arial" w:cs="Arial"/>
                <w:color w:val="000000"/>
              </w:rPr>
              <w:t>NE</w:t>
            </w:r>
          </w:p>
        </w:tc>
        <w:tc>
          <w:tcPr>
            <w:tcW w:w="1559" w:type="dxa"/>
            <w:tcBorders>
              <w:top w:val="nil"/>
              <w:left w:val="nil"/>
              <w:bottom w:val="single" w:sz="4" w:space="0" w:color="auto"/>
              <w:right w:val="single" w:sz="4" w:space="0" w:color="auto"/>
            </w:tcBorders>
            <w:shd w:val="clear" w:color="auto" w:fill="auto"/>
            <w:noWrap/>
            <w:vAlign w:val="center"/>
            <w:hideMark/>
          </w:tcPr>
          <w:p w14:paraId="69137037" w14:textId="77777777" w:rsidR="00674975" w:rsidRPr="00DF61E1" w:rsidRDefault="00674975" w:rsidP="00674975">
            <w:pPr>
              <w:jc w:val="center"/>
              <w:rPr>
                <w:rFonts w:ascii="Arial" w:hAnsi="Arial" w:cs="Arial"/>
                <w:color w:val="000000"/>
              </w:rPr>
            </w:pPr>
            <w:r w:rsidRPr="00DF61E1">
              <w:rPr>
                <w:rFonts w:ascii="Arial" w:hAnsi="Arial" w:cs="Arial"/>
                <w:color w:val="000000"/>
              </w:rPr>
              <w:t>95 (41,1 %)</w:t>
            </w:r>
          </w:p>
        </w:tc>
        <w:tc>
          <w:tcPr>
            <w:tcW w:w="1560" w:type="dxa"/>
            <w:tcBorders>
              <w:top w:val="nil"/>
              <w:left w:val="nil"/>
              <w:bottom w:val="single" w:sz="4" w:space="0" w:color="auto"/>
              <w:right w:val="single" w:sz="4" w:space="0" w:color="auto"/>
            </w:tcBorders>
            <w:shd w:val="clear" w:color="auto" w:fill="auto"/>
            <w:noWrap/>
            <w:vAlign w:val="center"/>
            <w:hideMark/>
          </w:tcPr>
          <w:p w14:paraId="29C4E1E5" w14:textId="77777777" w:rsidR="00674975" w:rsidRPr="00DF61E1" w:rsidRDefault="00674975" w:rsidP="00674975">
            <w:pPr>
              <w:jc w:val="center"/>
              <w:rPr>
                <w:rFonts w:ascii="Arial" w:hAnsi="Arial" w:cs="Arial"/>
                <w:color w:val="000000"/>
              </w:rPr>
            </w:pPr>
            <w:r w:rsidRPr="00DF61E1">
              <w:rPr>
                <w:rFonts w:ascii="Arial" w:hAnsi="Arial" w:cs="Arial"/>
                <w:color w:val="000000"/>
              </w:rPr>
              <w:t>163 (44,4 %)</w:t>
            </w:r>
          </w:p>
        </w:tc>
        <w:tc>
          <w:tcPr>
            <w:tcW w:w="1559" w:type="dxa"/>
            <w:tcBorders>
              <w:top w:val="nil"/>
              <w:left w:val="nil"/>
              <w:bottom w:val="single" w:sz="4" w:space="0" w:color="auto"/>
              <w:right w:val="single" w:sz="4" w:space="0" w:color="auto"/>
            </w:tcBorders>
            <w:shd w:val="clear" w:color="auto" w:fill="auto"/>
            <w:noWrap/>
            <w:vAlign w:val="center"/>
            <w:hideMark/>
          </w:tcPr>
          <w:p w14:paraId="011AE7F6" w14:textId="77777777" w:rsidR="00674975" w:rsidRPr="00DF61E1" w:rsidRDefault="00674975" w:rsidP="00674975">
            <w:pPr>
              <w:jc w:val="center"/>
              <w:rPr>
                <w:rFonts w:ascii="Arial" w:hAnsi="Arial" w:cs="Arial"/>
                <w:color w:val="000000"/>
              </w:rPr>
            </w:pPr>
            <w:r w:rsidRPr="00DF61E1">
              <w:rPr>
                <w:rFonts w:ascii="Arial" w:hAnsi="Arial" w:cs="Arial"/>
                <w:color w:val="000000"/>
              </w:rPr>
              <w:t>258 (43,1 %)</w:t>
            </w:r>
          </w:p>
        </w:tc>
        <w:tc>
          <w:tcPr>
            <w:tcW w:w="1417" w:type="dxa"/>
            <w:vMerge/>
            <w:tcBorders>
              <w:top w:val="nil"/>
              <w:left w:val="single" w:sz="4" w:space="0" w:color="auto"/>
              <w:bottom w:val="single" w:sz="4" w:space="0" w:color="000000"/>
              <w:right w:val="single" w:sz="4" w:space="0" w:color="auto"/>
            </w:tcBorders>
            <w:vAlign w:val="center"/>
            <w:hideMark/>
          </w:tcPr>
          <w:p w14:paraId="00416CB6" w14:textId="77777777" w:rsidR="00674975" w:rsidRPr="00724EDB" w:rsidRDefault="00674975" w:rsidP="00674975">
            <w:pPr>
              <w:jc w:val="center"/>
              <w:rPr>
                <w:rFonts w:ascii="Arial" w:hAnsi="Arial" w:cs="Arial"/>
                <w:color w:val="000000"/>
              </w:rPr>
            </w:pPr>
          </w:p>
        </w:tc>
      </w:tr>
      <w:tr w:rsidR="00674975" w:rsidRPr="00DF61E1" w14:paraId="38D376F5" w14:textId="77777777" w:rsidTr="00680055">
        <w:trPr>
          <w:trHeight w:val="397"/>
        </w:trPr>
        <w:tc>
          <w:tcPr>
            <w:tcW w:w="2547" w:type="dxa"/>
            <w:vMerge w:val="restart"/>
            <w:tcBorders>
              <w:top w:val="nil"/>
              <w:left w:val="single" w:sz="4" w:space="0" w:color="auto"/>
              <w:bottom w:val="single" w:sz="4" w:space="0" w:color="auto"/>
              <w:right w:val="single" w:sz="4" w:space="0" w:color="auto"/>
            </w:tcBorders>
            <w:shd w:val="clear" w:color="auto" w:fill="auto"/>
            <w:vAlign w:val="center"/>
            <w:hideMark/>
          </w:tcPr>
          <w:p w14:paraId="7C45BF0D" w14:textId="77777777" w:rsidR="00674975" w:rsidRPr="00DF61E1" w:rsidRDefault="00674975" w:rsidP="00674975">
            <w:pPr>
              <w:jc w:val="center"/>
              <w:rPr>
                <w:rFonts w:ascii="Arial" w:hAnsi="Arial" w:cs="Arial"/>
                <w:color w:val="000000"/>
              </w:rPr>
            </w:pPr>
            <w:r w:rsidRPr="00DF61E1">
              <w:rPr>
                <w:rFonts w:ascii="Arial" w:hAnsi="Arial" w:cs="Arial"/>
                <w:color w:val="000000"/>
              </w:rPr>
              <w:t>Konzilium specialisty</w:t>
            </w:r>
          </w:p>
        </w:tc>
        <w:tc>
          <w:tcPr>
            <w:tcW w:w="3827" w:type="dxa"/>
            <w:tcBorders>
              <w:top w:val="nil"/>
              <w:left w:val="nil"/>
              <w:bottom w:val="single" w:sz="4" w:space="0" w:color="auto"/>
              <w:right w:val="single" w:sz="4" w:space="0" w:color="auto"/>
            </w:tcBorders>
            <w:shd w:val="clear" w:color="auto" w:fill="auto"/>
            <w:noWrap/>
            <w:vAlign w:val="center"/>
            <w:hideMark/>
          </w:tcPr>
          <w:p w14:paraId="1ABF45E5" w14:textId="77777777" w:rsidR="00674975" w:rsidRPr="00DF61E1" w:rsidRDefault="00674975" w:rsidP="00674975">
            <w:pPr>
              <w:jc w:val="center"/>
              <w:rPr>
                <w:rFonts w:ascii="Arial" w:hAnsi="Arial" w:cs="Arial"/>
                <w:color w:val="000000"/>
              </w:rPr>
            </w:pPr>
            <w:r w:rsidRPr="00DF61E1">
              <w:rPr>
                <w:rFonts w:ascii="Arial" w:hAnsi="Arial" w:cs="Arial"/>
                <w:color w:val="000000"/>
              </w:rPr>
              <w:t>ANO</w:t>
            </w:r>
          </w:p>
        </w:tc>
        <w:tc>
          <w:tcPr>
            <w:tcW w:w="1559" w:type="dxa"/>
            <w:tcBorders>
              <w:top w:val="nil"/>
              <w:left w:val="nil"/>
              <w:bottom w:val="single" w:sz="4" w:space="0" w:color="auto"/>
              <w:right w:val="single" w:sz="4" w:space="0" w:color="auto"/>
            </w:tcBorders>
            <w:shd w:val="clear" w:color="auto" w:fill="auto"/>
            <w:noWrap/>
            <w:vAlign w:val="center"/>
            <w:hideMark/>
          </w:tcPr>
          <w:p w14:paraId="36E91285" w14:textId="77777777" w:rsidR="00674975" w:rsidRPr="00DF61E1" w:rsidRDefault="00674975" w:rsidP="00674975">
            <w:pPr>
              <w:jc w:val="center"/>
              <w:rPr>
                <w:rFonts w:ascii="Arial" w:hAnsi="Arial" w:cs="Arial"/>
                <w:color w:val="000000"/>
              </w:rPr>
            </w:pPr>
            <w:r w:rsidRPr="00DF61E1">
              <w:rPr>
                <w:rFonts w:ascii="Arial" w:hAnsi="Arial" w:cs="Arial"/>
                <w:color w:val="000000"/>
              </w:rPr>
              <w:t>4 (1,7 %)</w:t>
            </w:r>
          </w:p>
        </w:tc>
        <w:tc>
          <w:tcPr>
            <w:tcW w:w="1560" w:type="dxa"/>
            <w:tcBorders>
              <w:top w:val="nil"/>
              <w:left w:val="nil"/>
              <w:bottom w:val="single" w:sz="4" w:space="0" w:color="auto"/>
              <w:right w:val="single" w:sz="4" w:space="0" w:color="auto"/>
            </w:tcBorders>
            <w:shd w:val="clear" w:color="auto" w:fill="auto"/>
            <w:noWrap/>
            <w:vAlign w:val="center"/>
            <w:hideMark/>
          </w:tcPr>
          <w:p w14:paraId="2678583A" w14:textId="77777777" w:rsidR="00674975" w:rsidRPr="00DF61E1" w:rsidRDefault="00674975" w:rsidP="00674975">
            <w:pPr>
              <w:jc w:val="center"/>
              <w:rPr>
                <w:rFonts w:ascii="Arial" w:hAnsi="Arial" w:cs="Arial"/>
                <w:color w:val="000000"/>
              </w:rPr>
            </w:pPr>
            <w:r w:rsidRPr="00DF61E1">
              <w:rPr>
                <w:rFonts w:ascii="Arial" w:hAnsi="Arial" w:cs="Arial"/>
                <w:color w:val="000000"/>
              </w:rPr>
              <w:t>12 (3,3 %)</w:t>
            </w:r>
          </w:p>
        </w:tc>
        <w:tc>
          <w:tcPr>
            <w:tcW w:w="1559" w:type="dxa"/>
            <w:tcBorders>
              <w:top w:val="nil"/>
              <w:left w:val="nil"/>
              <w:bottom w:val="single" w:sz="4" w:space="0" w:color="auto"/>
              <w:right w:val="single" w:sz="4" w:space="0" w:color="auto"/>
            </w:tcBorders>
            <w:shd w:val="clear" w:color="auto" w:fill="auto"/>
            <w:noWrap/>
            <w:vAlign w:val="center"/>
            <w:hideMark/>
          </w:tcPr>
          <w:p w14:paraId="71DD6FBA" w14:textId="77777777" w:rsidR="00674975" w:rsidRPr="00DF61E1" w:rsidRDefault="00674975" w:rsidP="00674975">
            <w:pPr>
              <w:jc w:val="center"/>
              <w:rPr>
                <w:rFonts w:ascii="Arial" w:hAnsi="Arial" w:cs="Arial"/>
                <w:color w:val="000000"/>
              </w:rPr>
            </w:pPr>
            <w:r w:rsidRPr="00DF61E1">
              <w:rPr>
                <w:rFonts w:ascii="Arial" w:hAnsi="Arial" w:cs="Arial"/>
                <w:color w:val="000000"/>
              </w:rPr>
              <w:t>16 (2,7 %)</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714176C" w14:textId="77777777" w:rsidR="00674975" w:rsidRPr="00724EDB" w:rsidRDefault="00674975" w:rsidP="00674975">
            <w:pPr>
              <w:jc w:val="center"/>
              <w:rPr>
                <w:rFonts w:ascii="Arial" w:hAnsi="Arial" w:cs="Arial"/>
                <w:color w:val="000000"/>
              </w:rPr>
            </w:pPr>
            <w:r w:rsidRPr="00724EDB">
              <w:rPr>
                <w:rFonts w:ascii="Arial" w:hAnsi="Arial" w:cs="Arial"/>
                <w:color w:val="000000"/>
              </w:rPr>
              <w:t>0,256</w:t>
            </w:r>
          </w:p>
        </w:tc>
      </w:tr>
      <w:tr w:rsidR="00674975" w:rsidRPr="00DF61E1" w14:paraId="371D3854" w14:textId="77777777" w:rsidTr="00680055">
        <w:trPr>
          <w:trHeight w:val="397"/>
        </w:trPr>
        <w:tc>
          <w:tcPr>
            <w:tcW w:w="2547" w:type="dxa"/>
            <w:vMerge/>
            <w:tcBorders>
              <w:top w:val="nil"/>
              <w:left w:val="single" w:sz="4" w:space="0" w:color="auto"/>
              <w:bottom w:val="single" w:sz="4" w:space="0" w:color="auto"/>
              <w:right w:val="single" w:sz="4" w:space="0" w:color="auto"/>
            </w:tcBorders>
            <w:vAlign w:val="center"/>
            <w:hideMark/>
          </w:tcPr>
          <w:p w14:paraId="23875DFC" w14:textId="77777777" w:rsidR="00674975" w:rsidRPr="00DF61E1" w:rsidRDefault="00674975" w:rsidP="00674975">
            <w:pPr>
              <w:jc w:val="center"/>
              <w:rPr>
                <w:rFonts w:ascii="Arial" w:hAnsi="Arial" w:cs="Arial"/>
                <w:color w:val="000000"/>
              </w:rPr>
            </w:pPr>
          </w:p>
        </w:tc>
        <w:tc>
          <w:tcPr>
            <w:tcW w:w="3827" w:type="dxa"/>
            <w:tcBorders>
              <w:top w:val="nil"/>
              <w:left w:val="nil"/>
              <w:bottom w:val="single" w:sz="4" w:space="0" w:color="auto"/>
              <w:right w:val="single" w:sz="4" w:space="0" w:color="auto"/>
            </w:tcBorders>
            <w:shd w:val="clear" w:color="auto" w:fill="auto"/>
            <w:noWrap/>
            <w:vAlign w:val="center"/>
            <w:hideMark/>
          </w:tcPr>
          <w:p w14:paraId="1B2D633E" w14:textId="77777777" w:rsidR="00674975" w:rsidRPr="00DF61E1" w:rsidRDefault="00674975" w:rsidP="00674975">
            <w:pPr>
              <w:jc w:val="center"/>
              <w:rPr>
                <w:rFonts w:ascii="Arial" w:hAnsi="Arial" w:cs="Arial"/>
                <w:color w:val="000000"/>
              </w:rPr>
            </w:pPr>
            <w:r w:rsidRPr="00DF61E1">
              <w:rPr>
                <w:rFonts w:ascii="Arial" w:hAnsi="Arial" w:cs="Arial"/>
                <w:color w:val="000000"/>
              </w:rPr>
              <w:t>NE</w:t>
            </w:r>
          </w:p>
        </w:tc>
        <w:tc>
          <w:tcPr>
            <w:tcW w:w="1559" w:type="dxa"/>
            <w:tcBorders>
              <w:top w:val="nil"/>
              <w:left w:val="nil"/>
              <w:bottom w:val="single" w:sz="4" w:space="0" w:color="auto"/>
              <w:right w:val="single" w:sz="4" w:space="0" w:color="auto"/>
            </w:tcBorders>
            <w:shd w:val="clear" w:color="auto" w:fill="auto"/>
            <w:noWrap/>
            <w:vAlign w:val="center"/>
            <w:hideMark/>
          </w:tcPr>
          <w:p w14:paraId="3744FB12" w14:textId="77777777" w:rsidR="00674975" w:rsidRPr="00DF61E1" w:rsidRDefault="00674975" w:rsidP="00674975">
            <w:pPr>
              <w:jc w:val="center"/>
              <w:rPr>
                <w:rFonts w:ascii="Arial" w:hAnsi="Arial" w:cs="Arial"/>
                <w:color w:val="000000"/>
              </w:rPr>
            </w:pPr>
            <w:r w:rsidRPr="00DF61E1">
              <w:rPr>
                <w:rFonts w:ascii="Arial" w:hAnsi="Arial" w:cs="Arial"/>
                <w:color w:val="000000"/>
              </w:rPr>
              <w:t>227 (98,3 %)</w:t>
            </w:r>
          </w:p>
        </w:tc>
        <w:tc>
          <w:tcPr>
            <w:tcW w:w="1560" w:type="dxa"/>
            <w:tcBorders>
              <w:top w:val="nil"/>
              <w:left w:val="nil"/>
              <w:bottom w:val="single" w:sz="4" w:space="0" w:color="auto"/>
              <w:right w:val="single" w:sz="4" w:space="0" w:color="auto"/>
            </w:tcBorders>
            <w:shd w:val="clear" w:color="auto" w:fill="auto"/>
            <w:noWrap/>
            <w:vAlign w:val="center"/>
            <w:hideMark/>
          </w:tcPr>
          <w:p w14:paraId="6C60A832" w14:textId="77777777" w:rsidR="00674975" w:rsidRPr="00DF61E1" w:rsidRDefault="00674975" w:rsidP="00674975">
            <w:pPr>
              <w:jc w:val="center"/>
              <w:rPr>
                <w:rFonts w:ascii="Arial" w:hAnsi="Arial" w:cs="Arial"/>
                <w:color w:val="000000"/>
              </w:rPr>
            </w:pPr>
            <w:r w:rsidRPr="00DF61E1">
              <w:rPr>
                <w:rFonts w:ascii="Arial" w:hAnsi="Arial" w:cs="Arial"/>
                <w:color w:val="000000"/>
              </w:rPr>
              <w:t>355 (96,7 %)</w:t>
            </w:r>
          </w:p>
        </w:tc>
        <w:tc>
          <w:tcPr>
            <w:tcW w:w="1559" w:type="dxa"/>
            <w:tcBorders>
              <w:top w:val="nil"/>
              <w:left w:val="nil"/>
              <w:bottom w:val="single" w:sz="4" w:space="0" w:color="auto"/>
              <w:right w:val="single" w:sz="4" w:space="0" w:color="auto"/>
            </w:tcBorders>
            <w:shd w:val="clear" w:color="auto" w:fill="auto"/>
            <w:noWrap/>
            <w:vAlign w:val="center"/>
            <w:hideMark/>
          </w:tcPr>
          <w:p w14:paraId="53216B04" w14:textId="77777777" w:rsidR="00674975" w:rsidRPr="00DF61E1" w:rsidRDefault="00674975" w:rsidP="00674975">
            <w:pPr>
              <w:jc w:val="center"/>
              <w:rPr>
                <w:rFonts w:ascii="Arial" w:hAnsi="Arial" w:cs="Arial"/>
                <w:color w:val="000000"/>
              </w:rPr>
            </w:pPr>
            <w:r w:rsidRPr="00DF61E1">
              <w:rPr>
                <w:rFonts w:ascii="Arial" w:hAnsi="Arial" w:cs="Arial"/>
                <w:color w:val="000000"/>
              </w:rPr>
              <w:t>582 (97,3 %)</w:t>
            </w:r>
          </w:p>
        </w:tc>
        <w:tc>
          <w:tcPr>
            <w:tcW w:w="1417" w:type="dxa"/>
            <w:vMerge/>
            <w:tcBorders>
              <w:top w:val="nil"/>
              <w:left w:val="single" w:sz="4" w:space="0" w:color="auto"/>
              <w:bottom w:val="single" w:sz="4" w:space="0" w:color="000000"/>
              <w:right w:val="single" w:sz="4" w:space="0" w:color="auto"/>
            </w:tcBorders>
            <w:vAlign w:val="center"/>
            <w:hideMark/>
          </w:tcPr>
          <w:p w14:paraId="4413652D" w14:textId="77777777" w:rsidR="00674975" w:rsidRPr="00DF61E1" w:rsidRDefault="00674975" w:rsidP="00674975">
            <w:pPr>
              <w:jc w:val="center"/>
              <w:rPr>
                <w:rFonts w:ascii="Arial" w:hAnsi="Arial" w:cs="Arial"/>
                <w:color w:val="000000"/>
              </w:rPr>
            </w:pPr>
          </w:p>
        </w:tc>
      </w:tr>
    </w:tbl>
    <w:p w14:paraId="3EDC9A75" w14:textId="1954F73A" w:rsidR="006524E0" w:rsidRDefault="00EA3F80" w:rsidP="00EA3F80">
      <w:pPr>
        <w:pStyle w:val="Popisobrzku"/>
      </w:pPr>
      <w:r w:rsidRPr="00DF61E1">
        <w:t xml:space="preserve">Chí-kvadrát test (χ2), koeficient </w:t>
      </w:r>
      <w:proofErr w:type="spellStart"/>
      <w:r w:rsidRPr="00DF61E1">
        <w:t>asociance</w:t>
      </w:r>
      <w:proofErr w:type="spellEnd"/>
      <w:r w:rsidRPr="00DF61E1">
        <w:t xml:space="preserve"> Fí a </w:t>
      </w:r>
      <w:proofErr w:type="spellStart"/>
      <w:r w:rsidRPr="00DF61E1">
        <w:t>Cramerovo</w:t>
      </w:r>
      <w:proofErr w:type="spellEnd"/>
      <w:r w:rsidRPr="00DF61E1">
        <w:t xml:space="preserve"> V </w:t>
      </w:r>
      <w:r>
        <w:t xml:space="preserve">(CV) </w:t>
      </w:r>
      <w:r w:rsidRPr="00DF61E1">
        <w:t>byly použity s hladinou významnosti &lt;0,05.</w:t>
      </w:r>
    </w:p>
    <w:p w14:paraId="5C966B97" w14:textId="7025B3A8" w:rsidR="00483102" w:rsidRDefault="00CD7D68" w:rsidP="006524E0">
      <w:pPr>
        <w:pStyle w:val="Titulektabulky"/>
      </w:pPr>
      <w:bookmarkStart w:id="53" w:name="_Toc195517143"/>
      <w:r>
        <w:lastRenderedPageBreak/>
        <w:t xml:space="preserve">Tab. </w:t>
      </w:r>
      <w:fldSimple w:instr=" SEQ Tab. \* ARABIC ">
        <w:r w:rsidR="009178FA">
          <w:rPr>
            <w:noProof/>
          </w:rPr>
          <w:t>18</w:t>
        </w:r>
      </w:fldSimple>
      <w:r w:rsidRPr="00724EDB">
        <w:t xml:space="preserve">: </w:t>
      </w:r>
      <w:r w:rsidR="003F274C" w:rsidRPr="00724EDB">
        <w:t>Závislost mezi věkem</w:t>
      </w:r>
      <w:r w:rsidR="003F274C" w:rsidRPr="003F274C">
        <w:t xml:space="preserve"> pacienta </w:t>
      </w:r>
      <w:r w:rsidR="006F37D7">
        <w:t xml:space="preserve">ve věku 75 a více let </w:t>
      </w:r>
      <w:r w:rsidR="003F274C" w:rsidRPr="003F274C">
        <w:t>a jeho trajektorií na NUP FN Brno – rok 2023 (řádková %; N=598</w:t>
      </w:r>
      <w:r w:rsidR="00D70508">
        <w:t>; *N=592</w:t>
      </w:r>
      <w:r w:rsidR="003F274C" w:rsidRPr="003F274C">
        <w:t>)</w:t>
      </w:r>
      <w:bookmarkEnd w:id="53"/>
    </w:p>
    <w:tbl>
      <w:tblPr>
        <w:tblW w:w="12611" w:type="dxa"/>
        <w:tblCellMar>
          <w:left w:w="70" w:type="dxa"/>
          <w:right w:w="70" w:type="dxa"/>
        </w:tblCellMar>
        <w:tblLook w:val="04A0" w:firstRow="1" w:lastRow="0" w:firstColumn="1" w:lastColumn="0" w:noHBand="0" w:noVBand="1"/>
      </w:tblPr>
      <w:tblGrid>
        <w:gridCol w:w="1696"/>
        <w:gridCol w:w="1843"/>
        <w:gridCol w:w="1559"/>
        <w:gridCol w:w="1560"/>
        <w:gridCol w:w="1417"/>
        <w:gridCol w:w="1559"/>
        <w:gridCol w:w="1560"/>
        <w:gridCol w:w="1417"/>
      </w:tblGrid>
      <w:tr w:rsidR="00556E50" w:rsidRPr="00556E50" w14:paraId="127FCD9E" w14:textId="77777777" w:rsidTr="002B2F15">
        <w:trPr>
          <w:trHeight w:val="420"/>
          <w:tblHeader/>
        </w:trPr>
        <w:tc>
          <w:tcPr>
            <w:tcW w:w="1696"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EEE4732" w14:textId="77777777" w:rsidR="00556E50" w:rsidRPr="00556E50" w:rsidRDefault="00556E50" w:rsidP="0063320E">
            <w:pPr>
              <w:jc w:val="center"/>
              <w:rPr>
                <w:rFonts w:ascii="Arial" w:hAnsi="Arial" w:cs="Arial"/>
                <w:b/>
                <w:bCs/>
                <w:color w:val="000000"/>
              </w:rPr>
            </w:pPr>
            <w:r w:rsidRPr="00556E50">
              <w:rPr>
                <w:rFonts w:ascii="Arial" w:hAnsi="Arial" w:cs="Arial"/>
                <w:b/>
                <w:bCs/>
                <w:color w:val="000000"/>
              </w:rPr>
              <w:t>Proměnná</w:t>
            </w:r>
          </w:p>
        </w:tc>
        <w:tc>
          <w:tcPr>
            <w:tcW w:w="1843" w:type="dxa"/>
            <w:tcBorders>
              <w:top w:val="single" w:sz="4" w:space="0" w:color="auto"/>
              <w:left w:val="nil"/>
              <w:bottom w:val="single" w:sz="4" w:space="0" w:color="auto"/>
              <w:right w:val="single" w:sz="4" w:space="0" w:color="auto"/>
            </w:tcBorders>
            <w:shd w:val="clear" w:color="000000" w:fill="DDEBF7"/>
            <w:noWrap/>
            <w:vAlign w:val="center"/>
            <w:hideMark/>
          </w:tcPr>
          <w:p w14:paraId="762E362F" w14:textId="77777777" w:rsidR="00556E50" w:rsidRPr="00556E50" w:rsidRDefault="00556E50" w:rsidP="0063320E">
            <w:pPr>
              <w:jc w:val="center"/>
              <w:rPr>
                <w:rFonts w:ascii="Arial" w:hAnsi="Arial" w:cs="Arial"/>
                <w:b/>
                <w:bCs/>
                <w:color w:val="000000"/>
              </w:rPr>
            </w:pPr>
            <w:r w:rsidRPr="00556E50">
              <w:rPr>
                <w:rFonts w:ascii="Arial" w:hAnsi="Arial" w:cs="Arial"/>
                <w:b/>
                <w:bCs/>
                <w:color w:val="000000"/>
              </w:rPr>
              <w:t>Výsledek</w:t>
            </w:r>
          </w:p>
        </w:tc>
        <w:tc>
          <w:tcPr>
            <w:tcW w:w="1559" w:type="dxa"/>
            <w:tcBorders>
              <w:top w:val="single" w:sz="4" w:space="0" w:color="auto"/>
              <w:left w:val="nil"/>
              <w:bottom w:val="single" w:sz="4" w:space="0" w:color="auto"/>
              <w:right w:val="single" w:sz="4" w:space="0" w:color="auto"/>
            </w:tcBorders>
            <w:shd w:val="clear" w:color="000000" w:fill="DDEBF7"/>
            <w:noWrap/>
            <w:vAlign w:val="center"/>
            <w:hideMark/>
          </w:tcPr>
          <w:p w14:paraId="65E18DED" w14:textId="317EACA0" w:rsidR="00556E50" w:rsidRPr="00556E50" w:rsidRDefault="00556E50" w:rsidP="0063320E">
            <w:pPr>
              <w:jc w:val="center"/>
              <w:rPr>
                <w:rFonts w:ascii="Arial" w:hAnsi="Arial" w:cs="Arial"/>
                <w:b/>
                <w:bCs/>
                <w:color w:val="000000"/>
              </w:rPr>
            </w:pPr>
            <w:r w:rsidRPr="00556E50">
              <w:rPr>
                <w:rFonts w:ascii="Arial" w:hAnsi="Arial" w:cs="Arial"/>
                <w:b/>
                <w:bCs/>
                <w:color w:val="000000"/>
              </w:rPr>
              <w:t>75</w:t>
            </w:r>
            <w:r w:rsidR="00586BAD" w:rsidRPr="00586BAD">
              <w:rPr>
                <w:b/>
                <w:bCs/>
              </w:rPr>
              <w:t>–</w:t>
            </w:r>
            <w:r w:rsidRPr="00556E50">
              <w:rPr>
                <w:rFonts w:ascii="Arial" w:hAnsi="Arial" w:cs="Arial"/>
                <w:b/>
                <w:bCs/>
                <w:color w:val="000000"/>
              </w:rPr>
              <w:t>79 let</w:t>
            </w:r>
          </w:p>
        </w:tc>
        <w:tc>
          <w:tcPr>
            <w:tcW w:w="1560" w:type="dxa"/>
            <w:tcBorders>
              <w:top w:val="single" w:sz="4" w:space="0" w:color="auto"/>
              <w:left w:val="nil"/>
              <w:bottom w:val="single" w:sz="4" w:space="0" w:color="auto"/>
              <w:right w:val="single" w:sz="4" w:space="0" w:color="auto"/>
            </w:tcBorders>
            <w:shd w:val="clear" w:color="000000" w:fill="DDEBF7"/>
            <w:noWrap/>
            <w:vAlign w:val="center"/>
            <w:hideMark/>
          </w:tcPr>
          <w:p w14:paraId="190EA9D2" w14:textId="41E94CAD" w:rsidR="00556E50" w:rsidRPr="00556E50" w:rsidRDefault="00556E50" w:rsidP="0063320E">
            <w:pPr>
              <w:jc w:val="center"/>
              <w:rPr>
                <w:rFonts w:ascii="Arial" w:hAnsi="Arial" w:cs="Arial"/>
                <w:b/>
                <w:bCs/>
                <w:color w:val="000000"/>
              </w:rPr>
            </w:pPr>
            <w:r w:rsidRPr="00556E50">
              <w:rPr>
                <w:rFonts w:ascii="Arial" w:hAnsi="Arial" w:cs="Arial"/>
                <w:b/>
                <w:bCs/>
                <w:color w:val="000000"/>
              </w:rPr>
              <w:t>80</w:t>
            </w:r>
            <w:r w:rsidR="00586BAD" w:rsidRPr="00586BAD">
              <w:rPr>
                <w:b/>
                <w:bCs/>
              </w:rPr>
              <w:t>–</w:t>
            </w:r>
            <w:r w:rsidRPr="00556E50">
              <w:rPr>
                <w:rFonts w:ascii="Arial" w:hAnsi="Arial" w:cs="Arial"/>
                <w:b/>
                <w:bCs/>
                <w:color w:val="000000"/>
              </w:rPr>
              <w:t>84 let</w:t>
            </w:r>
          </w:p>
        </w:tc>
        <w:tc>
          <w:tcPr>
            <w:tcW w:w="1417" w:type="dxa"/>
            <w:tcBorders>
              <w:top w:val="single" w:sz="4" w:space="0" w:color="auto"/>
              <w:left w:val="nil"/>
              <w:bottom w:val="single" w:sz="4" w:space="0" w:color="auto"/>
              <w:right w:val="single" w:sz="4" w:space="0" w:color="auto"/>
            </w:tcBorders>
            <w:shd w:val="clear" w:color="000000" w:fill="DDEBF7"/>
            <w:vAlign w:val="center"/>
            <w:hideMark/>
          </w:tcPr>
          <w:p w14:paraId="6295A644" w14:textId="43B2EB11" w:rsidR="00556E50" w:rsidRPr="00556E50" w:rsidRDefault="00556E50" w:rsidP="0063320E">
            <w:pPr>
              <w:jc w:val="center"/>
              <w:rPr>
                <w:rFonts w:ascii="Arial" w:hAnsi="Arial" w:cs="Arial"/>
                <w:b/>
                <w:bCs/>
                <w:color w:val="000000"/>
              </w:rPr>
            </w:pPr>
            <w:r w:rsidRPr="00556E50">
              <w:rPr>
                <w:rFonts w:ascii="Arial" w:hAnsi="Arial" w:cs="Arial"/>
                <w:b/>
                <w:bCs/>
                <w:color w:val="000000"/>
              </w:rPr>
              <w:t>85</w:t>
            </w:r>
            <w:r w:rsidR="00586BAD" w:rsidRPr="00586BAD">
              <w:rPr>
                <w:b/>
                <w:bCs/>
              </w:rPr>
              <w:t>–</w:t>
            </w:r>
            <w:r w:rsidRPr="00556E50">
              <w:rPr>
                <w:rFonts w:ascii="Arial" w:hAnsi="Arial" w:cs="Arial"/>
                <w:b/>
                <w:bCs/>
                <w:color w:val="000000"/>
              </w:rPr>
              <w:t>89 let</w:t>
            </w:r>
          </w:p>
        </w:tc>
        <w:tc>
          <w:tcPr>
            <w:tcW w:w="1559" w:type="dxa"/>
            <w:tcBorders>
              <w:top w:val="single" w:sz="4" w:space="0" w:color="auto"/>
              <w:left w:val="nil"/>
              <w:bottom w:val="single" w:sz="4" w:space="0" w:color="auto"/>
              <w:right w:val="single" w:sz="4" w:space="0" w:color="auto"/>
            </w:tcBorders>
            <w:shd w:val="clear" w:color="000000" w:fill="DDEBF7"/>
            <w:vAlign w:val="center"/>
            <w:hideMark/>
          </w:tcPr>
          <w:p w14:paraId="22187BC3" w14:textId="77777777" w:rsidR="00556E50" w:rsidRPr="00556E50" w:rsidRDefault="00556E50" w:rsidP="0063320E">
            <w:pPr>
              <w:jc w:val="center"/>
              <w:rPr>
                <w:rFonts w:ascii="Arial" w:hAnsi="Arial" w:cs="Arial"/>
                <w:b/>
                <w:bCs/>
                <w:color w:val="000000"/>
              </w:rPr>
            </w:pPr>
            <w:r w:rsidRPr="00556E50">
              <w:rPr>
                <w:rFonts w:ascii="Arial" w:hAnsi="Arial" w:cs="Arial"/>
                <w:b/>
                <w:bCs/>
                <w:color w:val="000000"/>
              </w:rPr>
              <w:t>90 a více let</w:t>
            </w:r>
          </w:p>
        </w:tc>
        <w:tc>
          <w:tcPr>
            <w:tcW w:w="1560" w:type="dxa"/>
            <w:tcBorders>
              <w:top w:val="single" w:sz="4" w:space="0" w:color="auto"/>
              <w:left w:val="nil"/>
              <w:bottom w:val="single" w:sz="4" w:space="0" w:color="auto"/>
              <w:right w:val="single" w:sz="4" w:space="0" w:color="auto"/>
            </w:tcBorders>
            <w:shd w:val="clear" w:color="000000" w:fill="DDEBF7"/>
            <w:noWrap/>
            <w:vAlign w:val="center"/>
            <w:hideMark/>
          </w:tcPr>
          <w:p w14:paraId="2050A163" w14:textId="77777777" w:rsidR="00556E50" w:rsidRPr="00556E50" w:rsidRDefault="00556E50" w:rsidP="0063320E">
            <w:pPr>
              <w:jc w:val="center"/>
              <w:rPr>
                <w:rFonts w:ascii="Arial" w:hAnsi="Arial" w:cs="Arial"/>
                <w:b/>
                <w:bCs/>
                <w:color w:val="000000"/>
              </w:rPr>
            </w:pPr>
            <w:r w:rsidRPr="00556E50">
              <w:rPr>
                <w:rFonts w:ascii="Arial" w:hAnsi="Arial" w:cs="Arial"/>
                <w:b/>
                <w:bCs/>
                <w:color w:val="000000"/>
              </w:rPr>
              <w:t>Celkem</w:t>
            </w:r>
          </w:p>
        </w:tc>
        <w:tc>
          <w:tcPr>
            <w:tcW w:w="1417" w:type="dxa"/>
            <w:tcBorders>
              <w:top w:val="single" w:sz="4" w:space="0" w:color="auto"/>
              <w:left w:val="nil"/>
              <w:bottom w:val="single" w:sz="4" w:space="0" w:color="auto"/>
              <w:right w:val="single" w:sz="4" w:space="0" w:color="auto"/>
            </w:tcBorders>
            <w:shd w:val="clear" w:color="000000" w:fill="DDEBF7"/>
            <w:noWrap/>
            <w:vAlign w:val="center"/>
            <w:hideMark/>
          </w:tcPr>
          <w:p w14:paraId="504C199F" w14:textId="6A555D68" w:rsidR="00556E50" w:rsidRPr="00556E50" w:rsidRDefault="0002004F" w:rsidP="0063320E">
            <w:pPr>
              <w:jc w:val="center"/>
              <w:rPr>
                <w:rFonts w:ascii="Arial" w:hAnsi="Arial" w:cs="Arial"/>
                <w:b/>
                <w:bCs/>
                <w:color w:val="000000"/>
              </w:rPr>
            </w:pPr>
            <w:r>
              <w:rPr>
                <w:rFonts w:ascii="Arial" w:hAnsi="Arial" w:cs="Arial"/>
                <w:b/>
                <w:bCs/>
                <w:color w:val="000000"/>
              </w:rPr>
              <w:t>p</w:t>
            </w:r>
            <w:r w:rsidR="00556E50" w:rsidRPr="00556E50">
              <w:rPr>
                <w:rFonts w:ascii="Arial" w:hAnsi="Arial" w:cs="Arial"/>
                <w:b/>
                <w:bCs/>
                <w:color w:val="000000"/>
              </w:rPr>
              <w:t>-hodnota</w:t>
            </w:r>
          </w:p>
        </w:tc>
      </w:tr>
      <w:tr w:rsidR="00911493" w:rsidRPr="00556E50" w14:paraId="2B757D08" w14:textId="77777777" w:rsidTr="002B2F15">
        <w:trPr>
          <w:trHeight w:val="397"/>
        </w:trPr>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67DC1F5D" w14:textId="5EEC72CD" w:rsidR="006524E0" w:rsidRDefault="00D70508" w:rsidP="0063320E">
            <w:pPr>
              <w:jc w:val="center"/>
              <w:rPr>
                <w:rFonts w:ascii="Arial" w:hAnsi="Arial" w:cs="Arial"/>
                <w:color w:val="000000"/>
              </w:rPr>
            </w:pPr>
            <w:r>
              <w:rPr>
                <w:rFonts w:ascii="Arial" w:hAnsi="Arial" w:cs="Arial"/>
                <w:color w:val="000000"/>
              </w:rPr>
              <w:t>*</w:t>
            </w:r>
            <w:r w:rsidR="00556E50" w:rsidRPr="00556E50">
              <w:rPr>
                <w:rFonts w:ascii="Arial" w:hAnsi="Arial" w:cs="Arial"/>
                <w:color w:val="000000"/>
              </w:rPr>
              <w:t>Způsob</w:t>
            </w:r>
          </w:p>
          <w:p w14:paraId="4BFFEC9B" w14:textId="32601342" w:rsidR="00556E50" w:rsidRPr="00556E50" w:rsidRDefault="00556E50" w:rsidP="0063320E">
            <w:pPr>
              <w:jc w:val="center"/>
              <w:rPr>
                <w:rFonts w:ascii="Arial" w:hAnsi="Arial" w:cs="Arial"/>
                <w:color w:val="000000"/>
              </w:rPr>
            </w:pPr>
            <w:r w:rsidRPr="00556E50">
              <w:rPr>
                <w:rFonts w:ascii="Arial" w:hAnsi="Arial" w:cs="Arial"/>
                <w:color w:val="000000"/>
              </w:rPr>
              <w:t>dopravy k</w:t>
            </w:r>
            <w:r w:rsidR="006524E0">
              <w:rPr>
                <w:rFonts w:ascii="Arial" w:hAnsi="Arial" w:cs="Arial"/>
                <w:color w:val="000000"/>
              </w:rPr>
              <w:t> </w:t>
            </w:r>
            <w:r w:rsidRPr="00556E50">
              <w:rPr>
                <w:rFonts w:ascii="Arial" w:hAnsi="Arial" w:cs="Arial"/>
                <w:color w:val="000000"/>
              </w:rPr>
              <w:t>ošetření</w:t>
            </w:r>
          </w:p>
        </w:tc>
        <w:tc>
          <w:tcPr>
            <w:tcW w:w="1843" w:type="dxa"/>
            <w:tcBorders>
              <w:top w:val="nil"/>
              <w:left w:val="nil"/>
              <w:bottom w:val="single" w:sz="4" w:space="0" w:color="auto"/>
              <w:right w:val="single" w:sz="4" w:space="0" w:color="auto"/>
            </w:tcBorders>
            <w:shd w:val="clear" w:color="auto" w:fill="auto"/>
            <w:noWrap/>
            <w:vAlign w:val="center"/>
            <w:hideMark/>
          </w:tcPr>
          <w:p w14:paraId="3424D7B7" w14:textId="77777777" w:rsidR="00556E50" w:rsidRPr="00556E50" w:rsidRDefault="00556E50" w:rsidP="0063320E">
            <w:pPr>
              <w:jc w:val="center"/>
              <w:rPr>
                <w:rFonts w:ascii="Arial" w:hAnsi="Arial" w:cs="Arial"/>
                <w:color w:val="000000"/>
              </w:rPr>
            </w:pPr>
            <w:r w:rsidRPr="00556E50">
              <w:rPr>
                <w:rFonts w:ascii="Arial" w:hAnsi="Arial" w:cs="Arial"/>
                <w:color w:val="000000"/>
              </w:rPr>
              <w:t>ZZS</w:t>
            </w:r>
          </w:p>
        </w:tc>
        <w:tc>
          <w:tcPr>
            <w:tcW w:w="1559" w:type="dxa"/>
            <w:tcBorders>
              <w:top w:val="nil"/>
              <w:left w:val="nil"/>
              <w:bottom w:val="single" w:sz="4" w:space="0" w:color="auto"/>
              <w:right w:val="single" w:sz="4" w:space="0" w:color="auto"/>
            </w:tcBorders>
            <w:shd w:val="clear" w:color="000000" w:fill="FFFFFF"/>
            <w:noWrap/>
            <w:vAlign w:val="center"/>
            <w:hideMark/>
          </w:tcPr>
          <w:p w14:paraId="0474666B" w14:textId="77777777" w:rsidR="00556E50" w:rsidRPr="00556E50" w:rsidRDefault="00556E50" w:rsidP="0063320E">
            <w:pPr>
              <w:jc w:val="center"/>
              <w:rPr>
                <w:rFonts w:ascii="Arial" w:hAnsi="Arial" w:cs="Arial"/>
                <w:color w:val="000000"/>
              </w:rPr>
            </w:pPr>
            <w:r w:rsidRPr="00556E50">
              <w:rPr>
                <w:rFonts w:ascii="Arial" w:hAnsi="Arial" w:cs="Arial"/>
                <w:color w:val="000000"/>
              </w:rPr>
              <w:t>132 (61,4 %)</w:t>
            </w:r>
          </w:p>
        </w:tc>
        <w:tc>
          <w:tcPr>
            <w:tcW w:w="1560" w:type="dxa"/>
            <w:tcBorders>
              <w:top w:val="nil"/>
              <w:left w:val="nil"/>
              <w:bottom w:val="single" w:sz="4" w:space="0" w:color="auto"/>
              <w:right w:val="single" w:sz="4" w:space="0" w:color="auto"/>
            </w:tcBorders>
            <w:shd w:val="clear" w:color="000000" w:fill="FFFFFF"/>
            <w:noWrap/>
            <w:vAlign w:val="center"/>
            <w:hideMark/>
          </w:tcPr>
          <w:p w14:paraId="0089CFAC" w14:textId="77777777" w:rsidR="00556E50" w:rsidRPr="00556E50" w:rsidRDefault="00556E50" w:rsidP="0063320E">
            <w:pPr>
              <w:jc w:val="center"/>
              <w:rPr>
                <w:rFonts w:ascii="Arial" w:hAnsi="Arial" w:cs="Arial"/>
                <w:color w:val="000000"/>
              </w:rPr>
            </w:pPr>
            <w:r w:rsidRPr="00556E50">
              <w:rPr>
                <w:rFonts w:ascii="Arial" w:hAnsi="Arial" w:cs="Arial"/>
                <w:color w:val="000000"/>
              </w:rPr>
              <w:t>124 (60,8 %)</w:t>
            </w:r>
          </w:p>
        </w:tc>
        <w:tc>
          <w:tcPr>
            <w:tcW w:w="1417" w:type="dxa"/>
            <w:tcBorders>
              <w:top w:val="nil"/>
              <w:left w:val="nil"/>
              <w:bottom w:val="single" w:sz="4" w:space="0" w:color="auto"/>
              <w:right w:val="single" w:sz="4" w:space="0" w:color="auto"/>
            </w:tcBorders>
            <w:shd w:val="clear" w:color="000000" w:fill="FFFFFF"/>
            <w:noWrap/>
            <w:vAlign w:val="center"/>
            <w:hideMark/>
          </w:tcPr>
          <w:p w14:paraId="41F0A0D2" w14:textId="77777777" w:rsidR="00556E50" w:rsidRPr="00556E50" w:rsidRDefault="00556E50" w:rsidP="0063320E">
            <w:pPr>
              <w:jc w:val="center"/>
              <w:rPr>
                <w:rFonts w:ascii="Arial" w:hAnsi="Arial" w:cs="Arial"/>
                <w:color w:val="000000"/>
              </w:rPr>
            </w:pPr>
            <w:r w:rsidRPr="00556E50">
              <w:rPr>
                <w:rFonts w:ascii="Arial" w:hAnsi="Arial" w:cs="Arial"/>
                <w:color w:val="000000"/>
              </w:rPr>
              <w:t>67 (67,0 %)</w:t>
            </w:r>
          </w:p>
        </w:tc>
        <w:tc>
          <w:tcPr>
            <w:tcW w:w="1559" w:type="dxa"/>
            <w:tcBorders>
              <w:top w:val="nil"/>
              <w:left w:val="nil"/>
              <w:bottom w:val="single" w:sz="4" w:space="0" w:color="auto"/>
              <w:right w:val="single" w:sz="4" w:space="0" w:color="auto"/>
            </w:tcBorders>
            <w:shd w:val="clear" w:color="000000" w:fill="FFFFFF"/>
            <w:noWrap/>
            <w:vAlign w:val="center"/>
            <w:hideMark/>
          </w:tcPr>
          <w:p w14:paraId="47567FFE" w14:textId="77777777" w:rsidR="00556E50" w:rsidRPr="00556E50" w:rsidRDefault="00556E50" w:rsidP="0063320E">
            <w:pPr>
              <w:jc w:val="center"/>
              <w:rPr>
                <w:rFonts w:ascii="Arial" w:hAnsi="Arial" w:cs="Arial"/>
                <w:color w:val="000000"/>
              </w:rPr>
            </w:pPr>
            <w:r w:rsidRPr="00556E50">
              <w:rPr>
                <w:rFonts w:ascii="Arial" w:hAnsi="Arial" w:cs="Arial"/>
                <w:color w:val="000000"/>
              </w:rPr>
              <w:t>46 (63,0 %)</w:t>
            </w:r>
          </w:p>
        </w:tc>
        <w:tc>
          <w:tcPr>
            <w:tcW w:w="1560" w:type="dxa"/>
            <w:tcBorders>
              <w:top w:val="nil"/>
              <w:left w:val="nil"/>
              <w:bottom w:val="single" w:sz="4" w:space="0" w:color="auto"/>
              <w:right w:val="single" w:sz="4" w:space="0" w:color="auto"/>
            </w:tcBorders>
            <w:shd w:val="clear" w:color="000000" w:fill="FFFFFF"/>
            <w:noWrap/>
            <w:vAlign w:val="center"/>
            <w:hideMark/>
          </w:tcPr>
          <w:p w14:paraId="5C790133" w14:textId="77777777" w:rsidR="00556E50" w:rsidRPr="00556E50" w:rsidRDefault="00556E50" w:rsidP="0063320E">
            <w:pPr>
              <w:jc w:val="center"/>
              <w:rPr>
                <w:rFonts w:ascii="Arial" w:hAnsi="Arial" w:cs="Arial"/>
                <w:color w:val="000000"/>
              </w:rPr>
            </w:pPr>
            <w:r w:rsidRPr="00556E50">
              <w:rPr>
                <w:rFonts w:ascii="Arial" w:hAnsi="Arial" w:cs="Arial"/>
                <w:color w:val="000000"/>
              </w:rPr>
              <w:t>369 (62,3 %)</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2FD7C6" w14:textId="0658E624" w:rsidR="00556E50" w:rsidRPr="00724EDB" w:rsidRDefault="001425F1" w:rsidP="0063320E">
            <w:pPr>
              <w:jc w:val="center"/>
              <w:rPr>
                <w:rFonts w:ascii="Arial" w:hAnsi="Arial" w:cs="Arial"/>
                <w:color w:val="000000"/>
              </w:rPr>
            </w:pPr>
            <w:r w:rsidRPr="00724EDB">
              <w:rPr>
                <w:rFonts w:ascii="Arial" w:hAnsi="Arial" w:cs="Arial"/>
                <w:color w:val="000000"/>
              </w:rPr>
              <w:t>0,133</w:t>
            </w:r>
          </w:p>
        </w:tc>
      </w:tr>
      <w:tr w:rsidR="00911493" w:rsidRPr="00556E50" w14:paraId="46ADCE19" w14:textId="77777777" w:rsidTr="002B2F15">
        <w:trPr>
          <w:trHeight w:val="397"/>
        </w:trPr>
        <w:tc>
          <w:tcPr>
            <w:tcW w:w="1696" w:type="dxa"/>
            <w:vMerge/>
            <w:tcBorders>
              <w:top w:val="nil"/>
              <w:left w:val="single" w:sz="4" w:space="0" w:color="auto"/>
              <w:bottom w:val="single" w:sz="4" w:space="0" w:color="auto"/>
              <w:right w:val="single" w:sz="4" w:space="0" w:color="auto"/>
            </w:tcBorders>
            <w:vAlign w:val="center"/>
            <w:hideMark/>
          </w:tcPr>
          <w:p w14:paraId="554A54ED" w14:textId="77777777" w:rsidR="00556E50" w:rsidRPr="00556E50" w:rsidRDefault="00556E50" w:rsidP="0063320E">
            <w:pPr>
              <w:jc w:val="center"/>
              <w:rPr>
                <w:rFonts w:ascii="Arial" w:hAnsi="Arial" w:cs="Arial"/>
                <w:color w:val="000000"/>
              </w:rPr>
            </w:pPr>
          </w:p>
        </w:tc>
        <w:tc>
          <w:tcPr>
            <w:tcW w:w="1843" w:type="dxa"/>
            <w:tcBorders>
              <w:top w:val="nil"/>
              <w:left w:val="nil"/>
              <w:bottom w:val="single" w:sz="4" w:space="0" w:color="auto"/>
              <w:right w:val="single" w:sz="4" w:space="0" w:color="auto"/>
            </w:tcBorders>
            <w:shd w:val="clear" w:color="auto" w:fill="auto"/>
            <w:noWrap/>
            <w:vAlign w:val="center"/>
            <w:hideMark/>
          </w:tcPr>
          <w:p w14:paraId="6C446D30" w14:textId="77777777" w:rsidR="00D84A64" w:rsidRDefault="00556E50" w:rsidP="0063320E">
            <w:pPr>
              <w:jc w:val="center"/>
              <w:rPr>
                <w:rFonts w:ascii="Arial" w:hAnsi="Arial" w:cs="Arial"/>
                <w:color w:val="000000"/>
              </w:rPr>
            </w:pPr>
            <w:r w:rsidRPr="00556E50">
              <w:rPr>
                <w:rFonts w:ascii="Arial" w:hAnsi="Arial" w:cs="Arial"/>
                <w:color w:val="000000"/>
              </w:rPr>
              <w:t>Sám(a)/</w:t>
            </w:r>
          </w:p>
          <w:p w14:paraId="1FA8EAB5" w14:textId="1FE34114" w:rsidR="00556E50" w:rsidRPr="00556E50" w:rsidRDefault="00556E50" w:rsidP="0063320E">
            <w:pPr>
              <w:jc w:val="center"/>
              <w:rPr>
                <w:rFonts w:ascii="Arial" w:hAnsi="Arial" w:cs="Arial"/>
                <w:color w:val="000000"/>
              </w:rPr>
            </w:pPr>
            <w:r w:rsidRPr="00556E50">
              <w:rPr>
                <w:rFonts w:ascii="Arial" w:hAnsi="Arial" w:cs="Arial"/>
                <w:color w:val="000000"/>
              </w:rPr>
              <w:t>doprovod</w:t>
            </w:r>
          </w:p>
        </w:tc>
        <w:tc>
          <w:tcPr>
            <w:tcW w:w="1559" w:type="dxa"/>
            <w:tcBorders>
              <w:top w:val="nil"/>
              <w:left w:val="nil"/>
              <w:bottom w:val="single" w:sz="4" w:space="0" w:color="auto"/>
              <w:right w:val="single" w:sz="4" w:space="0" w:color="auto"/>
            </w:tcBorders>
            <w:shd w:val="clear" w:color="000000" w:fill="FFFFFF"/>
            <w:noWrap/>
            <w:vAlign w:val="center"/>
            <w:hideMark/>
          </w:tcPr>
          <w:p w14:paraId="2E40D6BB" w14:textId="77777777" w:rsidR="00556E50" w:rsidRPr="00556E50" w:rsidRDefault="00556E50" w:rsidP="0063320E">
            <w:pPr>
              <w:jc w:val="center"/>
              <w:rPr>
                <w:rFonts w:ascii="Arial" w:hAnsi="Arial" w:cs="Arial"/>
                <w:color w:val="000000"/>
              </w:rPr>
            </w:pPr>
            <w:r w:rsidRPr="00556E50">
              <w:rPr>
                <w:rFonts w:ascii="Arial" w:hAnsi="Arial" w:cs="Arial"/>
                <w:color w:val="000000"/>
              </w:rPr>
              <w:t>47 (21,9 %)</w:t>
            </w:r>
          </w:p>
        </w:tc>
        <w:tc>
          <w:tcPr>
            <w:tcW w:w="1560" w:type="dxa"/>
            <w:tcBorders>
              <w:top w:val="nil"/>
              <w:left w:val="nil"/>
              <w:bottom w:val="single" w:sz="4" w:space="0" w:color="auto"/>
              <w:right w:val="single" w:sz="4" w:space="0" w:color="auto"/>
            </w:tcBorders>
            <w:shd w:val="clear" w:color="000000" w:fill="FFFFFF"/>
            <w:noWrap/>
            <w:vAlign w:val="center"/>
            <w:hideMark/>
          </w:tcPr>
          <w:p w14:paraId="087A8786" w14:textId="77777777" w:rsidR="00556E50" w:rsidRPr="00556E50" w:rsidRDefault="00556E50" w:rsidP="0063320E">
            <w:pPr>
              <w:jc w:val="center"/>
              <w:rPr>
                <w:rFonts w:ascii="Arial" w:hAnsi="Arial" w:cs="Arial"/>
                <w:color w:val="000000"/>
              </w:rPr>
            </w:pPr>
            <w:r w:rsidRPr="00556E50">
              <w:rPr>
                <w:rFonts w:ascii="Arial" w:hAnsi="Arial" w:cs="Arial"/>
                <w:color w:val="000000"/>
              </w:rPr>
              <w:t>37 (18,1 %)</w:t>
            </w:r>
          </w:p>
        </w:tc>
        <w:tc>
          <w:tcPr>
            <w:tcW w:w="1417" w:type="dxa"/>
            <w:tcBorders>
              <w:top w:val="nil"/>
              <w:left w:val="nil"/>
              <w:bottom w:val="single" w:sz="4" w:space="0" w:color="auto"/>
              <w:right w:val="single" w:sz="4" w:space="0" w:color="auto"/>
            </w:tcBorders>
            <w:shd w:val="clear" w:color="000000" w:fill="FFFFFF"/>
            <w:noWrap/>
            <w:vAlign w:val="center"/>
            <w:hideMark/>
          </w:tcPr>
          <w:p w14:paraId="5FADCD02" w14:textId="77777777" w:rsidR="00556E50" w:rsidRPr="00556E50" w:rsidRDefault="00556E50" w:rsidP="0063320E">
            <w:pPr>
              <w:jc w:val="center"/>
              <w:rPr>
                <w:rFonts w:ascii="Arial" w:hAnsi="Arial" w:cs="Arial"/>
                <w:color w:val="000000"/>
              </w:rPr>
            </w:pPr>
            <w:r w:rsidRPr="00556E50">
              <w:rPr>
                <w:rFonts w:ascii="Arial" w:hAnsi="Arial" w:cs="Arial"/>
                <w:color w:val="000000"/>
              </w:rPr>
              <w:t>14 (14,0 %)</w:t>
            </w:r>
          </w:p>
        </w:tc>
        <w:tc>
          <w:tcPr>
            <w:tcW w:w="1559" w:type="dxa"/>
            <w:tcBorders>
              <w:top w:val="nil"/>
              <w:left w:val="nil"/>
              <w:bottom w:val="single" w:sz="4" w:space="0" w:color="auto"/>
              <w:right w:val="single" w:sz="4" w:space="0" w:color="auto"/>
            </w:tcBorders>
            <w:shd w:val="clear" w:color="000000" w:fill="FFFFFF"/>
            <w:noWrap/>
            <w:vAlign w:val="center"/>
            <w:hideMark/>
          </w:tcPr>
          <w:p w14:paraId="299EC1CF" w14:textId="77777777" w:rsidR="00556E50" w:rsidRPr="00556E50" w:rsidRDefault="00556E50" w:rsidP="0063320E">
            <w:pPr>
              <w:jc w:val="center"/>
              <w:rPr>
                <w:rFonts w:ascii="Arial" w:hAnsi="Arial" w:cs="Arial"/>
                <w:color w:val="000000"/>
              </w:rPr>
            </w:pPr>
            <w:r w:rsidRPr="00556E50">
              <w:rPr>
                <w:rFonts w:ascii="Arial" w:hAnsi="Arial" w:cs="Arial"/>
                <w:color w:val="000000"/>
              </w:rPr>
              <w:t>7 (9,6 %)</w:t>
            </w:r>
          </w:p>
        </w:tc>
        <w:tc>
          <w:tcPr>
            <w:tcW w:w="1560" w:type="dxa"/>
            <w:tcBorders>
              <w:top w:val="nil"/>
              <w:left w:val="nil"/>
              <w:bottom w:val="single" w:sz="4" w:space="0" w:color="auto"/>
              <w:right w:val="single" w:sz="4" w:space="0" w:color="auto"/>
            </w:tcBorders>
            <w:shd w:val="clear" w:color="000000" w:fill="FFFFFF"/>
            <w:noWrap/>
            <w:vAlign w:val="center"/>
            <w:hideMark/>
          </w:tcPr>
          <w:p w14:paraId="4A7DF43F" w14:textId="77777777" w:rsidR="00556E50" w:rsidRPr="00556E50" w:rsidRDefault="00556E50" w:rsidP="0063320E">
            <w:pPr>
              <w:jc w:val="center"/>
              <w:rPr>
                <w:rFonts w:ascii="Arial" w:hAnsi="Arial" w:cs="Arial"/>
                <w:color w:val="000000"/>
              </w:rPr>
            </w:pPr>
            <w:r w:rsidRPr="00556E50">
              <w:rPr>
                <w:rFonts w:ascii="Arial" w:hAnsi="Arial" w:cs="Arial"/>
                <w:color w:val="000000"/>
              </w:rPr>
              <w:t>105 (17,7 %)</w:t>
            </w:r>
          </w:p>
        </w:tc>
        <w:tc>
          <w:tcPr>
            <w:tcW w:w="1417" w:type="dxa"/>
            <w:vMerge/>
            <w:tcBorders>
              <w:top w:val="nil"/>
              <w:left w:val="single" w:sz="4" w:space="0" w:color="auto"/>
              <w:bottom w:val="single" w:sz="4" w:space="0" w:color="auto"/>
              <w:right w:val="single" w:sz="4" w:space="0" w:color="auto"/>
            </w:tcBorders>
            <w:vAlign w:val="center"/>
            <w:hideMark/>
          </w:tcPr>
          <w:p w14:paraId="5D0FEAC1" w14:textId="77777777" w:rsidR="00556E50" w:rsidRPr="00724EDB" w:rsidRDefault="00556E50" w:rsidP="0063320E">
            <w:pPr>
              <w:jc w:val="center"/>
              <w:rPr>
                <w:rFonts w:ascii="Arial" w:hAnsi="Arial" w:cs="Arial"/>
                <w:color w:val="000000"/>
              </w:rPr>
            </w:pPr>
          </w:p>
        </w:tc>
      </w:tr>
      <w:tr w:rsidR="00911493" w:rsidRPr="00556E50" w14:paraId="2CDBBFB1" w14:textId="77777777" w:rsidTr="002B2F15">
        <w:trPr>
          <w:trHeight w:val="397"/>
        </w:trPr>
        <w:tc>
          <w:tcPr>
            <w:tcW w:w="1696" w:type="dxa"/>
            <w:vMerge/>
            <w:tcBorders>
              <w:top w:val="nil"/>
              <w:left w:val="single" w:sz="4" w:space="0" w:color="auto"/>
              <w:bottom w:val="single" w:sz="4" w:space="0" w:color="auto"/>
              <w:right w:val="single" w:sz="4" w:space="0" w:color="auto"/>
            </w:tcBorders>
            <w:vAlign w:val="center"/>
            <w:hideMark/>
          </w:tcPr>
          <w:p w14:paraId="14C862B6" w14:textId="77777777" w:rsidR="00556E50" w:rsidRPr="00556E50" w:rsidRDefault="00556E50" w:rsidP="0063320E">
            <w:pPr>
              <w:jc w:val="center"/>
              <w:rPr>
                <w:rFonts w:ascii="Arial" w:hAnsi="Arial" w:cs="Arial"/>
                <w:color w:val="000000"/>
              </w:rPr>
            </w:pPr>
          </w:p>
        </w:tc>
        <w:tc>
          <w:tcPr>
            <w:tcW w:w="1843" w:type="dxa"/>
            <w:tcBorders>
              <w:top w:val="nil"/>
              <w:left w:val="nil"/>
              <w:bottom w:val="single" w:sz="4" w:space="0" w:color="auto"/>
              <w:right w:val="single" w:sz="4" w:space="0" w:color="auto"/>
            </w:tcBorders>
            <w:shd w:val="clear" w:color="auto" w:fill="auto"/>
            <w:noWrap/>
            <w:vAlign w:val="center"/>
            <w:hideMark/>
          </w:tcPr>
          <w:p w14:paraId="667F9A7C" w14:textId="77777777" w:rsidR="00556E50" w:rsidRPr="00556E50" w:rsidRDefault="00556E50" w:rsidP="0063320E">
            <w:pPr>
              <w:jc w:val="center"/>
              <w:rPr>
                <w:rFonts w:ascii="Arial" w:hAnsi="Arial" w:cs="Arial"/>
                <w:color w:val="000000"/>
              </w:rPr>
            </w:pPr>
            <w:r w:rsidRPr="00556E50">
              <w:rPr>
                <w:rFonts w:ascii="Arial" w:hAnsi="Arial" w:cs="Arial"/>
                <w:color w:val="000000"/>
              </w:rPr>
              <w:t>ZDS</w:t>
            </w:r>
          </w:p>
        </w:tc>
        <w:tc>
          <w:tcPr>
            <w:tcW w:w="1559" w:type="dxa"/>
            <w:tcBorders>
              <w:top w:val="nil"/>
              <w:left w:val="nil"/>
              <w:bottom w:val="single" w:sz="4" w:space="0" w:color="auto"/>
              <w:right w:val="single" w:sz="4" w:space="0" w:color="auto"/>
            </w:tcBorders>
            <w:shd w:val="clear" w:color="000000" w:fill="FFFFFF"/>
            <w:noWrap/>
            <w:vAlign w:val="center"/>
            <w:hideMark/>
          </w:tcPr>
          <w:p w14:paraId="485673FE" w14:textId="77777777" w:rsidR="00556E50" w:rsidRPr="00556E50" w:rsidRDefault="00556E50" w:rsidP="0063320E">
            <w:pPr>
              <w:jc w:val="center"/>
              <w:rPr>
                <w:rFonts w:ascii="Arial" w:hAnsi="Arial" w:cs="Arial"/>
                <w:color w:val="000000"/>
              </w:rPr>
            </w:pPr>
            <w:r w:rsidRPr="00556E50">
              <w:rPr>
                <w:rFonts w:ascii="Arial" w:hAnsi="Arial" w:cs="Arial"/>
                <w:color w:val="000000"/>
              </w:rPr>
              <w:t>11 (5,1 %)</w:t>
            </w:r>
          </w:p>
        </w:tc>
        <w:tc>
          <w:tcPr>
            <w:tcW w:w="1560" w:type="dxa"/>
            <w:tcBorders>
              <w:top w:val="nil"/>
              <w:left w:val="nil"/>
              <w:bottom w:val="single" w:sz="4" w:space="0" w:color="auto"/>
              <w:right w:val="single" w:sz="4" w:space="0" w:color="auto"/>
            </w:tcBorders>
            <w:shd w:val="clear" w:color="000000" w:fill="FFFFFF"/>
            <w:noWrap/>
            <w:vAlign w:val="center"/>
            <w:hideMark/>
          </w:tcPr>
          <w:p w14:paraId="37ACB529" w14:textId="77777777" w:rsidR="00556E50" w:rsidRPr="00556E50" w:rsidRDefault="00556E50" w:rsidP="0063320E">
            <w:pPr>
              <w:jc w:val="center"/>
              <w:rPr>
                <w:rFonts w:ascii="Arial" w:hAnsi="Arial" w:cs="Arial"/>
                <w:color w:val="000000"/>
              </w:rPr>
            </w:pPr>
            <w:r w:rsidRPr="00556E50">
              <w:rPr>
                <w:rFonts w:ascii="Arial" w:hAnsi="Arial" w:cs="Arial"/>
                <w:color w:val="000000"/>
              </w:rPr>
              <w:t>13 (6,4 %)</w:t>
            </w:r>
          </w:p>
        </w:tc>
        <w:tc>
          <w:tcPr>
            <w:tcW w:w="1417" w:type="dxa"/>
            <w:tcBorders>
              <w:top w:val="nil"/>
              <w:left w:val="nil"/>
              <w:bottom w:val="single" w:sz="4" w:space="0" w:color="auto"/>
              <w:right w:val="single" w:sz="4" w:space="0" w:color="auto"/>
            </w:tcBorders>
            <w:shd w:val="clear" w:color="000000" w:fill="FFFFFF"/>
            <w:noWrap/>
            <w:vAlign w:val="center"/>
            <w:hideMark/>
          </w:tcPr>
          <w:p w14:paraId="77AEB038" w14:textId="77777777" w:rsidR="00556E50" w:rsidRPr="00556E50" w:rsidRDefault="00556E50" w:rsidP="0063320E">
            <w:pPr>
              <w:jc w:val="center"/>
              <w:rPr>
                <w:rFonts w:ascii="Arial" w:hAnsi="Arial" w:cs="Arial"/>
                <w:color w:val="000000"/>
              </w:rPr>
            </w:pPr>
            <w:r w:rsidRPr="00556E50">
              <w:rPr>
                <w:rFonts w:ascii="Arial" w:hAnsi="Arial" w:cs="Arial"/>
                <w:color w:val="000000"/>
              </w:rPr>
              <w:t>9 (9,0 %)</w:t>
            </w:r>
          </w:p>
        </w:tc>
        <w:tc>
          <w:tcPr>
            <w:tcW w:w="1559" w:type="dxa"/>
            <w:tcBorders>
              <w:top w:val="nil"/>
              <w:left w:val="nil"/>
              <w:bottom w:val="single" w:sz="4" w:space="0" w:color="auto"/>
              <w:right w:val="single" w:sz="4" w:space="0" w:color="auto"/>
            </w:tcBorders>
            <w:shd w:val="clear" w:color="000000" w:fill="FFFFFF"/>
            <w:noWrap/>
            <w:vAlign w:val="center"/>
            <w:hideMark/>
          </w:tcPr>
          <w:p w14:paraId="03AB5BBE" w14:textId="77777777" w:rsidR="00556E50" w:rsidRPr="00556E50" w:rsidRDefault="00556E50" w:rsidP="0063320E">
            <w:pPr>
              <w:jc w:val="center"/>
              <w:rPr>
                <w:rFonts w:ascii="Arial" w:hAnsi="Arial" w:cs="Arial"/>
                <w:color w:val="000000"/>
              </w:rPr>
            </w:pPr>
            <w:r w:rsidRPr="00556E50">
              <w:rPr>
                <w:rFonts w:ascii="Arial" w:hAnsi="Arial" w:cs="Arial"/>
                <w:color w:val="000000"/>
              </w:rPr>
              <w:t>10 (13,7 %)</w:t>
            </w:r>
          </w:p>
        </w:tc>
        <w:tc>
          <w:tcPr>
            <w:tcW w:w="1560" w:type="dxa"/>
            <w:tcBorders>
              <w:top w:val="nil"/>
              <w:left w:val="nil"/>
              <w:bottom w:val="single" w:sz="4" w:space="0" w:color="auto"/>
              <w:right w:val="single" w:sz="4" w:space="0" w:color="auto"/>
            </w:tcBorders>
            <w:shd w:val="clear" w:color="000000" w:fill="FFFFFF"/>
            <w:noWrap/>
            <w:vAlign w:val="center"/>
            <w:hideMark/>
          </w:tcPr>
          <w:p w14:paraId="5FEB4430" w14:textId="77777777" w:rsidR="00556E50" w:rsidRPr="00556E50" w:rsidRDefault="00556E50" w:rsidP="0063320E">
            <w:pPr>
              <w:jc w:val="center"/>
              <w:rPr>
                <w:rFonts w:ascii="Arial" w:hAnsi="Arial" w:cs="Arial"/>
                <w:color w:val="000000"/>
              </w:rPr>
            </w:pPr>
            <w:r w:rsidRPr="00556E50">
              <w:rPr>
                <w:rFonts w:ascii="Arial" w:hAnsi="Arial" w:cs="Arial"/>
                <w:color w:val="000000"/>
              </w:rPr>
              <w:t>43 (7,3 %)</w:t>
            </w:r>
          </w:p>
        </w:tc>
        <w:tc>
          <w:tcPr>
            <w:tcW w:w="1417" w:type="dxa"/>
            <w:vMerge/>
            <w:tcBorders>
              <w:top w:val="nil"/>
              <w:left w:val="single" w:sz="4" w:space="0" w:color="auto"/>
              <w:bottom w:val="single" w:sz="4" w:space="0" w:color="auto"/>
              <w:right w:val="single" w:sz="4" w:space="0" w:color="auto"/>
            </w:tcBorders>
            <w:vAlign w:val="center"/>
            <w:hideMark/>
          </w:tcPr>
          <w:p w14:paraId="5FA3E02B" w14:textId="77777777" w:rsidR="00556E50" w:rsidRPr="00724EDB" w:rsidRDefault="00556E50" w:rsidP="0063320E">
            <w:pPr>
              <w:jc w:val="center"/>
              <w:rPr>
                <w:rFonts w:ascii="Arial" w:hAnsi="Arial" w:cs="Arial"/>
                <w:color w:val="000000"/>
              </w:rPr>
            </w:pPr>
          </w:p>
        </w:tc>
      </w:tr>
      <w:tr w:rsidR="00911493" w:rsidRPr="00556E50" w14:paraId="11988566" w14:textId="77777777" w:rsidTr="002B2F15">
        <w:trPr>
          <w:trHeight w:val="397"/>
        </w:trPr>
        <w:tc>
          <w:tcPr>
            <w:tcW w:w="1696" w:type="dxa"/>
            <w:vMerge/>
            <w:tcBorders>
              <w:top w:val="nil"/>
              <w:left w:val="single" w:sz="4" w:space="0" w:color="auto"/>
              <w:bottom w:val="single" w:sz="4" w:space="0" w:color="auto"/>
              <w:right w:val="single" w:sz="4" w:space="0" w:color="auto"/>
            </w:tcBorders>
            <w:vAlign w:val="center"/>
            <w:hideMark/>
          </w:tcPr>
          <w:p w14:paraId="0555BCA0" w14:textId="77777777" w:rsidR="00556E50" w:rsidRPr="00556E50" w:rsidRDefault="00556E50" w:rsidP="0063320E">
            <w:pPr>
              <w:jc w:val="center"/>
              <w:rPr>
                <w:rFonts w:ascii="Arial" w:hAnsi="Arial" w:cs="Arial"/>
                <w:color w:val="000000"/>
              </w:rPr>
            </w:pPr>
          </w:p>
        </w:tc>
        <w:tc>
          <w:tcPr>
            <w:tcW w:w="1843" w:type="dxa"/>
            <w:tcBorders>
              <w:top w:val="nil"/>
              <w:left w:val="nil"/>
              <w:bottom w:val="single" w:sz="4" w:space="0" w:color="auto"/>
              <w:right w:val="single" w:sz="4" w:space="0" w:color="auto"/>
            </w:tcBorders>
            <w:shd w:val="clear" w:color="auto" w:fill="auto"/>
            <w:noWrap/>
            <w:vAlign w:val="center"/>
            <w:hideMark/>
          </w:tcPr>
          <w:p w14:paraId="47895E38" w14:textId="77777777" w:rsidR="00D84A64" w:rsidRDefault="00556E50" w:rsidP="0063320E">
            <w:pPr>
              <w:jc w:val="center"/>
              <w:rPr>
                <w:rFonts w:ascii="Arial" w:hAnsi="Arial" w:cs="Arial"/>
                <w:color w:val="000000"/>
              </w:rPr>
            </w:pPr>
            <w:r w:rsidRPr="00556E50">
              <w:rPr>
                <w:rFonts w:ascii="Arial" w:hAnsi="Arial" w:cs="Arial"/>
                <w:color w:val="000000"/>
              </w:rPr>
              <w:t>Konzilium/</w:t>
            </w:r>
          </w:p>
          <w:p w14:paraId="4531F900" w14:textId="61AD119B" w:rsidR="00556E50" w:rsidRPr="00556E50" w:rsidRDefault="00556E50" w:rsidP="0063320E">
            <w:pPr>
              <w:jc w:val="center"/>
              <w:rPr>
                <w:rFonts w:ascii="Arial" w:hAnsi="Arial" w:cs="Arial"/>
                <w:color w:val="000000"/>
              </w:rPr>
            </w:pPr>
            <w:r w:rsidRPr="00556E50">
              <w:rPr>
                <w:rFonts w:ascii="Arial" w:hAnsi="Arial" w:cs="Arial"/>
                <w:color w:val="000000"/>
              </w:rPr>
              <w:t>předání</w:t>
            </w:r>
          </w:p>
        </w:tc>
        <w:tc>
          <w:tcPr>
            <w:tcW w:w="1559" w:type="dxa"/>
            <w:tcBorders>
              <w:top w:val="nil"/>
              <w:left w:val="nil"/>
              <w:bottom w:val="single" w:sz="4" w:space="0" w:color="auto"/>
              <w:right w:val="single" w:sz="4" w:space="0" w:color="auto"/>
            </w:tcBorders>
            <w:shd w:val="clear" w:color="000000" w:fill="FFFFFF"/>
            <w:noWrap/>
            <w:vAlign w:val="center"/>
            <w:hideMark/>
          </w:tcPr>
          <w:p w14:paraId="292A5BA7" w14:textId="77777777" w:rsidR="00556E50" w:rsidRPr="00556E50" w:rsidRDefault="00556E50" w:rsidP="0063320E">
            <w:pPr>
              <w:jc w:val="center"/>
              <w:rPr>
                <w:rFonts w:ascii="Arial" w:hAnsi="Arial" w:cs="Arial"/>
                <w:color w:val="000000"/>
              </w:rPr>
            </w:pPr>
            <w:r w:rsidRPr="00556E50">
              <w:rPr>
                <w:rFonts w:ascii="Arial" w:hAnsi="Arial" w:cs="Arial"/>
                <w:color w:val="000000"/>
              </w:rPr>
              <w:t>25 (11,6 %)</w:t>
            </w:r>
          </w:p>
        </w:tc>
        <w:tc>
          <w:tcPr>
            <w:tcW w:w="1560" w:type="dxa"/>
            <w:tcBorders>
              <w:top w:val="nil"/>
              <w:left w:val="nil"/>
              <w:bottom w:val="single" w:sz="4" w:space="0" w:color="auto"/>
              <w:right w:val="single" w:sz="4" w:space="0" w:color="auto"/>
            </w:tcBorders>
            <w:shd w:val="clear" w:color="000000" w:fill="FFFFFF"/>
            <w:noWrap/>
            <w:vAlign w:val="center"/>
            <w:hideMark/>
          </w:tcPr>
          <w:p w14:paraId="590AE9A9" w14:textId="77777777" w:rsidR="00556E50" w:rsidRPr="00556E50" w:rsidRDefault="00556E50" w:rsidP="0063320E">
            <w:pPr>
              <w:jc w:val="center"/>
              <w:rPr>
                <w:rFonts w:ascii="Arial" w:hAnsi="Arial" w:cs="Arial"/>
                <w:color w:val="000000"/>
              </w:rPr>
            </w:pPr>
            <w:r w:rsidRPr="00556E50">
              <w:rPr>
                <w:rFonts w:ascii="Arial" w:hAnsi="Arial" w:cs="Arial"/>
                <w:color w:val="000000"/>
              </w:rPr>
              <w:t>30 (14,7 %)</w:t>
            </w:r>
          </w:p>
        </w:tc>
        <w:tc>
          <w:tcPr>
            <w:tcW w:w="1417" w:type="dxa"/>
            <w:tcBorders>
              <w:top w:val="nil"/>
              <w:left w:val="nil"/>
              <w:bottom w:val="single" w:sz="4" w:space="0" w:color="auto"/>
              <w:right w:val="single" w:sz="4" w:space="0" w:color="auto"/>
            </w:tcBorders>
            <w:shd w:val="clear" w:color="000000" w:fill="FFFFFF"/>
            <w:noWrap/>
            <w:vAlign w:val="center"/>
            <w:hideMark/>
          </w:tcPr>
          <w:p w14:paraId="12B2E9FD" w14:textId="77777777" w:rsidR="00556E50" w:rsidRPr="00556E50" w:rsidRDefault="00556E50" w:rsidP="0063320E">
            <w:pPr>
              <w:jc w:val="center"/>
              <w:rPr>
                <w:rFonts w:ascii="Arial" w:hAnsi="Arial" w:cs="Arial"/>
                <w:color w:val="000000"/>
              </w:rPr>
            </w:pPr>
            <w:r w:rsidRPr="00556E50">
              <w:rPr>
                <w:rFonts w:ascii="Arial" w:hAnsi="Arial" w:cs="Arial"/>
                <w:color w:val="000000"/>
              </w:rPr>
              <w:t>10 (10,0 %)</w:t>
            </w:r>
          </w:p>
        </w:tc>
        <w:tc>
          <w:tcPr>
            <w:tcW w:w="1559" w:type="dxa"/>
            <w:tcBorders>
              <w:top w:val="nil"/>
              <w:left w:val="nil"/>
              <w:bottom w:val="single" w:sz="4" w:space="0" w:color="auto"/>
              <w:right w:val="single" w:sz="4" w:space="0" w:color="auto"/>
            </w:tcBorders>
            <w:shd w:val="clear" w:color="000000" w:fill="FFFFFF"/>
            <w:noWrap/>
            <w:vAlign w:val="center"/>
            <w:hideMark/>
          </w:tcPr>
          <w:p w14:paraId="74C75078" w14:textId="77777777" w:rsidR="00556E50" w:rsidRPr="00556E50" w:rsidRDefault="00556E50" w:rsidP="0063320E">
            <w:pPr>
              <w:jc w:val="center"/>
              <w:rPr>
                <w:rFonts w:ascii="Arial" w:hAnsi="Arial" w:cs="Arial"/>
                <w:color w:val="000000"/>
              </w:rPr>
            </w:pPr>
            <w:r w:rsidRPr="00556E50">
              <w:rPr>
                <w:rFonts w:ascii="Arial" w:hAnsi="Arial" w:cs="Arial"/>
                <w:color w:val="000000"/>
              </w:rPr>
              <w:t>10 (13,7 %)</w:t>
            </w:r>
          </w:p>
        </w:tc>
        <w:tc>
          <w:tcPr>
            <w:tcW w:w="1560" w:type="dxa"/>
            <w:tcBorders>
              <w:top w:val="nil"/>
              <w:left w:val="nil"/>
              <w:bottom w:val="single" w:sz="4" w:space="0" w:color="auto"/>
              <w:right w:val="single" w:sz="4" w:space="0" w:color="auto"/>
            </w:tcBorders>
            <w:shd w:val="clear" w:color="000000" w:fill="FFFFFF"/>
            <w:noWrap/>
            <w:vAlign w:val="center"/>
            <w:hideMark/>
          </w:tcPr>
          <w:p w14:paraId="1D670953" w14:textId="77777777" w:rsidR="00556E50" w:rsidRPr="00556E50" w:rsidRDefault="00556E50" w:rsidP="0063320E">
            <w:pPr>
              <w:jc w:val="center"/>
              <w:rPr>
                <w:rFonts w:ascii="Arial" w:hAnsi="Arial" w:cs="Arial"/>
                <w:color w:val="000000"/>
              </w:rPr>
            </w:pPr>
            <w:r w:rsidRPr="00556E50">
              <w:rPr>
                <w:rFonts w:ascii="Arial" w:hAnsi="Arial" w:cs="Arial"/>
                <w:color w:val="000000"/>
              </w:rPr>
              <w:t>75 (12,7 %)</w:t>
            </w:r>
          </w:p>
        </w:tc>
        <w:tc>
          <w:tcPr>
            <w:tcW w:w="1417" w:type="dxa"/>
            <w:vMerge/>
            <w:tcBorders>
              <w:top w:val="nil"/>
              <w:left w:val="single" w:sz="4" w:space="0" w:color="auto"/>
              <w:bottom w:val="single" w:sz="4" w:space="0" w:color="auto"/>
              <w:right w:val="single" w:sz="4" w:space="0" w:color="auto"/>
            </w:tcBorders>
            <w:vAlign w:val="center"/>
            <w:hideMark/>
          </w:tcPr>
          <w:p w14:paraId="14DD8734" w14:textId="77777777" w:rsidR="00556E50" w:rsidRPr="00724EDB" w:rsidRDefault="00556E50" w:rsidP="0063320E">
            <w:pPr>
              <w:jc w:val="center"/>
              <w:rPr>
                <w:rFonts w:ascii="Arial" w:hAnsi="Arial" w:cs="Arial"/>
                <w:color w:val="000000"/>
              </w:rPr>
            </w:pPr>
          </w:p>
        </w:tc>
      </w:tr>
      <w:tr w:rsidR="00911493" w:rsidRPr="00556E50" w14:paraId="4631E261" w14:textId="77777777" w:rsidTr="002B2F15">
        <w:trPr>
          <w:trHeight w:val="397"/>
        </w:trPr>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79D00722" w14:textId="77777777" w:rsidR="006524E0" w:rsidRDefault="00556E50" w:rsidP="0063320E">
            <w:pPr>
              <w:jc w:val="center"/>
              <w:rPr>
                <w:rFonts w:ascii="Arial" w:hAnsi="Arial" w:cs="Arial"/>
                <w:color w:val="000000"/>
              </w:rPr>
            </w:pPr>
            <w:r w:rsidRPr="00556E50">
              <w:rPr>
                <w:rFonts w:ascii="Arial" w:hAnsi="Arial" w:cs="Arial"/>
                <w:color w:val="000000"/>
              </w:rPr>
              <w:t>Ošetřující</w:t>
            </w:r>
          </w:p>
          <w:p w14:paraId="234253AD" w14:textId="18BF3139" w:rsidR="00556E50" w:rsidRPr="00556E50" w:rsidRDefault="00556E50" w:rsidP="0063320E">
            <w:pPr>
              <w:jc w:val="center"/>
              <w:rPr>
                <w:rFonts w:ascii="Arial" w:hAnsi="Arial" w:cs="Arial"/>
                <w:color w:val="000000"/>
              </w:rPr>
            </w:pPr>
            <w:r w:rsidRPr="00556E50">
              <w:rPr>
                <w:rFonts w:ascii="Arial" w:hAnsi="Arial" w:cs="Arial"/>
                <w:color w:val="000000"/>
              </w:rPr>
              <w:t>ambulance</w:t>
            </w:r>
          </w:p>
        </w:tc>
        <w:tc>
          <w:tcPr>
            <w:tcW w:w="1843" w:type="dxa"/>
            <w:tcBorders>
              <w:top w:val="nil"/>
              <w:left w:val="nil"/>
              <w:bottom w:val="single" w:sz="4" w:space="0" w:color="auto"/>
              <w:right w:val="single" w:sz="4" w:space="0" w:color="auto"/>
            </w:tcBorders>
            <w:shd w:val="clear" w:color="auto" w:fill="auto"/>
            <w:noWrap/>
            <w:vAlign w:val="center"/>
            <w:hideMark/>
          </w:tcPr>
          <w:p w14:paraId="4290E179" w14:textId="77777777" w:rsidR="00556E50" w:rsidRPr="00556E50" w:rsidRDefault="00556E50" w:rsidP="0063320E">
            <w:pPr>
              <w:jc w:val="center"/>
              <w:rPr>
                <w:rFonts w:ascii="Arial" w:hAnsi="Arial" w:cs="Arial"/>
                <w:color w:val="000000"/>
              </w:rPr>
            </w:pPr>
            <w:r w:rsidRPr="00556E50">
              <w:rPr>
                <w:rFonts w:ascii="Arial" w:hAnsi="Arial" w:cs="Arial"/>
                <w:color w:val="000000"/>
              </w:rPr>
              <w:t>Interní</w:t>
            </w:r>
          </w:p>
        </w:tc>
        <w:tc>
          <w:tcPr>
            <w:tcW w:w="1559" w:type="dxa"/>
            <w:tcBorders>
              <w:top w:val="nil"/>
              <w:left w:val="nil"/>
              <w:bottom w:val="single" w:sz="4" w:space="0" w:color="auto"/>
              <w:right w:val="single" w:sz="4" w:space="0" w:color="auto"/>
            </w:tcBorders>
            <w:shd w:val="clear" w:color="000000" w:fill="FFFFFF"/>
            <w:noWrap/>
            <w:vAlign w:val="center"/>
            <w:hideMark/>
          </w:tcPr>
          <w:p w14:paraId="4B26BFB0" w14:textId="77777777" w:rsidR="00556E50" w:rsidRPr="00556E50" w:rsidRDefault="00556E50" w:rsidP="0063320E">
            <w:pPr>
              <w:jc w:val="center"/>
              <w:rPr>
                <w:rFonts w:ascii="Arial" w:hAnsi="Arial" w:cs="Arial"/>
                <w:color w:val="000000"/>
              </w:rPr>
            </w:pPr>
            <w:r w:rsidRPr="00556E50">
              <w:rPr>
                <w:rFonts w:ascii="Arial" w:hAnsi="Arial" w:cs="Arial"/>
                <w:color w:val="000000"/>
              </w:rPr>
              <w:t>171 (78,8 %)</w:t>
            </w:r>
          </w:p>
        </w:tc>
        <w:tc>
          <w:tcPr>
            <w:tcW w:w="1560" w:type="dxa"/>
            <w:tcBorders>
              <w:top w:val="nil"/>
              <w:left w:val="nil"/>
              <w:bottom w:val="single" w:sz="4" w:space="0" w:color="auto"/>
              <w:right w:val="single" w:sz="4" w:space="0" w:color="auto"/>
            </w:tcBorders>
            <w:shd w:val="clear" w:color="000000" w:fill="FFFFFF"/>
            <w:noWrap/>
            <w:vAlign w:val="center"/>
            <w:hideMark/>
          </w:tcPr>
          <w:p w14:paraId="2894AFE3" w14:textId="77777777" w:rsidR="00556E50" w:rsidRPr="00556E50" w:rsidRDefault="00556E50" w:rsidP="0063320E">
            <w:pPr>
              <w:jc w:val="center"/>
              <w:rPr>
                <w:rFonts w:ascii="Arial" w:hAnsi="Arial" w:cs="Arial"/>
                <w:color w:val="000000"/>
              </w:rPr>
            </w:pPr>
            <w:r w:rsidRPr="00556E50">
              <w:rPr>
                <w:rFonts w:ascii="Arial" w:hAnsi="Arial" w:cs="Arial"/>
                <w:color w:val="000000"/>
              </w:rPr>
              <w:t>153 (73,9 %)</w:t>
            </w:r>
          </w:p>
        </w:tc>
        <w:tc>
          <w:tcPr>
            <w:tcW w:w="1417" w:type="dxa"/>
            <w:tcBorders>
              <w:top w:val="nil"/>
              <w:left w:val="nil"/>
              <w:bottom w:val="single" w:sz="4" w:space="0" w:color="auto"/>
              <w:right w:val="single" w:sz="4" w:space="0" w:color="auto"/>
            </w:tcBorders>
            <w:shd w:val="clear" w:color="000000" w:fill="FFFFFF"/>
            <w:noWrap/>
            <w:vAlign w:val="center"/>
            <w:hideMark/>
          </w:tcPr>
          <w:p w14:paraId="6B2C4EFC" w14:textId="77777777" w:rsidR="00556E50" w:rsidRPr="00556E50" w:rsidRDefault="00556E50" w:rsidP="0063320E">
            <w:pPr>
              <w:jc w:val="center"/>
              <w:rPr>
                <w:rFonts w:ascii="Arial" w:hAnsi="Arial" w:cs="Arial"/>
                <w:color w:val="000000"/>
              </w:rPr>
            </w:pPr>
            <w:r w:rsidRPr="00556E50">
              <w:rPr>
                <w:rFonts w:ascii="Arial" w:hAnsi="Arial" w:cs="Arial"/>
                <w:color w:val="000000"/>
              </w:rPr>
              <w:t>85 (84,2 %)</w:t>
            </w:r>
          </w:p>
        </w:tc>
        <w:tc>
          <w:tcPr>
            <w:tcW w:w="1559" w:type="dxa"/>
            <w:tcBorders>
              <w:top w:val="nil"/>
              <w:left w:val="nil"/>
              <w:bottom w:val="single" w:sz="4" w:space="0" w:color="auto"/>
              <w:right w:val="single" w:sz="4" w:space="0" w:color="auto"/>
            </w:tcBorders>
            <w:shd w:val="clear" w:color="000000" w:fill="FFFFFF"/>
            <w:noWrap/>
            <w:vAlign w:val="center"/>
            <w:hideMark/>
          </w:tcPr>
          <w:p w14:paraId="1DDF0A3E" w14:textId="77777777" w:rsidR="00556E50" w:rsidRPr="00556E50" w:rsidRDefault="00556E50" w:rsidP="0063320E">
            <w:pPr>
              <w:jc w:val="center"/>
              <w:rPr>
                <w:rFonts w:ascii="Arial" w:hAnsi="Arial" w:cs="Arial"/>
                <w:color w:val="000000"/>
              </w:rPr>
            </w:pPr>
            <w:r w:rsidRPr="00556E50">
              <w:rPr>
                <w:rFonts w:ascii="Arial" w:hAnsi="Arial" w:cs="Arial"/>
                <w:color w:val="000000"/>
              </w:rPr>
              <w:t>61 (83,6 %)</w:t>
            </w:r>
          </w:p>
        </w:tc>
        <w:tc>
          <w:tcPr>
            <w:tcW w:w="1560" w:type="dxa"/>
            <w:tcBorders>
              <w:top w:val="nil"/>
              <w:left w:val="nil"/>
              <w:bottom w:val="single" w:sz="4" w:space="0" w:color="auto"/>
              <w:right w:val="single" w:sz="4" w:space="0" w:color="auto"/>
            </w:tcBorders>
            <w:shd w:val="clear" w:color="000000" w:fill="FFFFFF"/>
            <w:noWrap/>
            <w:vAlign w:val="center"/>
            <w:hideMark/>
          </w:tcPr>
          <w:p w14:paraId="1098A732" w14:textId="77777777" w:rsidR="00556E50" w:rsidRPr="00556E50" w:rsidRDefault="00556E50" w:rsidP="0063320E">
            <w:pPr>
              <w:jc w:val="center"/>
              <w:rPr>
                <w:rFonts w:ascii="Arial" w:hAnsi="Arial" w:cs="Arial"/>
                <w:color w:val="000000"/>
              </w:rPr>
            </w:pPr>
            <w:r w:rsidRPr="00556E50">
              <w:rPr>
                <w:rFonts w:ascii="Arial" w:hAnsi="Arial" w:cs="Arial"/>
                <w:color w:val="000000"/>
              </w:rPr>
              <w:t>470 (78,6 %)</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85CA5F" w14:textId="77777777" w:rsidR="00556E50" w:rsidRPr="00724EDB" w:rsidRDefault="00911493" w:rsidP="0063320E">
            <w:pPr>
              <w:jc w:val="center"/>
              <w:rPr>
                <w:rFonts w:ascii="Arial" w:hAnsi="Arial" w:cs="Arial"/>
                <w:b/>
                <w:bCs/>
                <w:color w:val="000000"/>
              </w:rPr>
            </w:pPr>
            <w:r w:rsidRPr="00724EDB">
              <w:rPr>
                <w:rFonts w:ascii="Arial" w:hAnsi="Arial" w:cs="Arial"/>
                <w:b/>
                <w:bCs/>
                <w:color w:val="000000"/>
              </w:rPr>
              <w:t>0,</w:t>
            </w:r>
            <w:r w:rsidR="00943553" w:rsidRPr="00724EDB">
              <w:rPr>
                <w:rFonts w:ascii="Arial" w:hAnsi="Arial" w:cs="Arial"/>
                <w:b/>
                <w:bCs/>
                <w:color w:val="000000"/>
              </w:rPr>
              <w:t>007</w:t>
            </w:r>
          </w:p>
          <w:p w14:paraId="4B52E542" w14:textId="751D354F" w:rsidR="00943553" w:rsidRPr="00724EDB" w:rsidRDefault="00943553" w:rsidP="0063320E">
            <w:pPr>
              <w:jc w:val="center"/>
              <w:rPr>
                <w:rFonts w:ascii="Arial" w:hAnsi="Arial" w:cs="Arial"/>
                <w:color w:val="000000"/>
              </w:rPr>
            </w:pPr>
            <w:r w:rsidRPr="00724EDB">
              <w:rPr>
                <w:rFonts w:ascii="Arial" w:hAnsi="Arial" w:cs="Arial"/>
                <w:b/>
                <w:bCs/>
                <w:color w:val="000000"/>
              </w:rPr>
              <w:t>CV=</w:t>
            </w:r>
            <w:r w:rsidR="005824D3" w:rsidRPr="00724EDB">
              <w:rPr>
                <w:rFonts w:ascii="Arial" w:hAnsi="Arial" w:cs="Arial"/>
                <w:b/>
                <w:bCs/>
                <w:color w:val="000000"/>
              </w:rPr>
              <w:t>0,</w:t>
            </w:r>
            <w:r w:rsidRPr="00724EDB">
              <w:rPr>
                <w:rFonts w:ascii="Arial" w:hAnsi="Arial" w:cs="Arial"/>
                <w:b/>
                <w:bCs/>
                <w:color w:val="000000"/>
              </w:rPr>
              <w:t>122</w:t>
            </w:r>
          </w:p>
        </w:tc>
      </w:tr>
      <w:tr w:rsidR="00911493" w:rsidRPr="00556E50" w14:paraId="71AF81DD" w14:textId="77777777" w:rsidTr="002B2F15">
        <w:trPr>
          <w:trHeight w:val="397"/>
        </w:trPr>
        <w:tc>
          <w:tcPr>
            <w:tcW w:w="1696" w:type="dxa"/>
            <w:vMerge/>
            <w:tcBorders>
              <w:top w:val="nil"/>
              <w:left w:val="single" w:sz="4" w:space="0" w:color="auto"/>
              <w:bottom w:val="single" w:sz="4" w:space="0" w:color="auto"/>
              <w:right w:val="single" w:sz="4" w:space="0" w:color="auto"/>
            </w:tcBorders>
            <w:vAlign w:val="center"/>
            <w:hideMark/>
          </w:tcPr>
          <w:p w14:paraId="02C66F12" w14:textId="77777777" w:rsidR="00556E50" w:rsidRPr="00556E50" w:rsidRDefault="00556E50" w:rsidP="0063320E">
            <w:pPr>
              <w:jc w:val="center"/>
              <w:rPr>
                <w:rFonts w:ascii="Arial" w:hAnsi="Arial" w:cs="Arial"/>
                <w:color w:val="000000"/>
              </w:rPr>
            </w:pPr>
          </w:p>
        </w:tc>
        <w:tc>
          <w:tcPr>
            <w:tcW w:w="1843" w:type="dxa"/>
            <w:tcBorders>
              <w:top w:val="nil"/>
              <w:left w:val="nil"/>
              <w:bottom w:val="single" w:sz="4" w:space="0" w:color="auto"/>
              <w:right w:val="single" w:sz="4" w:space="0" w:color="auto"/>
            </w:tcBorders>
            <w:shd w:val="clear" w:color="auto" w:fill="auto"/>
            <w:noWrap/>
            <w:vAlign w:val="center"/>
            <w:hideMark/>
          </w:tcPr>
          <w:p w14:paraId="119FB220" w14:textId="77777777" w:rsidR="00556E50" w:rsidRPr="00556E50" w:rsidRDefault="00556E50" w:rsidP="0063320E">
            <w:pPr>
              <w:jc w:val="center"/>
              <w:rPr>
                <w:rFonts w:ascii="Arial" w:hAnsi="Arial" w:cs="Arial"/>
                <w:color w:val="000000"/>
              </w:rPr>
            </w:pPr>
            <w:r w:rsidRPr="00556E50">
              <w:rPr>
                <w:rFonts w:ascii="Arial" w:hAnsi="Arial" w:cs="Arial"/>
                <w:color w:val="000000"/>
              </w:rPr>
              <w:t>Neurologická</w:t>
            </w:r>
          </w:p>
        </w:tc>
        <w:tc>
          <w:tcPr>
            <w:tcW w:w="1559" w:type="dxa"/>
            <w:tcBorders>
              <w:top w:val="nil"/>
              <w:left w:val="nil"/>
              <w:bottom w:val="single" w:sz="4" w:space="0" w:color="auto"/>
              <w:right w:val="single" w:sz="4" w:space="0" w:color="auto"/>
            </w:tcBorders>
            <w:shd w:val="clear" w:color="000000" w:fill="FFFFFF"/>
            <w:noWrap/>
            <w:vAlign w:val="center"/>
            <w:hideMark/>
          </w:tcPr>
          <w:p w14:paraId="36812C07" w14:textId="77777777" w:rsidR="00556E50" w:rsidRPr="00556E50" w:rsidRDefault="00556E50" w:rsidP="0063320E">
            <w:pPr>
              <w:jc w:val="center"/>
              <w:rPr>
                <w:rFonts w:ascii="Arial" w:hAnsi="Arial" w:cs="Arial"/>
                <w:color w:val="000000"/>
              </w:rPr>
            </w:pPr>
            <w:r w:rsidRPr="00556E50">
              <w:rPr>
                <w:rFonts w:ascii="Arial" w:hAnsi="Arial" w:cs="Arial"/>
                <w:color w:val="000000"/>
              </w:rPr>
              <w:t>36 (16,6 %)</w:t>
            </w:r>
          </w:p>
        </w:tc>
        <w:tc>
          <w:tcPr>
            <w:tcW w:w="1560" w:type="dxa"/>
            <w:tcBorders>
              <w:top w:val="nil"/>
              <w:left w:val="nil"/>
              <w:bottom w:val="single" w:sz="4" w:space="0" w:color="auto"/>
              <w:right w:val="single" w:sz="4" w:space="0" w:color="auto"/>
            </w:tcBorders>
            <w:shd w:val="clear" w:color="000000" w:fill="FFFFFF"/>
            <w:noWrap/>
            <w:vAlign w:val="center"/>
            <w:hideMark/>
          </w:tcPr>
          <w:p w14:paraId="1482CE14" w14:textId="77777777" w:rsidR="00556E50" w:rsidRPr="00556E50" w:rsidRDefault="00556E50" w:rsidP="0063320E">
            <w:pPr>
              <w:jc w:val="center"/>
              <w:rPr>
                <w:rFonts w:ascii="Arial" w:hAnsi="Arial" w:cs="Arial"/>
                <w:color w:val="000000"/>
              </w:rPr>
            </w:pPr>
            <w:r w:rsidRPr="00556E50">
              <w:rPr>
                <w:rFonts w:ascii="Arial" w:hAnsi="Arial" w:cs="Arial"/>
                <w:color w:val="000000"/>
              </w:rPr>
              <w:t>45 (21,7 %)</w:t>
            </w:r>
          </w:p>
        </w:tc>
        <w:tc>
          <w:tcPr>
            <w:tcW w:w="1417" w:type="dxa"/>
            <w:tcBorders>
              <w:top w:val="nil"/>
              <w:left w:val="nil"/>
              <w:bottom w:val="single" w:sz="4" w:space="0" w:color="auto"/>
              <w:right w:val="single" w:sz="4" w:space="0" w:color="auto"/>
            </w:tcBorders>
            <w:shd w:val="clear" w:color="000000" w:fill="FFFFFF"/>
            <w:noWrap/>
            <w:vAlign w:val="center"/>
            <w:hideMark/>
          </w:tcPr>
          <w:p w14:paraId="79289E51" w14:textId="77777777" w:rsidR="00556E50" w:rsidRPr="00556E50" w:rsidRDefault="00556E50" w:rsidP="0063320E">
            <w:pPr>
              <w:jc w:val="center"/>
              <w:rPr>
                <w:rFonts w:ascii="Arial" w:hAnsi="Arial" w:cs="Arial"/>
                <w:color w:val="000000"/>
              </w:rPr>
            </w:pPr>
            <w:r w:rsidRPr="00556E50">
              <w:rPr>
                <w:rFonts w:ascii="Arial" w:hAnsi="Arial" w:cs="Arial"/>
                <w:color w:val="000000"/>
              </w:rPr>
              <w:t>14 (13,9 %)</w:t>
            </w:r>
          </w:p>
        </w:tc>
        <w:tc>
          <w:tcPr>
            <w:tcW w:w="1559" w:type="dxa"/>
            <w:tcBorders>
              <w:top w:val="nil"/>
              <w:left w:val="nil"/>
              <w:bottom w:val="single" w:sz="4" w:space="0" w:color="auto"/>
              <w:right w:val="single" w:sz="4" w:space="0" w:color="auto"/>
            </w:tcBorders>
            <w:shd w:val="clear" w:color="000000" w:fill="FFFFFF"/>
            <w:noWrap/>
            <w:vAlign w:val="center"/>
            <w:hideMark/>
          </w:tcPr>
          <w:p w14:paraId="264E8D74" w14:textId="77777777" w:rsidR="00556E50" w:rsidRPr="00556E50" w:rsidRDefault="00556E50" w:rsidP="0063320E">
            <w:pPr>
              <w:jc w:val="center"/>
              <w:rPr>
                <w:rFonts w:ascii="Arial" w:hAnsi="Arial" w:cs="Arial"/>
                <w:color w:val="000000"/>
              </w:rPr>
            </w:pPr>
            <w:r w:rsidRPr="00556E50">
              <w:rPr>
                <w:rFonts w:ascii="Arial" w:hAnsi="Arial" w:cs="Arial"/>
                <w:color w:val="000000"/>
              </w:rPr>
              <w:t>4 (5,5 %)</w:t>
            </w:r>
          </w:p>
        </w:tc>
        <w:tc>
          <w:tcPr>
            <w:tcW w:w="1560" w:type="dxa"/>
            <w:tcBorders>
              <w:top w:val="nil"/>
              <w:left w:val="nil"/>
              <w:bottom w:val="single" w:sz="4" w:space="0" w:color="auto"/>
              <w:right w:val="single" w:sz="4" w:space="0" w:color="auto"/>
            </w:tcBorders>
            <w:shd w:val="clear" w:color="000000" w:fill="FFFFFF"/>
            <w:noWrap/>
            <w:vAlign w:val="center"/>
            <w:hideMark/>
          </w:tcPr>
          <w:p w14:paraId="2E9550B7" w14:textId="77777777" w:rsidR="00556E50" w:rsidRPr="00556E50" w:rsidRDefault="00556E50" w:rsidP="0063320E">
            <w:pPr>
              <w:jc w:val="center"/>
              <w:rPr>
                <w:rFonts w:ascii="Arial" w:hAnsi="Arial" w:cs="Arial"/>
                <w:color w:val="000000"/>
              </w:rPr>
            </w:pPr>
            <w:r w:rsidRPr="00556E50">
              <w:rPr>
                <w:rFonts w:ascii="Arial" w:hAnsi="Arial" w:cs="Arial"/>
                <w:color w:val="000000"/>
              </w:rPr>
              <w:t>99 (16,6 %)</w:t>
            </w:r>
          </w:p>
        </w:tc>
        <w:tc>
          <w:tcPr>
            <w:tcW w:w="1417" w:type="dxa"/>
            <w:vMerge/>
            <w:tcBorders>
              <w:top w:val="nil"/>
              <w:left w:val="single" w:sz="4" w:space="0" w:color="auto"/>
              <w:bottom w:val="single" w:sz="4" w:space="0" w:color="auto"/>
              <w:right w:val="single" w:sz="4" w:space="0" w:color="auto"/>
            </w:tcBorders>
            <w:vAlign w:val="center"/>
            <w:hideMark/>
          </w:tcPr>
          <w:p w14:paraId="31465173" w14:textId="77777777" w:rsidR="00556E50" w:rsidRPr="00724EDB" w:rsidRDefault="00556E50" w:rsidP="0063320E">
            <w:pPr>
              <w:jc w:val="center"/>
              <w:rPr>
                <w:rFonts w:ascii="Arial" w:hAnsi="Arial" w:cs="Arial"/>
                <w:color w:val="000000"/>
              </w:rPr>
            </w:pPr>
          </w:p>
        </w:tc>
      </w:tr>
      <w:tr w:rsidR="00911493" w:rsidRPr="00556E50" w14:paraId="3DDF7B70" w14:textId="77777777" w:rsidTr="002B2F15">
        <w:trPr>
          <w:trHeight w:val="397"/>
        </w:trPr>
        <w:tc>
          <w:tcPr>
            <w:tcW w:w="1696" w:type="dxa"/>
            <w:vMerge/>
            <w:tcBorders>
              <w:top w:val="nil"/>
              <w:left w:val="single" w:sz="4" w:space="0" w:color="auto"/>
              <w:bottom w:val="single" w:sz="4" w:space="0" w:color="auto"/>
              <w:right w:val="single" w:sz="4" w:space="0" w:color="auto"/>
            </w:tcBorders>
            <w:vAlign w:val="center"/>
            <w:hideMark/>
          </w:tcPr>
          <w:p w14:paraId="7515FA5C" w14:textId="77777777" w:rsidR="00556E50" w:rsidRPr="00556E50" w:rsidRDefault="00556E50" w:rsidP="0063320E">
            <w:pPr>
              <w:jc w:val="center"/>
              <w:rPr>
                <w:rFonts w:ascii="Arial" w:hAnsi="Arial" w:cs="Arial"/>
                <w:color w:val="000000"/>
              </w:rPr>
            </w:pPr>
          </w:p>
        </w:tc>
        <w:tc>
          <w:tcPr>
            <w:tcW w:w="1843" w:type="dxa"/>
            <w:tcBorders>
              <w:top w:val="nil"/>
              <w:left w:val="nil"/>
              <w:bottom w:val="single" w:sz="4" w:space="0" w:color="auto"/>
              <w:right w:val="single" w:sz="4" w:space="0" w:color="auto"/>
            </w:tcBorders>
            <w:shd w:val="clear" w:color="auto" w:fill="auto"/>
            <w:noWrap/>
            <w:vAlign w:val="center"/>
            <w:hideMark/>
          </w:tcPr>
          <w:p w14:paraId="216AD5F0" w14:textId="77777777" w:rsidR="00D84A64" w:rsidRDefault="00556E50" w:rsidP="0063320E">
            <w:pPr>
              <w:jc w:val="center"/>
              <w:rPr>
                <w:rFonts w:ascii="Arial" w:hAnsi="Arial" w:cs="Arial"/>
                <w:color w:val="000000"/>
              </w:rPr>
            </w:pPr>
            <w:r w:rsidRPr="00556E50">
              <w:rPr>
                <w:rFonts w:ascii="Arial" w:hAnsi="Arial" w:cs="Arial"/>
                <w:color w:val="000000"/>
              </w:rPr>
              <w:t xml:space="preserve">Současně </w:t>
            </w:r>
          </w:p>
          <w:p w14:paraId="6E168F26" w14:textId="77777777" w:rsidR="00D84A64" w:rsidRDefault="00556E50" w:rsidP="0063320E">
            <w:pPr>
              <w:jc w:val="center"/>
              <w:rPr>
                <w:rFonts w:ascii="Arial" w:hAnsi="Arial" w:cs="Arial"/>
                <w:color w:val="000000"/>
              </w:rPr>
            </w:pPr>
            <w:r w:rsidRPr="00556E50">
              <w:rPr>
                <w:rFonts w:ascii="Arial" w:hAnsi="Arial" w:cs="Arial"/>
                <w:color w:val="000000"/>
              </w:rPr>
              <w:t xml:space="preserve">interní </w:t>
            </w:r>
          </w:p>
          <w:p w14:paraId="67329E05" w14:textId="10281E14" w:rsidR="00556E50" w:rsidRPr="00556E50" w:rsidRDefault="00556E50" w:rsidP="0063320E">
            <w:pPr>
              <w:jc w:val="center"/>
              <w:rPr>
                <w:rFonts w:ascii="Arial" w:hAnsi="Arial" w:cs="Arial"/>
                <w:color w:val="000000"/>
              </w:rPr>
            </w:pPr>
            <w:r w:rsidRPr="00556E50">
              <w:rPr>
                <w:rFonts w:ascii="Arial" w:hAnsi="Arial" w:cs="Arial"/>
                <w:color w:val="000000"/>
              </w:rPr>
              <w:t>a neurologická</w:t>
            </w:r>
          </w:p>
        </w:tc>
        <w:tc>
          <w:tcPr>
            <w:tcW w:w="1559" w:type="dxa"/>
            <w:tcBorders>
              <w:top w:val="nil"/>
              <w:left w:val="nil"/>
              <w:bottom w:val="single" w:sz="4" w:space="0" w:color="auto"/>
              <w:right w:val="single" w:sz="4" w:space="0" w:color="auto"/>
            </w:tcBorders>
            <w:shd w:val="clear" w:color="000000" w:fill="FFFFFF"/>
            <w:noWrap/>
            <w:vAlign w:val="center"/>
            <w:hideMark/>
          </w:tcPr>
          <w:p w14:paraId="1BE516BC" w14:textId="77777777" w:rsidR="00556E50" w:rsidRPr="00556E50" w:rsidRDefault="00556E50" w:rsidP="0063320E">
            <w:pPr>
              <w:jc w:val="center"/>
              <w:rPr>
                <w:rFonts w:ascii="Arial" w:hAnsi="Arial" w:cs="Arial"/>
                <w:color w:val="000000"/>
              </w:rPr>
            </w:pPr>
            <w:r w:rsidRPr="00556E50">
              <w:rPr>
                <w:rFonts w:ascii="Arial" w:hAnsi="Arial" w:cs="Arial"/>
                <w:color w:val="000000"/>
              </w:rPr>
              <w:t>10 (4,6 %)</w:t>
            </w:r>
          </w:p>
        </w:tc>
        <w:tc>
          <w:tcPr>
            <w:tcW w:w="1560" w:type="dxa"/>
            <w:tcBorders>
              <w:top w:val="nil"/>
              <w:left w:val="nil"/>
              <w:bottom w:val="single" w:sz="4" w:space="0" w:color="auto"/>
              <w:right w:val="single" w:sz="4" w:space="0" w:color="auto"/>
            </w:tcBorders>
            <w:shd w:val="clear" w:color="000000" w:fill="FFFFFF"/>
            <w:noWrap/>
            <w:vAlign w:val="center"/>
            <w:hideMark/>
          </w:tcPr>
          <w:p w14:paraId="3EA5F9DF" w14:textId="77777777" w:rsidR="00556E50" w:rsidRPr="00556E50" w:rsidRDefault="00556E50" w:rsidP="0063320E">
            <w:pPr>
              <w:jc w:val="center"/>
              <w:rPr>
                <w:rFonts w:ascii="Arial" w:hAnsi="Arial" w:cs="Arial"/>
                <w:color w:val="000000"/>
              </w:rPr>
            </w:pPr>
            <w:r w:rsidRPr="00556E50">
              <w:rPr>
                <w:rFonts w:ascii="Arial" w:hAnsi="Arial" w:cs="Arial"/>
                <w:color w:val="000000"/>
              </w:rPr>
              <w:t>9 (4,3 %)</w:t>
            </w:r>
          </w:p>
        </w:tc>
        <w:tc>
          <w:tcPr>
            <w:tcW w:w="1417" w:type="dxa"/>
            <w:tcBorders>
              <w:top w:val="nil"/>
              <w:left w:val="nil"/>
              <w:bottom w:val="single" w:sz="4" w:space="0" w:color="auto"/>
              <w:right w:val="single" w:sz="4" w:space="0" w:color="auto"/>
            </w:tcBorders>
            <w:shd w:val="clear" w:color="000000" w:fill="FFFFFF"/>
            <w:noWrap/>
            <w:vAlign w:val="center"/>
            <w:hideMark/>
          </w:tcPr>
          <w:p w14:paraId="006FB61C" w14:textId="77777777" w:rsidR="00556E50" w:rsidRPr="00556E50" w:rsidRDefault="00556E50" w:rsidP="0063320E">
            <w:pPr>
              <w:jc w:val="center"/>
              <w:rPr>
                <w:rFonts w:ascii="Arial" w:hAnsi="Arial" w:cs="Arial"/>
                <w:color w:val="000000"/>
              </w:rPr>
            </w:pPr>
            <w:r w:rsidRPr="00556E50">
              <w:rPr>
                <w:rFonts w:ascii="Arial" w:hAnsi="Arial" w:cs="Arial"/>
                <w:color w:val="000000"/>
              </w:rPr>
              <w:t>2 (2,0 %)</w:t>
            </w:r>
          </w:p>
        </w:tc>
        <w:tc>
          <w:tcPr>
            <w:tcW w:w="1559" w:type="dxa"/>
            <w:tcBorders>
              <w:top w:val="nil"/>
              <w:left w:val="nil"/>
              <w:bottom w:val="single" w:sz="4" w:space="0" w:color="auto"/>
              <w:right w:val="single" w:sz="4" w:space="0" w:color="auto"/>
            </w:tcBorders>
            <w:shd w:val="clear" w:color="000000" w:fill="FFFFFF"/>
            <w:noWrap/>
            <w:vAlign w:val="center"/>
            <w:hideMark/>
          </w:tcPr>
          <w:p w14:paraId="58A9F855" w14:textId="77777777" w:rsidR="00556E50" w:rsidRPr="00556E50" w:rsidRDefault="00556E50" w:rsidP="0063320E">
            <w:pPr>
              <w:jc w:val="center"/>
              <w:rPr>
                <w:rFonts w:ascii="Arial" w:hAnsi="Arial" w:cs="Arial"/>
                <w:color w:val="000000"/>
              </w:rPr>
            </w:pPr>
            <w:r w:rsidRPr="00556E50">
              <w:rPr>
                <w:rFonts w:ascii="Arial" w:hAnsi="Arial" w:cs="Arial"/>
                <w:color w:val="000000"/>
              </w:rPr>
              <w:t>8 (11,0 %)</w:t>
            </w:r>
          </w:p>
        </w:tc>
        <w:tc>
          <w:tcPr>
            <w:tcW w:w="1560" w:type="dxa"/>
            <w:tcBorders>
              <w:top w:val="nil"/>
              <w:left w:val="nil"/>
              <w:bottom w:val="single" w:sz="4" w:space="0" w:color="auto"/>
              <w:right w:val="single" w:sz="4" w:space="0" w:color="auto"/>
            </w:tcBorders>
            <w:shd w:val="clear" w:color="000000" w:fill="FFFFFF"/>
            <w:noWrap/>
            <w:vAlign w:val="center"/>
            <w:hideMark/>
          </w:tcPr>
          <w:p w14:paraId="0BA8BC82" w14:textId="77777777" w:rsidR="00556E50" w:rsidRPr="00556E50" w:rsidRDefault="00556E50" w:rsidP="0063320E">
            <w:pPr>
              <w:jc w:val="center"/>
              <w:rPr>
                <w:rFonts w:ascii="Arial" w:hAnsi="Arial" w:cs="Arial"/>
                <w:color w:val="000000"/>
              </w:rPr>
            </w:pPr>
            <w:r w:rsidRPr="00556E50">
              <w:rPr>
                <w:rFonts w:ascii="Arial" w:hAnsi="Arial" w:cs="Arial"/>
                <w:color w:val="000000"/>
              </w:rPr>
              <w:t>29 (4,8 %)</w:t>
            </w:r>
          </w:p>
        </w:tc>
        <w:tc>
          <w:tcPr>
            <w:tcW w:w="1417" w:type="dxa"/>
            <w:vMerge/>
            <w:tcBorders>
              <w:top w:val="nil"/>
              <w:left w:val="single" w:sz="4" w:space="0" w:color="auto"/>
              <w:bottom w:val="single" w:sz="4" w:space="0" w:color="auto"/>
              <w:right w:val="single" w:sz="4" w:space="0" w:color="auto"/>
            </w:tcBorders>
            <w:vAlign w:val="center"/>
            <w:hideMark/>
          </w:tcPr>
          <w:p w14:paraId="63548E2F" w14:textId="77777777" w:rsidR="00556E50" w:rsidRPr="00724EDB" w:rsidRDefault="00556E50" w:rsidP="0063320E">
            <w:pPr>
              <w:jc w:val="center"/>
              <w:rPr>
                <w:rFonts w:ascii="Arial" w:hAnsi="Arial" w:cs="Arial"/>
                <w:color w:val="000000"/>
              </w:rPr>
            </w:pPr>
          </w:p>
        </w:tc>
      </w:tr>
      <w:tr w:rsidR="00911493" w:rsidRPr="00556E50" w14:paraId="21032F6F" w14:textId="77777777" w:rsidTr="002B2F15">
        <w:trPr>
          <w:trHeight w:val="397"/>
        </w:trPr>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6D0A1302" w14:textId="77777777" w:rsidR="0063320E" w:rsidRDefault="00556E50" w:rsidP="0063320E">
            <w:pPr>
              <w:jc w:val="center"/>
              <w:rPr>
                <w:rFonts w:ascii="Arial" w:hAnsi="Arial" w:cs="Arial"/>
                <w:color w:val="000000"/>
              </w:rPr>
            </w:pPr>
            <w:r w:rsidRPr="00556E50">
              <w:rPr>
                <w:rFonts w:ascii="Arial" w:hAnsi="Arial" w:cs="Arial"/>
                <w:color w:val="000000"/>
              </w:rPr>
              <w:t>Využití</w:t>
            </w:r>
          </w:p>
          <w:p w14:paraId="418F53C6" w14:textId="1FADE3D5" w:rsidR="00556E50" w:rsidRPr="00556E50" w:rsidRDefault="00556E50" w:rsidP="0063320E">
            <w:pPr>
              <w:jc w:val="center"/>
              <w:rPr>
                <w:rFonts w:ascii="Arial" w:hAnsi="Arial" w:cs="Arial"/>
                <w:color w:val="000000"/>
              </w:rPr>
            </w:pPr>
            <w:r w:rsidRPr="00556E50">
              <w:rPr>
                <w:rFonts w:ascii="Arial" w:hAnsi="Arial" w:cs="Arial"/>
                <w:color w:val="000000"/>
              </w:rPr>
              <w:t>observačního lůžka</w:t>
            </w:r>
          </w:p>
        </w:tc>
        <w:tc>
          <w:tcPr>
            <w:tcW w:w="1843" w:type="dxa"/>
            <w:tcBorders>
              <w:top w:val="nil"/>
              <w:left w:val="nil"/>
              <w:bottom w:val="single" w:sz="4" w:space="0" w:color="auto"/>
              <w:right w:val="single" w:sz="4" w:space="0" w:color="auto"/>
            </w:tcBorders>
            <w:shd w:val="clear" w:color="auto" w:fill="auto"/>
            <w:noWrap/>
            <w:vAlign w:val="center"/>
            <w:hideMark/>
          </w:tcPr>
          <w:p w14:paraId="328DB5D6" w14:textId="77777777" w:rsidR="00556E50" w:rsidRPr="00556E50" w:rsidRDefault="00556E50" w:rsidP="0063320E">
            <w:pPr>
              <w:jc w:val="center"/>
              <w:rPr>
                <w:rFonts w:ascii="Arial" w:hAnsi="Arial" w:cs="Arial"/>
                <w:color w:val="000000"/>
              </w:rPr>
            </w:pPr>
            <w:r w:rsidRPr="00556E50">
              <w:rPr>
                <w:rFonts w:ascii="Arial" w:hAnsi="Arial" w:cs="Arial"/>
                <w:color w:val="000000"/>
              </w:rPr>
              <w:t>ANO</w:t>
            </w:r>
          </w:p>
        </w:tc>
        <w:tc>
          <w:tcPr>
            <w:tcW w:w="1559" w:type="dxa"/>
            <w:tcBorders>
              <w:top w:val="nil"/>
              <w:left w:val="nil"/>
              <w:bottom w:val="single" w:sz="4" w:space="0" w:color="auto"/>
              <w:right w:val="single" w:sz="4" w:space="0" w:color="auto"/>
            </w:tcBorders>
            <w:shd w:val="clear" w:color="000000" w:fill="FFFFFF"/>
            <w:noWrap/>
            <w:vAlign w:val="center"/>
            <w:hideMark/>
          </w:tcPr>
          <w:p w14:paraId="0185A398" w14:textId="77777777" w:rsidR="00556E50" w:rsidRPr="00556E50" w:rsidRDefault="00556E50" w:rsidP="0063320E">
            <w:pPr>
              <w:jc w:val="center"/>
              <w:rPr>
                <w:rFonts w:ascii="Arial" w:hAnsi="Arial" w:cs="Arial"/>
                <w:color w:val="000000"/>
              </w:rPr>
            </w:pPr>
            <w:r w:rsidRPr="00556E50">
              <w:rPr>
                <w:rFonts w:ascii="Arial" w:hAnsi="Arial" w:cs="Arial"/>
                <w:color w:val="000000"/>
              </w:rPr>
              <w:t>150 (69,1 %)</w:t>
            </w:r>
          </w:p>
        </w:tc>
        <w:tc>
          <w:tcPr>
            <w:tcW w:w="1560" w:type="dxa"/>
            <w:tcBorders>
              <w:top w:val="nil"/>
              <w:left w:val="nil"/>
              <w:bottom w:val="single" w:sz="4" w:space="0" w:color="auto"/>
              <w:right w:val="single" w:sz="4" w:space="0" w:color="auto"/>
            </w:tcBorders>
            <w:shd w:val="clear" w:color="000000" w:fill="FFFFFF"/>
            <w:noWrap/>
            <w:vAlign w:val="center"/>
            <w:hideMark/>
          </w:tcPr>
          <w:p w14:paraId="7EE1B151" w14:textId="77777777" w:rsidR="00556E50" w:rsidRPr="00556E50" w:rsidRDefault="00556E50" w:rsidP="0063320E">
            <w:pPr>
              <w:jc w:val="center"/>
              <w:rPr>
                <w:rFonts w:ascii="Arial" w:hAnsi="Arial" w:cs="Arial"/>
                <w:color w:val="000000"/>
              </w:rPr>
            </w:pPr>
            <w:r w:rsidRPr="00556E50">
              <w:rPr>
                <w:rFonts w:ascii="Arial" w:hAnsi="Arial" w:cs="Arial"/>
                <w:color w:val="000000"/>
              </w:rPr>
              <w:t>151 (72,9 %)</w:t>
            </w:r>
          </w:p>
        </w:tc>
        <w:tc>
          <w:tcPr>
            <w:tcW w:w="1417" w:type="dxa"/>
            <w:tcBorders>
              <w:top w:val="nil"/>
              <w:left w:val="nil"/>
              <w:bottom w:val="single" w:sz="4" w:space="0" w:color="auto"/>
              <w:right w:val="single" w:sz="4" w:space="0" w:color="auto"/>
            </w:tcBorders>
            <w:shd w:val="clear" w:color="000000" w:fill="FFFFFF"/>
            <w:noWrap/>
            <w:vAlign w:val="center"/>
            <w:hideMark/>
          </w:tcPr>
          <w:p w14:paraId="335C6BFC" w14:textId="77777777" w:rsidR="00556E50" w:rsidRPr="00556E50" w:rsidRDefault="00556E50" w:rsidP="0063320E">
            <w:pPr>
              <w:jc w:val="center"/>
              <w:rPr>
                <w:rFonts w:ascii="Arial" w:hAnsi="Arial" w:cs="Arial"/>
                <w:color w:val="000000"/>
              </w:rPr>
            </w:pPr>
            <w:r w:rsidRPr="00556E50">
              <w:rPr>
                <w:rFonts w:ascii="Arial" w:hAnsi="Arial" w:cs="Arial"/>
                <w:color w:val="000000"/>
              </w:rPr>
              <w:t>82 (81,2 %)</w:t>
            </w:r>
          </w:p>
        </w:tc>
        <w:tc>
          <w:tcPr>
            <w:tcW w:w="1559" w:type="dxa"/>
            <w:tcBorders>
              <w:top w:val="nil"/>
              <w:left w:val="nil"/>
              <w:bottom w:val="single" w:sz="4" w:space="0" w:color="auto"/>
              <w:right w:val="single" w:sz="4" w:space="0" w:color="auto"/>
            </w:tcBorders>
            <w:shd w:val="clear" w:color="000000" w:fill="FFFFFF"/>
            <w:noWrap/>
            <w:vAlign w:val="center"/>
            <w:hideMark/>
          </w:tcPr>
          <w:p w14:paraId="7BA775CA" w14:textId="77777777" w:rsidR="00556E50" w:rsidRPr="00556E50" w:rsidRDefault="00556E50" w:rsidP="0063320E">
            <w:pPr>
              <w:jc w:val="center"/>
              <w:rPr>
                <w:rFonts w:ascii="Arial" w:hAnsi="Arial" w:cs="Arial"/>
                <w:color w:val="000000"/>
              </w:rPr>
            </w:pPr>
            <w:r w:rsidRPr="00556E50">
              <w:rPr>
                <w:rFonts w:ascii="Arial" w:hAnsi="Arial" w:cs="Arial"/>
                <w:color w:val="000000"/>
              </w:rPr>
              <w:t>62 (84,9 %)</w:t>
            </w:r>
          </w:p>
        </w:tc>
        <w:tc>
          <w:tcPr>
            <w:tcW w:w="1560" w:type="dxa"/>
            <w:tcBorders>
              <w:top w:val="nil"/>
              <w:left w:val="nil"/>
              <w:bottom w:val="single" w:sz="4" w:space="0" w:color="auto"/>
              <w:right w:val="single" w:sz="4" w:space="0" w:color="auto"/>
            </w:tcBorders>
            <w:shd w:val="clear" w:color="000000" w:fill="FFFFFF"/>
            <w:noWrap/>
            <w:vAlign w:val="center"/>
            <w:hideMark/>
          </w:tcPr>
          <w:p w14:paraId="625EBF04" w14:textId="77777777" w:rsidR="00556E50" w:rsidRPr="00556E50" w:rsidRDefault="00556E50" w:rsidP="0063320E">
            <w:pPr>
              <w:jc w:val="center"/>
              <w:rPr>
                <w:rFonts w:ascii="Arial" w:hAnsi="Arial" w:cs="Arial"/>
                <w:color w:val="000000"/>
              </w:rPr>
            </w:pPr>
            <w:r w:rsidRPr="00556E50">
              <w:rPr>
                <w:rFonts w:ascii="Arial" w:hAnsi="Arial" w:cs="Arial"/>
                <w:color w:val="000000"/>
              </w:rPr>
              <w:t>445 (74,4 %)</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6EBA70" w14:textId="7D8B5CCB" w:rsidR="00911493" w:rsidRPr="00724EDB" w:rsidRDefault="00911493" w:rsidP="0063320E">
            <w:pPr>
              <w:jc w:val="center"/>
              <w:rPr>
                <w:rFonts w:ascii="Arial" w:hAnsi="Arial" w:cs="Arial"/>
                <w:b/>
                <w:bCs/>
                <w:color w:val="000000"/>
              </w:rPr>
            </w:pPr>
            <w:r w:rsidRPr="00724EDB">
              <w:rPr>
                <w:rFonts w:ascii="Arial" w:hAnsi="Arial" w:cs="Arial"/>
                <w:b/>
                <w:bCs/>
                <w:color w:val="000000"/>
              </w:rPr>
              <w:t>0,0</w:t>
            </w:r>
            <w:r w:rsidR="005126AF" w:rsidRPr="00724EDB">
              <w:rPr>
                <w:rFonts w:ascii="Arial" w:hAnsi="Arial" w:cs="Arial"/>
                <w:b/>
                <w:bCs/>
                <w:color w:val="000000"/>
              </w:rPr>
              <w:t>18</w:t>
            </w:r>
          </w:p>
          <w:p w14:paraId="67D2E760" w14:textId="4B4976ED" w:rsidR="00556E50" w:rsidRPr="00724EDB" w:rsidRDefault="009550AC" w:rsidP="0063320E">
            <w:pPr>
              <w:jc w:val="center"/>
              <w:rPr>
                <w:rFonts w:ascii="Arial" w:hAnsi="Arial" w:cs="Arial"/>
                <w:color w:val="000000"/>
              </w:rPr>
            </w:pPr>
            <w:r w:rsidRPr="00724EDB">
              <w:rPr>
                <w:rFonts w:ascii="Arial" w:hAnsi="Arial" w:cs="Arial"/>
                <w:b/>
                <w:bCs/>
                <w:color w:val="000000"/>
              </w:rPr>
              <w:t>CV=0,130</w:t>
            </w:r>
          </w:p>
        </w:tc>
      </w:tr>
      <w:tr w:rsidR="00911493" w:rsidRPr="00556E50" w14:paraId="5A15F633" w14:textId="77777777" w:rsidTr="002B2F15">
        <w:trPr>
          <w:trHeight w:val="397"/>
        </w:trPr>
        <w:tc>
          <w:tcPr>
            <w:tcW w:w="1696" w:type="dxa"/>
            <w:vMerge/>
            <w:tcBorders>
              <w:top w:val="nil"/>
              <w:left w:val="single" w:sz="4" w:space="0" w:color="auto"/>
              <w:bottom w:val="single" w:sz="4" w:space="0" w:color="auto"/>
              <w:right w:val="single" w:sz="4" w:space="0" w:color="auto"/>
            </w:tcBorders>
            <w:vAlign w:val="center"/>
            <w:hideMark/>
          </w:tcPr>
          <w:p w14:paraId="123F7BD6" w14:textId="77777777" w:rsidR="00556E50" w:rsidRPr="00556E50" w:rsidRDefault="00556E50" w:rsidP="0063320E">
            <w:pPr>
              <w:jc w:val="center"/>
              <w:rPr>
                <w:rFonts w:ascii="Arial" w:hAnsi="Arial" w:cs="Arial"/>
                <w:color w:val="000000"/>
              </w:rPr>
            </w:pPr>
          </w:p>
        </w:tc>
        <w:tc>
          <w:tcPr>
            <w:tcW w:w="1843" w:type="dxa"/>
            <w:tcBorders>
              <w:top w:val="nil"/>
              <w:left w:val="nil"/>
              <w:bottom w:val="single" w:sz="4" w:space="0" w:color="auto"/>
              <w:right w:val="single" w:sz="4" w:space="0" w:color="auto"/>
            </w:tcBorders>
            <w:shd w:val="clear" w:color="auto" w:fill="auto"/>
            <w:noWrap/>
            <w:vAlign w:val="center"/>
            <w:hideMark/>
          </w:tcPr>
          <w:p w14:paraId="287E714C" w14:textId="77777777" w:rsidR="00556E50" w:rsidRPr="00556E50" w:rsidRDefault="00556E50" w:rsidP="0063320E">
            <w:pPr>
              <w:jc w:val="center"/>
              <w:rPr>
                <w:rFonts w:ascii="Arial" w:hAnsi="Arial" w:cs="Arial"/>
                <w:color w:val="000000"/>
              </w:rPr>
            </w:pPr>
            <w:r w:rsidRPr="00556E50">
              <w:rPr>
                <w:rFonts w:ascii="Arial" w:hAnsi="Arial" w:cs="Arial"/>
                <w:color w:val="000000"/>
              </w:rPr>
              <w:t>NE</w:t>
            </w:r>
          </w:p>
        </w:tc>
        <w:tc>
          <w:tcPr>
            <w:tcW w:w="1559" w:type="dxa"/>
            <w:tcBorders>
              <w:top w:val="nil"/>
              <w:left w:val="nil"/>
              <w:bottom w:val="single" w:sz="4" w:space="0" w:color="auto"/>
              <w:right w:val="single" w:sz="4" w:space="0" w:color="auto"/>
            </w:tcBorders>
            <w:shd w:val="clear" w:color="000000" w:fill="FFFFFF"/>
            <w:noWrap/>
            <w:vAlign w:val="center"/>
            <w:hideMark/>
          </w:tcPr>
          <w:p w14:paraId="15CD3F10" w14:textId="77777777" w:rsidR="00556E50" w:rsidRPr="00556E50" w:rsidRDefault="00556E50" w:rsidP="0063320E">
            <w:pPr>
              <w:jc w:val="center"/>
              <w:rPr>
                <w:rFonts w:ascii="Arial" w:hAnsi="Arial" w:cs="Arial"/>
                <w:color w:val="000000"/>
              </w:rPr>
            </w:pPr>
            <w:r w:rsidRPr="00556E50">
              <w:rPr>
                <w:rFonts w:ascii="Arial" w:hAnsi="Arial" w:cs="Arial"/>
                <w:color w:val="000000"/>
              </w:rPr>
              <w:t>67 (30,9 %)</w:t>
            </w:r>
          </w:p>
        </w:tc>
        <w:tc>
          <w:tcPr>
            <w:tcW w:w="1560" w:type="dxa"/>
            <w:tcBorders>
              <w:top w:val="nil"/>
              <w:left w:val="nil"/>
              <w:bottom w:val="single" w:sz="4" w:space="0" w:color="auto"/>
              <w:right w:val="single" w:sz="4" w:space="0" w:color="auto"/>
            </w:tcBorders>
            <w:shd w:val="clear" w:color="000000" w:fill="FFFFFF"/>
            <w:noWrap/>
            <w:vAlign w:val="center"/>
            <w:hideMark/>
          </w:tcPr>
          <w:p w14:paraId="7DF9031A" w14:textId="77777777" w:rsidR="00556E50" w:rsidRPr="00556E50" w:rsidRDefault="00556E50" w:rsidP="0063320E">
            <w:pPr>
              <w:jc w:val="center"/>
              <w:rPr>
                <w:rFonts w:ascii="Arial" w:hAnsi="Arial" w:cs="Arial"/>
                <w:color w:val="000000"/>
              </w:rPr>
            </w:pPr>
            <w:r w:rsidRPr="00556E50">
              <w:rPr>
                <w:rFonts w:ascii="Arial" w:hAnsi="Arial" w:cs="Arial"/>
                <w:color w:val="000000"/>
              </w:rPr>
              <w:t>56 (27,1 %)</w:t>
            </w:r>
          </w:p>
        </w:tc>
        <w:tc>
          <w:tcPr>
            <w:tcW w:w="1417" w:type="dxa"/>
            <w:tcBorders>
              <w:top w:val="nil"/>
              <w:left w:val="nil"/>
              <w:bottom w:val="single" w:sz="4" w:space="0" w:color="auto"/>
              <w:right w:val="single" w:sz="4" w:space="0" w:color="auto"/>
            </w:tcBorders>
            <w:shd w:val="clear" w:color="000000" w:fill="FFFFFF"/>
            <w:noWrap/>
            <w:vAlign w:val="center"/>
            <w:hideMark/>
          </w:tcPr>
          <w:p w14:paraId="54F908C9" w14:textId="77777777" w:rsidR="00556E50" w:rsidRPr="00556E50" w:rsidRDefault="00556E50" w:rsidP="0063320E">
            <w:pPr>
              <w:jc w:val="center"/>
              <w:rPr>
                <w:rFonts w:ascii="Arial" w:hAnsi="Arial" w:cs="Arial"/>
                <w:color w:val="000000"/>
              </w:rPr>
            </w:pPr>
            <w:r w:rsidRPr="00556E50">
              <w:rPr>
                <w:rFonts w:ascii="Arial" w:hAnsi="Arial" w:cs="Arial"/>
                <w:color w:val="000000"/>
              </w:rPr>
              <w:t>19 (18,8 %)</w:t>
            </w:r>
          </w:p>
        </w:tc>
        <w:tc>
          <w:tcPr>
            <w:tcW w:w="1559" w:type="dxa"/>
            <w:tcBorders>
              <w:top w:val="nil"/>
              <w:left w:val="nil"/>
              <w:bottom w:val="single" w:sz="4" w:space="0" w:color="auto"/>
              <w:right w:val="single" w:sz="4" w:space="0" w:color="auto"/>
            </w:tcBorders>
            <w:shd w:val="clear" w:color="000000" w:fill="FFFFFF"/>
            <w:noWrap/>
            <w:vAlign w:val="center"/>
            <w:hideMark/>
          </w:tcPr>
          <w:p w14:paraId="70D2E919" w14:textId="77777777" w:rsidR="00556E50" w:rsidRPr="00556E50" w:rsidRDefault="00556E50" w:rsidP="0063320E">
            <w:pPr>
              <w:jc w:val="center"/>
              <w:rPr>
                <w:rFonts w:ascii="Arial" w:hAnsi="Arial" w:cs="Arial"/>
                <w:color w:val="000000"/>
              </w:rPr>
            </w:pPr>
            <w:r w:rsidRPr="00556E50">
              <w:rPr>
                <w:rFonts w:ascii="Arial" w:hAnsi="Arial" w:cs="Arial"/>
                <w:color w:val="000000"/>
              </w:rPr>
              <w:t>11 (15,1 %)</w:t>
            </w:r>
          </w:p>
        </w:tc>
        <w:tc>
          <w:tcPr>
            <w:tcW w:w="1560" w:type="dxa"/>
            <w:tcBorders>
              <w:top w:val="nil"/>
              <w:left w:val="nil"/>
              <w:bottom w:val="single" w:sz="4" w:space="0" w:color="auto"/>
              <w:right w:val="single" w:sz="4" w:space="0" w:color="auto"/>
            </w:tcBorders>
            <w:shd w:val="clear" w:color="000000" w:fill="FFFFFF"/>
            <w:noWrap/>
            <w:vAlign w:val="center"/>
            <w:hideMark/>
          </w:tcPr>
          <w:p w14:paraId="66455B5E" w14:textId="77777777" w:rsidR="00556E50" w:rsidRPr="00556E50" w:rsidRDefault="00556E50" w:rsidP="0063320E">
            <w:pPr>
              <w:jc w:val="center"/>
              <w:rPr>
                <w:rFonts w:ascii="Arial" w:hAnsi="Arial" w:cs="Arial"/>
                <w:color w:val="000000"/>
              </w:rPr>
            </w:pPr>
            <w:r w:rsidRPr="00556E50">
              <w:rPr>
                <w:rFonts w:ascii="Arial" w:hAnsi="Arial" w:cs="Arial"/>
                <w:color w:val="000000"/>
              </w:rPr>
              <w:t>153 (25,6 %)</w:t>
            </w:r>
          </w:p>
        </w:tc>
        <w:tc>
          <w:tcPr>
            <w:tcW w:w="1417" w:type="dxa"/>
            <w:vMerge/>
            <w:tcBorders>
              <w:top w:val="nil"/>
              <w:left w:val="single" w:sz="4" w:space="0" w:color="auto"/>
              <w:bottom w:val="single" w:sz="4" w:space="0" w:color="auto"/>
              <w:right w:val="single" w:sz="4" w:space="0" w:color="auto"/>
            </w:tcBorders>
            <w:vAlign w:val="center"/>
            <w:hideMark/>
          </w:tcPr>
          <w:p w14:paraId="0DCF0596" w14:textId="77777777" w:rsidR="00556E50" w:rsidRPr="00724EDB" w:rsidRDefault="00556E50" w:rsidP="0063320E">
            <w:pPr>
              <w:jc w:val="center"/>
              <w:rPr>
                <w:rFonts w:ascii="Arial" w:hAnsi="Arial" w:cs="Arial"/>
                <w:color w:val="000000"/>
              </w:rPr>
            </w:pPr>
          </w:p>
        </w:tc>
      </w:tr>
      <w:tr w:rsidR="00911493" w:rsidRPr="00556E50" w14:paraId="05D8E322" w14:textId="77777777" w:rsidTr="002B2F15">
        <w:trPr>
          <w:trHeight w:val="397"/>
        </w:trPr>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494C7348" w14:textId="77777777" w:rsidR="0063320E" w:rsidRDefault="00556E50" w:rsidP="0063320E">
            <w:pPr>
              <w:jc w:val="center"/>
              <w:rPr>
                <w:rFonts w:ascii="Arial" w:hAnsi="Arial" w:cs="Arial"/>
                <w:color w:val="000000"/>
              </w:rPr>
            </w:pPr>
            <w:r w:rsidRPr="00556E50">
              <w:rPr>
                <w:rFonts w:ascii="Arial" w:hAnsi="Arial" w:cs="Arial"/>
                <w:color w:val="000000"/>
              </w:rPr>
              <w:t>Využití</w:t>
            </w:r>
          </w:p>
          <w:p w14:paraId="1792F0E6" w14:textId="6E583740" w:rsidR="00556E50" w:rsidRPr="00556E50" w:rsidRDefault="00556E50" w:rsidP="0063320E">
            <w:pPr>
              <w:jc w:val="center"/>
              <w:rPr>
                <w:rFonts w:ascii="Arial" w:hAnsi="Arial" w:cs="Arial"/>
                <w:color w:val="000000"/>
              </w:rPr>
            </w:pPr>
            <w:r w:rsidRPr="00556E50">
              <w:rPr>
                <w:rFonts w:ascii="Arial" w:hAnsi="Arial" w:cs="Arial"/>
                <w:color w:val="000000"/>
              </w:rPr>
              <w:t>zobrazovacích metod</w:t>
            </w:r>
          </w:p>
        </w:tc>
        <w:tc>
          <w:tcPr>
            <w:tcW w:w="1843" w:type="dxa"/>
            <w:tcBorders>
              <w:top w:val="nil"/>
              <w:left w:val="nil"/>
              <w:bottom w:val="single" w:sz="4" w:space="0" w:color="auto"/>
              <w:right w:val="single" w:sz="4" w:space="0" w:color="auto"/>
            </w:tcBorders>
            <w:shd w:val="clear" w:color="auto" w:fill="auto"/>
            <w:noWrap/>
            <w:vAlign w:val="center"/>
            <w:hideMark/>
          </w:tcPr>
          <w:p w14:paraId="7B307062" w14:textId="77777777" w:rsidR="00556E50" w:rsidRPr="00556E50" w:rsidRDefault="00556E50" w:rsidP="0063320E">
            <w:pPr>
              <w:jc w:val="center"/>
              <w:rPr>
                <w:rFonts w:ascii="Arial" w:hAnsi="Arial" w:cs="Arial"/>
                <w:color w:val="000000"/>
              </w:rPr>
            </w:pPr>
            <w:r w:rsidRPr="00556E50">
              <w:rPr>
                <w:rFonts w:ascii="Arial" w:hAnsi="Arial" w:cs="Arial"/>
                <w:color w:val="000000"/>
              </w:rPr>
              <w:t>ANO</w:t>
            </w:r>
          </w:p>
        </w:tc>
        <w:tc>
          <w:tcPr>
            <w:tcW w:w="1559" w:type="dxa"/>
            <w:tcBorders>
              <w:top w:val="nil"/>
              <w:left w:val="nil"/>
              <w:bottom w:val="single" w:sz="4" w:space="0" w:color="auto"/>
              <w:right w:val="single" w:sz="4" w:space="0" w:color="auto"/>
            </w:tcBorders>
            <w:shd w:val="clear" w:color="000000" w:fill="FFFFFF"/>
            <w:noWrap/>
            <w:vAlign w:val="center"/>
            <w:hideMark/>
          </w:tcPr>
          <w:p w14:paraId="0C544EB9" w14:textId="77777777" w:rsidR="00556E50" w:rsidRPr="00556E50" w:rsidRDefault="00556E50" w:rsidP="0063320E">
            <w:pPr>
              <w:jc w:val="center"/>
              <w:rPr>
                <w:rFonts w:ascii="Arial" w:hAnsi="Arial" w:cs="Arial"/>
                <w:color w:val="000000"/>
              </w:rPr>
            </w:pPr>
            <w:r w:rsidRPr="00556E50">
              <w:rPr>
                <w:rFonts w:ascii="Arial" w:hAnsi="Arial" w:cs="Arial"/>
                <w:color w:val="000000"/>
              </w:rPr>
              <w:t>122 (56,2 %)</w:t>
            </w:r>
          </w:p>
        </w:tc>
        <w:tc>
          <w:tcPr>
            <w:tcW w:w="1560" w:type="dxa"/>
            <w:tcBorders>
              <w:top w:val="nil"/>
              <w:left w:val="nil"/>
              <w:bottom w:val="single" w:sz="4" w:space="0" w:color="auto"/>
              <w:right w:val="single" w:sz="4" w:space="0" w:color="auto"/>
            </w:tcBorders>
            <w:shd w:val="clear" w:color="000000" w:fill="FFFFFF"/>
            <w:noWrap/>
            <w:vAlign w:val="center"/>
            <w:hideMark/>
          </w:tcPr>
          <w:p w14:paraId="195CD112" w14:textId="77777777" w:rsidR="00556E50" w:rsidRPr="00556E50" w:rsidRDefault="00556E50" w:rsidP="0063320E">
            <w:pPr>
              <w:jc w:val="center"/>
              <w:rPr>
                <w:rFonts w:ascii="Arial" w:hAnsi="Arial" w:cs="Arial"/>
                <w:color w:val="000000"/>
              </w:rPr>
            </w:pPr>
            <w:r w:rsidRPr="00556E50">
              <w:rPr>
                <w:rFonts w:ascii="Arial" w:hAnsi="Arial" w:cs="Arial"/>
                <w:color w:val="000000"/>
              </w:rPr>
              <w:t>111 (53,6 %)</w:t>
            </w:r>
          </w:p>
        </w:tc>
        <w:tc>
          <w:tcPr>
            <w:tcW w:w="1417" w:type="dxa"/>
            <w:tcBorders>
              <w:top w:val="nil"/>
              <w:left w:val="nil"/>
              <w:bottom w:val="single" w:sz="4" w:space="0" w:color="auto"/>
              <w:right w:val="single" w:sz="4" w:space="0" w:color="auto"/>
            </w:tcBorders>
            <w:shd w:val="clear" w:color="000000" w:fill="FFFFFF"/>
            <w:noWrap/>
            <w:vAlign w:val="center"/>
            <w:hideMark/>
          </w:tcPr>
          <w:p w14:paraId="18CD6C6B" w14:textId="77777777" w:rsidR="00556E50" w:rsidRPr="00556E50" w:rsidRDefault="00556E50" w:rsidP="0063320E">
            <w:pPr>
              <w:jc w:val="center"/>
              <w:rPr>
                <w:rFonts w:ascii="Arial" w:hAnsi="Arial" w:cs="Arial"/>
                <w:color w:val="000000"/>
              </w:rPr>
            </w:pPr>
            <w:r w:rsidRPr="00556E50">
              <w:rPr>
                <w:rFonts w:ascii="Arial" w:hAnsi="Arial" w:cs="Arial"/>
                <w:color w:val="000000"/>
              </w:rPr>
              <w:t>68 (67,3 %)</w:t>
            </w:r>
          </w:p>
        </w:tc>
        <w:tc>
          <w:tcPr>
            <w:tcW w:w="1559" w:type="dxa"/>
            <w:tcBorders>
              <w:top w:val="nil"/>
              <w:left w:val="nil"/>
              <w:bottom w:val="single" w:sz="4" w:space="0" w:color="auto"/>
              <w:right w:val="single" w:sz="4" w:space="0" w:color="auto"/>
            </w:tcBorders>
            <w:shd w:val="clear" w:color="000000" w:fill="FFFFFF"/>
            <w:noWrap/>
            <w:vAlign w:val="center"/>
            <w:hideMark/>
          </w:tcPr>
          <w:p w14:paraId="1BC50649" w14:textId="77777777" w:rsidR="00556E50" w:rsidRPr="00556E50" w:rsidRDefault="00556E50" w:rsidP="0063320E">
            <w:pPr>
              <w:jc w:val="center"/>
              <w:rPr>
                <w:rFonts w:ascii="Arial" w:hAnsi="Arial" w:cs="Arial"/>
                <w:color w:val="000000"/>
              </w:rPr>
            </w:pPr>
            <w:r w:rsidRPr="00556E50">
              <w:rPr>
                <w:rFonts w:ascii="Arial" w:hAnsi="Arial" w:cs="Arial"/>
                <w:color w:val="000000"/>
              </w:rPr>
              <w:t>39 (53,4 %)</w:t>
            </w:r>
          </w:p>
        </w:tc>
        <w:tc>
          <w:tcPr>
            <w:tcW w:w="1560" w:type="dxa"/>
            <w:tcBorders>
              <w:top w:val="nil"/>
              <w:left w:val="nil"/>
              <w:bottom w:val="single" w:sz="4" w:space="0" w:color="auto"/>
              <w:right w:val="single" w:sz="4" w:space="0" w:color="auto"/>
            </w:tcBorders>
            <w:shd w:val="clear" w:color="000000" w:fill="FFFFFF"/>
            <w:noWrap/>
            <w:vAlign w:val="center"/>
            <w:hideMark/>
          </w:tcPr>
          <w:p w14:paraId="708EE7F2" w14:textId="77777777" w:rsidR="00556E50" w:rsidRPr="00556E50" w:rsidRDefault="00556E50" w:rsidP="0063320E">
            <w:pPr>
              <w:jc w:val="center"/>
              <w:rPr>
                <w:rFonts w:ascii="Arial" w:hAnsi="Arial" w:cs="Arial"/>
                <w:color w:val="000000"/>
              </w:rPr>
            </w:pPr>
            <w:r w:rsidRPr="00556E50">
              <w:rPr>
                <w:rFonts w:ascii="Arial" w:hAnsi="Arial" w:cs="Arial"/>
                <w:color w:val="000000"/>
              </w:rPr>
              <w:t>340 (56,9 %)</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652F6B" w14:textId="52EDA92C" w:rsidR="00556E50" w:rsidRPr="00724EDB" w:rsidRDefault="00911493" w:rsidP="0063320E">
            <w:pPr>
              <w:jc w:val="center"/>
              <w:rPr>
                <w:rFonts w:ascii="Arial" w:hAnsi="Arial" w:cs="Arial"/>
                <w:color w:val="000000"/>
              </w:rPr>
            </w:pPr>
            <w:r w:rsidRPr="00724EDB">
              <w:rPr>
                <w:rFonts w:ascii="Arial" w:hAnsi="Arial" w:cs="Arial"/>
                <w:color w:val="000000"/>
              </w:rPr>
              <w:t>0,</w:t>
            </w:r>
            <w:r w:rsidR="002B3ADB" w:rsidRPr="00724EDB">
              <w:rPr>
                <w:rFonts w:ascii="Arial" w:hAnsi="Arial" w:cs="Arial"/>
                <w:color w:val="000000"/>
              </w:rPr>
              <w:t>123</w:t>
            </w:r>
          </w:p>
        </w:tc>
      </w:tr>
      <w:tr w:rsidR="00911493" w:rsidRPr="00556E50" w14:paraId="766DE8AA" w14:textId="77777777" w:rsidTr="002B2F15">
        <w:trPr>
          <w:trHeight w:val="397"/>
        </w:trPr>
        <w:tc>
          <w:tcPr>
            <w:tcW w:w="1696" w:type="dxa"/>
            <w:vMerge/>
            <w:tcBorders>
              <w:top w:val="nil"/>
              <w:left w:val="single" w:sz="4" w:space="0" w:color="auto"/>
              <w:bottom w:val="single" w:sz="4" w:space="0" w:color="auto"/>
              <w:right w:val="single" w:sz="4" w:space="0" w:color="auto"/>
            </w:tcBorders>
            <w:vAlign w:val="center"/>
            <w:hideMark/>
          </w:tcPr>
          <w:p w14:paraId="6C8E38DC" w14:textId="77777777" w:rsidR="00556E50" w:rsidRPr="00556E50" w:rsidRDefault="00556E50" w:rsidP="0063320E">
            <w:pPr>
              <w:jc w:val="center"/>
              <w:rPr>
                <w:rFonts w:ascii="Arial" w:hAnsi="Arial" w:cs="Arial"/>
                <w:color w:val="000000"/>
              </w:rPr>
            </w:pPr>
          </w:p>
        </w:tc>
        <w:tc>
          <w:tcPr>
            <w:tcW w:w="1843" w:type="dxa"/>
            <w:tcBorders>
              <w:top w:val="nil"/>
              <w:left w:val="nil"/>
              <w:bottom w:val="single" w:sz="4" w:space="0" w:color="auto"/>
              <w:right w:val="single" w:sz="4" w:space="0" w:color="auto"/>
            </w:tcBorders>
            <w:shd w:val="clear" w:color="auto" w:fill="auto"/>
            <w:noWrap/>
            <w:vAlign w:val="center"/>
            <w:hideMark/>
          </w:tcPr>
          <w:p w14:paraId="272841E4" w14:textId="77777777" w:rsidR="00556E50" w:rsidRPr="00556E50" w:rsidRDefault="00556E50" w:rsidP="0063320E">
            <w:pPr>
              <w:jc w:val="center"/>
              <w:rPr>
                <w:rFonts w:ascii="Arial" w:hAnsi="Arial" w:cs="Arial"/>
                <w:color w:val="000000"/>
              </w:rPr>
            </w:pPr>
            <w:r w:rsidRPr="00556E50">
              <w:rPr>
                <w:rFonts w:ascii="Arial" w:hAnsi="Arial" w:cs="Arial"/>
                <w:color w:val="000000"/>
              </w:rPr>
              <w:t>NE</w:t>
            </w:r>
          </w:p>
        </w:tc>
        <w:tc>
          <w:tcPr>
            <w:tcW w:w="1559" w:type="dxa"/>
            <w:tcBorders>
              <w:top w:val="nil"/>
              <w:left w:val="nil"/>
              <w:bottom w:val="single" w:sz="4" w:space="0" w:color="auto"/>
              <w:right w:val="single" w:sz="4" w:space="0" w:color="auto"/>
            </w:tcBorders>
            <w:shd w:val="clear" w:color="000000" w:fill="FFFFFF"/>
            <w:noWrap/>
            <w:vAlign w:val="center"/>
            <w:hideMark/>
          </w:tcPr>
          <w:p w14:paraId="4E7485F1" w14:textId="77777777" w:rsidR="00556E50" w:rsidRPr="00556E50" w:rsidRDefault="00556E50" w:rsidP="0063320E">
            <w:pPr>
              <w:jc w:val="center"/>
              <w:rPr>
                <w:rFonts w:ascii="Arial" w:hAnsi="Arial" w:cs="Arial"/>
                <w:color w:val="000000"/>
              </w:rPr>
            </w:pPr>
            <w:r w:rsidRPr="00556E50">
              <w:rPr>
                <w:rFonts w:ascii="Arial" w:hAnsi="Arial" w:cs="Arial"/>
                <w:color w:val="000000"/>
              </w:rPr>
              <w:t>95 (43,8 %)</w:t>
            </w:r>
          </w:p>
        </w:tc>
        <w:tc>
          <w:tcPr>
            <w:tcW w:w="1560" w:type="dxa"/>
            <w:tcBorders>
              <w:top w:val="nil"/>
              <w:left w:val="nil"/>
              <w:bottom w:val="single" w:sz="4" w:space="0" w:color="auto"/>
              <w:right w:val="single" w:sz="4" w:space="0" w:color="auto"/>
            </w:tcBorders>
            <w:shd w:val="clear" w:color="000000" w:fill="FFFFFF"/>
            <w:noWrap/>
            <w:vAlign w:val="center"/>
            <w:hideMark/>
          </w:tcPr>
          <w:p w14:paraId="67435EA4" w14:textId="77777777" w:rsidR="00556E50" w:rsidRPr="00556E50" w:rsidRDefault="00556E50" w:rsidP="0063320E">
            <w:pPr>
              <w:jc w:val="center"/>
              <w:rPr>
                <w:rFonts w:ascii="Arial" w:hAnsi="Arial" w:cs="Arial"/>
                <w:color w:val="000000"/>
              </w:rPr>
            </w:pPr>
            <w:r w:rsidRPr="00556E50">
              <w:rPr>
                <w:rFonts w:ascii="Arial" w:hAnsi="Arial" w:cs="Arial"/>
                <w:color w:val="000000"/>
              </w:rPr>
              <w:t>96 (46,4 %)</w:t>
            </w:r>
          </w:p>
        </w:tc>
        <w:tc>
          <w:tcPr>
            <w:tcW w:w="1417" w:type="dxa"/>
            <w:tcBorders>
              <w:top w:val="nil"/>
              <w:left w:val="nil"/>
              <w:bottom w:val="single" w:sz="4" w:space="0" w:color="auto"/>
              <w:right w:val="single" w:sz="4" w:space="0" w:color="auto"/>
            </w:tcBorders>
            <w:shd w:val="clear" w:color="000000" w:fill="FFFFFF"/>
            <w:noWrap/>
            <w:vAlign w:val="center"/>
            <w:hideMark/>
          </w:tcPr>
          <w:p w14:paraId="1E92AF98" w14:textId="77777777" w:rsidR="00556E50" w:rsidRPr="00556E50" w:rsidRDefault="00556E50" w:rsidP="0063320E">
            <w:pPr>
              <w:jc w:val="center"/>
              <w:rPr>
                <w:rFonts w:ascii="Arial" w:hAnsi="Arial" w:cs="Arial"/>
                <w:color w:val="000000"/>
              </w:rPr>
            </w:pPr>
            <w:r w:rsidRPr="00556E50">
              <w:rPr>
                <w:rFonts w:ascii="Arial" w:hAnsi="Arial" w:cs="Arial"/>
                <w:color w:val="000000"/>
              </w:rPr>
              <w:t>33 (32,7 %)</w:t>
            </w:r>
          </w:p>
        </w:tc>
        <w:tc>
          <w:tcPr>
            <w:tcW w:w="1559" w:type="dxa"/>
            <w:tcBorders>
              <w:top w:val="nil"/>
              <w:left w:val="nil"/>
              <w:bottom w:val="single" w:sz="4" w:space="0" w:color="auto"/>
              <w:right w:val="single" w:sz="4" w:space="0" w:color="auto"/>
            </w:tcBorders>
            <w:shd w:val="clear" w:color="000000" w:fill="FFFFFF"/>
            <w:noWrap/>
            <w:vAlign w:val="center"/>
            <w:hideMark/>
          </w:tcPr>
          <w:p w14:paraId="7C6710EA" w14:textId="77777777" w:rsidR="00556E50" w:rsidRPr="00556E50" w:rsidRDefault="00556E50" w:rsidP="0063320E">
            <w:pPr>
              <w:jc w:val="center"/>
              <w:rPr>
                <w:rFonts w:ascii="Arial" w:hAnsi="Arial" w:cs="Arial"/>
                <w:color w:val="000000"/>
              </w:rPr>
            </w:pPr>
            <w:r w:rsidRPr="00556E50">
              <w:rPr>
                <w:rFonts w:ascii="Arial" w:hAnsi="Arial" w:cs="Arial"/>
                <w:color w:val="000000"/>
              </w:rPr>
              <w:t>34 (46,6 %)</w:t>
            </w:r>
          </w:p>
        </w:tc>
        <w:tc>
          <w:tcPr>
            <w:tcW w:w="1560" w:type="dxa"/>
            <w:tcBorders>
              <w:top w:val="nil"/>
              <w:left w:val="nil"/>
              <w:bottom w:val="single" w:sz="4" w:space="0" w:color="auto"/>
              <w:right w:val="single" w:sz="4" w:space="0" w:color="auto"/>
            </w:tcBorders>
            <w:shd w:val="clear" w:color="000000" w:fill="FFFFFF"/>
            <w:noWrap/>
            <w:vAlign w:val="center"/>
            <w:hideMark/>
          </w:tcPr>
          <w:p w14:paraId="1900D1C7" w14:textId="77777777" w:rsidR="00556E50" w:rsidRPr="00556E50" w:rsidRDefault="00556E50" w:rsidP="0063320E">
            <w:pPr>
              <w:jc w:val="center"/>
              <w:rPr>
                <w:rFonts w:ascii="Arial" w:hAnsi="Arial" w:cs="Arial"/>
                <w:color w:val="000000"/>
              </w:rPr>
            </w:pPr>
            <w:r w:rsidRPr="00556E50">
              <w:rPr>
                <w:rFonts w:ascii="Arial" w:hAnsi="Arial" w:cs="Arial"/>
                <w:color w:val="000000"/>
              </w:rPr>
              <w:t>258 (43,1 %)</w:t>
            </w:r>
          </w:p>
        </w:tc>
        <w:tc>
          <w:tcPr>
            <w:tcW w:w="1417" w:type="dxa"/>
            <w:vMerge/>
            <w:tcBorders>
              <w:top w:val="nil"/>
              <w:left w:val="single" w:sz="4" w:space="0" w:color="auto"/>
              <w:bottom w:val="single" w:sz="4" w:space="0" w:color="auto"/>
              <w:right w:val="single" w:sz="4" w:space="0" w:color="auto"/>
            </w:tcBorders>
            <w:vAlign w:val="center"/>
            <w:hideMark/>
          </w:tcPr>
          <w:p w14:paraId="4F7C8101" w14:textId="77777777" w:rsidR="00556E50" w:rsidRPr="00724EDB" w:rsidRDefault="00556E50" w:rsidP="0063320E">
            <w:pPr>
              <w:jc w:val="center"/>
              <w:rPr>
                <w:rFonts w:ascii="Arial" w:hAnsi="Arial" w:cs="Arial"/>
                <w:color w:val="000000"/>
              </w:rPr>
            </w:pPr>
          </w:p>
        </w:tc>
      </w:tr>
      <w:tr w:rsidR="00911493" w:rsidRPr="00556E50" w14:paraId="6DDAB8C0" w14:textId="77777777" w:rsidTr="002B2F15">
        <w:trPr>
          <w:trHeight w:val="397"/>
        </w:trPr>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7183B1C6" w14:textId="77777777" w:rsidR="00556E50" w:rsidRPr="00556E50" w:rsidRDefault="00556E50" w:rsidP="0063320E">
            <w:pPr>
              <w:jc w:val="center"/>
              <w:rPr>
                <w:rFonts w:ascii="Arial" w:hAnsi="Arial" w:cs="Arial"/>
                <w:color w:val="000000"/>
              </w:rPr>
            </w:pPr>
            <w:r w:rsidRPr="00556E50">
              <w:rPr>
                <w:rFonts w:ascii="Arial" w:hAnsi="Arial" w:cs="Arial"/>
                <w:color w:val="000000"/>
              </w:rPr>
              <w:t>Konzilium specialisty</w:t>
            </w:r>
          </w:p>
        </w:tc>
        <w:tc>
          <w:tcPr>
            <w:tcW w:w="1843" w:type="dxa"/>
            <w:tcBorders>
              <w:top w:val="nil"/>
              <w:left w:val="nil"/>
              <w:bottom w:val="single" w:sz="4" w:space="0" w:color="auto"/>
              <w:right w:val="single" w:sz="4" w:space="0" w:color="auto"/>
            </w:tcBorders>
            <w:shd w:val="clear" w:color="auto" w:fill="auto"/>
            <w:noWrap/>
            <w:vAlign w:val="center"/>
            <w:hideMark/>
          </w:tcPr>
          <w:p w14:paraId="6447E80C" w14:textId="77777777" w:rsidR="00556E50" w:rsidRPr="00556E50" w:rsidRDefault="00556E50" w:rsidP="0063320E">
            <w:pPr>
              <w:jc w:val="center"/>
              <w:rPr>
                <w:rFonts w:ascii="Arial" w:hAnsi="Arial" w:cs="Arial"/>
                <w:color w:val="000000"/>
              </w:rPr>
            </w:pPr>
            <w:r w:rsidRPr="00556E50">
              <w:rPr>
                <w:rFonts w:ascii="Arial" w:hAnsi="Arial" w:cs="Arial"/>
                <w:color w:val="000000"/>
              </w:rPr>
              <w:t>ANO</w:t>
            </w:r>
          </w:p>
        </w:tc>
        <w:tc>
          <w:tcPr>
            <w:tcW w:w="1559" w:type="dxa"/>
            <w:tcBorders>
              <w:top w:val="nil"/>
              <w:left w:val="nil"/>
              <w:bottom w:val="single" w:sz="4" w:space="0" w:color="auto"/>
              <w:right w:val="single" w:sz="4" w:space="0" w:color="auto"/>
            </w:tcBorders>
            <w:shd w:val="clear" w:color="000000" w:fill="FFFFFF"/>
            <w:noWrap/>
            <w:vAlign w:val="center"/>
            <w:hideMark/>
          </w:tcPr>
          <w:p w14:paraId="359DFC96" w14:textId="77777777" w:rsidR="00556E50" w:rsidRPr="00556E50" w:rsidRDefault="00556E50" w:rsidP="0063320E">
            <w:pPr>
              <w:jc w:val="center"/>
              <w:rPr>
                <w:rFonts w:ascii="Arial" w:hAnsi="Arial" w:cs="Arial"/>
                <w:color w:val="000000"/>
              </w:rPr>
            </w:pPr>
            <w:r w:rsidRPr="00556E50">
              <w:rPr>
                <w:rFonts w:ascii="Arial" w:hAnsi="Arial" w:cs="Arial"/>
                <w:color w:val="000000"/>
              </w:rPr>
              <w:t>4 (1,8 %)</w:t>
            </w:r>
          </w:p>
        </w:tc>
        <w:tc>
          <w:tcPr>
            <w:tcW w:w="1560" w:type="dxa"/>
            <w:tcBorders>
              <w:top w:val="nil"/>
              <w:left w:val="nil"/>
              <w:bottom w:val="single" w:sz="4" w:space="0" w:color="auto"/>
              <w:right w:val="single" w:sz="4" w:space="0" w:color="auto"/>
            </w:tcBorders>
            <w:shd w:val="clear" w:color="000000" w:fill="FFFFFF"/>
            <w:noWrap/>
            <w:vAlign w:val="center"/>
            <w:hideMark/>
          </w:tcPr>
          <w:p w14:paraId="08EFD35F" w14:textId="77777777" w:rsidR="00556E50" w:rsidRPr="00556E50" w:rsidRDefault="00556E50" w:rsidP="0063320E">
            <w:pPr>
              <w:jc w:val="center"/>
              <w:rPr>
                <w:rFonts w:ascii="Arial" w:hAnsi="Arial" w:cs="Arial"/>
                <w:color w:val="000000"/>
              </w:rPr>
            </w:pPr>
            <w:r w:rsidRPr="00556E50">
              <w:rPr>
                <w:rFonts w:ascii="Arial" w:hAnsi="Arial" w:cs="Arial"/>
                <w:color w:val="000000"/>
              </w:rPr>
              <w:t>4 (1,9 %)</w:t>
            </w:r>
          </w:p>
        </w:tc>
        <w:tc>
          <w:tcPr>
            <w:tcW w:w="1417" w:type="dxa"/>
            <w:tcBorders>
              <w:top w:val="nil"/>
              <w:left w:val="nil"/>
              <w:bottom w:val="single" w:sz="4" w:space="0" w:color="auto"/>
              <w:right w:val="single" w:sz="4" w:space="0" w:color="auto"/>
            </w:tcBorders>
            <w:shd w:val="clear" w:color="000000" w:fill="FFFFFF"/>
            <w:noWrap/>
            <w:vAlign w:val="center"/>
            <w:hideMark/>
          </w:tcPr>
          <w:p w14:paraId="738CA4EC" w14:textId="77777777" w:rsidR="00556E50" w:rsidRPr="00556E50" w:rsidRDefault="00556E50" w:rsidP="0063320E">
            <w:pPr>
              <w:jc w:val="center"/>
              <w:rPr>
                <w:rFonts w:ascii="Arial" w:hAnsi="Arial" w:cs="Arial"/>
                <w:color w:val="000000"/>
              </w:rPr>
            </w:pPr>
            <w:r w:rsidRPr="00556E50">
              <w:rPr>
                <w:rFonts w:ascii="Arial" w:hAnsi="Arial" w:cs="Arial"/>
                <w:color w:val="000000"/>
              </w:rPr>
              <w:t>7 (6,9 %)</w:t>
            </w:r>
          </w:p>
        </w:tc>
        <w:tc>
          <w:tcPr>
            <w:tcW w:w="1559" w:type="dxa"/>
            <w:tcBorders>
              <w:top w:val="nil"/>
              <w:left w:val="nil"/>
              <w:bottom w:val="single" w:sz="4" w:space="0" w:color="auto"/>
              <w:right w:val="single" w:sz="4" w:space="0" w:color="auto"/>
            </w:tcBorders>
            <w:shd w:val="clear" w:color="000000" w:fill="FFFFFF"/>
            <w:noWrap/>
            <w:vAlign w:val="center"/>
            <w:hideMark/>
          </w:tcPr>
          <w:p w14:paraId="759FE186" w14:textId="77777777" w:rsidR="00556E50" w:rsidRPr="00556E50" w:rsidRDefault="00556E50" w:rsidP="0063320E">
            <w:pPr>
              <w:jc w:val="center"/>
              <w:rPr>
                <w:rFonts w:ascii="Arial" w:hAnsi="Arial" w:cs="Arial"/>
                <w:color w:val="000000"/>
              </w:rPr>
            </w:pPr>
            <w:r w:rsidRPr="00556E50">
              <w:rPr>
                <w:rFonts w:ascii="Arial" w:hAnsi="Arial" w:cs="Arial"/>
                <w:color w:val="000000"/>
              </w:rPr>
              <w:t>1 (1,4 %)</w:t>
            </w:r>
          </w:p>
        </w:tc>
        <w:tc>
          <w:tcPr>
            <w:tcW w:w="1560" w:type="dxa"/>
            <w:tcBorders>
              <w:top w:val="nil"/>
              <w:left w:val="nil"/>
              <w:bottom w:val="single" w:sz="4" w:space="0" w:color="auto"/>
              <w:right w:val="single" w:sz="4" w:space="0" w:color="auto"/>
            </w:tcBorders>
            <w:shd w:val="clear" w:color="000000" w:fill="FFFFFF"/>
            <w:noWrap/>
            <w:vAlign w:val="center"/>
            <w:hideMark/>
          </w:tcPr>
          <w:p w14:paraId="119BD22F" w14:textId="77777777" w:rsidR="00556E50" w:rsidRPr="00556E50" w:rsidRDefault="00556E50" w:rsidP="0063320E">
            <w:pPr>
              <w:jc w:val="center"/>
              <w:rPr>
                <w:rFonts w:ascii="Arial" w:hAnsi="Arial" w:cs="Arial"/>
                <w:color w:val="000000"/>
              </w:rPr>
            </w:pPr>
            <w:r w:rsidRPr="00556E50">
              <w:rPr>
                <w:rFonts w:ascii="Arial" w:hAnsi="Arial" w:cs="Arial"/>
                <w:color w:val="000000"/>
              </w:rPr>
              <w:t>16 (2,7 %)</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DB1C55" w14:textId="6AC5E4F7" w:rsidR="00556E50" w:rsidRPr="00724EDB" w:rsidRDefault="00FE7B66" w:rsidP="0063320E">
            <w:pPr>
              <w:jc w:val="center"/>
              <w:rPr>
                <w:rFonts w:ascii="Arial" w:hAnsi="Arial" w:cs="Arial"/>
                <w:color w:val="000000"/>
              </w:rPr>
            </w:pPr>
            <w:r w:rsidRPr="00724EDB">
              <w:rPr>
                <w:rFonts w:ascii="Arial" w:hAnsi="Arial" w:cs="Arial"/>
                <w:color w:val="000000"/>
              </w:rPr>
              <w:t>*</w:t>
            </w:r>
            <w:r w:rsidR="00025C96">
              <w:rPr>
                <w:rFonts w:ascii="Arial" w:hAnsi="Arial" w:cs="Arial"/>
                <w:color w:val="000000"/>
              </w:rPr>
              <w:t xml:space="preserve">* </w:t>
            </w:r>
            <w:r w:rsidR="00911493" w:rsidRPr="00724EDB">
              <w:rPr>
                <w:rFonts w:ascii="Arial" w:hAnsi="Arial" w:cs="Arial"/>
                <w:color w:val="000000"/>
              </w:rPr>
              <w:t>0,</w:t>
            </w:r>
            <w:r w:rsidR="00E7174A" w:rsidRPr="00724EDB">
              <w:rPr>
                <w:rFonts w:ascii="Arial" w:hAnsi="Arial" w:cs="Arial"/>
                <w:color w:val="000000"/>
              </w:rPr>
              <w:t>090</w:t>
            </w:r>
          </w:p>
        </w:tc>
      </w:tr>
      <w:tr w:rsidR="00911493" w:rsidRPr="00556E50" w14:paraId="3A67DA5F" w14:textId="77777777" w:rsidTr="002B2F15">
        <w:trPr>
          <w:trHeight w:val="397"/>
        </w:trPr>
        <w:tc>
          <w:tcPr>
            <w:tcW w:w="1696" w:type="dxa"/>
            <w:vMerge/>
            <w:tcBorders>
              <w:top w:val="nil"/>
              <w:left w:val="single" w:sz="4" w:space="0" w:color="auto"/>
              <w:bottom w:val="single" w:sz="4" w:space="0" w:color="auto"/>
              <w:right w:val="single" w:sz="4" w:space="0" w:color="auto"/>
            </w:tcBorders>
            <w:vAlign w:val="center"/>
            <w:hideMark/>
          </w:tcPr>
          <w:p w14:paraId="7AEE8FB6" w14:textId="77777777" w:rsidR="00556E50" w:rsidRPr="00556E50" w:rsidRDefault="00556E50" w:rsidP="0063320E">
            <w:pPr>
              <w:jc w:val="center"/>
              <w:rPr>
                <w:rFonts w:ascii="Arial" w:hAnsi="Arial" w:cs="Arial"/>
                <w:color w:val="000000"/>
              </w:rPr>
            </w:pPr>
          </w:p>
        </w:tc>
        <w:tc>
          <w:tcPr>
            <w:tcW w:w="1843" w:type="dxa"/>
            <w:tcBorders>
              <w:top w:val="nil"/>
              <w:left w:val="nil"/>
              <w:bottom w:val="single" w:sz="4" w:space="0" w:color="auto"/>
              <w:right w:val="single" w:sz="4" w:space="0" w:color="auto"/>
            </w:tcBorders>
            <w:shd w:val="clear" w:color="auto" w:fill="auto"/>
            <w:noWrap/>
            <w:vAlign w:val="center"/>
            <w:hideMark/>
          </w:tcPr>
          <w:p w14:paraId="2D0C43F6" w14:textId="77777777" w:rsidR="00556E50" w:rsidRPr="00556E50" w:rsidRDefault="00556E50" w:rsidP="0063320E">
            <w:pPr>
              <w:jc w:val="center"/>
              <w:rPr>
                <w:rFonts w:ascii="Arial" w:hAnsi="Arial" w:cs="Arial"/>
                <w:color w:val="000000"/>
              </w:rPr>
            </w:pPr>
            <w:r w:rsidRPr="00556E50">
              <w:rPr>
                <w:rFonts w:ascii="Arial" w:hAnsi="Arial" w:cs="Arial"/>
                <w:color w:val="000000"/>
              </w:rPr>
              <w:t>NE</w:t>
            </w:r>
          </w:p>
        </w:tc>
        <w:tc>
          <w:tcPr>
            <w:tcW w:w="1559" w:type="dxa"/>
            <w:tcBorders>
              <w:top w:val="nil"/>
              <w:left w:val="nil"/>
              <w:bottom w:val="single" w:sz="4" w:space="0" w:color="auto"/>
              <w:right w:val="single" w:sz="4" w:space="0" w:color="auto"/>
            </w:tcBorders>
            <w:shd w:val="clear" w:color="000000" w:fill="FFFFFF"/>
            <w:noWrap/>
            <w:vAlign w:val="center"/>
            <w:hideMark/>
          </w:tcPr>
          <w:p w14:paraId="4A97FE2C" w14:textId="77777777" w:rsidR="00556E50" w:rsidRPr="00556E50" w:rsidRDefault="00556E50" w:rsidP="0063320E">
            <w:pPr>
              <w:jc w:val="center"/>
              <w:rPr>
                <w:rFonts w:ascii="Arial" w:hAnsi="Arial" w:cs="Arial"/>
                <w:color w:val="000000"/>
              </w:rPr>
            </w:pPr>
            <w:r w:rsidRPr="00556E50">
              <w:rPr>
                <w:rFonts w:ascii="Arial" w:hAnsi="Arial" w:cs="Arial"/>
                <w:color w:val="000000"/>
              </w:rPr>
              <w:t>213 (98,2 %)</w:t>
            </w:r>
          </w:p>
        </w:tc>
        <w:tc>
          <w:tcPr>
            <w:tcW w:w="1560" w:type="dxa"/>
            <w:tcBorders>
              <w:top w:val="nil"/>
              <w:left w:val="nil"/>
              <w:bottom w:val="single" w:sz="4" w:space="0" w:color="auto"/>
              <w:right w:val="single" w:sz="4" w:space="0" w:color="auto"/>
            </w:tcBorders>
            <w:shd w:val="clear" w:color="000000" w:fill="FFFFFF"/>
            <w:noWrap/>
            <w:vAlign w:val="center"/>
            <w:hideMark/>
          </w:tcPr>
          <w:p w14:paraId="43FEB49A" w14:textId="77777777" w:rsidR="00556E50" w:rsidRPr="00556E50" w:rsidRDefault="00556E50" w:rsidP="0063320E">
            <w:pPr>
              <w:jc w:val="center"/>
              <w:rPr>
                <w:rFonts w:ascii="Arial" w:hAnsi="Arial" w:cs="Arial"/>
                <w:color w:val="000000"/>
              </w:rPr>
            </w:pPr>
            <w:r w:rsidRPr="00556E50">
              <w:rPr>
                <w:rFonts w:ascii="Arial" w:hAnsi="Arial" w:cs="Arial"/>
                <w:color w:val="000000"/>
              </w:rPr>
              <w:t>203 (98,1 %)</w:t>
            </w:r>
          </w:p>
        </w:tc>
        <w:tc>
          <w:tcPr>
            <w:tcW w:w="1417" w:type="dxa"/>
            <w:tcBorders>
              <w:top w:val="nil"/>
              <w:left w:val="nil"/>
              <w:bottom w:val="single" w:sz="4" w:space="0" w:color="auto"/>
              <w:right w:val="single" w:sz="4" w:space="0" w:color="auto"/>
            </w:tcBorders>
            <w:shd w:val="clear" w:color="000000" w:fill="FFFFFF"/>
            <w:noWrap/>
            <w:vAlign w:val="center"/>
            <w:hideMark/>
          </w:tcPr>
          <w:p w14:paraId="1D6350E3" w14:textId="77777777" w:rsidR="00556E50" w:rsidRPr="00556E50" w:rsidRDefault="00556E50" w:rsidP="0063320E">
            <w:pPr>
              <w:jc w:val="center"/>
              <w:rPr>
                <w:rFonts w:ascii="Arial" w:hAnsi="Arial" w:cs="Arial"/>
                <w:color w:val="000000"/>
              </w:rPr>
            </w:pPr>
            <w:r w:rsidRPr="00556E50">
              <w:rPr>
                <w:rFonts w:ascii="Arial" w:hAnsi="Arial" w:cs="Arial"/>
                <w:color w:val="000000"/>
              </w:rPr>
              <w:t>94 (93,1 %)</w:t>
            </w:r>
          </w:p>
        </w:tc>
        <w:tc>
          <w:tcPr>
            <w:tcW w:w="1559" w:type="dxa"/>
            <w:tcBorders>
              <w:top w:val="nil"/>
              <w:left w:val="nil"/>
              <w:bottom w:val="single" w:sz="4" w:space="0" w:color="auto"/>
              <w:right w:val="single" w:sz="4" w:space="0" w:color="auto"/>
            </w:tcBorders>
            <w:shd w:val="clear" w:color="000000" w:fill="FFFFFF"/>
            <w:noWrap/>
            <w:vAlign w:val="center"/>
            <w:hideMark/>
          </w:tcPr>
          <w:p w14:paraId="0622DF3F" w14:textId="77777777" w:rsidR="00556E50" w:rsidRPr="00556E50" w:rsidRDefault="00556E50" w:rsidP="0063320E">
            <w:pPr>
              <w:jc w:val="center"/>
              <w:rPr>
                <w:rFonts w:ascii="Arial" w:hAnsi="Arial" w:cs="Arial"/>
                <w:color w:val="000000"/>
              </w:rPr>
            </w:pPr>
            <w:r w:rsidRPr="00556E50">
              <w:rPr>
                <w:rFonts w:ascii="Arial" w:hAnsi="Arial" w:cs="Arial"/>
                <w:color w:val="000000"/>
              </w:rPr>
              <w:t>72 (98,6 %)</w:t>
            </w:r>
          </w:p>
        </w:tc>
        <w:tc>
          <w:tcPr>
            <w:tcW w:w="1560" w:type="dxa"/>
            <w:tcBorders>
              <w:top w:val="nil"/>
              <w:left w:val="nil"/>
              <w:bottom w:val="single" w:sz="4" w:space="0" w:color="auto"/>
              <w:right w:val="single" w:sz="4" w:space="0" w:color="auto"/>
            </w:tcBorders>
            <w:shd w:val="clear" w:color="000000" w:fill="FFFFFF"/>
            <w:noWrap/>
            <w:vAlign w:val="center"/>
            <w:hideMark/>
          </w:tcPr>
          <w:p w14:paraId="02DB3202" w14:textId="77777777" w:rsidR="00556E50" w:rsidRPr="00556E50" w:rsidRDefault="00556E50" w:rsidP="0063320E">
            <w:pPr>
              <w:jc w:val="center"/>
              <w:rPr>
                <w:rFonts w:ascii="Arial" w:hAnsi="Arial" w:cs="Arial"/>
                <w:color w:val="000000"/>
              </w:rPr>
            </w:pPr>
            <w:r w:rsidRPr="00556E50">
              <w:rPr>
                <w:rFonts w:ascii="Arial" w:hAnsi="Arial" w:cs="Arial"/>
                <w:color w:val="000000"/>
              </w:rPr>
              <w:t>582 (97,3 %)</w:t>
            </w:r>
          </w:p>
        </w:tc>
        <w:tc>
          <w:tcPr>
            <w:tcW w:w="1417" w:type="dxa"/>
            <w:vMerge/>
            <w:tcBorders>
              <w:top w:val="nil"/>
              <w:left w:val="single" w:sz="4" w:space="0" w:color="auto"/>
              <w:bottom w:val="single" w:sz="4" w:space="0" w:color="auto"/>
              <w:right w:val="single" w:sz="4" w:space="0" w:color="auto"/>
            </w:tcBorders>
            <w:vAlign w:val="center"/>
            <w:hideMark/>
          </w:tcPr>
          <w:p w14:paraId="2E1A1A18" w14:textId="77777777" w:rsidR="00556E50" w:rsidRPr="00556E50" w:rsidRDefault="00556E50" w:rsidP="0063320E">
            <w:pPr>
              <w:jc w:val="center"/>
              <w:rPr>
                <w:rFonts w:ascii="Arial" w:hAnsi="Arial" w:cs="Arial"/>
                <w:color w:val="000000"/>
              </w:rPr>
            </w:pPr>
          </w:p>
        </w:tc>
      </w:tr>
    </w:tbl>
    <w:p w14:paraId="1AF9DDF9" w14:textId="038AAA52" w:rsidR="00D758D2" w:rsidRDefault="00E936BB" w:rsidP="00E936BB">
      <w:pPr>
        <w:pStyle w:val="Popisobrzku"/>
      </w:pPr>
      <w:r w:rsidRPr="00556E50">
        <w:t xml:space="preserve">Chí-kvadrát test (χ2), koeficient </w:t>
      </w:r>
      <w:proofErr w:type="spellStart"/>
      <w:r w:rsidRPr="00556E50">
        <w:t>asociance</w:t>
      </w:r>
      <w:proofErr w:type="spellEnd"/>
      <w:r w:rsidRPr="00556E50">
        <w:t xml:space="preserve"> Fí</w:t>
      </w:r>
      <w:r>
        <w:t xml:space="preserve">, </w:t>
      </w:r>
      <w:proofErr w:type="spellStart"/>
      <w:r w:rsidRPr="00556E50">
        <w:t>Cramerovo</w:t>
      </w:r>
      <w:proofErr w:type="spellEnd"/>
      <w:r w:rsidRPr="00556E50">
        <w:t xml:space="preserve"> V (CV)</w:t>
      </w:r>
      <w:r>
        <w:t xml:space="preserve"> a </w:t>
      </w:r>
      <w:r w:rsidRPr="006B23E6">
        <w:t xml:space="preserve">p-hodnota </w:t>
      </w:r>
      <w:proofErr w:type="spellStart"/>
      <w:r w:rsidRPr="006B23E6">
        <w:t>Fisherova</w:t>
      </w:r>
      <w:proofErr w:type="spellEnd"/>
      <w:r w:rsidRPr="006B23E6">
        <w:t xml:space="preserve"> testu</w:t>
      </w:r>
      <w:r w:rsidRPr="00556E50">
        <w:t xml:space="preserve"> byly použity s hladinou významnosti &lt;0,05.</w:t>
      </w:r>
      <w:r w:rsidR="00EE02C4">
        <w:t xml:space="preserve"> *</w:t>
      </w:r>
      <w:r w:rsidR="00025C96">
        <w:t>*</w:t>
      </w:r>
      <w:r w:rsidR="00E159FC" w:rsidRPr="00E159FC">
        <w:t xml:space="preserve"> Z důvodu splnění podmínek pro výpočet </w:t>
      </w:r>
      <w:proofErr w:type="spellStart"/>
      <w:r w:rsidR="00E159FC" w:rsidRPr="00E159FC">
        <w:t>Fisherova</w:t>
      </w:r>
      <w:proofErr w:type="spellEnd"/>
      <w:r w:rsidR="00E159FC" w:rsidRPr="00E159FC">
        <w:t xml:space="preserve"> exaktního testu bylo v dílčí analýze použito rozdělení do dvou věkových kategorií, a to 75–84 a 85+</w:t>
      </w:r>
      <w:r w:rsidR="00EE02C4" w:rsidRPr="00EE02C4">
        <w:t>.</w:t>
      </w:r>
    </w:p>
    <w:p w14:paraId="4340D6A5" w14:textId="5AC03406" w:rsidR="00F20760" w:rsidRDefault="00F20760" w:rsidP="00F20760">
      <w:pPr>
        <w:pStyle w:val="Titulektabulky"/>
      </w:pPr>
      <w:bookmarkStart w:id="54" w:name="_Toc195517144"/>
      <w:r w:rsidRPr="003656E6">
        <w:lastRenderedPageBreak/>
        <w:t xml:space="preserve">Tab. </w:t>
      </w:r>
      <w:fldSimple w:instr=" SEQ Tab. \* ARABIC ">
        <w:r w:rsidR="006B23E6" w:rsidRPr="003656E6">
          <w:rPr>
            <w:noProof/>
          </w:rPr>
          <w:t>19</w:t>
        </w:r>
      </w:fldSimple>
      <w:r w:rsidRPr="003656E6">
        <w:t xml:space="preserve">: Závislost mezi </w:t>
      </w:r>
      <w:r w:rsidR="00DE23B5" w:rsidRPr="003656E6">
        <w:t>spádovostí</w:t>
      </w:r>
      <w:r w:rsidRPr="003656E6">
        <w:t xml:space="preserve"> pacienta</w:t>
      </w:r>
      <w:r>
        <w:t xml:space="preserve"> ve věku 75 a více let a jeho </w:t>
      </w:r>
      <w:r w:rsidRPr="00E83CA1">
        <w:t>trajektori</w:t>
      </w:r>
      <w:r>
        <w:t>í</w:t>
      </w:r>
      <w:r w:rsidRPr="00E83CA1">
        <w:t xml:space="preserve"> na NUP</w:t>
      </w:r>
      <w:r>
        <w:t xml:space="preserve"> FN Brno</w:t>
      </w:r>
      <w:r w:rsidRPr="00E83CA1">
        <w:t xml:space="preserve"> </w:t>
      </w:r>
      <w:r>
        <w:t>–</w:t>
      </w:r>
      <w:r w:rsidRPr="00E83CA1">
        <w:t xml:space="preserve"> rok 2023 (</w:t>
      </w:r>
      <w:r>
        <w:t xml:space="preserve">řádková %; </w:t>
      </w:r>
      <w:r w:rsidRPr="00E83CA1">
        <w:t>N=598</w:t>
      </w:r>
      <w:r w:rsidR="009732E9">
        <w:t>; *N=592</w:t>
      </w:r>
      <w:r w:rsidRPr="00E83CA1">
        <w:t>)</w:t>
      </w:r>
      <w:bookmarkEnd w:id="54"/>
    </w:p>
    <w:tbl>
      <w:tblPr>
        <w:tblW w:w="12496" w:type="dxa"/>
        <w:tblCellMar>
          <w:left w:w="70" w:type="dxa"/>
          <w:right w:w="70" w:type="dxa"/>
        </w:tblCellMar>
        <w:tblLook w:val="04A0" w:firstRow="1" w:lastRow="0" w:firstColumn="1" w:lastColumn="0" w:noHBand="0" w:noVBand="1"/>
      </w:tblPr>
      <w:tblGrid>
        <w:gridCol w:w="2547"/>
        <w:gridCol w:w="3827"/>
        <w:gridCol w:w="1559"/>
        <w:gridCol w:w="1560"/>
        <w:gridCol w:w="1559"/>
        <w:gridCol w:w="1444"/>
      </w:tblGrid>
      <w:tr w:rsidR="00733548" w:rsidRPr="006B23E6" w14:paraId="399E884C" w14:textId="77777777" w:rsidTr="00E936BB">
        <w:trPr>
          <w:trHeight w:val="308"/>
          <w:tblHeader/>
        </w:trPr>
        <w:tc>
          <w:tcPr>
            <w:tcW w:w="2547"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39F8494" w14:textId="77777777" w:rsidR="006B23E6" w:rsidRPr="006B23E6" w:rsidRDefault="006B23E6" w:rsidP="00733548">
            <w:pPr>
              <w:jc w:val="center"/>
              <w:rPr>
                <w:rFonts w:ascii="Arial" w:hAnsi="Arial" w:cs="Arial"/>
                <w:b/>
                <w:bCs/>
                <w:color w:val="000000"/>
              </w:rPr>
            </w:pPr>
            <w:r w:rsidRPr="006B23E6">
              <w:rPr>
                <w:rFonts w:ascii="Arial" w:hAnsi="Arial" w:cs="Arial"/>
                <w:b/>
                <w:bCs/>
                <w:color w:val="000000"/>
              </w:rPr>
              <w:t>Proměnná</w:t>
            </w:r>
          </w:p>
        </w:tc>
        <w:tc>
          <w:tcPr>
            <w:tcW w:w="3827" w:type="dxa"/>
            <w:tcBorders>
              <w:top w:val="single" w:sz="4" w:space="0" w:color="auto"/>
              <w:left w:val="nil"/>
              <w:bottom w:val="single" w:sz="4" w:space="0" w:color="auto"/>
              <w:right w:val="single" w:sz="4" w:space="0" w:color="auto"/>
            </w:tcBorders>
            <w:shd w:val="clear" w:color="000000" w:fill="DDEBF7"/>
            <w:noWrap/>
            <w:vAlign w:val="center"/>
            <w:hideMark/>
          </w:tcPr>
          <w:p w14:paraId="29AE0E30" w14:textId="77777777" w:rsidR="006B23E6" w:rsidRPr="006B23E6" w:rsidRDefault="006B23E6" w:rsidP="00733548">
            <w:pPr>
              <w:jc w:val="center"/>
              <w:rPr>
                <w:rFonts w:ascii="Arial" w:hAnsi="Arial" w:cs="Arial"/>
                <w:b/>
                <w:bCs/>
                <w:color w:val="000000"/>
              </w:rPr>
            </w:pPr>
            <w:r w:rsidRPr="006B23E6">
              <w:rPr>
                <w:rFonts w:ascii="Arial" w:hAnsi="Arial" w:cs="Arial"/>
                <w:b/>
                <w:bCs/>
                <w:color w:val="000000"/>
              </w:rPr>
              <w:t>Výsledek</w:t>
            </w:r>
          </w:p>
        </w:tc>
        <w:tc>
          <w:tcPr>
            <w:tcW w:w="1559" w:type="dxa"/>
            <w:tcBorders>
              <w:top w:val="single" w:sz="4" w:space="0" w:color="auto"/>
              <w:left w:val="nil"/>
              <w:bottom w:val="single" w:sz="4" w:space="0" w:color="auto"/>
              <w:right w:val="single" w:sz="4" w:space="0" w:color="auto"/>
            </w:tcBorders>
            <w:shd w:val="clear" w:color="000000" w:fill="DDEBF7"/>
            <w:noWrap/>
            <w:vAlign w:val="center"/>
            <w:hideMark/>
          </w:tcPr>
          <w:p w14:paraId="15631AE9" w14:textId="77777777" w:rsidR="006B23E6" w:rsidRPr="006B23E6" w:rsidRDefault="006B23E6" w:rsidP="00733548">
            <w:pPr>
              <w:jc w:val="center"/>
              <w:rPr>
                <w:rFonts w:ascii="Arial" w:hAnsi="Arial" w:cs="Arial"/>
                <w:b/>
                <w:bCs/>
                <w:color w:val="000000"/>
              </w:rPr>
            </w:pPr>
            <w:r w:rsidRPr="006B23E6">
              <w:rPr>
                <w:rFonts w:ascii="Arial" w:hAnsi="Arial" w:cs="Arial"/>
                <w:b/>
                <w:bCs/>
                <w:color w:val="000000"/>
              </w:rPr>
              <w:t>Spádoví</w:t>
            </w:r>
          </w:p>
        </w:tc>
        <w:tc>
          <w:tcPr>
            <w:tcW w:w="1560" w:type="dxa"/>
            <w:tcBorders>
              <w:top w:val="single" w:sz="4" w:space="0" w:color="auto"/>
              <w:left w:val="nil"/>
              <w:bottom w:val="single" w:sz="4" w:space="0" w:color="auto"/>
              <w:right w:val="single" w:sz="4" w:space="0" w:color="auto"/>
            </w:tcBorders>
            <w:shd w:val="clear" w:color="000000" w:fill="DDEBF7"/>
            <w:noWrap/>
            <w:vAlign w:val="center"/>
            <w:hideMark/>
          </w:tcPr>
          <w:p w14:paraId="160C1D76" w14:textId="77777777" w:rsidR="006B23E6" w:rsidRPr="006B23E6" w:rsidRDefault="006B23E6" w:rsidP="00733548">
            <w:pPr>
              <w:jc w:val="center"/>
              <w:rPr>
                <w:rFonts w:ascii="Arial" w:hAnsi="Arial" w:cs="Arial"/>
                <w:b/>
                <w:bCs/>
                <w:color w:val="000000"/>
              </w:rPr>
            </w:pPr>
            <w:r w:rsidRPr="006B23E6">
              <w:rPr>
                <w:rFonts w:ascii="Arial" w:hAnsi="Arial" w:cs="Arial"/>
                <w:b/>
                <w:bCs/>
                <w:color w:val="000000"/>
              </w:rPr>
              <w:t>Nespádoví</w:t>
            </w:r>
          </w:p>
        </w:tc>
        <w:tc>
          <w:tcPr>
            <w:tcW w:w="1559" w:type="dxa"/>
            <w:tcBorders>
              <w:top w:val="single" w:sz="4" w:space="0" w:color="auto"/>
              <w:left w:val="nil"/>
              <w:bottom w:val="single" w:sz="4" w:space="0" w:color="auto"/>
              <w:right w:val="single" w:sz="4" w:space="0" w:color="auto"/>
            </w:tcBorders>
            <w:shd w:val="clear" w:color="000000" w:fill="DDEBF7"/>
            <w:noWrap/>
            <w:vAlign w:val="center"/>
            <w:hideMark/>
          </w:tcPr>
          <w:p w14:paraId="69D2EFE9" w14:textId="77777777" w:rsidR="006B23E6" w:rsidRPr="006B23E6" w:rsidRDefault="006B23E6" w:rsidP="00733548">
            <w:pPr>
              <w:jc w:val="center"/>
              <w:rPr>
                <w:rFonts w:ascii="Arial" w:hAnsi="Arial" w:cs="Arial"/>
                <w:b/>
                <w:bCs/>
                <w:color w:val="000000"/>
              </w:rPr>
            </w:pPr>
            <w:r w:rsidRPr="006B23E6">
              <w:rPr>
                <w:rFonts w:ascii="Arial" w:hAnsi="Arial" w:cs="Arial"/>
                <w:b/>
                <w:bCs/>
                <w:color w:val="000000"/>
              </w:rPr>
              <w:t>Celkem</w:t>
            </w:r>
          </w:p>
        </w:tc>
        <w:tc>
          <w:tcPr>
            <w:tcW w:w="1444" w:type="dxa"/>
            <w:tcBorders>
              <w:top w:val="single" w:sz="4" w:space="0" w:color="auto"/>
              <w:left w:val="nil"/>
              <w:bottom w:val="single" w:sz="4" w:space="0" w:color="auto"/>
              <w:right w:val="single" w:sz="4" w:space="0" w:color="auto"/>
            </w:tcBorders>
            <w:shd w:val="clear" w:color="000000" w:fill="DDEBF7"/>
            <w:noWrap/>
            <w:vAlign w:val="center"/>
            <w:hideMark/>
          </w:tcPr>
          <w:p w14:paraId="5C4AB8C0" w14:textId="07B3A521" w:rsidR="006B23E6" w:rsidRPr="006B23E6" w:rsidRDefault="0002004F" w:rsidP="00733548">
            <w:pPr>
              <w:jc w:val="center"/>
              <w:rPr>
                <w:rFonts w:ascii="Arial" w:hAnsi="Arial" w:cs="Arial"/>
                <w:b/>
                <w:bCs/>
                <w:color w:val="000000"/>
              </w:rPr>
            </w:pPr>
            <w:r>
              <w:rPr>
                <w:rFonts w:ascii="Arial" w:hAnsi="Arial" w:cs="Arial"/>
                <w:b/>
                <w:bCs/>
                <w:color w:val="000000"/>
              </w:rPr>
              <w:t>p</w:t>
            </w:r>
            <w:r w:rsidR="006B23E6" w:rsidRPr="006B23E6">
              <w:rPr>
                <w:rFonts w:ascii="Arial" w:hAnsi="Arial" w:cs="Arial"/>
                <w:b/>
                <w:bCs/>
                <w:color w:val="000000"/>
              </w:rPr>
              <w:t>-hodnota</w:t>
            </w:r>
          </w:p>
        </w:tc>
      </w:tr>
      <w:tr w:rsidR="00A66DEC" w:rsidRPr="006B23E6" w14:paraId="2A852410" w14:textId="77777777" w:rsidTr="00E936BB">
        <w:trPr>
          <w:trHeight w:val="397"/>
        </w:trPr>
        <w:tc>
          <w:tcPr>
            <w:tcW w:w="2547" w:type="dxa"/>
            <w:vMerge w:val="restart"/>
            <w:tcBorders>
              <w:top w:val="nil"/>
              <w:left w:val="single" w:sz="4" w:space="0" w:color="auto"/>
              <w:right w:val="single" w:sz="4" w:space="0" w:color="auto"/>
            </w:tcBorders>
            <w:shd w:val="clear" w:color="auto" w:fill="auto"/>
            <w:vAlign w:val="center"/>
          </w:tcPr>
          <w:p w14:paraId="4F259824" w14:textId="1636D87C" w:rsidR="00A66DEC" w:rsidRDefault="00A66DEC" w:rsidP="00A66DEC">
            <w:pPr>
              <w:jc w:val="center"/>
              <w:rPr>
                <w:rFonts w:ascii="Arial" w:hAnsi="Arial" w:cs="Arial"/>
                <w:color w:val="000000"/>
              </w:rPr>
            </w:pPr>
            <w:r>
              <w:rPr>
                <w:rFonts w:ascii="Arial" w:hAnsi="Arial" w:cs="Arial"/>
                <w:color w:val="000000"/>
              </w:rPr>
              <w:t xml:space="preserve">*Způsob dopravy </w:t>
            </w:r>
          </w:p>
          <w:p w14:paraId="4B3828A5" w14:textId="71B88725" w:rsidR="00A66DEC" w:rsidRPr="006B23E6" w:rsidRDefault="00A66DEC" w:rsidP="00A66DEC">
            <w:pPr>
              <w:jc w:val="center"/>
              <w:rPr>
                <w:rFonts w:ascii="Arial" w:hAnsi="Arial" w:cs="Arial"/>
                <w:color w:val="000000"/>
              </w:rPr>
            </w:pPr>
            <w:r>
              <w:rPr>
                <w:rFonts w:ascii="Arial" w:hAnsi="Arial" w:cs="Arial"/>
                <w:color w:val="000000"/>
              </w:rPr>
              <w:t>k ošetření</w:t>
            </w:r>
          </w:p>
        </w:tc>
        <w:tc>
          <w:tcPr>
            <w:tcW w:w="3827" w:type="dxa"/>
            <w:tcBorders>
              <w:top w:val="nil"/>
              <w:left w:val="nil"/>
              <w:bottom w:val="single" w:sz="4" w:space="0" w:color="auto"/>
              <w:right w:val="single" w:sz="4" w:space="0" w:color="auto"/>
            </w:tcBorders>
            <w:shd w:val="clear" w:color="auto" w:fill="auto"/>
            <w:noWrap/>
            <w:vAlign w:val="center"/>
          </w:tcPr>
          <w:p w14:paraId="447C2645" w14:textId="032C235B" w:rsidR="00A66DEC" w:rsidRPr="006B23E6" w:rsidRDefault="00A66DEC" w:rsidP="00A66DEC">
            <w:pPr>
              <w:jc w:val="center"/>
              <w:rPr>
                <w:rFonts w:ascii="Arial" w:hAnsi="Arial" w:cs="Arial"/>
                <w:color w:val="000000"/>
              </w:rPr>
            </w:pPr>
            <w:r w:rsidRPr="00674975">
              <w:rPr>
                <w:rFonts w:ascii="Arial" w:hAnsi="Arial" w:cs="Arial"/>
              </w:rPr>
              <w:t>ZZS</w:t>
            </w:r>
          </w:p>
        </w:tc>
        <w:tc>
          <w:tcPr>
            <w:tcW w:w="1559" w:type="dxa"/>
            <w:tcBorders>
              <w:top w:val="single" w:sz="4" w:space="0" w:color="333333"/>
              <w:left w:val="nil"/>
              <w:bottom w:val="single" w:sz="4" w:space="0" w:color="333333"/>
              <w:right w:val="single" w:sz="4" w:space="0" w:color="333399"/>
            </w:tcBorders>
            <w:shd w:val="clear" w:color="000000" w:fill="FFFFFF"/>
            <w:noWrap/>
          </w:tcPr>
          <w:p w14:paraId="69D50738" w14:textId="7A11EE13" w:rsidR="00A66DEC" w:rsidRPr="006B23E6" w:rsidRDefault="00A66DEC" w:rsidP="00A66DEC">
            <w:pPr>
              <w:jc w:val="center"/>
              <w:rPr>
                <w:rFonts w:ascii="Arial" w:hAnsi="Arial" w:cs="Arial"/>
                <w:color w:val="000000"/>
              </w:rPr>
            </w:pPr>
            <w:r w:rsidRPr="000522BF">
              <w:rPr>
                <w:rFonts w:ascii="Arial" w:hAnsi="Arial" w:cs="Arial"/>
                <w:color w:val="000000" w:themeColor="text1"/>
              </w:rPr>
              <w:t>367</w:t>
            </w:r>
            <w:r>
              <w:rPr>
                <w:rFonts w:ascii="Arial" w:hAnsi="Arial" w:cs="Arial"/>
                <w:color w:val="000000" w:themeColor="text1"/>
              </w:rPr>
              <w:t xml:space="preserve"> (</w:t>
            </w:r>
            <w:r w:rsidRPr="000522BF">
              <w:rPr>
                <w:rFonts w:ascii="Arial" w:hAnsi="Arial" w:cs="Arial"/>
                <w:color w:val="000000" w:themeColor="text1"/>
              </w:rPr>
              <w:t>65,8</w:t>
            </w:r>
            <w:r>
              <w:rPr>
                <w:rFonts w:ascii="Arial" w:hAnsi="Arial" w:cs="Arial"/>
                <w:color w:val="000000" w:themeColor="text1"/>
              </w:rPr>
              <w:t xml:space="preserve"> </w:t>
            </w:r>
            <w:r w:rsidRPr="000522BF">
              <w:rPr>
                <w:rFonts w:ascii="Arial" w:hAnsi="Arial" w:cs="Arial"/>
                <w:color w:val="000000" w:themeColor="text1"/>
              </w:rPr>
              <w:t>%</w:t>
            </w:r>
            <w:r>
              <w:rPr>
                <w:rFonts w:ascii="Arial" w:hAnsi="Arial" w:cs="Arial"/>
                <w:color w:val="000000" w:themeColor="text1"/>
              </w:rPr>
              <w:t>)</w:t>
            </w:r>
          </w:p>
        </w:tc>
        <w:tc>
          <w:tcPr>
            <w:tcW w:w="1560" w:type="dxa"/>
            <w:tcBorders>
              <w:top w:val="single" w:sz="4" w:space="0" w:color="333333"/>
              <w:left w:val="nil"/>
              <w:bottom w:val="single" w:sz="4" w:space="0" w:color="333333"/>
              <w:right w:val="single" w:sz="4" w:space="0" w:color="333399"/>
            </w:tcBorders>
            <w:shd w:val="clear" w:color="000000" w:fill="FFFFFF"/>
            <w:noWrap/>
          </w:tcPr>
          <w:p w14:paraId="2C82ED99" w14:textId="1CE73AA7" w:rsidR="00A66DEC" w:rsidRPr="006B23E6" w:rsidRDefault="00A66DEC" w:rsidP="00A66DEC">
            <w:pPr>
              <w:jc w:val="center"/>
              <w:rPr>
                <w:rFonts w:ascii="Arial" w:hAnsi="Arial" w:cs="Arial"/>
                <w:color w:val="000000"/>
              </w:rPr>
            </w:pPr>
            <w:r w:rsidRPr="000522BF">
              <w:rPr>
                <w:rFonts w:ascii="Arial" w:hAnsi="Arial" w:cs="Arial"/>
                <w:color w:val="000000" w:themeColor="text1"/>
              </w:rPr>
              <w:t>2</w:t>
            </w:r>
            <w:r>
              <w:rPr>
                <w:rFonts w:ascii="Arial" w:hAnsi="Arial" w:cs="Arial"/>
                <w:color w:val="000000" w:themeColor="text1"/>
              </w:rPr>
              <w:t xml:space="preserve"> (</w:t>
            </w:r>
            <w:r w:rsidRPr="000522BF">
              <w:rPr>
                <w:rFonts w:ascii="Arial" w:hAnsi="Arial" w:cs="Arial"/>
                <w:color w:val="000000" w:themeColor="text1"/>
              </w:rPr>
              <w:t>5,9</w:t>
            </w:r>
            <w:r>
              <w:rPr>
                <w:rFonts w:ascii="Arial" w:hAnsi="Arial" w:cs="Arial"/>
                <w:color w:val="000000" w:themeColor="text1"/>
              </w:rPr>
              <w:t xml:space="preserve"> </w:t>
            </w:r>
            <w:r w:rsidRPr="000522BF">
              <w:rPr>
                <w:rFonts w:ascii="Arial" w:hAnsi="Arial" w:cs="Arial"/>
                <w:color w:val="000000" w:themeColor="text1"/>
              </w:rPr>
              <w:t>%</w:t>
            </w:r>
            <w:r>
              <w:rPr>
                <w:rFonts w:ascii="Arial" w:hAnsi="Arial" w:cs="Arial"/>
                <w:color w:val="000000" w:themeColor="text1"/>
              </w:rPr>
              <w:t>)</w:t>
            </w:r>
          </w:p>
        </w:tc>
        <w:tc>
          <w:tcPr>
            <w:tcW w:w="1559" w:type="dxa"/>
            <w:tcBorders>
              <w:top w:val="single" w:sz="4" w:space="0" w:color="333333"/>
              <w:left w:val="nil"/>
              <w:bottom w:val="single" w:sz="4" w:space="0" w:color="333333"/>
              <w:right w:val="single" w:sz="4" w:space="0" w:color="333399"/>
            </w:tcBorders>
            <w:shd w:val="clear" w:color="000000" w:fill="FFFFFF"/>
            <w:noWrap/>
          </w:tcPr>
          <w:p w14:paraId="35E1E2E5" w14:textId="6DC1D3EF" w:rsidR="00A66DEC" w:rsidRPr="006B23E6" w:rsidRDefault="00A66DEC" w:rsidP="00A66DEC">
            <w:pPr>
              <w:jc w:val="center"/>
              <w:rPr>
                <w:rFonts w:ascii="Arial" w:hAnsi="Arial" w:cs="Arial"/>
                <w:color w:val="000000"/>
              </w:rPr>
            </w:pPr>
            <w:r w:rsidRPr="000522BF">
              <w:rPr>
                <w:rFonts w:ascii="Arial" w:hAnsi="Arial" w:cs="Arial"/>
                <w:color w:val="000000" w:themeColor="text1"/>
              </w:rPr>
              <w:t>369</w:t>
            </w:r>
            <w:r>
              <w:rPr>
                <w:rFonts w:ascii="Arial" w:hAnsi="Arial" w:cs="Arial"/>
                <w:color w:val="000000" w:themeColor="text1"/>
              </w:rPr>
              <w:t xml:space="preserve"> (</w:t>
            </w:r>
            <w:r w:rsidRPr="000522BF">
              <w:rPr>
                <w:rFonts w:ascii="Arial" w:hAnsi="Arial" w:cs="Arial"/>
                <w:color w:val="000000" w:themeColor="text1"/>
              </w:rPr>
              <w:t>62,3</w:t>
            </w:r>
            <w:r>
              <w:rPr>
                <w:rFonts w:ascii="Arial" w:hAnsi="Arial" w:cs="Arial"/>
                <w:color w:val="000000" w:themeColor="text1"/>
              </w:rPr>
              <w:t xml:space="preserve"> </w:t>
            </w:r>
            <w:r w:rsidRPr="000522BF">
              <w:rPr>
                <w:rFonts w:ascii="Arial" w:hAnsi="Arial" w:cs="Arial"/>
                <w:color w:val="000000" w:themeColor="text1"/>
              </w:rPr>
              <w:t>%</w:t>
            </w:r>
            <w:r>
              <w:rPr>
                <w:rFonts w:ascii="Arial" w:hAnsi="Arial" w:cs="Arial"/>
                <w:color w:val="000000" w:themeColor="text1"/>
              </w:rPr>
              <w:t>)</w:t>
            </w:r>
          </w:p>
        </w:tc>
        <w:tc>
          <w:tcPr>
            <w:tcW w:w="1444" w:type="dxa"/>
            <w:vMerge w:val="restart"/>
            <w:tcBorders>
              <w:top w:val="nil"/>
              <w:left w:val="single" w:sz="4" w:space="0" w:color="auto"/>
              <w:right w:val="single" w:sz="4" w:space="0" w:color="auto"/>
            </w:tcBorders>
            <w:shd w:val="clear" w:color="auto" w:fill="auto"/>
            <w:noWrap/>
            <w:vAlign w:val="center"/>
          </w:tcPr>
          <w:p w14:paraId="23237825" w14:textId="02F749DA" w:rsidR="00A16332" w:rsidRPr="003656E6" w:rsidRDefault="008E0065" w:rsidP="00A16332">
            <w:pPr>
              <w:jc w:val="center"/>
              <w:rPr>
                <w:rFonts w:ascii="Arial" w:hAnsi="Arial" w:cs="Arial"/>
                <w:b/>
                <w:bCs/>
                <w:color w:val="000000"/>
              </w:rPr>
            </w:pPr>
            <w:r w:rsidRPr="008E0065">
              <w:rPr>
                <w:rFonts w:ascii="Arial" w:hAnsi="Arial" w:cs="Arial"/>
                <w:color w:val="000000"/>
              </w:rPr>
              <w:t>**</w:t>
            </w:r>
            <w:r>
              <w:rPr>
                <w:rFonts w:ascii="Arial" w:hAnsi="Arial" w:cs="Arial"/>
                <w:b/>
                <w:bCs/>
                <w:color w:val="000000"/>
              </w:rPr>
              <w:t xml:space="preserve"> </w:t>
            </w:r>
            <w:r w:rsidR="00A16332" w:rsidRPr="003656E6">
              <w:rPr>
                <w:rFonts w:ascii="Arial" w:hAnsi="Arial" w:cs="Arial"/>
                <w:b/>
                <w:bCs/>
                <w:color w:val="000000"/>
              </w:rPr>
              <w:t>&lt;0,001</w:t>
            </w:r>
          </w:p>
          <w:p w14:paraId="35CA3CA4" w14:textId="07B699B1" w:rsidR="00A66DEC" w:rsidRPr="003656E6" w:rsidRDefault="00EF36EF" w:rsidP="00A66DEC">
            <w:pPr>
              <w:jc w:val="center"/>
              <w:rPr>
                <w:rFonts w:ascii="Arial" w:hAnsi="Arial" w:cs="Arial"/>
                <w:color w:val="000000"/>
              </w:rPr>
            </w:pPr>
            <w:r w:rsidRPr="003656E6">
              <w:rPr>
                <w:rFonts w:ascii="Arial" w:hAnsi="Arial" w:cs="Arial"/>
                <w:b/>
                <w:bCs/>
                <w:color w:val="000000"/>
              </w:rPr>
              <w:t>Fí=0,282</w:t>
            </w:r>
          </w:p>
        </w:tc>
      </w:tr>
      <w:tr w:rsidR="00A66DEC" w:rsidRPr="006B23E6" w14:paraId="72AFA63C" w14:textId="77777777" w:rsidTr="00E936BB">
        <w:trPr>
          <w:trHeight w:val="397"/>
        </w:trPr>
        <w:tc>
          <w:tcPr>
            <w:tcW w:w="2547" w:type="dxa"/>
            <w:vMerge/>
            <w:tcBorders>
              <w:left w:val="single" w:sz="4" w:space="0" w:color="auto"/>
              <w:right w:val="single" w:sz="4" w:space="0" w:color="auto"/>
            </w:tcBorders>
            <w:shd w:val="clear" w:color="auto" w:fill="auto"/>
            <w:vAlign w:val="center"/>
          </w:tcPr>
          <w:p w14:paraId="199F7DF8" w14:textId="77777777" w:rsidR="00A66DEC" w:rsidRPr="006B23E6" w:rsidRDefault="00A66DEC" w:rsidP="00A66DEC">
            <w:pPr>
              <w:jc w:val="center"/>
              <w:rPr>
                <w:rFonts w:ascii="Arial" w:hAnsi="Arial" w:cs="Arial"/>
                <w:color w:val="000000"/>
              </w:rPr>
            </w:pPr>
          </w:p>
        </w:tc>
        <w:tc>
          <w:tcPr>
            <w:tcW w:w="3827" w:type="dxa"/>
            <w:tcBorders>
              <w:top w:val="nil"/>
              <w:left w:val="nil"/>
              <w:bottom w:val="single" w:sz="4" w:space="0" w:color="auto"/>
              <w:right w:val="single" w:sz="4" w:space="0" w:color="auto"/>
            </w:tcBorders>
            <w:shd w:val="clear" w:color="auto" w:fill="auto"/>
            <w:noWrap/>
            <w:vAlign w:val="center"/>
          </w:tcPr>
          <w:p w14:paraId="16B042C0" w14:textId="4F55055E" w:rsidR="00A66DEC" w:rsidRPr="006B23E6" w:rsidRDefault="00A66DEC" w:rsidP="00A66DEC">
            <w:pPr>
              <w:jc w:val="center"/>
              <w:rPr>
                <w:rFonts w:ascii="Arial" w:hAnsi="Arial" w:cs="Arial"/>
                <w:color w:val="000000"/>
              </w:rPr>
            </w:pPr>
            <w:r w:rsidRPr="00674975">
              <w:rPr>
                <w:rFonts w:ascii="Arial" w:hAnsi="Arial" w:cs="Arial"/>
              </w:rPr>
              <w:t>Sám(a)/doprovod</w:t>
            </w:r>
          </w:p>
        </w:tc>
        <w:tc>
          <w:tcPr>
            <w:tcW w:w="1559" w:type="dxa"/>
            <w:tcBorders>
              <w:top w:val="single" w:sz="4" w:space="0" w:color="333333"/>
              <w:left w:val="nil"/>
              <w:bottom w:val="single" w:sz="4" w:space="0" w:color="333333"/>
              <w:right w:val="single" w:sz="4" w:space="0" w:color="333399"/>
            </w:tcBorders>
            <w:shd w:val="clear" w:color="000000" w:fill="FFFFFF"/>
            <w:noWrap/>
          </w:tcPr>
          <w:p w14:paraId="02FD8750" w14:textId="6BEB2BB3" w:rsidR="00A66DEC" w:rsidRPr="006B23E6" w:rsidRDefault="00A66DEC" w:rsidP="00A66DEC">
            <w:pPr>
              <w:jc w:val="center"/>
              <w:rPr>
                <w:rFonts w:ascii="Arial" w:hAnsi="Arial" w:cs="Arial"/>
                <w:color w:val="000000"/>
              </w:rPr>
            </w:pPr>
            <w:r w:rsidRPr="000522BF">
              <w:rPr>
                <w:rFonts w:ascii="Arial" w:hAnsi="Arial" w:cs="Arial"/>
                <w:color w:val="000000" w:themeColor="text1"/>
              </w:rPr>
              <w:t>86</w:t>
            </w:r>
            <w:r>
              <w:rPr>
                <w:rFonts w:ascii="Arial" w:hAnsi="Arial" w:cs="Arial"/>
                <w:color w:val="000000" w:themeColor="text1"/>
              </w:rPr>
              <w:t xml:space="preserve"> (</w:t>
            </w:r>
            <w:r w:rsidRPr="000522BF">
              <w:rPr>
                <w:rFonts w:ascii="Arial" w:hAnsi="Arial" w:cs="Arial"/>
                <w:color w:val="000000" w:themeColor="text1"/>
              </w:rPr>
              <w:t>15,4</w:t>
            </w:r>
            <w:r>
              <w:rPr>
                <w:rFonts w:ascii="Arial" w:hAnsi="Arial" w:cs="Arial"/>
                <w:color w:val="000000" w:themeColor="text1"/>
              </w:rPr>
              <w:t xml:space="preserve"> </w:t>
            </w:r>
            <w:r w:rsidRPr="000522BF">
              <w:rPr>
                <w:rFonts w:ascii="Arial" w:hAnsi="Arial" w:cs="Arial"/>
                <w:color w:val="000000" w:themeColor="text1"/>
              </w:rPr>
              <w:t>%</w:t>
            </w:r>
            <w:r>
              <w:rPr>
                <w:rFonts w:ascii="Arial" w:hAnsi="Arial" w:cs="Arial"/>
                <w:color w:val="000000" w:themeColor="text1"/>
              </w:rPr>
              <w:t>)</w:t>
            </w:r>
          </w:p>
        </w:tc>
        <w:tc>
          <w:tcPr>
            <w:tcW w:w="1560" w:type="dxa"/>
            <w:tcBorders>
              <w:top w:val="single" w:sz="4" w:space="0" w:color="333333"/>
              <w:left w:val="nil"/>
              <w:bottom w:val="single" w:sz="4" w:space="0" w:color="333333"/>
              <w:right w:val="single" w:sz="4" w:space="0" w:color="333399"/>
            </w:tcBorders>
            <w:shd w:val="clear" w:color="000000" w:fill="FFFFFF"/>
            <w:noWrap/>
          </w:tcPr>
          <w:p w14:paraId="533CA715" w14:textId="37F87527" w:rsidR="00A66DEC" w:rsidRPr="006B23E6" w:rsidRDefault="00A66DEC" w:rsidP="00A66DEC">
            <w:pPr>
              <w:jc w:val="center"/>
              <w:rPr>
                <w:rFonts w:ascii="Arial" w:hAnsi="Arial" w:cs="Arial"/>
                <w:color w:val="000000"/>
              </w:rPr>
            </w:pPr>
            <w:r w:rsidRPr="000522BF">
              <w:rPr>
                <w:rFonts w:ascii="Arial" w:hAnsi="Arial" w:cs="Arial"/>
                <w:color w:val="000000" w:themeColor="text1"/>
              </w:rPr>
              <w:t>19</w:t>
            </w:r>
            <w:r>
              <w:rPr>
                <w:rFonts w:ascii="Arial" w:hAnsi="Arial" w:cs="Arial"/>
                <w:color w:val="000000" w:themeColor="text1"/>
              </w:rPr>
              <w:t xml:space="preserve"> (</w:t>
            </w:r>
            <w:r w:rsidRPr="000522BF">
              <w:rPr>
                <w:rFonts w:ascii="Arial" w:hAnsi="Arial" w:cs="Arial"/>
                <w:color w:val="000000" w:themeColor="text1"/>
              </w:rPr>
              <w:t>55,9</w:t>
            </w:r>
            <w:r>
              <w:rPr>
                <w:rFonts w:ascii="Arial" w:hAnsi="Arial" w:cs="Arial"/>
                <w:color w:val="000000" w:themeColor="text1"/>
              </w:rPr>
              <w:t xml:space="preserve"> </w:t>
            </w:r>
            <w:r w:rsidRPr="000522BF">
              <w:rPr>
                <w:rFonts w:ascii="Arial" w:hAnsi="Arial" w:cs="Arial"/>
                <w:color w:val="000000" w:themeColor="text1"/>
              </w:rPr>
              <w:t>%</w:t>
            </w:r>
            <w:r>
              <w:rPr>
                <w:rFonts w:ascii="Arial" w:hAnsi="Arial" w:cs="Arial"/>
                <w:color w:val="000000" w:themeColor="text1"/>
              </w:rPr>
              <w:t>)</w:t>
            </w:r>
          </w:p>
        </w:tc>
        <w:tc>
          <w:tcPr>
            <w:tcW w:w="1559" w:type="dxa"/>
            <w:tcBorders>
              <w:top w:val="single" w:sz="4" w:space="0" w:color="333333"/>
              <w:left w:val="nil"/>
              <w:bottom w:val="single" w:sz="4" w:space="0" w:color="333333"/>
              <w:right w:val="single" w:sz="4" w:space="0" w:color="333399"/>
            </w:tcBorders>
            <w:shd w:val="clear" w:color="000000" w:fill="FFFFFF"/>
            <w:noWrap/>
          </w:tcPr>
          <w:p w14:paraId="58E2B21D" w14:textId="51B32E36" w:rsidR="00A66DEC" w:rsidRPr="006B23E6" w:rsidRDefault="00A66DEC" w:rsidP="00A66DEC">
            <w:pPr>
              <w:jc w:val="center"/>
              <w:rPr>
                <w:rFonts w:ascii="Arial" w:hAnsi="Arial" w:cs="Arial"/>
                <w:color w:val="000000"/>
              </w:rPr>
            </w:pPr>
            <w:r w:rsidRPr="000522BF">
              <w:rPr>
                <w:rFonts w:ascii="Arial" w:hAnsi="Arial" w:cs="Arial"/>
                <w:color w:val="000000" w:themeColor="text1"/>
              </w:rPr>
              <w:t>105</w:t>
            </w:r>
            <w:r>
              <w:rPr>
                <w:rFonts w:ascii="Arial" w:hAnsi="Arial" w:cs="Arial"/>
                <w:color w:val="000000" w:themeColor="text1"/>
              </w:rPr>
              <w:t xml:space="preserve"> (</w:t>
            </w:r>
            <w:r w:rsidRPr="000522BF">
              <w:rPr>
                <w:rFonts w:ascii="Arial" w:hAnsi="Arial" w:cs="Arial"/>
                <w:color w:val="000000" w:themeColor="text1"/>
              </w:rPr>
              <w:t>17,7</w:t>
            </w:r>
            <w:r>
              <w:rPr>
                <w:rFonts w:ascii="Arial" w:hAnsi="Arial" w:cs="Arial"/>
                <w:color w:val="000000" w:themeColor="text1"/>
              </w:rPr>
              <w:t xml:space="preserve"> </w:t>
            </w:r>
            <w:r w:rsidRPr="000522BF">
              <w:rPr>
                <w:rFonts w:ascii="Arial" w:hAnsi="Arial" w:cs="Arial"/>
                <w:color w:val="000000" w:themeColor="text1"/>
              </w:rPr>
              <w:t>%</w:t>
            </w:r>
            <w:r>
              <w:rPr>
                <w:rFonts w:ascii="Arial" w:hAnsi="Arial" w:cs="Arial"/>
                <w:color w:val="000000" w:themeColor="text1"/>
              </w:rPr>
              <w:t>)</w:t>
            </w:r>
          </w:p>
        </w:tc>
        <w:tc>
          <w:tcPr>
            <w:tcW w:w="1444" w:type="dxa"/>
            <w:vMerge/>
            <w:tcBorders>
              <w:left w:val="single" w:sz="4" w:space="0" w:color="auto"/>
              <w:right w:val="single" w:sz="4" w:space="0" w:color="auto"/>
            </w:tcBorders>
            <w:shd w:val="clear" w:color="auto" w:fill="auto"/>
            <w:noWrap/>
            <w:vAlign w:val="center"/>
          </w:tcPr>
          <w:p w14:paraId="0BD7D915" w14:textId="77777777" w:rsidR="00A66DEC" w:rsidRPr="003656E6" w:rsidRDefault="00A66DEC" w:rsidP="00A66DEC">
            <w:pPr>
              <w:jc w:val="center"/>
              <w:rPr>
                <w:rFonts w:ascii="Arial" w:hAnsi="Arial" w:cs="Arial"/>
                <w:color w:val="000000"/>
              </w:rPr>
            </w:pPr>
          </w:p>
        </w:tc>
      </w:tr>
      <w:tr w:rsidR="00A66DEC" w:rsidRPr="006B23E6" w14:paraId="5A12D878" w14:textId="77777777" w:rsidTr="00E936BB">
        <w:trPr>
          <w:trHeight w:val="397"/>
        </w:trPr>
        <w:tc>
          <w:tcPr>
            <w:tcW w:w="2547" w:type="dxa"/>
            <w:vMerge/>
            <w:tcBorders>
              <w:left w:val="single" w:sz="4" w:space="0" w:color="auto"/>
              <w:right w:val="single" w:sz="4" w:space="0" w:color="auto"/>
            </w:tcBorders>
            <w:shd w:val="clear" w:color="auto" w:fill="auto"/>
            <w:vAlign w:val="center"/>
          </w:tcPr>
          <w:p w14:paraId="163AE54C" w14:textId="77777777" w:rsidR="00A66DEC" w:rsidRPr="006B23E6" w:rsidRDefault="00A66DEC" w:rsidP="00A66DEC">
            <w:pPr>
              <w:jc w:val="center"/>
              <w:rPr>
                <w:rFonts w:ascii="Arial" w:hAnsi="Arial" w:cs="Arial"/>
                <w:color w:val="000000"/>
              </w:rPr>
            </w:pPr>
          </w:p>
        </w:tc>
        <w:tc>
          <w:tcPr>
            <w:tcW w:w="3827" w:type="dxa"/>
            <w:tcBorders>
              <w:top w:val="nil"/>
              <w:left w:val="nil"/>
              <w:bottom w:val="single" w:sz="4" w:space="0" w:color="auto"/>
              <w:right w:val="single" w:sz="4" w:space="0" w:color="auto"/>
            </w:tcBorders>
            <w:shd w:val="clear" w:color="auto" w:fill="auto"/>
            <w:noWrap/>
            <w:vAlign w:val="center"/>
          </w:tcPr>
          <w:p w14:paraId="6C7B5A37" w14:textId="0BBBC08B" w:rsidR="00A66DEC" w:rsidRPr="006B23E6" w:rsidRDefault="00A66DEC" w:rsidP="00A66DEC">
            <w:pPr>
              <w:jc w:val="center"/>
              <w:rPr>
                <w:rFonts w:ascii="Arial" w:hAnsi="Arial" w:cs="Arial"/>
                <w:color w:val="000000"/>
              </w:rPr>
            </w:pPr>
            <w:r w:rsidRPr="00674975">
              <w:rPr>
                <w:rFonts w:ascii="Arial" w:hAnsi="Arial" w:cs="Arial"/>
              </w:rPr>
              <w:t>ZDS</w:t>
            </w:r>
          </w:p>
        </w:tc>
        <w:tc>
          <w:tcPr>
            <w:tcW w:w="1559" w:type="dxa"/>
            <w:tcBorders>
              <w:top w:val="single" w:sz="4" w:space="0" w:color="333333"/>
              <w:left w:val="nil"/>
              <w:bottom w:val="single" w:sz="4" w:space="0" w:color="333333"/>
              <w:right w:val="single" w:sz="4" w:space="0" w:color="333399"/>
            </w:tcBorders>
            <w:shd w:val="clear" w:color="000000" w:fill="FFFFFF"/>
            <w:noWrap/>
          </w:tcPr>
          <w:p w14:paraId="5340E65E" w14:textId="6200ADAC" w:rsidR="00A66DEC" w:rsidRPr="006B23E6" w:rsidRDefault="00A66DEC" w:rsidP="00A66DEC">
            <w:pPr>
              <w:jc w:val="center"/>
              <w:rPr>
                <w:rFonts w:ascii="Arial" w:hAnsi="Arial" w:cs="Arial"/>
                <w:color w:val="000000"/>
              </w:rPr>
            </w:pPr>
            <w:r w:rsidRPr="000522BF">
              <w:rPr>
                <w:rFonts w:ascii="Arial" w:hAnsi="Arial" w:cs="Arial"/>
                <w:color w:val="000000" w:themeColor="text1"/>
              </w:rPr>
              <w:t>43</w:t>
            </w:r>
            <w:r>
              <w:rPr>
                <w:rFonts w:ascii="Arial" w:hAnsi="Arial" w:cs="Arial"/>
                <w:color w:val="000000" w:themeColor="text1"/>
              </w:rPr>
              <w:t xml:space="preserve"> (</w:t>
            </w:r>
            <w:r w:rsidRPr="000522BF">
              <w:rPr>
                <w:rFonts w:ascii="Arial" w:hAnsi="Arial" w:cs="Arial"/>
                <w:color w:val="000000" w:themeColor="text1"/>
              </w:rPr>
              <w:t>7,7</w:t>
            </w:r>
            <w:r>
              <w:rPr>
                <w:rFonts w:ascii="Arial" w:hAnsi="Arial" w:cs="Arial"/>
                <w:color w:val="000000" w:themeColor="text1"/>
              </w:rPr>
              <w:t xml:space="preserve"> </w:t>
            </w:r>
            <w:r w:rsidRPr="000522BF">
              <w:rPr>
                <w:rFonts w:ascii="Arial" w:hAnsi="Arial" w:cs="Arial"/>
                <w:color w:val="000000" w:themeColor="text1"/>
              </w:rPr>
              <w:t>%</w:t>
            </w:r>
            <w:r>
              <w:rPr>
                <w:rFonts w:ascii="Arial" w:hAnsi="Arial" w:cs="Arial"/>
                <w:color w:val="000000" w:themeColor="text1"/>
              </w:rPr>
              <w:t>)</w:t>
            </w:r>
          </w:p>
        </w:tc>
        <w:tc>
          <w:tcPr>
            <w:tcW w:w="1560" w:type="dxa"/>
            <w:tcBorders>
              <w:top w:val="single" w:sz="4" w:space="0" w:color="333333"/>
              <w:left w:val="nil"/>
              <w:bottom w:val="single" w:sz="4" w:space="0" w:color="333333"/>
              <w:right w:val="single" w:sz="4" w:space="0" w:color="333399"/>
            </w:tcBorders>
            <w:shd w:val="clear" w:color="000000" w:fill="FFFFFF"/>
            <w:noWrap/>
          </w:tcPr>
          <w:p w14:paraId="7BD27DAF" w14:textId="4F139A71" w:rsidR="00A66DEC" w:rsidRPr="006B23E6" w:rsidRDefault="00A66DEC" w:rsidP="00A66DEC">
            <w:pPr>
              <w:jc w:val="center"/>
              <w:rPr>
                <w:rFonts w:ascii="Arial" w:hAnsi="Arial" w:cs="Arial"/>
                <w:color w:val="000000"/>
              </w:rPr>
            </w:pPr>
            <w:r w:rsidRPr="000522BF">
              <w:rPr>
                <w:rFonts w:ascii="Arial" w:hAnsi="Arial" w:cs="Arial"/>
                <w:color w:val="000000" w:themeColor="text1"/>
              </w:rPr>
              <w:t>0</w:t>
            </w:r>
            <w:r>
              <w:rPr>
                <w:rFonts w:ascii="Arial" w:hAnsi="Arial" w:cs="Arial"/>
                <w:color w:val="000000" w:themeColor="text1"/>
              </w:rPr>
              <w:t xml:space="preserve"> (</w:t>
            </w:r>
            <w:r w:rsidRPr="000522BF">
              <w:rPr>
                <w:rFonts w:ascii="Arial" w:hAnsi="Arial" w:cs="Arial"/>
                <w:color w:val="000000" w:themeColor="text1"/>
              </w:rPr>
              <w:t>0,0</w:t>
            </w:r>
            <w:r>
              <w:rPr>
                <w:rFonts w:ascii="Arial" w:hAnsi="Arial" w:cs="Arial"/>
                <w:color w:val="000000" w:themeColor="text1"/>
              </w:rPr>
              <w:t xml:space="preserve"> </w:t>
            </w:r>
            <w:r w:rsidRPr="000522BF">
              <w:rPr>
                <w:rFonts w:ascii="Arial" w:hAnsi="Arial" w:cs="Arial"/>
                <w:color w:val="000000" w:themeColor="text1"/>
              </w:rPr>
              <w:t>%</w:t>
            </w:r>
            <w:r>
              <w:rPr>
                <w:rFonts w:ascii="Arial" w:hAnsi="Arial" w:cs="Arial"/>
                <w:color w:val="000000" w:themeColor="text1"/>
              </w:rPr>
              <w:t>)</w:t>
            </w:r>
          </w:p>
        </w:tc>
        <w:tc>
          <w:tcPr>
            <w:tcW w:w="1559" w:type="dxa"/>
            <w:tcBorders>
              <w:top w:val="single" w:sz="4" w:space="0" w:color="333333"/>
              <w:left w:val="nil"/>
              <w:bottom w:val="single" w:sz="4" w:space="0" w:color="333333"/>
              <w:right w:val="single" w:sz="4" w:space="0" w:color="333399"/>
            </w:tcBorders>
            <w:shd w:val="clear" w:color="000000" w:fill="FFFFFF"/>
            <w:noWrap/>
          </w:tcPr>
          <w:p w14:paraId="552CA519" w14:textId="3E18BDAA" w:rsidR="00A66DEC" w:rsidRPr="006B23E6" w:rsidRDefault="00A66DEC" w:rsidP="00A66DEC">
            <w:pPr>
              <w:jc w:val="center"/>
              <w:rPr>
                <w:rFonts w:ascii="Arial" w:hAnsi="Arial" w:cs="Arial"/>
                <w:color w:val="000000"/>
              </w:rPr>
            </w:pPr>
            <w:r w:rsidRPr="000522BF">
              <w:rPr>
                <w:rFonts w:ascii="Arial" w:hAnsi="Arial" w:cs="Arial"/>
                <w:color w:val="000000" w:themeColor="text1"/>
              </w:rPr>
              <w:t>43</w:t>
            </w:r>
            <w:r>
              <w:rPr>
                <w:rFonts w:ascii="Arial" w:hAnsi="Arial" w:cs="Arial"/>
                <w:color w:val="000000" w:themeColor="text1"/>
              </w:rPr>
              <w:t xml:space="preserve"> (</w:t>
            </w:r>
            <w:r w:rsidRPr="000522BF">
              <w:rPr>
                <w:rFonts w:ascii="Arial" w:hAnsi="Arial" w:cs="Arial"/>
                <w:color w:val="000000" w:themeColor="text1"/>
              </w:rPr>
              <w:t>7,3</w:t>
            </w:r>
            <w:r>
              <w:rPr>
                <w:rFonts w:ascii="Arial" w:hAnsi="Arial" w:cs="Arial"/>
                <w:color w:val="000000" w:themeColor="text1"/>
              </w:rPr>
              <w:t xml:space="preserve"> </w:t>
            </w:r>
            <w:r w:rsidRPr="000522BF">
              <w:rPr>
                <w:rFonts w:ascii="Arial" w:hAnsi="Arial" w:cs="Arial"/>
                <w:color w:val="000000" w:themeColor="text1"/>
              </w:rPr>
              <w:t>%</w:t>
            </w:r>
            <w:r>
              <w:rPr>
                <w:rFonts w:ascii="Arial" w:hAnsi="Arial" w:cs="Arial"/>
                <w:color w:val="000000" w:themeColor="text1"/>
              </w:rPr>
              <w:t>)</w:t>
            </w:r>
          </w:p>
        </w:tc>
        <w:tc>
          <w:tcPr>
            <w:tcW w:w="1444" w:type="dxa"/>
            <w:vMerge/>
            <w:tcBorders>
              <w:left w:val="single" w:sz="4" w:space="0" w:color="auto"/>
              <w:right w:val="single" w:sz="4" w:space="0" w:color="auto"/>
            </w:tcBorders>
            <w:shd w:val="clear" w:color="auto" w:fill="auto"/>
            <w:noWrap/>
            <w:vAlign w:val="center"/>
          </w:tcPr>
          <w:p w14:paraId="2CC69A1B" w14:textId="77777777" w:rsidR="00A66DEC" w:rsidRPr="003656E6" w:rsidRDefault="00A66DEC" w:rsidP="00A66DEC">
            <w:pPr>
              <w:jc w:val="center"/>
              <w:rPr>
                <w:rFonts w:ascii="Arial" w:hAnsi="Arial" w:cs="Arial"/>
                <w:color w:val="000000"/>
              </w:rPr>
            </w:pPr>
          </w:p>
        </w:tc>
      </w:tr>
      <w:tr w:rsidR="00A66DEC" w:rsidRPr="006B23E6" w14:paraId="000AFAA6" w14:textId="77777777" w:rsidTr="00E936BB">
        <w:trPr>
          <w:trHeight w:val="397"/>
        </w:trPr>
        <w:tc>
          <w:tcPr>
            <w:tcW w:w="2547" w:type="dxa"/>
            <w:vMerge/>
            <w:tcBorders>
              <w:left w:val="single" w:sz="4" w:space="0" w:color="auto"/>
              <w:bottom w:val="single" w:sz="4" w:space="0" w:color="000000"/>
              <w:right w:val="single" w:sz="4" w:space="0" w:color="auto"/>
            </w:tcBorders>
            <w:shd w:val="clear" w:color="auto" w:fill="auto"/>
            <w:vAlign w:val="center"/>
          </w:tcPr>
          <w:p w14:paraId="466AB203" w14:textId="77777777" w:rsidR="00A66DEC" w:rsidRPr="006B23E6" w:rsidRDefault="00A66DEC" w:rsidP="00A66DEC">
            <w:pPr>
              <w:jc w:val="center"/>
              <w:rPr>
                <w:rFonts w:ascii="Arial" w:hAnsi="Arial" w:cs="Arial"/>
                <w:color w:val="000000"/>
              </w:rPr>
            </w:pPr>
          </w:p>
        </w:tc>
        <w:tc>
          <w:tcPr>
            <w:tcW w:w="3827" w:type="dxa"/>
            <w:tcBorders>
              <w:top w:val="nil"/>
              <w:left w:val="nil"/>
              <w:bottom w:val="single" w:sz="4" w:space="0" w:color="auto"/>
              <w:right w:val="single" w:sz="4" w:space="0" w:color="auto"/>
            </w:tcBorders>
            <w:shd w:val="clear" w:color="auto" w:fill="auto"/>
            <w:noWrap/>
            <w:vAlign w:val="center"/>
          </w:tcPr>
          <w:p w14:paraId="063BEDF1" w14:textId="3CD6535D" w:rsidR="00A66DEC" w:rsidRPr="006B23E6" w:rsidRDefault="00A66DEC" w:rsidP="00A66DEC">
            <w:pPr>
              <w:jc w:val="center"/>
              <w:rPr>
                <w:rFonts w:ascii="Arial" w:hAnsi="Arial" w:cs="Arial"/>
                <w:color w:val="000000"/>
              </w:rPr>
            </w:pPr>
            <w:r w:rsidRPr="00674975">
              <w:rPr>
                <w:rFonts w:ascii="Arial" w:hAnsi="Arial" w:cs="Arial"/>
              </w:rPr>
              <w:t>Konzilium/předání</w:t>
            </w:r>
          </w:p>
        </w:tc>
        <w:tc>
          <w:tcPr>
            <w:tcW w:w="1559" w:type="dxa"/>
            <w:tcBorders>
              <w:top w:val="single" w:sz="4" w:space="0" w:color="333333"/>
              <w:left w:val="nil"/>
              <w:bottom w:val="single" w:sz="4" w:space="0" w:color="333333"/>
              <w:right w:val="single" w:sz="4" w:space="0" w:color="333399"/>
            </w:tcBorders>
            <w:shd w:val="clear" w:color="000000" w:fill="FFFFFF"/>
            <w:noWrap/>
          </w:tcPr>
          <w:p w14:paraId="4423E9A7" w14:textId="5630E9B7" w:rsidR="00A66DEC" w:rsidRPr="006B23E6" w:rsidRDefault="00A66DEC" w:rsidP="00A66DEC">
            <w:pPr>
              <w:jc w:val="center"/>
              <w:rPr>
                <w:rFonts w:ascii="Arial" w:hAnsi="Arial" w:cs="Arial"/>
                <w:color w:val="000000"/>
              </w:rPr>
            </w:pPr>
            <w:r w:rsidRPr="000522BF">
              <w:rPr>
                <w:rFonts w:ascii="Arial" w:hAnsi="Arial" w:cs="Arial"/>
                <w:color w:val="000000" w:themeColor="text1"/>
              </w:rPr>
              <w:t>62</w:t>
            </w:r>
            <w:r>
              <w:rPr>
                <w:rFonts w:ascii="Arial" w:hAnsi="Arial" w:cs="Arial"/>
                <w:color w:val="000000" w:themeColor="text1"/>
              </w:rPr>
              <w:t xml:space="preserve"> (</w:t>
            </w:r>
            <w:r w:rsidRPr="000522BF">
              <w:rPr>
                <w:rFonts w:ascii="Arial" w:hAnsi="Arial" w:cs="Arial"/>
                <w:color w:val="000000" w:themeColor="text1"/>
              </w:rPr>
              <w:t>11,1</w:t>
            </w:r>
            <w:r>
              <w:rPr>
                <w:rFonts w:ascii="Arial" w:hAnsi="Arial" w:cs="Arial"/>
                <w:color w:val="000000" w:themeColor="text1"/>
              </w:rPr>
              <w:t xml:space="preserve"> </w:t>
            </w:r>
            <w:r w:rsidRPr="000522BF">
              <w:rPr>
                <w:rFonts w:ascii="Arial" w:hAnsi="Arial" w:cs="Arial"/>
                <w:color w:val="000000" w:themeColor="text1"/>
              </w:rPr>
              <w:t>%</w:t>
            </w:r>
            <w:r>
              <w:rPr>
                <w:rFonts w:ascii="Arial" w:hAnsi="Arial" w:cs="Arial"/>
                <w:color w:val="000000" w:themeColor="text1"/>
              </w:rPr>
              <w:t>)</w:t>
            </w:r>
          </w:p>
        </w:tc>
        <w:tc>
          <w:tcPr>
            <w:tcW w:w="1560" w:type="dxa"/>
            <w:tcBorders>
              <w:top w:val="single" w:sz="4" w:space="0" w:color="333333"/>
              <w:left w:val="nil"/>
              <w:bottom w:val="single" w:sz="4" w:space="0" w:color="333333"/>
              <w:right w:val="single" w:sz="4" w:space="0" w:color="333399"/>
            </w:tcBorders>
            <w:shd w:val="clear" w:color="000000" w:fill="FFFFFF"/>
            <w:noWrap/>
          </w:tcPr>
          <w:p w14:paraId="30C780DD" w14:textId="2D82EBD8" w:rsidR="00A66DEC" w:rsidRPr="006B23E6" w:rsidRDefault="00A66DEC" w:rsidP="00A66DEC">
            <w:pPr>
              <w:jc w:val="center"/>
              <w:rPr>
                <w:rFonts w:ascii="Arial" w:hAnsi="Arial" w:cs="Arial"/>
                <w:color w:val="000000"/>
              </w:rPr>
            </w:pPr>
            <w:r w:rsidRPr="000522BF">
              <w:rPr>
                <w:rFonts w:ascii="Arial" w:hAnsi="Arial" w:cs="Arial"/>
                <w:color w:val="000000" w:themeColor="text1"/>
              </w:rPr>
              <w:t>13</w:t>
            </w:r>
            <w:r>
              <w:rPr>
                <w:rFonts w:ascii="Arial" w:hAnsi="Arial" w:cs="Arial"/>
                <w:color w:val="000000" w:themeColor="text1"/>
              </w:rPr>
              <w:t xml:space="preserve"> (</w:t>
            </w:r>
            <w:r w:rsidRPr="000522BF">
              <w:rPr>
                <w:rFonts w:ascii="Arial" w:hAnsi="Arial" w:cs="Arial"/>
                <w:color w:val="000000" w:themeColor="text1"/>
              </w:rPr>
              <w:t>38,2</w:t>
            </w:r>
            <w:r>
              <w:rPr>
                <w:rFonts w:ascii="Arial" w:hAnsi="Arial" w:cs="Arial"/>
                <w:color w:val="000000" w:themeColor="text1"/>
              </w:rPr>
              <w:t xml:space="preserve"> </w:t>
            </w:r>
            <w:r w:rsidRPr="000522BF">
              <w:rPr>
                <w:rFonts w:ascii="Arial" w:hAnsi="Arial" w:cs="Arial"/>
                <w:color w:val="000000" w:themeColor="text1"/>
              </w:rPr>
              <w:t>%</w:t>
            </w:r>
            <w:r>
              <w:rPr>
                <w:rFonts w:ascii="Arial" w:hAnsi="Arial" w:cs="Arial"/>
                <w:color w:val="000000" w:themeColor="text1"/>
              </w:rPr>
              <w:t>)</w:t>
            </w:r>
          </w:p>
        </w:tc>
        <w:tc>
          <w:tcPr>
            <w:tcW w:w="1559" w:type="dxa"/>
            <w:tcBorders>
              <w:top w:val="single" w:sz="4" w:space="0" w:color="333333"/>
              <w:left w:val="nil"/>
              <w:bottom w:val="single" w:sz="4" w:space="0" w:color="333333"/>
              <w:right w:val="single" w:sz="4" w:space="0" w:color="333399"/>
            </w:tcBorders>
            <w:shd w:val="clear" w:color="000000" w:fill="FFFFFF"/>
            <w:noWrap/>
          </w:tcPr>
          <w:p w14:paraId="70A765EA" w14:textId="129E998F" w:rsidR="00A66DEC" w:rsidRPr="006B23E6" w:rsidRDefault="00A66DEC" w:rsidP="00A66DEC">
            <w:pPr>
              <w:jc w:val="center"/>
              <w:rPr>
                <w:rFonts w:ascii="Arial" w:hAnsi="Arial" w:cs="Arial"/>
                <w:color w:val="000000"/>
              </w:rPr>
            </w:pPr>
            <w:r w:rsidRPr="000522BF">
              <w:rPr>
                <w:rFonts w:ascii="Arial" w:hAnsi="Arial" w:cs="Arial"/>
                <w:color w:val="000000" w:themeColor="text1"/>
              </w:rPr>
              <w:t>75</w:t>
            </w:r>
            <w:r>
              <w:rPr>
                <w:rFonts w:ascii="Arial" w:hAnsi="Arial" w:cs="Arial"/>
                <w:color w:val="000000" w:themeColor="text1"/>
              </w:rPr>
              <w:t xml:space="preserve"> (</w:t>
            </w:r>
            <w:r w:rsidRPr="000522BF">
              <w:rPr>
                <w:rFonts w:ascii="Arial" w:hAnsi="Arial" w:cs="Arial"/>
                <w:color w:val="000000" w:themeColor="text1"/>
              </w:rPr>
              <w:t>12,7</w:t>
            </w:r>
            <w:r>
              <w:rPr>
                <w:rFonts w:ascii="Arial" w:hAnsi="Arial" w:cs="Arial"/>
                <w:color w:val="000000" w:themeColor="text1"/>
              </w:rPr>
              <w:t xml:space="preserve"> </w:t>
            </w:r>
            <w:r w:rsidRPr="000522BF">
              <w:rPr>
                <w:rFonts w:ascii="Arial" w:hAnsi="Arial" w:cs="Arial"/>
                <w:color w:val="000000" w:themeColor="text1"/>
              </w:rPr>
              <w:t>%</w:t>
            </w:r>
            <w:r>
              <w:rPr>
                <w:rFonts w:ascii="Arial" w:hAnsi="Arial" w:cs="Arial"/>
                <w:color w:val="000000" w:themeColor="text1"/>
              </w:rPr>
              <w:t>)</w:t>
            </w:r>
          </w:p>
        </w:tc>
        <w:tc>
          <w:tcPr>
            <w:tcW w:w="1444" w:type="dxa"/>
            <w:vMerge/>
            <w:tcBorders>
              <w:left w:val="single" w:sz="4" w:space="0" w:color="auto"/>
              <w:bottom w:val="single" w:sz="4" w:space="0" w:color="auto"/>
              <w:right w:val="single" w:sz="4" w:space="0" w:color="auto"/>
            </w:tcBorders>
            <w:shd w:val="clear" w:color="auto" w:fill="auto"/>
            <w:noWrap/>
            <w:vAlign w:val="center"/>
          </w:tcPr>
          <w:p w14:paraId="60FDB4B9" w14:textId="77777777" w:rsidR="00A66DEC" w:rsidRPr="003656E6" w:rsidRDefault="00A66DEC" w:rsidP="00A66DEC">
            <w:pPr>
              <w:jc w:val="center"/>
              <w:rPr>
                <w:rFonts w:ascii="Arial" w:hAnsi="Arial" w:cs="Arial"/>
                <w:color w:val="000000"/>
              </w:rPr>
            </w:pPr>
          </w:p>
        </w:tc>
      </w:tr>
      <w:tr w:rsidR="00A66DEC" w:rsidRPr="006B23E6" w14:paraId="02893538" w14:textId="77777777" w:rsidTr="00E936BB">
        <w:trPr>
          <w:trHeight w:val="397"/>
        </w:trPr>
        <w:tc>
          <w:tcPr>
            <w:tcW w:w="2547" w:type="dxa"/>
            <w:vMerge w:val="restart"/>
            <w:tcBorders>
              <w:top w:val="nil"/>
              <w:left w:val="single" w:sz="4" w:space="0" w:color="auto"/>
              <w:bottom w:val="single" w:sz="4" w:space="0" w:color="000000"/>
              <w:right w:val="single" w:sz="4" w:space="0" w:color="auto"/>
            </w:tcBorders>
            <w:shd w:val="clear" w:color="auto" w:fill="auto"/>
            <w:vAlign w:val="center"/>
            <w:hideMark/>
          </w:tcPr>
          <w:p w14:paraId="11DFB0B1" w14:textId="77777777" w:rsidR="00A66DEC" w:rsidRPr="006B23E6" w:rsidRDefault="00A66DEC" w:rsidP="00A66DEC">
            <w:pPr>
              <w:jc w:val="center"/>
              <w:rPr>
                <w:rFonts w:ascii="Arial" w:hAnsi="Arial" w:cs="Arial"/>
                <w:color w:val="000000"/>
              </w:rPr>
            </w:pPr>
            <w:r w:rsidRPr="006B23E6">
              <w:rPr>
                <w:rFonts w:ascii="Arial" w:hAnsi="Arial" w:cs="Arial"/>
                <w:color w:val="000000"/>
              </w:rPr>
              <w:t>Ošetřující ambulance</w:t>
            </w:r>
          </w:p>
        </w:tc>
        <w:tc>
          <w:tcPr>
            <w:tcW w:w="3827" w:type="dxa"/>
            <w:tcBorders>
              <w:top w:val="nil"/>
              <w:left w:val="nil"/>
              <w:bottom w:val="single" w:sz="4" w:space="0" w:color="auto"/>
              <w:right w:val="single" w:sz="4" w:space="0" w:color="auto"/>
            </w:tcBorders>
            <w:shd w:val="clear" w:color="auto" w:fill="auto"/>
            <w:noWrap/>
            <w:vAlign w:val="center"/>
            <w:hideMark/>
          </w:tcPr>
          <w:p w14:paraId="4D8A2B0D" w14:textId="77777777" w:rsidR="00A66DEC" w:rsidRPr="006B23E6" w:rsidRDefault="00A66DEC" w:rsidP="00A66DEC">
            <w:pPr>
              <w:jc w:val="center"/>
              <w:rPr>
                <w:rFonts w:ascii="Arial" w:hAnsi="Arial" w:cs="Arial"/>
                <w:color w:val="000000"/>
              </w:rPr>
            </w:pPr>
            <w:r w:rsidRPr="006B23E6">
              <w:rPr>
                <w:rFonts w:ascii="Arial" w:hAnsi="Arial" w:cs="Arial"/>
                <w:color w:val="000000"/>
              </w:rPr>
              <w:t>Interní</w:t>
            </w:r>
          </w:p>
        </w:tc>
        <w:tc>
          <w:tcPr>
            <w:tcW w:w="1559" w:type="dxa"/>
            <w:tcBorders>
              <w:top w:val="single" w:sz="4" w:space="0" w:color="333333"/>
              <w:left w:val="nil"/>
              <w:bottom w:val="single" w:sz="4" w:space="0" w:color="333333"/>
              <w:right w:val="single" w:sz="4" w:space="0" w:color="333399"/>
            </w:tcBorders>
            <w:shd w:val="clear" w:color="000000" w:fill="FFFFFF"/>
            <w:noWrap/>
            <w:hideMark/>
          </w:tcPr>
          <w:p w14:paraId="194D4D44" w14:textId="5F5C5A01" w:rsidR="00A66DEC" w:rsidRPr="006B23E6" w:rsidRDefault="00A66DEC" w:rsidP="00A66DEC">
            <w:pPr>
              <w:jc w:val="center"/>
              <w:rPr>
                <w:rFonts w:ascii="Arial" w:hAnsi="Arial" w:cs="Arial"/>
                <w:color w:val="000000"/>
              </w:rPr>
            </w:pPr>
            <w:r w:rsidRPr="006B23E6">
              <w:rPr>
                <w:rFonts w:ascii="Arial" w:hAnsi="Arial" w:cs="Arial"/>
                <w:color w:val="000000"/>
              </w:rPr>
              <w:t>440</w:t>
            </w:r>
            <w:r>
              <w:rPr>
                <w:rFonts w:ascii="Arial" w:hAnsi="Arial" w:cs="Arial"/>
                <w:color w:val="000000"/>
              </w:rPr>
              <w:t xml:space="preserve"> (</w:t>
            </w:r>
            <w:r w:rsidRPr="006B23E6">
              <w:rPr>
                <w:rFonts w:ascii="Arial" w:hAnsi="Arial" w:cs="Arial"/>
                <w:color w:val="000000"/>
              </w:rPr>
              <w:t>78,0</w:t>
            </w:r>
            <w:r>
              <w:rPr>
                <w:rFonts w:ascii="Arial" w:hAnsi="Arial" w:cs="Arial"/>
                <w:color w:val="000000"/>
              </w:rPr>
              <w:t xml:space="preserve"> </w:t>
            </w:r>
            <w:r w:rsidRPr="006B23E6">
              <w:rPr>
                <w:rFonts w:ascii="Arial" w:hAnsi="Arial" w:cs="Arial"/>
                <w:color w:val="000000"/>
              </w:rPr>
              <w:t>%</w:t>
            </w:r>
            <w:r>
              <w:rPr>
                <w:rFonts w:ascii="Arial" w:hAnsi="Arial" w:cs="Arial"/>
                <w:color w:val="000000"/>
              </w:rPr>
              <w:t>)</w:t>
            </w:r>
          </w:p>
        </w:tc>
        <w:tc>
          <w:tcPr>
            <w:tcW w:w="1560" w:type="dxa"/>
            <w:tcBorders>
              <w:top w:val="single" w:sz="4" w:space="0" w:color="333333"/>
              <w:left w:val="nil"/>
              <w:bottom w:val="single" w:sz="4" w:space="0" w:color="333333"/>
              <w:right w:val="single" w:sz="4" w:space="0" w:color="333399"/>
            </w:tcBorders>
            <w:shd w:val="clear" w:color="000000" w:fill="FFFFFF"/>
            <w:noWrap/>
            <w:hideMark/>
          </w:tcPr>
          <w:p w14:paraId="39FDC870" w14:textId="11B014D3" w:rsidR="00A66DEC" w:rsidRPr="006B23E6" w:rsidRDefault="00A66DEC" w:rsidP="00A66DEC">
            <w:pPr>
              <w:jc w:val="center"/>
              <w:rPr>
                <w:rFonts w:ascii="Arial" w:hAnsi="Arial" w:cs="Arial"/>
                <w:color w:val="000000"/>
              </w:rPr>
            </w:pPr>
            <w:r w:rsidRPr="006B23E6">
              <w:rPr>
                <w:rFonts w:ascii="Arial" w:hAnsi="Arial" w:cs="Arial"/>
                <w:color w:val="000000"/>
              </w:rPr>
              <w:t>30</w:t>
            </w:r>
            <w:r>
              <w:rPr>
                <w:rFonts w:ascii="Arial" w:hAnsi="Arial" w:cs="Arial"/>
                <w:color w:val="000000"/>
              </w:rPr>
              <w:t xml:space="preserve"> (</w:t>
            </w:r>
            <w:r w:rsidRPr="006B23E6">
              <w:rPr>
                <w:rFonts w:ascii="Arial" w:hAnsi="Arial" w:cs="Arial"/>
                <w:color w:val="000000"/>
              </w:rPr>
              <w:t>88,2</w:t>
            </w:r>
            <w:r>
              <w:rPr>
                <w:rFonts w:ascii="Arial" w:hAnsi="Arial" w:cs="Arial"/>
                <w:color w:val="000000"/>
              </w:rPr>
              <w:t xml:space="preserve"> </w:t>
            </w:r>
            <w:r w:rsidRPr="006B23E6">
              <w:rPr>
                <w:rFonts w:ascii="Arial" w:hAnsi="Arial" w:cs="Arial"/>
                <w:color w:val="000000"/>
              </w:rPr>
              <w:t>%</w:t>
            </w:r>
            <w:r>
              <w:rPr>
                <w:rFonts w:ascii="Arial" w:hAnsi="Arial" w:cs="Arial"/>
                <w:color w:val="000000"/>
              </w:rPr>
              <w:t>)</w:t>
            </w:r>
          </w:p>
        </w:tc>
        <w:tc>
          <w:tcPr>
            <w:tcW w:w="1559" w:type="dxa"/>
            <w:tcBorders>
              <w:top w:val="single" w:sz="4" w:space="0" w:color="333333"/>
              <w:left w:val="nil"/>
              <w:bottom w:val="single" w:sz="4" w:space="0" w:color="333333"/>
              <w:right w:val="single" w:sz="4" w:space="0" w:color="333399"/>
            </w:tcBorders>
            <w:shd w:val="clear" w:color="000000" w:fill="FFFFFF"/>
            <w:noWrap/>
            <w:hideMark/>
          </w:tcPr>
          <w:p w14:paraId="75068F4D" w14:textId="33231721" w:rsidR="00A66DEC" w:rsidRPr="006B23E6" w:rsidRDefault="00A66DEC" w:rsidP="00A66DEC">
            <w:pPr>
              <w:jc w:val="center"/>
              <w:rPr>
                <w:rFonts w:ascii="Arial" w:hAnsi="Arial" w:cs="Arial"/>
                <w:color w:val="000000"/>
              </w:rPr>
            </w:pPr>
            <w:r w:rsidRPr="006B23E6">
              <w:rPr>
                <w:rFonts w:ascii="Arial" w:hAnsi="Arial" w:cs="Arial"/>
                <w:color w:val="000000"/>
              </w:rPr>
              <w:t>470</w:t>
            </w:r>
            <w:r>
              <w:rPr>
                <w:rFonts w:ascii="Arial" w:hAnsi="Arial" w:cs="Arial"/>
                <w:color w:val="000000"/>
              </w:rPr>
              <w:t xml:space="preserve"> (</w:t>
            </w:r>
            <w:r w:rsidRPr="006B23E6">
              <w:rPr>
                <w:rFonts w:ascii="Arial" w:hAnsi="Arial" w:cs="Arial"/>
                <w:color w:val="000000"/>
              </w:rPr>
              <w:t>78,6</w:t>
            </w:r>
            <w:r>
              <w:rPr>
                <w:rFonts w:ascii="Arial" w:hAnsi="Arial" w:cs="Arial"/>
                <w:color w:val="000000"/>
              </w:rPr>
              <w:t xml:space="preserve"> </w:t>
            </w:r>
            <w:r w:rsidRPr="006B23E6">
              <w:rPr>
                <w:rFonts w:ascii="Arial" w:hAnsi="Arial" w:cs="Arial"/>
                <w:color w:val="000000"/>
              </w:rPr>
              <w:t>%</w:t>
            </w:r>
            <w:r>
              <w:rPr>
                <w:rFonts w:ascii="Arial" w:hAnsi="Arial" w:cs="Arial"/>
                <w:color w:val="000000"/>
              </w:rPr>
              <w:t>)</w:t>
            </w:r>
          </w:p>
        </w:tc>
        <w:tc>
          <w:tcPr>
            <w:tcW w:w="144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B47F6D" w14:textId="16712C1B" w:rsidR="00A66DEC" w:rsidRPr="003656E6" w:rsidRDefault="00A66DEC" w:rsidP="00A66DEC">
            <w:pPr>
              <w:jc w:val="center"/>
              <w:rPr>
                <w:rFonts w:ascii="Arial" w:hAnsi="Arial" w:cs="Arial"/>
                <w:color w:val="000000"/>
              </w:rPr>
            </w:pPr>
            <w:r w:rsidRPr="003656E6">
              <w:rPr>
                <w:rFonts w:ascii="Arial" w:hAnsi="Arial" w:cs="Arial"/>
                <w:color w:val="000000"/>
              </w:rPr>
              <w:t>0,1</w:t>
            </w:r>
            <w:r w:rsidR="00F264A2">
              <w:rPr>
                <w:rFonts w:ascii="Arial" w:hAnsi="Arial" w:cs="Arial"/>
                <w:color w:val="000000"/>
              </w:rPr>
              <w:t>98</w:t>
            </w:r>
          </w:p>
        </w:tc>
      </w:tr>
      <w:tr w:rsidR="00A66DEC" w:rsidRPr="006B23E6" w14:paraId="14E1D22E" w14:textId="77777777" w:rsidTr="00E936BB">
        <w:trPr>
          <w:trHeight w:val="397"/>
        </w:trPr>
        <w:tc>
          <w:tcPr>
            <w:tcW w:w="2547" w:type="dxa"/>
            <w:vMerge/>
            <w:tcBorders>
              <w:top w:val="nil"/>
              <w:left w:val="single" w:sz="4" w:space="0" w:color="auto"/>
              <w:bottom w:val="single" w:sz="4" w:space="0" w:color="000000"/>
              <w:right w:val="single" w:sz="4" w:space="0" w:color="auto"/>
            </w:tcBorders>
            <w:vAlign w:val="center"/>
            <w:hideMark/>
          </w:tcPr>
          <w:p w14:paraId="64CB56CB" w14:textId="77777777" w:rsidR="00A66DEC" w:rsidRPr="006B23E6" w:rsidRDefault="00A66DEC" w:rsidP="00A66DEC">
            <w:pPr>
              <w:jc w:val="center"/>
              <w:rPr>
                <w:rFonts w:ascii="Arial" w:hAnsi="Arial" w:cs="Arial"/>
                <w:color w:val="000000"/>
              </w:rPr>
            </w:pPr>
          </w:p>
        </w:tc>
        <w:tc>
          <w:tcPr>
            <w:tcW w:w="3827" w:type="dxa"/>
            <w:tcBorders>
              <w:top w:val="nil"/>
              <w:left w:val="nil"/>
              <w:bottom w:val="single" w:sz="4" w:space="0" w:color="auto"/>
              <w:right w:val="single" w:sz="4" w:space="0" w:color="auto"/>
            </w:tcBorders>
            <w:shd w:val="clear" w:color="auto" w:fill="auto"/>
            <w:noWrap/>
            <w:vAlign w:val="center"/>
            <w:hideMark/>
          </w:tcPr>
          <w:p w14:paraId="67CDA574" w14:textId="1CC8FF7B" w:rsidR="00A66DEC" w:rsidRPr="006B23E6" w:rsidRDefault="00A66DEC" w:rsidP="00A66DEC">
            <w:pPr>
              <w:jc w:val="center"/>
              <w:rPr>
                <w:rFonts w:ascii="Arial" w:hAnsi="Arial" w:cs="Arial"/>
                <w:color w:val="000000"/>
              </w:rPr>
            </w:pPr>
            <w:r w:rsidRPr="006B23E6">
              <w:rPr>
                <w:rFonts w:ascii="Arial" w:hAnsi="Arial" w:cs="Arial"/>
                <w:color w:val="000000"/>
              </w:rPr>
              <w:t>Neurologická</w:t>
            </w:r>
            <w:r>
              <w:rPr>
                <w:rFonts w:ascii="Arial" w:hAnsi="Arial" w:cs="Arial"/>
                <w:color w:val="000000"/>
              </w:rPr>
              <w:t xml:space="preserve"> + současně interní a neurologická</w:t>
            </w:r>
          </w:p>
        </w:tc>
        <w:tc>
          <w:tcPr>
            <w:tcW w:w="1559" w:type="dxa"/>
            <w:tcBorders>
              <w:top w:val="nil"/>
              <w:left w:val="nil"/>
              <w:bottom w:val="single" w:sz="4" w:space="0" w:color="333333"/>
              <w:right w:val="single" w:sz="4" w:space="0" w:color="333399"/>
            </w:tcBorders>
            <w:shd w:val="clear" w:color="000000" w:fill="FFFFFF"/>
            <w:noWrap/>
            <w:hideMark/>
          </w:tcPr>
          <w:p w14:paraId="63060A86" w14:textId="0A417870" w:rsidR="00A66DEC" w:rsidRPr="006B23E6" w:rsidRDefault="00A66DEC" w:rsidP="00A66DEC">
            <w:pPr>
              <w:jc w:val="center"/>
              <w:rPr>
                <w:rFonts w:ascii="Arial" w:hAnsi="Arial" w:cs="Arial"/>
                <w:color w:val="000000"/>
              </w:rPr>
            </w:pPr>
            <w:r w:rsidRPr="006B23E6">
              <w:rPr>
                <w:rFonts w:ascii="Arial" w:hAnsi="Arial" w:cs="Arial"/>
                <w:color w:val="000000"/>
              </w:rPr>
              <w:t>124</w:t>
            </w:r>
            <w:r>
              <w:rPr>
                <w:rFonts w:ascii="Arial" w:hAnsi="Arial" w:cs="Arial"/>
                <w:color w:val="000000"/>
              </w:rPr>
              <w:t xml:space="preserve"> (</w:t>
            </w:r>
            <w:r w:rsidRPr="006B23E6">
              <w:rPr>
                <w:rFonts w:ascii="Arial" w:hAnsi="Arial" w:cs="Arial"/>
                <w:color w:val="000000"/>
              </w:rPr>
              <w:t>22,0</w:t>
            </w:r>
            <w:r>
              <w:rPr>
                <w:rFonts w:ascii="Arial" w:hAnsi="Arial" w:cs="Arial"/>
                <w:color w:val="000000"/>
              </w:rPr>
              <w:t xml:space="preserve"> </w:t>
            </w:r>
            <w:r w:rsidRPr="006B23E6">
              <w:rPr>
                <w:rFonts w:ascii="Arial" w:hAnsi="Arial" w:cs="Arial"/>
                <w:color w:val="000000"/>
              </w:rPr>
              <w:t>%</w:t>
            </w:r>
            <w:r>
              <w:rPr>
                <w:rFonts w:ascii="Arial" w:hAnsi="Arial" w:cs="Arial"/>
                <w:color w:val="000000"/>
              </w:rPr>
              <w:t>)</w:t>
            </w:r>
          </w:p>
        </w:tc>
        <w:tc>
          <w:tcPr>
            <w:tcW w:w="1560" w:type="dxa"/>
            <w:tcBorders>
              <w:top w:val="nil"/>
              <w:left w:val="nil"/>
              <w:bottom w:val="single" w:sz="4" w:space="0" w:color="333333"/>
              <w:right w:val="single" w:sz="4" w:space="0" w:color="333399"/>
            </w:tcBorders>
            <w:shd w:val="clear" w:color="000000" w:fill="FFFFFF"/>
            <w:noWrap/>
            <w:hideMark/>
          </w:tcPr>
          <w:p w14:paraId="054E8733" w14:textId="21C3423E" w:rsidR="00A66DEC" w:rsidRPr="006B23E6" w:rsidRDefault="00A66DEC" w:rsidP="00A66DEC">
            <w:pPr>
              <w:jc w:val="center"/>
              <w:rPr>
                <w:rFonts w:ascii="Arial" w:hAnsi="Arial" w:cs="Arial"/>
                <w:color w:val="000000"/>
              </w:rPr>
            </w:pPr>
            <w:r w:rsidRPr="006B23E6">
              <w:rPr>
                <w:rFonts w:ascii="Arial" w:hAnsi="Arial" w:cs="Arial"/>
                <w:color w:val="000000"/>
              </w:rPr>
              <w:t>4</w:t>
            </w:r>
            <w:r>
              <w:rPr>
                <w:rFonts w:ascii="Arial" w:hAnsi="Arial" w:cs="Arial"/>
                <w:color w:val="000000"/>
              </w:rPr>
              <w:t xml:space="preserve"> (</w:t>
            </w:r>
            <w:r w:rsidRPr="006B23E6">
              <w:rPr>
                <w:rFonts w:ascii="Arial" w:hAnsi="Arial" w:cs="Arial"/>
                <w:color w:val="000000"/>
              </w:rPr>
              <w:t>11,8</w:t>
            </w:r>
            <w:r>
              <w:rPr>
                <w:rFonts w:ascii="Arial" w:hAnsi="Arial" w:cs="Arial"/>
                <w:color w:val="000000"/>
              </w:rPr>
              <w:t xml:space="preserve"> </w:t>
            </w:r>
            <w:r w:rsidRPr="006B23E6">
              <w:rPr>
                <w:rFonts w:ascii="Arial" w:hAnsi="Arial" w:cs="Arial"/>
                <w:color w:val="000000"/>
              </w:rPr>
              <w:t>%</w:t>
            </w:r>
            <w:r>
              <w:rPr>
                <w:rFonts w:ascii="Arial" w:hAnsi="Arial" w:cs="Arial"/>
                <w:color w:val="000000"/>
              </w:rPr>
              <w:t>)</w:t>
            </w:r>
          </w:p>
        </w:tc>
        <w:tc>
          <w:tcPr>
            <w:tcW w:w="1559" w:type="dxa"/>
            <w:tcBorders>
              <w:top w:val="nil"/>
              <w:left w:val="nil"/>
              <w:bottom w:val="single" w:sz="4" w:space="0" w:color="333333"/>
              <w:right w:val="single" w:sz="4" w:space="0" w:color="333399"/>
            </w:tcBorders>
            <w:shd w:val="clear" w:color="000000" w:fill="FFFFFF"/>
            <w:noWrap/>
            <w:hideMark/>
          </w:tcPr>
          <w:p w14:paraId="520803BA" w14:textId="25B26420" w:rsidR="00A66DEC" w:rsidRPr="006B23E6" w:rsidRDefault="00A66DEC" w:rsidP="00A66DEC">
            <w:pPr>
              <w:jc w:val="center"/>
              <w:rPr>
                <w:rFonts w:ascii="Arial" w:hAnsi="Arial" w:cs="Arial"/>
                <w:color w:val="000000"/>
              </w:rPr>
            </w:pPr>
            <w:r w:rsidRPr="006B23E6">
              <w:rPr>
                <w:rFonts w:ascii="Arial" w:hAnsi="Arial" w:cs="Arial"/>
                <w:color w:val="000000"/>
              </w:rPr>
              <w:t>128</w:t>
            </w:r>
            <w:r>
              <w:rPr>
                <w:rFonts w:ascii="Arial" w:hAnsi="Arial" w:cs="Arial"/>
                <w:color w:val="000000"/>
              </w:rPr>
              <w:t xml:space="preserve"> (</w:t>
            </w:r>
            <w:r w:rsidRPr="006B23E6">
              <w:rPr>
                <w:rFonts w:ascii="Arial" w:hAnsi="Arial" w:cs="Arial"/>
                <w:color w:val="000000"/>
              </w:rPr>
              <w:t>21,4</w:t>
            </w:r>
            <w:r>
              <w:rPr>
                <w:rFonts w:ascii="Arial" w:hAnsi="Arial" w:cs="Arial"/>
                <w:color w:val="000000"/>
              </w:rPr>
              <w:t xml:space="preserve"> </w:t>
            </w:r>
            <w:r w:rsidRPr="006B23E6">
              <w:rPr>
                <w:rFonts w:ascii="Arial" w:hAnsi="Arial" w:cs="Arial"/>
                <w:color w:val="000000"/>
              </w:rPr>
              <w:t>%</w:t>
            </w:r>
            <w:r>
              <w:rPr>
                <w:rFonts w:ascii="Arial" w:hAnsi="Arial" w:cs="Arial"/>
                <w:color w:val="000000"/>
              </w:rPr>
              <w:t>)</w:t>
            </w:r>
          </w:p>
        </w:tc>
        <w:tc>
          <w:tcPr>
            <w:tcW w:w="1444" w:type="dxa"/>
            <w:vMerge/>
            <w:tcBorders>
              <w:top w:val="nil"/>
              <w:left w:val="single" w:sz="4" w:space="0" w:color="auto"/>
              <w:bottom w:val="single" w:sz="4" w:space="0" w:color="auto"/>
              <w:right w:val="single" w:sz="4" w:space="0" w:color="auto"/>
            </w:tcBorders>
            <w:vAlign w:val="center"/>
            <w:hideMark/>
          </w:tcPr>
          <w:p w14:paraId="1883D728" w14:textId="77777777" w:rsidR="00A66DEC" w:rsidRPr="003656E6" w:rsidRDefault="00A66DEC" w:rsidP="00A66DEC">
            <w:pPr>
              <w:jc w:val="center"/>
              <w:rPr>
                <w:rFonts w:ascii="Arial" w:hAnsi="Arial" w:cs="Arial"/>
                <w:color w:val="000000"/>
              </w:rPr>
            </w:pPr>
          </w:p>
        </w:tc>
      </w:tr>
      <w:tr w:rsidR="00A66DEC" w:rsidRPr="006B23E6" w14:paraId="6926ADF8" w14:textId="77777777" w:rsidTr="00E936BB">
        <w:trPr>
          <w:trHeight w:val="397"/>
        </w:trPr>
        <w:tc>
          <w:tcPr>
            <w:tcW w:w="2547" w:type="dxa"/>
            <w:vMerge w:val="restart"/>
            <w:tcBorders>
              <w:top w:val="nil"/>
              <w:left w:val="single" w:sz="4" w:space="0" w:color="auto"/>
              <w:bottom w:val="single" w:sz="4" w:space="0" w:color="000000"/>
              <w:right w:val="single" w:sz="4" w:space="0" w:color="auto"/>
            </w:tcBorders>
            <w:shd w:val="clear" w:color="auto" w:fill="auto"/>
            <w:vAlign w:val="center"/>
            <w:hideMark/>
          </w:tcPr>
          <w:p w14:paraId="3648EE7A" w14:textId="77777777" w:rsidR="00A66DEC" w:rsidRPr="006B23E6" w:rsidRDefault="00A66DEC" w:rsidP="00A66DEC">
            <w:pPr>
              <w:jc w:val="center"/>
              <w:rPr>
                <w:rFonts w:ascii="Arial" w:hAnsi="Arial" w:cs="Arial"/>
                <w:color w:val="000000"/>
              </w:rPr>
            </w:pPr>
            <w:r w:rsidRPr="006B23E6">
              <w:rPr>
                <w:rFonts w:ascii="Arial" w:hAnsi="Arial" w:cs="Arial"/>
                <w:color w:val="000000"/>
              </w:rPr>
              <w:t>Využití observačního lůžka</w:t>
            </w:r>
          </w:p>
        </w:tc>
        <w:tc>
          <w:tcPr>
            <w:tcW w:w="3827" w:type="dxa"/>
            <w:tcBorders>
              <w:top w:val="nil"/>
              <w:left w:val="nil"/>
              <w:bottom w:val="single" w:sz="4" w:space="0" w:color="auto"/>
              <w:right w:val="single" w:sz="4" w:space="0" w:color="auto"/>
            </w:tcBorders>
            <w:shd w:val="clear" w:color="auto" w:fill="auto"/>
            <w:noWrap/>
            <w:vAlign w:val="center"/>
            <w:hideMark/>
          </w:tcPr>
          <w:p w14:paraId="26F187E7" w14:textId="77777777" w:rsidR="00A66DEC" w:rsidRPr="006B23E6" w:rsidRDefault="00A66DEC" w:rsidP="00A66DEC">
            <w:pPr>
              <w:jc w:val="center"/>
              <w:rPr>
                <w:rFonts w:ascii="Arial" w:hAnsi="Arial" w:cs="Arial"/>
                <w:color w:val="000000"/>
              </w:rPr>
            </w:pPr>
            <w:r w:rsidRPr="006B23E6">
              <w:rPr>
                <w:rFonts w:ascii="Arial" w:hAnsi="Arial" w:cs="Arial"/>
                <w:color w:val="000000"/>
              </w:rPr>
              <w:t>ANO</w:t>
            </w:r>
          </w:p>
        </w:tc>
        <w:tc>
          <w:tcPr>
            <w:tcW w:w="1559" w:type="dxa"/>
            <w:tcBorders>
              <w:top w:val="single" w:sz="4" w:space="0" w:color="993366"/>
              <w:left w:val="nil"/>
              <w:bottom w:val="single" w:sz="4" w:space="0" w:color="333333"/>
              <w:right w:val="single" w:sz="4" w:space="0" w:color="333399"/>
            </w:tcBorders>
            <w:shd w:val="clear" w:color="000000" w:fill="FFFFFF"/>
            <w:noWrap/>
            <w:hideMark/>
          </w:tcPr>
          <w:p w14:paraId="20C287CB" w14:textId="1DFC3B23" w:rsidR="00A66DEC" w:rsidRPr="006B23E6" w:rsidRDefault="00A66DEC" w:rsidP="00A66DEC">
            <w:pPr>
              <w:jc w:val="center"/>
              <w:rPr>
                <w:rFonts w:ascii="Arial" w:hAnsi="Arial" w:cs="Arial"/>
                <w:color w:val="000000"/>
              </w:rPr>
            </w:pPr>
            <w:r w:rsidRPr="006B23E6">
              <w:rPr>
                <w:rFonts w:ascii="Arial" w:hAnsi="Arial" w:cs="Arial"/>
                <w:color w:val="000000"/>
              </w:rPr>
              <w:t>434</w:t>
            </w:r>
            <w:r>
              <w:rPr>
                <w:rFonts w:ascii="Arial" w:hAnsi="Arial" w:cs="Arial"/>
                <w:color w:val="000000"/>
              </w:rPr>
              <w:t xml:space="preserve"> (</w:t>
            </w:r>
            <w:r w:rsidRPr="006B23E6">
              <w:rPr>
                <w:rFonts w:ascii="Arial" w:hAnsi="Arial" w:cs="Arial"/>
                <w:color w:val="000000"/>
              </w:rPr>
              <w:t>77,0</w:t>
            </w:r>
            <w:r>
              <w:rPr>
                <w:rFonts w:ascii="Arial" w:hAnsi="Arial" w:cs="Arial"/>
                <w:color w:val="000000"/>
              </w:rPr>
              <w:t xml:space="preserve"> </w:t>
            </w:r>
            <w:r w:rsidRPr="006B23E6">
              <w:rPr>
                <w:rFonts w:ascii="Arial" w:hAnsi="Arial" w:cs="Arial"/>
                <w:color w:val="000000"/>
              </w:rPr>
              <w:t>%</w:t>
            </w:r>
            <w:r>
              <w:rPr>
                <w:rFonts w:ascii="Arial" w:hAnsi="Arial" w:cs="Arial"/>
                <w:color w:val="000000"/>
              </w:rPr>
              <w:t>)</w:t>
            </w:r>
          </w:p>
        </w:tc>
        <w:tc>
          <w:tcPr>
            <w:tcW w:w="1560" w:type="dxa"/>
            <w:tcBorders>
              <w:top w:val="single" w:sz="4" w:space="0" w:color="993366"/>
              <w:left w:val="nil"/>
              <w:bottom w:val="single" w:sz="4" w:space="0" w:color="333333"/>
              <w:right w:val="single" w:sz="4" w:space="0" w:color="333399"/>
            </w:tcBorders>
            <w:shd w:val="clear" w:color="000000" w:fill="FFFFFF"/>
            <w:noWrap/>
            <w:hideMark/>
          </w:tcPr>
          <w:p w14:paraId="73137818" w14:textId="737D097A" w:rsidR="00A66DEC" w:rsidRPr="006B23E6" w:rsidRDefault="00A66DEC" w:rsidP="00A66DEC">
            <w:pPr>
              <w:jc w:val="center"/>
              <w:rPr>
                <w:rFonts w:ascii="Arial" w:hAnsi="Arial" w:cs="Arial"/>
                <w:color w:val="000000"/>
              </w:rPr>
            </w:pPr>
            <w:r w:rsidRPr="006B23E6">
              <w:rPr>
                <w:rFonts w:ascii="Arial" w:hAnsi="Arial" w:cs="Arial"/>
                <w:color w:val="000000"/>
              </w:rPr>
              <w:t>11</w:t>
            </w:r>
            <w:r>
              <w:rPr>
                <w:rFonts w:ascii="Arial" w:hAnsi="Arial" w:cs="Arial"/>
                <w:color w:val="000000"/>
              </w:rPr>
              <w:t xml:space="preserve"> (</w:t>
            </w:r>
            <w:r w:rsidRPr="006B23E6">
              <w:rPr>
                <w:rFonts w:ascii="Arial" w:hAnsi="Arial" w:cs="Arial"/>
                <w:color w:val="000000"/>
              </w:rPr>
              <w:t>32,4</w:t>
            </w:r>
            <w:r>
              <w:rPr>
                <w:rFonts w:ascii="Arial" w:hAnsi="Arial" w:cs="Arial"/>
                <w:color w:val="000000"/>
              </w:rPr>
              <w:t xml:space="preserve"> </w:t>
            </w:r>
            <w:r w:rsidRPr="006B23E6">
              <w:rPr>
                <w:rFonts w:ascii="Arial" w:hAnsi="Arial" w:cs="Arial"/>
                <w:color w:val="000000"/>
              </w:rPr>
              <w:t>%</w:t>
            </w:r>
            <w:r>
              <w:rPr>
                <w:rFonts w:ascii="Arial" w:hAnsi="Arial" w:cs="Arial"/>
                <w:color w:val="000000"/>
              </w:rPr>
              <w:t>)</w:t>
            </w:r>
          </w:p>
        </w:tc>
        <w:tc>
          <w:tcPr>
            <w:tcW w:w="1559" w:type="dxa"/>
            <w:tcBorders>
              <w:top w:val="single" w:sz="4" w:space="0" w:color="993366"/>
              <w:left w:val="nil"/>
              <w:bottom w:val="single" w:sz="4" w:space="0" w:color="333333"/>
              <w:right w:val="single" w:sz="4" w:space="0" w:color="333399"/>
            </w:tcBorders>
            <w:shd w:val="clear" w:color="000000" w:fill="FFFFFF"/>
            <w:noWrap/>
            <w:hideMark/>
          </w:tcPr>
          <w:p w14:paraId="29C252CF" w14:textId="2B7A839E" w:rsidR="00A66DEC" w:rsidRPr="006B23E6" w:rsidRDefault="00A66DEC" w:rsidP="00A66DEC">
            <w:pPr>
              <w:jc w:val="center"/>
              <w:rPr>
                <w:rFonts w:ascii="Arial" w:hAnsi="Arial" w:cs="Arial"/>
                <w:color w:val="000000"/>
              </w:rPr>
            </w:pPr>
            <w:r w:rsidRPr="006B23E6">
              <w:rPr>
                <w:rFonts w:ascii="Arial" w:hAnsi="Arial" w:cs="Arial"/>
                <w:color w:val="000000"/>
              </w:rPr>
              <w:t>445</w:t>
            </w:r>
            <w:r>
              <w:rPr>
                <w:rFonts w:ascii="Arial" w:hAnsi="Arial" w:cs="Arial"/>
                <w:color w:val="000000"/>
              </w:rPr>
              <w:t xml:space="preserve"> (</w:t>
            </w:r>
            <w:r w:rsidRPr="006B23E6">
              <w:rPr>
                <w:rFonts w:ascii="Arial" w:hAnsi="Arial" w:cs="Arial"/>
                <w:color w:val="000000"/>
              </w:rPr>
              <w:t>74,4</w:t>
            </w:r>
            <w:r>
              <w:rPr>
                <w:rFonts w:ascii="Arial" w:hAnsi="Arial" w:cs="Arial"/>
                <w:color w:val="000000"/>
              </w:rPr>
              <w:t xml:space="preserve"> </w:t>
            </w:r>
            <w:r w:rsidRPr="006B23E6">
              <w:rPr>
                <w:rFonts w:ascii="Arial" w:hAnsi="Arial" w:cs="Arial"/>
                <w:color w:val="000000"/>
              </w:rPr>
              <w:t>%</w:t>
            </w:r>
            <w:r>
              <w:rPr>
                <w:rFonts w:ascii="Arial" w:hAnsi="Arial" w:cs="Arial"/>
                <w:color w:val="000000"/>
              </w:rPr>
              <w:t>)</w:t>
            </w:r>
          </w:p>
        </w:tc>
        <w:tc>
          <w:tcPr>
            <w:tcW w:w="1444" w:type="dxa"/>
            <w:vMerge w:val="restart"/>
            <w:tcBorders>
              <w:top w:val="nil"/>
              <w:left w:val="single" w:sz="4" w:space="0" w:color="auto"/>
              <w:bottom w:val="single" w:sz="4" w:space="0" w:color="000000"/>
              <w:right w:val="single" w:sz="4" w:space="0" w:color="auto"/>
            </w:tcBorders>
            <w:shd w:val="clear" w:color="auto" w:fill="auto"/>
            <w:vAlign w:val="center"/>
            <w:hideMark/>
          </w:tcPr>
          <w:p w14:paraId="09D4FDA0" w14:textId="376E831B" w:rsidR="00A66DEC" w:rsidRPr="003656E6" w:rsidRDefault="00A66DEC" w:rsidP="00A66DEC">
            <w:pPr>
              <w:jc w:val="center"/>
              <w:rPr>
                <w:rFonts w:ascii="Arial" w:hAnsi="Arial" w:cs="Arial"/>
                <w:b/>
                <w:bCs/>
                <w:color w:val="000000"/>
              </w:rPr>
            </w:pPr>
            <w:r w:rsidRPr="003656E6">
              <w:rPr>
                <w:rFonts w:ascii="Arial" w:hAnsi="Arial" w:cs="Arial"/>
                <w:b/>
                <w:bCs/>
                <w:color w:val="000000"/>
              </w:rPr>
              <w:t>&lt;0,001</w:t>
            </w:r>
          </w:p>
          <w:p w14:paraId="1EEF9B54" w14:textId="3CA29A8B" w:rsidR="00A66DEC" w:rsidRPr="003656E6" w:rsidRDefault="00A66DEC" w:rsidP="00A66DEC">
            <w:pPr>
              <w:jc w:val="center"/>
              <w:rPr>
                <w:rFonts w:ascii="Arial" w:hAnsi="Arial" w:cs="Arial"/>
                <w:b/>
                <w:bCs/>
                <w:color w:val="000000"/>
              </w:rPr>
            </w:pPr>
            <w:r w:rsidRPr="003656E6">
              <w:rPr>
                <w:rFonts w:ascii="Arial" w:hAnsi="Arial" w:cs="Arial"/>
                <w:b/>
                <w:bCs/>
                <w:color w:val="000000"/>
              </w:rPr>
              <w:t>Fí=0,237</w:t>
            </w:r>
          </w:p>
        </w:tc>
      </w:tr>
      <w:tr w:rsidR="00A66DEC" w:rsidRPr="006B23E6" w14:paraId="69AA7EBC" w14:textId="77777777" w:rsidTr="00E936BB">
        <w:trPr>
          <w:trHeight w:val="397"/>
        </w:trPr>
        <w:tc>
          <w:tcPr>
            <w:tcW w:w="2547" w:type="dxa"/>
            <w:vMerge/>
            <w:tcBorders>
              <w:top w:val="nil"/>
              <w:left w:val="single" w:sz="4" w:space="0" w:color="auto"/>
              <w:bottom w:val="single" w:sz="4" w:space="0" w:color="000000"/>
              <w:right w:val="single" w:sz="4" w:space="0" w:color="auto"/>
            </w:tcBorders>
            <w:vAlign w:val="center"/>
            <w:hideMark/>
          </w:tcPr>
          <w:p w14:paraId="0BECF5BD" w14:textId="77777777" w:rsidR="00A66DEC" w:rsidRPr="006B23E6" w:rsidRDefault="00A66DEC" w:rsidP="00A66DEC">
            <w:pPr>
              <w:jc w:val="center"/>
              <w:rPr>
                <w:rFonts w:ascii="Arial" w:hAnsi="Arial" w:cs="Arial"/>
                <w:color w:val="000000"/>
              </w:rPr>
            </w:pPr>
          </w:p>
        </w:tc>
        <w:tc>
          <w:tcPr>
            <w:tcW w:w="3827" w:type="dxa"/>
            <w:tcBorders>
              <w:top w:val="nil"/>
              <w:left w:val="nil"/>
              <w:bottom w:val="single" w:sz="4" w:space="0" w:color="auto"/>
              <w:right w:val="single" w:sz="4" w:space="0" w:color="auto"/>
            </w:tcBorders>
            <w:shd w:val="clear" w:color="auto" w:fill="auto"/>
            <w:noWrap/>
            <w:vAlign w:val="center"/>
            <w:hideMark/>
          </w:tcPr>
          <w:p w14:paraId="1C9C03B1" w14:textId="77777777" w:rsidR="00A66DEC" w:rsidRPr="006B23E6" w:rsidRDefault="00A66DEC" w:rsidP="00A66DEC">
            <w:pPr>
              <w:jc w:val="center"/>
              <w:rPr>
                <w:rFonts w:ascii="Arial" w:hAnsi="Arial" w:cs="Arial"/>
                <w:color w:val="000000"/>
              </w:rPr>
            </w:pPr>
            <w:r w:rsidRPr="006B23E6">
              <w:rPr>
                <w:rFonts w:ascii="Arial" w:hAnsi="Arial" w:cs="Arial"/>
                <w:color w:val="000000"/>
              </w:rPr>
              <w:t>NE</w:t>
            </w:r>
          </w:p>
        </w:tc>
        <w:tc>
          <w:tcPr>
            <w:tcW w:w="1559" w:type="dxa"/>
            <w:tcBorders>
              <w:top w:val="nil"/>
              <w:left w:val="nil"/>
              <w:bottom w:val="single" w:sz="4" w:space="0" w:color="333333"/>
              <w:right w:val="single" w:sz="4" w:space="0" w:color="333399"/>
            </w:tcBorders>
            <w:shd w:val="clear" w:color="000000" w:fill="FFFFFF"/>
            <w:noWrap/>
            <w:hideMark/>
          </w:tcPr>
          <w:p w14:paraId="2F10F763" w14:textId="61731221" w:rsidR="00A66DEC" w:rsidRPr="006B23E6" w:rsidRDefault="00A66DEC" w:rsidP="00A66DEC">
            <w:pPr>
              <w:jc w:val="center"/>
              <w:rPr>
                <w:rFonts w:ascii="Arial" w:hAnsi="Arial" w:cs="Arial"/>
                <w:color w:val="000000"/>
              </w:rPr>
            </w:pPr>
            <w:r w:rsidRPr="006B23E6">
              <w:rPr>
                <w:rFonts w:ascii="Arial" w:hAnsi="Arial" w:cs="Arial"/>
                <w:color w:val="000000"/>
              </w:rPr>
              <w:t>130</w:t>
            </w:r>
            <w:r>
              <w:rPr>
                <w:rFonts w:ascii="Arial" w:hAnsi="Arial" w:cs="Arial"/>
                <w:color w:val="000000"/>
              </w:rPr>
              <w:t xml:space="preserve"> (</w:t>
            </w:r>
            <w:r w:rsidRPr="006B23E6">
              <w:rPr>
                <w:rFonts w:ascii="Arial" w:hAnsi="Arial" w:cs="Arial"/>
                <w:color w:val="000000"/>
              </w:rPr>
              <w:t>23,0</w:t>
            </w:r>
            <w:r>
              <w:rPr>
                <w:rFonts w:ascii="Arial" w:hAnsi="Arial" w:cs="Arial"/>
                <w:color w:val="000000"/>
              </w:rPr>
              <w:t xml:space="preserve"> </w:t>
            </w:r>
            <w:r w:rsidRPr="006B23E6">
              <w:rPr>
                <w:rFonts w:ascii="Arial" w:hAnsi="Arial" w:cs="Arial"/>
                <w:color w:val="000000"/>
              </w:rPr>
              <w:t>%</w:t>
            </w:r>
            <w:r>
              <w:rPr>
                <w:rFonts w:ascii="Arial" w:hAnsi="Arial" w:cs="Arial"/>
                <w:color w:val="000000"/>
              </w:rPr>
              <w:t>)</w:t>
            </w:r>
          </w:p>
        </w:tc>
        <w:tc>
          <w:tcPr>
            <w:tcW w:w="1560" w:type="dxa"/>
            <w:tcBorders>
              <w:top w:val="nil"/>
              <w:left w:val="nil"/>
              <w:bottom w:val="single" w:sz="4" w:space="0" w:color="333333"/>
              <w:right w:val="single" w:sz="4" w:space="0" w:color="333399"/>
            </w:tcBorders>
            <w:shd w:val="clear" w:color="000000" w:fill="FFFFFF"/>
            <w:noWrap/>
            <w:hideMark/>
          </w:tcPr>
          <w:p w14:paraId="4F8E844C" w14:textId="3A75F65D" w:rsidR="00A66DEC" w:rsidRPr="006B23E6" w:rsidRDefault="00A66DEC" w:rsidP="00A66DEC">
            <w:pPr>
              <w:jc w:val="center"/>
              <w:rPr>
                <w:rFonts w:ascii="Arial" w:hAnsi="Arial" w:cs="Arial"/>
                <w:color w:val="000000"/>
              </w:rPr>
            </w:pPr>
            <w:r w:rsidRPr="006B23E6">
              <w:rPr>
                <w:rFonts w:ascii="Arial" w:hAnsi="Arial" w:cs="Arial"/>
                <w:color w:val="000000"/>
              </w:rPr>
              <w:t>23</w:t>
            </w:r>
            <w:r>
              <w:rPr>
                <w:rFonts w:ascii="Arial" w:hAnsi="Arial" w:cs="Arial"/>
                <w:color w:val="000000"/>
              </w:rPr>
              <w:t xml:space="preserve"> (</w:t>
            </w:r>
            <w:r w:rsidRPr="006B23E6">
              <w:rPr>
                <w:rFonts w:ascii="Arial" w:hAnsi="Arial" w:cs="Arial"/>
                <w:color w:val="000000"/>
              </w:rPr>
              <w:t>67,6</w:t>
            </w:r>
            <w:r>
              <w:rPr>
                <w:rFonts w:ascii="Arial" w:hAnsi="Arial" w:cs="Arial"/>
                <w:color w:val="000000"/>
              </w:rPr>
              <w:t xml:space="preserve"> </w:t>
            </w:r>
            <w:r w:rsidRPr="006B23E6">
              <w:rPr>
                <w:rFonts w:ascii="Arial" w:hAnsi="Arial" w:cs="Arial"/>
                <w:color w:val="000000"/>
              </w:rPr>
              <w:t>%</w:t>
            </w:r>
            <w:r>
              <w:rPr>
                <w:rFonts w:ascii="Arial" w:hAnsi="Arial" w:cs="Arial"/>
                <w:color w:val="000000"/>
              </w:rPr>
              <w:t>)</w:t>
            </w:r>
          </w:p>
        </w:tc>
        <w:tc>
          <w:tcPr>
            <w:tcW w:w="1559" w:type="dxa"/>
            <w:tcBorders>
              <w:top w:val="nil"/>
              <w:left w:val="nil"/>
              <w:bottom w:val="single" w:sz="4" w:space="0" w:color="333333"/>
              <w:right w:val="single" w:sz="4" w:space="0" w:color="333399"/>
            </w:tcBorders>
            <w:shd w:val="clear" w:color="000000" w:fill="FFFFFF"/>
            <w:noWrap/>
            <w:hideMark/>
          </w:tcPr>
          <w:p w14:paraId="3850A38F" w14:textId="7A6F5154" w:rsidR="00A66DEC" w:rsidRPr="006B23E6" w:rsidRDefault="00A66DEC" w:rsidP="00A66DEC">
            <w:pPr>
              <w:jc w:val="center"/>
              <w:rPr>
                <w:rFonts w:ascii="Arial" w:hAnsi="Arial" w:cs="Arial"/>
                <w:color w:val="000000"/>
              </w:rPr>
            </w:pPr>
            <w:r w:rsidRPr="006B23E6">
              <w:rPr>
                <w:rFonts w:ascii="Arial" w:hAnsi="Arial" w:cs="Arial"/>
                <w:color w:val="000000"/>
              </w:rPr>
              <w:t>153</w:t>
            </w:r>
            <w:r>
              <w:rPr>
                <w:rFonts w:ascii="Arial" w:hAnsi="Arial" w:cs="Arial"/>
                <w:color w:val="000000"/>
              </w:rPr>
              <w:t xml:space="preserve"> (</w:t>
            </w:r>
            <w:r w:rsidRPr="006B23E6">
              <w:rPr>
                <w:rFonts w:ascii="Arial" w:hAnsi="Arial" w:cs="Arial"/>
                <w:color w:val="000000"/>
              </w:rPr>
              <w:t>25,6</w:t>
            </w:r>
            <w:r>
              <w:rPr>
                <w:rFonts w:ascii="Arial" w:hAnsi="Arial" w:cs="Arial"/>
                <w:color w:val="000000"/>
              </w:rPr>
              <w:t xml:space="preserve"> </w:t>
            </w:r>
            <w:r w:rsidRPr="006B23E6">
              <w:rPr>
                <w:rFonts w:ascii="Arial" w:hAnsi="Arial" w:cs="Arial"/>
                <w:color w:val="000000"/>
              </w:rPr>
              <w:t>%</w:t>
            </w:r>
            <w:r>
              <w:rPr>
                <w:rFonts w:ascii="Arial" w:hAnsi="Arial" w:cs="Arial"/>
                <w:color w:val="000000"/>
              </w:rPr>
              <w:t>)</w:t>
            </w:r>
          </w:p>
        </w:tc>
        <w:tc>
          <w:tcPr>
            <w:tcW w:w="1444" w:type="dxa"/>
            <w:vMerge/>
            <w:tcBorders>
              <w:top w:val="nil"/>
              <w:left w:val="single" w:sz="4" w:space="0" w:color="auto"/>
              <w:bottom w:val="single" w:sz="4" w:space="0" w:color="000000"/>
              <w:right w:val="single" w:sz="4" w:space="0" w:color="auto"/>
            </w:tcBorders>
            <w:vAlign w:val="center"/>
            <w:hideMark/>
          </w:tcPr>
          <w:p w14:paraId="089F7DD1" w14:textId="77777777" w:rsidR="00A66DEC" w:rsidRPr="003656E6" w:rsidRDefault="00A66DEC" w:rsidP="00A66DEC">
            <w:pPr>
              <w:jc w:val="center"/>
              <w:rPr>
                <w:rFonts w:ascii="Arial" w:hAnsi="Arial" w:cs="Arial"/>
                <w:b/>
                <w:bCs/>
                <w:color w:val="000000"/>
              </w:rPr>
            </w:pPr>
          </w:p>
        </w:tc>
      </w:tr>
      <w:tr w:rsidR="00A66DEC" w:rsidRPr="006B23E6" w14:paraId="0A38236D" w14:textId="77777777" w:rsidTr="00E936BB">
        <w:trPr>
          <w:trHeight w:val="397"/>
        </w:trPr>
        <w:tc>
          <w:tcPr>
            <w:tcW w:w="2547" w:type="dxa"/>
            <w:vMerge w:val="restart"/>
            <w:tcBorders>
              <w:top w:val="nil"/>
              <w:left w:val="single" w:sz="4" w:space="0" w:color="auto"/>
              <w:bottom w:val="single" w:sz="4" w:space="0" w:color="000000"/>
              <w:right w:val="single" w:sz="4" w:space="0" w:color="auto"/>
            </w:tcBorders>
            <w:shd w:val="clear" w:color="auto" w:fill="auto"/>
            <w:vAlign w:val="center"/>
            <w:hideMark/>
          </w:tcPr>
          <w:p w14:paraId="4CCCDAE5" w14:textId="77777777" w:rsidR="00A66DEC" w:rsidRPr="006B23E6" w:rsidRDefault="00A66DEC" w:rsidP="00A66DEC">
            <w:pPr>
              <w:jc w:val="center"/>
              <w:rPr>
                <w:rFonts w:ascii="Arial" w:hAnsi="Arial" w:cs="Arial"/>
                <w:color w:val="000000"/>
              </w:rPr>
            </w:pPr>
            <w:r w:rsidRPr="006B23E6">
              <w:rPr>
                <w:rFonts w:ascii="Arial" w:hAnsi="Arial" w:cs="Arial"/>
                <w:color w:val="000000"/>
              </w:rPr>
              <w:t>Využití zobrazovacích metod</w:t>
            </w:r>
          </w:p>
        </w:tc>
        <w:tc>
          <w:tcPr>
            <w:tcW w:w="3827" w:type="dxa"/>
            <w:tcBorders>
              <w:top w:val="nil"/>
              <w:left w:val="nil"/>
              <w:bottom w:val="single" w:sz="4" w:space="0" w:color="auto"/>
              <w:right w:val="single" w:sz="4" w:space="0" w:color="auto"/>
            </w:tcBorders>
            <w:shd w:val="clear" w:color="auto" w:fill="auto"/>
            <w:noWrap/>
            <w:vAlign w:val="center"/>
            <w:hideMark/>
          </w:tcPr>
          <w:p w14:paraId="69F672E8" w14:textId="77777777" w:rsidR="00A66DEC" w:rsidRPr="006B23E6" w:rsidRDefault="00A66DEC" w:rsidP="00A66DEC">
            <w:pPr>
              <w:jc w:val="center"/>
              <w:rPr>
                <w:rFonts w:ascii="Arial" w:hAnsi="Arial" w:cs="Arial"/>
                <w:color w:val="000000"/>
              </w:rPr>
            </w:pPr>
            <w:r w:rsidRPr="006B23E6">
              <w:rPr>
                <w:rFonts w:ascii="Arial" w:hAnsi="Arial" w:cs="Arial"/>
                <w:color w:val="000000"/>
              </w:rPr>
              <w:t>ANO</w:t>
            </w:r>
          </w:p>
        </w:tc>
        <w:tc>
          <w:tcPr>
            <w:tcW w:w="1559" w:type="dxa"/>
            <w:tcBorders>
              <w:top w:val="nil"/>
              <w:left w:val="nil"/>
              <w:bottom w:val="single" w:sz="4" w:space="0" w:color="333333"/>
              <w:right w:val="single" w:sz="4" w:space="0" w:color="333399"/>
            </w:tcBorders>
            <w:shd w:val="clear" w:color="000000" w:fill="FFFFFF"/>
            <w:noWrap/>
            <w:hideMark/>
          </w:tcPr>
          <w:p w14:paraId="443B483B" w14:textId="276ADA96" w:rsidR="00A66DEC" w:rsidRPr="006B23E6" w:rsidRDefault="00A66DEC" w:rsidP="00A66DEC">
            <w:pPr>
              <w:jc w:val="center"/>
              <w:rPr>
                <w:rFonts w:ascii="Arial" w:hAnsi="Arial" w:cs="Arial"/>
                <w:color w:val="000000"/>
              </w:rPr>
            </w:pPr>
            <w:r w:rsidRPr="006B23E6">
              <w:rPr>
                <w:rFonts w:ascii="Arial" w:hAnsi="Arial" w:cs="Arial"/>
                <w:color w:val="000000"/>
              </w:rPr>
              <w:t>324</w:t>
            </w:r>
            <w:r>
              <w:rPr>
                <w:rFonts w:ascii="Arial" w:hAnsi="Arial" w:cs="Arial"/>
                <w:color w:val="000000"/>
              </w:rPr>
              <w:t xml:space="preserve"> (</w:t>
            </w:r>
            <w:r w:rsidRPr="006B23E6">
              <w:rPr>
                <w:rFonts w:ascii="Arial" w:hAnsi="Arial" w:cs="Arial"/>
                <w:color w:val="000000"/>
              </w:rPr>
              <w:t>57,4</w:t>
            </w:r>
            <w:r>
              <w:rPr>
                <w:rFonts w:ascii="Arial" w:hAnsi="Arial" w:cs="Arial"/>
                <w:color w:val="000000"/>
              </w:rPr>
              <w:t xml:space="preserve"> </w:t>
            </w:r>
            <w:r w:rsidRPr="006B23E6">
              <w:rPr>
                <w:rFonts w:ascii="Arial" w:hAnsi="Arial" w:cs="Arial"/>
                <w:color w:val="000000"/>
              </w:rPr>
              <w:t>%</w:t>
            </w:r>
            <w:r>
              <w:rPr>
                <w:rFonts w:ascii="Arial" w:hAnsi="Arial" w:cs="Arial"/>
                <w:color w:val="000000"/>
              </w:rPr>
              <w:t>)</w:t>
            </w:r>
          </w:p>
        </w:tc>
        <w:tc>
          <w:tcPr>
            <w:tcW w:w="1560" w:type="dxa"/>
            <w:tcBorders>
              <w:top w:val="nil"/>
              <w:left w:val="nil"/>
              <w:bottom w:val="single" w:sz="4" w:space="0" w:color="333333"/>
              <w:right w:val="single" w:sz="4" w:space="0" w:color="333399"/>
            </w:tcBorders>
            <w:shd w:val="clear" w:color="000000" w:fill="FFFFFF"/>
            <w:noWrap/>
            <w:hideMark/>
          </w:tcPr>
          <w:p w14:paraId="365A21FA" w14:textId="0489792B" w:rsidR="00A66DEC" w:rsidRPr="006B23E6" w:rsidRDefault="00A66DEC" w:rsidP="00A66DEC">
            <w:pPr>
              <w:jc w:val="center"/>
              <w:rPr>
                <w:rFonts w:ascii="Arial" w:hAnsi="Arial" w:cs="Arial"/>
                <w:color w:val="000000"/>
              </w:rPr>
            </w:pPr>
            <w:r w:rsidRPr="006B23E6">
              <w:rPr>
                <w:rFonts w:ascii="Arial" w:hAnsi="Arial" w:cs="Arial"/>
                <w:color w:val="000000"/>
              </w:rPr>
              <w:t>16</w:t>
            </w:r>
            <w:r>
              <w:rPr>
                <w:rFonts w:ascii="Arial" w:hAnsi="Arial" w:cs="Arial"/>
                <w:color w:val="000000"/>
              </w:rPr>
              <w:t xml:space="preserve"> (</w:t>
            </w:r>
            <w:r w:rsidRPr="006B23E6">
              <w:rPr>
                <w:rFonts w:ascii="Arial" w:hAnsi="Arial" w:cs="Arial"/>
                <w:color w:val="000000"/>
              </w:rPr>
              <w:t>47,1</w:t>
            </w:r>
            <w:r>
              <w:rPr>
                <w:rFonts w:ascii="Arial" w:hAnsi="Arial" w:cs="Arial"/>
                <w:color w:val="000000"/>
              </w:rPr>
              <w:t xml:space="preserve"> </w:t>
            </w:r>
            <w:r w:rsidRPr="006B23E6">
              <w:rPr>
                <w:rFonts w:ascii="Arial" w:hAnsi="Arial" w:cs="Arial"/>
                <w:color w:val="000000"/>
              </w:rPr>
              <w:t>%</w:t>
            </w:r>
            <w:r>
              <w:rPr>
                <w:rFonts w:ascii="Arial" w:hAnsi="Arial" w:cs="Arial"/>
                <w:color w:val="000000"/>
              </w:rPr>
              <w:t>)</w:t>
            </w:r>
          </w:p>
        </w:tc>
        <w:tc>
          <w:tcPr>
            <w:tcW w:w="1559" w:type="dxa"/>
            <w:tcBorders>
              <w:top w:val="nil"/>
              <w:left w:val="nil"/>
              <w:bottom w:val="single" w:sz="4" w:space="0" w:color="333333"/>
              <w:right w:val="single" w:sz="4" w:space="0" w:color="333399"/>
            </w:tcBorders>
            <w:shd w:val="clear" w:color="000000" w:fill="FFFFFF"/>
            <w:noWrap/>
            <w:hideMark/>
          </w:tcPr>
          <w:p w14:paraId="494BCB21" w14:textId="7D72EDA0" w:rsidR="00A66DEC" w:rsidRPr="006B23E6" w:rsidRDefault="00A66DEC" w:rsidP="00A66DEC">
            <w:pPr>
              <w:jc w:val="center"/>
              <w:rPr>
                <w:rFonts w:ascii="Arial" w:hAnsi="Arial" w:cs="Arial"/>
                <w:color w:val="000000"/>
              </w:rPr>
            </w:pPr>
            <w:r w:rsidRPr="006B23E6">
              <w:rPr>
                <w:rFonts w:ascii="Arial" w:hAnsi="Arial" w:cs="Arial"/>
                <w:color w:val="000000"/>
              </w:rPr>
              <w:t>340</w:t>
            </w:r>
            <w:r>
              <w:rPr>
                <w:rFonts w:ascii="Arial" w:hAnsi="Arial" w:cs="Arial"/>
                <w:color w:val="000000"/>
              </w:rPr>
              <w:t xml:space="preserve"> (</w:t>
            </w:r>
            <w:r w:rsidRPr="006B23E6">
              <w:rPr>
                <w:rFonts w:ascii="Arial" w:hAnsi="Arial" w:cs="Arial"/>
                <w:color w:val="000000"/>
              </w:rPr>
              <w:t>56,9</w:t>
            </w:r>
            <w:r>
              <w:rPr>
                <w:rFonts w:ascii="Arial" w:hAnsi="Arial" w:cs="Arial"/>
                <w:color w:val="000000"/>
              </w:rPr>
              <w:t xml:space="preserve"> </w:t>
            </w:r>
            <w:r w:rsidRPr="006B23E6">
              <w:rPr>
                <w:rFonts w:ascii="Arial" w:hAnsi="Arial" w:cs="Arial"/>
                <w:color w:val="000000"/>
              </w:rPr>
              <w:t>%</w:t>
            </w:r>
            <w:r>
              <w:rPr>
                <w:rFonts w:ascii="Arial" w:hAnsi="Arial" w:cs="Arial"/>
                <w:color w:val="000000"/>
              </w:rPr>
              <w:t>)</w:t>
            </w:r>
          </w:p>
        </w:tc>
        <w:tc>
          <w:tcPr>
            <w:tcW w:w="144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BBC849B" w14:textId="478B8F27" w:rsidR="00A66DEC" w:rsidRPr="003656E6" w:rsidRDefault="00A66DEC" w:rsidP="00A66DEC">
            <w:pPr>
              <w:jc w:val="center"/>
              <w:rPr>
                <w:rFonts w:ascii="Arial" w:hAnsi="Arial" w:cs="Arial"/>
                <w:color w:val="000000"/>
              </w:rPr>
            </w:pPr>
            <w:r w:rsidRPr="003656E6">
              <w:rPr>
                <w:rFonts w:ascii="Arial" w:hAnsi="Arial" w:cs="Arial"/>
                <w:color w:val="000000"/>
              </w:rPr>
              <w:t>0,235</w:t>
            </w:r>
          </w:p>
        </w:tc>
      </w:tr>
      <w:tr w:rsidR="00A66DEC" w:rsidRPr="006B23E6" w14:paraId="0D0F7907" w14:textId="77777777" w:rsidTr="00E936BB">
        <w:trPr>
          <w:trHeight w:val="397"/>
        </w:trPr>
        <w:tc>
          <w:tcPr>
            <w:tcW w:w="2547" w:type="dxa"/>
            <w:vMerge/>
            <w:tcBorders>
              <w:top w:val="nil"/>
              <w:left w:val="single" w:sz="4" w:space="0" w:color="auto"/>
              <w:bottom w:val="single" w:sz="4" w:space="0" w:color="000000"/>
              <w:right w:val="single" w:sz="4" w:space="0" w:color="auto"/>
            </w:tcBorders>
            <w:vAlign w:val="center"/>
            <w:hideMark/>
          </w:tcPr>
          <w:p w14:paraId="26B3BC7B" w14:textId="77777777" w:rsidR="00A66DEC" w:rsidRPr="006B23E6" w:rsidRDefault="00A66DEC" w:rsidP="00A66DEC">
            <w:pPr>
              <w:jc w:val="center"/>
              <w:rPr>
                <w:rFonts w:ascii="Arial" w:hAnsi="Arial" w:cs="Arial"/>
                <w:color w:val="000000"/>
              </w:rPr>
            </w:pPr>
          </w:p>
        </w:tc>
        <w:tc>
          <w:tcPr>
            <w:tcW w:w="3827" w:type="dxa"/>
            <w:tcBorders>
              <w:top w:val="nil"/>
              <w:left w:val="nil"/>
              <w:bottom w:val="single" w:sz="4" w:space="0" w:color="auto"/>
              <w:right w:val="single" w:sz="4" w:space="0" w:color="auto"/>
            </w:tcBorders>
            <w:shd w:val="clear" w:color="auto" w:fill="auto"/>
            <w:noWrap/>
            <w:vAlign w:val="center"/>
            <w:hideMark/>
          </w:tcPr>
          <w:p w14:paraId="585270C8" w14:textId="77777777" w:rsidR="00A66DEC" w:rsidRPr="006B23E6" w:rsidRDefault="00A66DEC" w:rsidP="00A66DEC">
            <w:pPr>
              <w:jc w:val="center"/>
              <w:rPr>
                <w:rFonts w:ascii="Arial" w:hAnsi="Arial" w:cs="Arial"/>
                <w:color w:val="000000"/>
              </w:rPr>
            </w:pPr>
            <w:r w:rsidRPr="006B23E6">
              <w:rPr>
                <w:rFonts w:ascii="Arial" w:hAnsi="Arial" w:cs="Arial"/>
                <w:color w:val="000000"/>
              </w:rPr>
              <w:t>NE</w:t>
            </w:r>
          </w:p>
        </w:tc>
        <w:tc>
          <w:tcPr>
            <w:tcW w:w="1559" w:type="dxa"/>
            <w:tcBorders>
              <w:top w:val="nil"/>
              <w:left w:val="nil"/>
              <w:bottom w:val="single" w:sz="4" w:space="0" w:color="333333"/>
              <w:right w:val="single" w:sz="4" w:space="0" w:color="333399"/>
            </w:tcBorders>
            <w:shd w:val="clear" w:color="000000" w:fill="FFFFFF"/>
            <w:noWrap/>
            <w:hideMark/>
          </w:tcPr>
          <w:p w14:paraId="1B18CA3E" w14:textId="2BD958E5" w:rsidR="00A66DEC" w:rsidRPr="006B23E6" w:rsidRDefault="00A66DEC" w:rsidP="00A66DEC">
            <w:pPr>
              <w:jc w:val="center"/>
              <w:rPr>
                <w:rFonts w:ascii="Arial" w:hAnsi="Arial" w:cs="Arial"/>
                <w:color w:val="000000"/>
              </w:rPr>
            </w:pPr>
            <w:r w:rsidRPr="006B23E6">
              <w:rPr>
                <w:rFonts w:ascii="Arial" w:hAnsi="Arial" w:cs="Arial"/>
                <w:color w:val="000000"/>
              </w:rPr>
              <w:t>240</w:t>
            </w:r>
            <w:r>
              <w:rPr>
                <w:rFonts w:ascii="Arial" w:hAnsi="Arial" w:cs="Arial"/>
                <w:color w:val="000000"/>
              </w:rPr>
              <w:t xml:space="preserve"> (</w:t>
            </w:r>
            <w:r w:rsidRPr="006B23E6">
              <w:rPr>
                <w:rFonts w:ascii="Arial" w:hAnsi="Arial" w:cs="Arial"/>
                <w:color w:val="000000"/>
              </w:rPr>
              <w:t>42,6</w:t>
            </w:r>
            <w:r>
              <w:rPr>
                <w:rFonts w:ascii="Arial" w:hAnsi="Arial" w:cs="Arial"/>
                <w:color w:val="000000"/>
              </w:rPr>
              <w:t xml:space="preserve"> </w:t>
            </w:r>
            <w:r w:rsidRPr="006B23E6">
              <w:rPr>
                <w:rFonts w:ascii="Arial" w:hAnsi="Arial" w:cs="Arial"/>
                <w:color w:val="000000"/>
              </w:rPr>
              <w:t>%</w:t>
            </w:r>
            <w:r>
              <w:rPr>
                <w:rFonts w:ascii="Arial" w:hAnsi="Arial" w:cs="Arial"/>
                <w:color w:val="000000"/>
              </w:rPr>
              <w:t>)</w:t>
            </w:r>
          </w:p>
        </w:tc>
        <w:tc>
          <w:tcPr>
            <w:tcW w:w="1560" w:type="dxa"/>
            <w:tcBorders>
              <w:top w:val="nil"/>
              <w:left w:val="nil"/>
              <w:bottom w:val="single" w:sz="4" w:space="0" w:color="333333"/>
              <w:right w:val="single" w:sz="4" w:space="0" w:color="333399"/>
            </w:tcBorders>
            <w:shd w:val="clear" w:color="000000" w:fill="FFFFFF"/>
            <w:noWrap/>
            <w:hideMark/>
          </w:tcPr>
          <w:p w14:paraId="7F902F15" w14:textId="516ED583" w:rsidR="00A66DEC" w:rsidRPr="006B23E6" w:rsidRDefault="00A66DEC" w:rsidP="00A66DEC">
            <w:pPr>
              <w:jc w:val="center"/>
              <w:rPr>
                <w:rFonts w:ascii="Arial" w:hAnsi="Arial" w:cs="Arial"/>
                <w:color w:val="000000"/>
              </w:rPr>
            </w:pPr>
            <w:r w:rsidRPr="006B23E6">
              <w:rPr>
                <w:rFonts w:ascii="Arial" w:hAnsi="Arial" w:cs="Arial"/>
                <w:color w:val="000000"/>
              </w:rPr>
              <w:t>18</w:t>
            </w:r>
            <w:r>
              <w:rPr>
                <w:rFonts w:ascii="Arial" w:hAnsi="Arial" w:cs="Arial"/>
                <w:color w:val="000000"/>
              </w:rPr>
              <w:t xml:space="preserve"> (</w:t>
            </w:r>
            <w:r w:rsidRPr="006B23E6">
              <w:rPr>
                <w:rFonts w:ascii="Arial" w:hAnsi="Arial" w:cs="Arial"/>
                <w:color w:val="000000"/>
              </w:rPr>
              <w:t>52,9</w:t>
            </w:r>
            <w:r>
              <w:rPr>
                <w:rFonts w:ascii="Arial" w:hAnsi="Arial" w:cs="Arial"/>
                <w:color w:val="000000"/>
              </w:rPr>
              <w:t xml:space="preserve"> </w:t>
            </w:r>
            <w:r w:rsidRPr="006B23E6">
              <w:rPr>
                <w:rFonts w:ascii="Arial" w:hAnsi="Arial" w:cs="Arial"/>
                <w:color w:val="000000"/>
              </w:rPr>
              <w:t>%</w:t>
            </w:r>
            <w:r>
              <w:rPr>
                <w:rFonts w:ascii="Arial" w:hAnsi="Arial" w:cs="Arial"/>
                <w:color w:val="000000"/>
              </w:rPr>
              <w:t>)</w:t>
            </w:r>
          </w:p>
        </w:tc>
        <w:tc>
          <w:tcPr>
            <w:tcW w:w="1559" w:type="dxa"/>
            <w:tcBorders>
              <w:top w:val="nil"/>
              <w:left w:val="nil"/>
              <w:bottom w:val="single" w:sz="4" w:space="0" w:color="333333"/>
              <w:right w:val="single" w:sz="4" w:space="0" w:color="333399"/>
            </w:tcBorders>
            <w:shd w:val="clear" w:color="000000" w:fill="FFFFFF"/>
            <w:noWrap/>
            <w:hideMark/>
          </w:tcPr>
          <w:p w14:paraId="00845FBC" w14:textId="3853A59D" w:rsidR="00A66DEC" w:rsidRPr="006B23E6" w:rsidRDefault="00A66DEC" w:rsidP="00A66DEC">
            <w:pPr>
              <w:jc w:val="center"/>
              <w:rPr>
                <w:rFonts w:ascii="Arial" w:hAnsi="Arial" w:cs="Arial"/>
                <w:color w:val="000000"/>
              </w:rPr>
            </w:pPr>
            <w:r w:rsidRPr="006B23E6">
              <w:rPr>
                <w:rFonts w:ascii="Arial" w:hAnsi="Arial" w:cs="Arial"/>
                <w:color w:val="000000"/>
              </w:rPr>
              <w:t>258</w:t>
            </w:r>
            <w:r>
              <w:rPr>
                <w:rFonts w:ascii="Arial" w:hAnsi="Arial" w:cs="Arial"/>
                <w:color w:val="000000"/>
              </w:rPr>
              <w:t xml:space="preserve"> (</w:t>
            </w:r>
            <w:r w:rsidRPr="006B23E6">
              <w:rPr>
                <w:rFonts w:ascii="Arial" w:hAnsi="Arial" w:cs="Arial"/>
                <w:color w:val="000000"/>
              </w:rPr>
              <w:t>43,1</w:t>
            </w:r>
            <w:r>
              <w:rPr>
                <w:rFonts w:ascii="Arial" w:hAnsi="Arial" w:cs="Arial"/>
                <w:color w:val="000000"/>
              </w:rPr>
              <w:t xml:space="preserve"> </w:t>
            </w:r>
            <w:r w:rsidRPr="006B23E6">
              <w:rPr>
                <w:rFonts w:ascii="Arial" w:hAnsi="Arial" w:cs="Arial"/>
                <w:color w:val="000000"/>
              </w:rPr>
              <w:t>%</w:t>
            </w:r>
            <w:r>
              <w:rPr>
                <w:rFonts w:ascii="Arial" w:hAnsi="Arial" w:cs="Arial"/>
                <w:color w:val="000000"/>
              </w:rPr>
              <w:t>)</w:t>
            </w:r>
          </w:p>
        </w:tc>
        <w:tc>
          <w:tcPr>
            <w:tcW w:w="1444" w:type="dxa"/>
            <w:vMerge/>
            <w:tcBorders>
              <w:top w:val="nil"/>
              <w:left w:val="single" w:sz="4" w:space="0" w:color="auto"/>
              <w:bottom w:val="single" w:sz="4" w:space="0" w:color="000000"/>
              <w:right w:val="single" w:sz="4" w:space="0" w:color="auto"/>
            </w:tcBorders>
            <w:vAlign w:val="center"/>
            <w:hideMark/>
          </w:tcPr>
          <w:p w14:paraId="715961F2" w14:textId="77777777" w:rsidR="00A66DEC" w:rsidRPr="003656E6" w:rsidRDefault="00A66DEC" w:rsidP="00A66DEC">
            <w:pPr>
              <w:jc w:val="center"/>
              <w:rPr>
                <w:rFonts w:ascii="Arial" w:hAnsi="Arial" w:cs="Arial"/>
                <w:color w:val="000000"/>
              </w:rPr>
            </w:pPr>
          </w:p>
        </w:tc>
      </w:tr>
      <w:tr w:rsidR="00A66DEC" w:rsidRPr="006B23E6" w14:paraId="32E19B45" w14:textId="77777777" w:rsidTr="00E936BB">
        <w:trPr>
          <w:trHeight w:val="397"/>
        </w:trPr>
        <w:tc>
          <w:tcPr>
            <w:tcW w:w="2547" w:type="dxa"/>
            <w:vMerge w:val="restart"/>
            <w:tcBorders>
              <w:top w:val="nil"/>
              <w:left w:val="single" w:sz="4" w:space="0" w:color="auto"/>
              <w:bottom w:val="single" w:sz="4" w:space="0" w:color="000000"/>
              <w:right w:val="single" w:sz="4" w:space="0" w:color="auto"/>
            </w:tcBorders>
            <w:shd w:val="clear" w:color="auto" w:fill="auto"/>
            <w:vAlign w:val="center"/>
            <w:hideMark/>
          </w:tcPr>
          <w:p w14:paraId="25A2C727" w14:textId="77777777" w:rsidR="00A66DEC" w:rsidRPr="006B23E6" w:rsidRDefault="00A66DEC" w:rsidP="00A66DEC">
            <w:pPr>
              <w:jc w:val="center"/>
              <w:rPr>
                <w:rFonts w:ascii="Arial" w:hAnsi="Arial" w:cs="Arial"/>
                <w:color w:val="000000"/>
              </w:rPr>
            </w:pPr>
            <w:r w:rsidRPr="006B23E6">
              <w:rPr>
                <w:rFonts w:ascii="Arial" w:hAnsi="Arial" w:cs="Arial"/>
                <w:color w:val="000000"/>
              </w:rPr>
              <w:t>Konzilium specialisty</w:t>
            </w:r>
          </w:p>
        </w:tc>
        <w:tc>
          <w:tcPr>
            <w:tcW w:w="3827" w:type="dxa"/>
            <w:tcBorders>
              <w:top w:val="nil"/>
              <w:left w:val="nil"/>
              <w:bottom w:val="single" w:sz="4" w:space="0" w:color="auto"/>
              <w:right w:val="single" w:sz="4" w:space="0" w:color="auto"/>
            </w:tcBorders>
            <w:shd w:val="clear" w:color="auto" w:fill="auto"/>
            <w:noWrap/>
            <w:vAlign w:val="center"/>
            <w:hideMark/>
          </w:tcPr>
          <w:p w14:paraId="70BEF330" w14:textId="77777777" w:rsidR="00A66DEC" w:rsidRPr="006B23E6" w:rsidRDefault="00A66DEC" w:rsidP="00A66DEC">
            <w:pPr>
              <w:jc w:val="center"/>
              <w:rPr>
                <w:rFonts w:ascii="Arial" w:hAnsi="Arial" w:cs="Arial"/>
                <w:color w:val="000000"/>
              </w:rPr>
            </w:pPr>
            <w:r w:rsidRPr="006B23E6">
              <w:rPr>
                <w:rFonts w:ascii="Arial" w:hAnsi="Arial" w:cs="Arial"/>
                <w:color w:val="000000"/>
              </w:rPr>
              <w:t>ANO</w:t>
            </w:r>
          </w:p>
        </w:tc>
        <w:tc>
          <w:tcPr>
            <w:tcW w:w="1559" w:type="dxa"/>
            <w:tcBorders>
              <w:top w:val="nil"/>
              <w:left w:val="nil"/>
              <w:bottom w:val="single" w:sz="4" w:space="0" w:color="333333"/>
              <w:right w:val="single" w:sz="4" w:space="0" w:color="333399"/>
            </w:tcBorders>
            <w:shd w:val="clear" w:color="000000" w:fill="FFFFFF"/>
            <w:noWrap/>
            <w:hideMark/>
          </w:tcPr>
          <w:p w14:paraId="3D097DD8" w14:textId="11701CE4" w:rsidR="00A66DEC" w:rsidRPr="006B23E6" w:rsidRDefault="00A66DEC" w:rsidP="00A66DEC">
            <w:pPr>
              <w:jc w:val="center"/>
              <w:rPr>
                <w:rFonts w:ascii="Arial" w:hAnsi="Arial" w:cs="Arial"/>
                <w:color w:val="000000"/>
              </w:rPr>
            </w:pPr>
            <w:r w:rsidRPr="006B23E6">
              <w:rPr>
                <w:rFonts w:ascii="Arial" w:hAnsi="Arial" w:cs="Arial"/>
                <w:color w:val="000000"/>
              </w:rPr>
              <w:t>16</w:t>
            </w:r>
            <w:r>
              <w:rPr>
                <w:rFonts w:ascii="Arial" w:hAnsi="Arial" w:cs="Arial"/>
                <w:color w:val="000000"/>
              </w:rPr>
              <w:t xml:space="preserve"> (</w:t>
            </w:r>
            <w:r w:rsidRPr="006B23E6">
              <w:rPr>
                <w:rFonts w:ascii="Arial" w:hAnsi="Arial" w:cs="Arial"/>
                <w:color w:val="000000"/>
              </w:rPr>
              <w:t>2,8</w:t>
            </w:r>
            <w:r>
              <w:rPr>
                <w:rFonts w:ascii="Arial" w:hAnsi="Arial" w:cs="Arial"/>
                <w:color w:val="000000"/>
              </w:rPr>
              <w:t xml:space="preserve"> </w:t>
            </w:r>
            <w:r w:rsidRPr="006B23E6">
              <w:rPr>
                <w:rFonts w:ascii="Arial" w:hAnsi="Arial" w:cs="Arial"/>
                <w:color w:val="000000"/>
              </w:rPr>
              <w:t>%</w:t>
            </w:r>
            <w:r>
              <w:rPr>
                <w:rFonts w:ascii="Arial" w:hAnsi="Arial" w:cs="Arial"/>
                <w:color w:val="000000"/>
              </w:rPr>
              <w:t>)</w:t>
            </w:r>
          </w:p>
        </w:tc>
        <w:tc>
          <w:tcPr>
            <w:tcW w:w="1560" w:type="dxa"/>
            <w:tcBorders>
              <w:top w:val="nil"/>
              <w:left w:val="nil"/>
              <w:bottom w:val="single" w:sz="4" w:space="0" w:color="333333"/>
              <w:right w:val="single" w:sz="4" w:space="0" w:color="333399"/>
            </w:tcBorders>
            <w:shd w:val="clear" w:color="000000" w:fill="FFFFFF"/>
            <w:noWrap/>
            <w:hideMark/>
          </w:tcPr>
          <w:p w14:paraId="5F44DFE2" w14:textId="67BE4AD2" w:rsidR="00A66DEC" w:rsidRPr="006B23E6" w:rsidRDefault="00A66DEC" w:rsidP="00A66DEC">
            <w:pPr>
              <w:jc w:val="center"/>
              <w:rPr>
                <w:rFonts w:ascii="Arial" w:hAnsi="Arial" w:cs="Arial"/>
                <w:color w:val="000000"/>
              </w:rPr>
            </w:pPr>
            <w:r w:rsidRPr="006B23E6">
              <w:rPr>
                <w:rFonts w:ascii="Arial" w:hAnsi="Arial" w:cs="Arial"/>
                <w:color w:val="000000"/>
              </w:rPr>
              <w:t>0</w:t>
            </w:r>
            <w:r>
              <w:rPr>
                <w:rFonts w:ascii="Arial" w:hAnsi="Arial" w:cs="Arial"/>
                <w:color w:val="000000"/>
              </w:rPr>
              <w:t xml:space="preserve"> (</w:t>
            </w:r>
            <w:r w:rsidRPr="006B23E6">
              <w:rPr>
                <w:rFonts w:ascii="Arial" w:hAnsi="Arial" w:cs="Arial"/>
                <w:color w:val="000000"/>
              </w:rPr>
              <w:t>0,0</w:t>
            </w:r>
            <w:r>
              <w:rPr>
                <w:rFonts w:ascii="Arial" w:hAnsi="Arial" w:cs="Arial"/>
                <w:color w:val="000000"/>
              </w:rPr>
              <w:t xml:space="preserve"> </w:t>
            </w:r>
            <w:r w:rsidRPr="006B23E6">
              <w:rPr>
                <w:rFonts w:ascii="Arial" w:hAnsi="Arial" w:cs="Arial"/>
                <w:color w:val="000000"/>
              </w:rPr>
              <w:t>%</w:t>
            </w:r>
            <w:r>
              <w:rPr>
                <w:rFonts w:ascii="Arial" w:hAnsi="Arial" w:cs="Arial"/>
                <w:color w:val="000000"/>
              </w:rPr>
              <w:t>)</w:t>
            </w:r>
          </w:p>
        </w:tc>
        <w:tc>
          <w:tcPr>
            <w:tcW w:w="1559" w:type="dxa"/>
            <w:tcBorders>
              <w:top w:val="nil"/>
              <w:left w:val="nil"/>
              <w:bottom w:val="single" w:sz="4" w:space="0" w:color="333333"/>
              <w:right w:val="single" w:sz="4" w:space="0" w:color="333399"/>
            </w:tcBorders>
            <w:shd w:val="clear" w:color="000000" w:fill="FFFFFF"/>
            <w:noWrap/>
            <w:hideMark/>
          </w:tcPr>
          <w:p w14:paraId="7117E093" w14:textId="52415C22" w:rsidR="00A66DEC" w:rsidRPr="006B23E6" w:rsidRDefault="00A66DEC" w:rsidP="00A66DEC">
            <w:pPr>
              <w:jc w:val="center"/>
              <w:rPr>
                <w:rFonts w:ascii="Arial" w:hAnsi="Arial" w:cs="Arial"/>
                <w:color w:val="000000"/>
              </w:rPr>
            </w:pPr>
            <w:r w:rsidRPr="006B23E6">
              <w:rPr>
                <w:rFonts w:ascii="Arial" w:hAnsi="Arial" w:cs="Arial"/>
                <w:color w:val="000000"/>
              </w:rPr>
              <w:t>16</w:t>
            </w:r>
            <w:r>
              <w:rPr>
                <w:rFonts w:ascii="Arial" w:hAnsi="Arial" w:cs="Arial"/>
                <w:color w:val="000000"/>
              </w:rPr>
              <w:t xml:space="preserve"> (</w:t>
            </w:r>
            <w:r w:rsidRPr="006B23E6">
              <w:rPr>
                <w:rFonts w:ascii="Arial" w:hAnsi="Arial" w:cs="Arial"/>
                <w:color w:val="000000"/>
              </w:rPr>
              <w:t>2,7</w:t>
            </w:r>
            <w:r>
              <w:rPr>
                <w:rFonts w:ascii="Arial" w:hAnsi="Arial" w:cs="Arial"/>
                <w:color w:val="000000"/>
              </w:rPr>
              <w:t xml:space="preserve"> </w:t>
            </w:r>
            <w:r w:rsidRPr="006B23E6">
              <w:rPr>
                <w:rFonts w:ascii="Arial" w:hAnsi="Arial" w:cs="Arial"/>
                <w:color w:val="000000"/>
              </w:rPr>
              <w:t>%</w:t>
            </w:r>
            <w:r>
              <w:rPr>
                <w:rFonts w:ascii="Arial" w:hAnsi="Arial" w:cs="Arial"/>
                <w:color w:val="000000"/>
              </w:rPr>
              <w:t>)</w:t>
            </w:r>
          </w:p>
        </w:tc>
        <w:tc>
          <w:tcPr>
            <w:tcW w:w="144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0F52A0" w14:textId="4EECFE6B" w:rsidR="00A66DEC" w:rsidRPr="003656E6" w:rsidRDefault="00A66DEC" w:rsidP="00A66DEC">
            <w:pPr>
              <w:jc w:val="center"/>
              <w:rPr>
                <w:rFonts w:ascii="Arial" w:hAnsi="Arial" w:cs="Arial"/>
                <w:color w:val="000000"/>
              </w:rPr>
            </w:pPr>
            <w:r w:rsidRPr="003656E6">
              <w:rPr>
                <w:rFonts w:ascii="Arial" w:hAnsi="Arial" w:cs="Arial"/>
                <w:color w:val="000000"/>
              </w:rPr>
              <w:t>1,000</w:t>
            </w:r>
          </w:p>
        </w:tc>
      </w:tr>
      <w:tr w:rsidR="00A66DEC" w:rsidRPr="006B23E6" w14:paraId="3C8E05ED" w14:textId="77777777" w:rsidTr="00E936BB">
        <w:trPr>
          <w:trHeight w:val="397"/>
        </w:trPr>
        <w:tc>
          <w:tcPr>
            <w:tcW w:w="2547" w:type="dxa"/>
            <w:vMerge/>
            <w:tcBorders>
              <w:top w:val="nil"/>
              <w:left w:val="single" w:sz="4" w:space="0" w:color="auto"/>
              <w:bottom w:val="single" w:sz="4" w:space="0" w:color="000000"/>
              <w:right w:val="single" w:sz="4" w:space="0" w:color="auto"/>
            </w:tcBorders>
            <w:vAlign w:val="center"/>
            <w:hideMark/>
          </w:tcPr>
          <w:p w14:paraId="140E6310" w14:textId="77777777" w:rsidR="00A66DEC" w:rsidRPr="006B23E6" w:rsidRDefault="00A66DEC" w:rsidP="00A66DEC">
            <w:pPr>
              <w:jc w:val="center"/>
              <w:rPr>
                <w:rFonts w:ascii="Arial" w:hAnsi="Arial" w:cs="Arial"/>
                <w:color w:val="000000"/>
              </w:rPr>
            </w:pPr>
          </w:p>
        </w:tc>
        <w:tc>
          <w:tcPr>
            <w:tcW w:w="3827" w:type="dxa"/>
            <w:tcBorders>
              <w:top w:val="nil"/>
              <w:left w:val="nil"/>
              <w:bottom w:val="single" w:sz="4" w:space="0" w:color="auto"/>
              <w:right w:val="single" w:sz="4" w:space="0" w:color="auto"/>
            </w:tcBorders>
            <w:shd w:val="clear" w:color="auto" w:fill="auto"/>
            <w:noWrap/>
            <w:vAlign w:val="center"/>
            <w:hideMark/>
          </w:tcPr>
          <w:p w14:paraId="06FB0ABF" w14:textId="77777777" w:rsidR="00A66DEC" w:rsidRPr="006B23E6" w:rsidRDefault="00A66DEC" w:rsidP="00A66DEC">
            <w:pPr>
              <w:jc w:val="center"/>
              <w:rPr>
                <w:rFonts w:ascii="Arial" w:hAnsi="Arial" w:cs="Arial"/>
                <w:color w:val="000000"/>
              </w:rPr>
            </w:pPr>
            <w:r w:rsidRPr="006B23E6">
              <w:rPr>
                <w:rFonts w:ascii="Arial" w:hAnsi="Arial" w:cs="Arial"/>
                <w:color w:val="000000"/>
              </w:rPr>
              <w:t>NE</w:t>
            </w:r>
          </w:p>
        </w:tc>
        <w:tc>
          <w:tcPr>
            <w:tcW w:w="1559" w:type="dxa"/>
            <w:tcBorders>
              <w:top w:val="nil"/>
              <w:left w:val="nil"/>
              <w:bottom w:val="single" w:sz="4" w:space="0" w:color="333333"/>
              <w:right w:val="single" w:sz="4" w:space="0" w:color="333399"/>
            </w:tcBorders>
            <w:shd w:val="clear" w:color="000000" w:fill="FFFFFF"/>
            <w:noWrap/>
            <w:hideMark/>
          </w:tcPr>
          <w:p w14:paraId="64D65D10" w14:textId="6B9AA224" w:rsidR="00A66DEC" w:rsidRPr="006B23E6" w:rsidRDefault="00A66DEC" w:rsidP="00A66DEC">
            <w:pPr>
              <w:jc w:val="center"/>
              <w:rPr>
                <w:rFonts w:ascii="Arial" w:hAnsi="Arial" w:cs="Arial"/>
                <w:color w:val="000000"/>
              </w:rPr>
            </w:pPr>
            <w:r w:rsidRPr="006B23E6">
              <w:rPr>
                <w:rFonts w:ascii="Arial" w:hAnsi="Arial" w:cs="Arial"/>
                <w:color w:val="000000"/>
              </w:rPr>
              <w:t>548</w:t>
            </w:r>
            <w:r>
              <w:rPr>
                <w:rFonts w:ascii="Arial" w:hAnsi="Arial" w:cs="Arial"/>
                <w:color w:val="000000"/>
              </w:rPr>
              <w:t xml:space="preserve"> (</w:t>
            </w:r>
            <w:r w:rsidRPr="006B23E6">
              <w:rPr>
                <w:rFonts w:ascii="Arial" w:hAnsi="Arial" w:cs="Arial"/>
                <w:color w:val="000000"/>
              </w:rPr>
              <w:t>97,2</w:t>
            </w:r>
            <w:r>
              <w:rPr>
                <w:rFonts w:ascii="Arial" w:hAnsi="Arial" w:cs="Arial"/>
                <w:color w:val="000000"/>
              </w:rPr>
              <w:t xml:space="preserve"> </w:t>
            </w:r>
            <w:r w:rsidRPr="006B23E6">
              <w:rPr>
                <w:rFonts w:ascii="Arial" w:hAnsi="Arial" w:cs="Arial"/>
                <w:color w:val="000000"/>
              </w:rPr>
              <w:t>%</w:t>
            </w:r>
            <w:r>
              <w:rPr>
                <w:rFonts w:ascii="Arial" w:hAnsi="Arial" w:cs="Arial"/>
                <w:color w:val="000000"/>
              </w:rPr>
              <w:t>)</w:t>
            </w:r>
          </w:p>
        </w:tc>
        <w:tc>
          <w:tcPr>
            <w:tcW w:w="1560" w:type="dxa"/>
            <w:tcBorders>
              <w:top w:val="nil"/>
              <w:left w:val="nil"/>
              <w:bottom w:val="single" w:sz="4" w:space="0" w:color="333333"/>
              <w:right w:val="single" w:sz="4" w:space="0" w:color="333399"/>
            </w:tcBorders>
            <w:shd w:val="clear" w:color="000000" w:fill="FFFFFF"/>
            <w:noWrap/>
            <w:hideMark/>
          </w:tcPr>
          <w:p w14:paraId="0A9C1FCF" w14:textId="1B401C12" w:rsidR="00A66DEC" w:rsidRPr="006B23E6" w:rsidRDefault="00A66DEC" w:rsidP="00A66DEC">
            <w:pPr>
              <w:jc w:val="center"/>
              <w:rPr>
                <w:rFonts w:ascii="Arial" w:hAnsi="Arial" w:cs="Arial"/>
                <w:color w:val="000000"/>
              </w:rPr>
            </w:pPr>
            <w:r w:rsidRPr="006B23E6">
              <w:rPr>
                <w:rFonts w:ascii="Arial" w:hAnsi="Arial" w:cs="Arial"/>
                <w:color w:val="000000"/>
              </w:rPr>
              <w:t>34</w:t>
            </w:r>
            <w:r>
              <w:rPr>
                <w:rFonts w:ascii="Arial" w:hAnsi="Arial" w:cs="Arial"/>
                <w:color w:val="000000"/>
              </w:rPr>
              <w:t xml:space="preserve"> (</w:t>
            </w:r>
            <w:r w:rsidRPr="006B23E6">
              <w:rPr>
                <w:rFonts w:ascii="Arial" w:hAnsi="Arial" w:cs="Arial"/>
                <w:color w:val="000000"/>
              </w:rPr>
              <w:t>100,0</w:t>
            </w:r>
            <w:r>
              <w:rPr>
                <w:rFonts w:ascii="Arial" w:hAnsi="Arial" w:cs="Arial"/>
                <w:color w:val="000000"/>
              </w:rPr>
              <w:t xml:space="preserve"> </w:t>
            </w:r>
            <w:r w:rsidRPr="006B23E6">
              <w:rPr>
                <w:rFonts w:ascii="Arial" w:hAnsi="Arial" w:cs="Arial"/>
                <w:color w:val="000000"/>
              </w:rPr>
              <w:t>%</w:t>
            </w:r>
            <w:r>
              <w:rPr>
                <w:rFonts w:ascii="Arial" w:hAnsi="Arial" w:cs="Arial"/>
                <w:color w:val="000000"/>
              </w:rPr>
              <w:t>)</w:t>
            </w:r>
          </w:p>
        </w:tc>
        <w:tc>
          <w:tcPr>
            <w:tcW w:w="1559" w:type="dxa"/>
            <w:tcBorders>
              <w:top w:val="nil"/>
              <w:left w:val="nil"/>
              <w:bottom w:val="single" w:sz="4" w:space="0" w:color="333333"/>
              <w:right w:val="single" w:sz="4" w:space="0" w:color="333399"/>
            </w:tcBorders>
            <w:shd w:val="clear" w:color="000000" w:fill="FFFFFF"/>
            <w:noWrap/>
            <w:hideMark/>
          </w:tcPr>
          <w:p w14:paraId="3206340B" w14:textId="31677FD0" w:rsidR="00A66DEC" w:rsidRPr="006B23E6" w:rsidRDefault="00A66DEC" w:rsidP="00A66DEC">
            <w:pPr>
              <w:jc w:val="center"/>
              <w:rPr>
                <w:rFonts w:ascii="Arial" w:hAnsi="Arial" w:cs="Arial"/>
                <w:color w:val="000000"/>
              </w:rPr>
            </w:pPr>
            <w:r w:rsidRPr="006B23E6">
              <w:rPr>
                <w:rFonts w:ascii="Arial" w:hAnsi="Arial" w:cs="Arial"/>
                <w:color w:val="000000"/>
              </w:rPr>
              <w:t>582</w:t>
            </w:r>
            <w:r>
              <w:rPr>
                <w:rFonts w:ascii="Arial" w:hAnsi="Arial" w:cs="Arial"/>
                <w:color w:val="000000"/>
              </w:rPr>
              <w:t xml:space="preserve"> (</w:t>
            </w:r>
            <w:r w:rsidRPr="006B23E6">
              <w:rPr>
                <w:rFonts w:ascii="Arial" w:hAnsi="Arial" w:cs="Arial"/>
                <w:color w:val="000000"/>
              </w:rPr>
              <w:t>97,3</w:t>
            </w:r>
            <w:r>
              <w:rPr>
                <w:rFonts w:ascii="Arial" w:hAnsi="Arial" w:cs="Arial"/>
                <w:color w:val="000000"/>
              </w:rPr>
              <w:t xml:space="preserve"> </w:t>
            </w:r>
            <w:r w:rsidRPr="006B23E6">
              <w:rPr>
                <w:rFonts w:ascii="Arial" w:hAnsi="Arial" w:cs="Arial"/>
                <w:color w:val="000000"/>
              </w:rPr>
              <w:t>%</w:t>
            </w:r>
            <w:r>
              <w:rPr>
                <w:rFonts w:ascii="Arial" w:hAnsi="Arial" w:cs="Arial"/>
                <w:color w:val="000000"/>
              </w:rPr>
              <w:t>)</w:t>
            </w:r>
          </w:p>
        </w:tc>
        <w:tc>
          <w:tcPr>
            <w:tcW w:w="1444" w:type="dxa"/>
            <w:vMerge/>
            <w:tcBorders>
              <w:top w:val="nil"/>
              <w:left w:val="single" w:sz="4" w:space="0" w:color="auto"/>
              <w:bottom w:val="single" w:sz="4" w:space="0" w:color="000000"/>
              <w:right w:val="single" w:sz="4" w:space="0" w:color="auto"/>
            </w:tcBorders>
            <w:vAlign w:val="center"/>
            <w:hideMark/>
          </w:tcPr>
          <w:p w14:paraId="33075D2B" w14:textId="77777777" w:rsidR="00A66DEC" w:rsidRPr="006B23E6" w:rsidRDefault="00A66DEC" w:rsidP="00A66DEC">
            <w:pPr>
              <w:jc w:val="center"/>
              <w:rPr>
                <w:rFonts w:ascii="Arial" w:hAnsi="Arial" w:cs="Arial"/>
                <w:color w:val="000000"/>
              </w:rPr>
            </w:pPr>
          </w:p>
        </w:tc>
      </w:tr>
    </w:tbl>
    <w:p w14:paraId="6DC55495" w14:textId="51B5E348" w:rsidR="0088242E" w:rsidRDefault="00E936BB" w:rsidP="00E936BB">
      <w:pPr>
        <w:pStyle w:val="Popisobrzku"/>
        <w:sectPr w:rsidR="0088242E" w:rsidSect="0088242E">
          <w:pgSz w:w="16838" w:h="11906" w:orient="landscape" w:code="9"/>
          <w:pgMar w:top="1140" w:right="1980" w:bottom="1140" w:left="2380" w:header="1140" w:footer="1420" w:gutter="860"/>
          <w:cols w:space="708"/>
          <w:docGrid w:linePitch="360"/>
        </w:sectPr>
      </w:pPr>
      <w:r w:rsidRPr="006B23E6">
        <w:t xml:space="preserve">Chí-kvadrát test (χ2), koeficient </w:t>
      </w:r>
      <w:proofErr w:type="spellStart"/>
      <w:r w:rsidRPr="006B23E6">
        <w:t>asociance</w:t>
      </w:r>
      <w:proofErr w:type="spellEnd"/>
      <w:r w:rsidRPr="006B23E6">
        <w:t xml:space="preserve"> Fí, </w:t>
      </w:r>
      <w:proofErr w:type="spellStart"/>
      <w:r w:rsidRPr="006B23E6">
        <w:t>Cramerovo</w:t>
      </w:r>
      <w:proofErr w:type="spellEnd"/>
      <w:r w:rsidRPr="006B23E6">
        <w:t xml:space="preserve"> V (CV) a p-hodnota </w:t>
      </w:r>
      <w:proofErr w:type="spellStart"/>
      <w:r w:rsidRPr="006B23E6">
        <w:t>Fisherova</w:t>
      </w:r>
      <w:proofErr w:type="spellEnd"/>
      <w:r w:rsidRPr="006B23E6">
        <w:t xml:space="preserve"> testu byly použity s hladinou významnosti &lt;0,05.</w:t>
      </w:r>
      <w:r w:rsidR="00282E99">
        <w:t xml:space="preserve"> **</w:t>
      </w:r>
      <w:r w:rsidR="0014364E" w:rsidRPr="0014364E">
        <w:t xml:space="preserve"> </w:t>
      </w:r>
      <w:r w:rsidR="008E0065" w:rsidRPr="008E0065">
        <w:t xml:space="preserve">Z důvodu splnění podmínek pro výpočet </w:t>
      </w:r>
      <w:proofErr w:type="spellStart"/>
      <w:r w:rsidR="008E0065" w:rsidRPr="008E0065">
        <w:t>Pearsonova</w:t>
      </w:r>
      <w:proofErr w:type="spellEnd"/>
      <w:r w:rsidR="008E0065" w:rsidRPr="008E0065">
        <w:t xml:space="preserve"> chí-kvadrátu bylo v dílčí analýze použito rozdělení do dvou kategorií způsobů dopravy k ošetření, a to ZZS a jiný než ZZS.</w:t>
      </w:r>
    </w:p>
    <w:p w14:paraId="2CD898BE" w14:textId="55E75BA1" w:rsidR="00101B5B" w:rsidRPr="001F557B" w:rsidRDefault="003D1C6C" w:rsidP="00101B5B">
      <w:pPr>
        <w:pStyle w:val="Dalodstavce"/>
        <w:numPr>
          <w:ilvl w:val="0"/>
          <w:numId w:val="26"/>
        </w:numPr>
        <w:rPr>
          <w:b/>
          <w:bCs/>
          <w:lang w:eastAsia="sk-SK"/>
        </w:rPr>
      </w:pPr>
      <w:r>
        <w:rPr>
          <w:b/>
          <w:bCs/>
          <w:lang w:eastAsia="sk-SK"/>
        </w:rPr>
        <w:lastRenderedPageBreak/>
        <w:t>Bylo</w:t>
      </w:r>
      <w:r w:rsidR="00101B5B" w:rsidRPr="001F557B">
        <w:rPr>
          <w:b/>
          <w:bCs/>
          <w:lang w:eastAsia="sk-SK"/>
        </w:rPr>
        <w:t xml:space="preserve"> využití jednotlivých služeb </w:t>
      </w:r>
      <w:r w:rsidR="002E7E68">
        <w:rPr>
          <w:b/>
          <w:bCs/>
          <w:lang w:eastAsia="sk-SK"/>
        </w:rPr>
        <w:t xml:space="preserve">u pacientů ve věku 75+ </w:t>
      </w:r>
      <w:r w:rsidR="00101B5B" w:rsidRPr="001F557B">
        <w:rPr>
          <w:b/>
          <w:bCs/>
          <w:lang w:eastAsia="sk-SK"/>
        </w:rPr>
        <w:t xml:space="preserve">na </w:t>
      </w:r>
      <w:r w:rsidR="00EB2165">
        <w:rPr>
          <w:b/>
          <w:bCs/>
          <w:lang w:eastAsia="sk-SK"/>
        </w:rPr>
        <w:t>nízkoprahovém urgentním příjmu</w:t>
      </w:r>
      <w:r w:rsidR="001F557B" w:rsidRPr="001F557B">
        <w:rPr>
          <w:b/>
          <w:bCs/>
          <w:lang w:eastAsia="sk-SK"/>
        </w:rPr>
        <w:t xml:space="preserve"> </w:t>
      </w:r>
      <w:r w:rsidR="00F12E78">
        <w:rPr>
          <w:b/>
          <w:bCs/>
          <w:lang w:eastAsia="sk-SK"/>
        </w:rPr>
        <w:t>vzájemně</w:t>
      </w:r>
      <w:r w:rsidR="00101B5B" w:rsidRPr="001F557B">
        <w:rPr>
          <w:b/>
          <w:bCs/>
          <w:lang w:eastAsia="sk-SK"/>
        </w:rPr>
        <w:t xml:space="preserve"> prováz</w:t>
      </w:r>
      <w:r>
        <w:rPr>
          <w:b/>
          <w:bCs/>
          <w:lang w:eastAsia="sk-SK"/>
        </w:rPr>
        <w:t>a</w:t>
      </w:r>
      <w:r w:rsidR="00101B5B" w:rsidRPr="001F557B">
        <w:rPr>
          <w:b/>
          <w:bCs/>
          <w:lang w:eastAsia="sk-SK"/>
        </w:rPr>
        <w:t>n</w:t>
      </w:r>
      <w:r>
        <w:rPr>
          <w:b/>
          <w:bCs/>
          <w:lang w:eastAsia="sk-SK"/>
        </w:rPr>
        <w:t>é</w:t>
      </w:r>
      <w:r w:rsidR="00101B5B" w:rsidRPr="001F557B">
        <w:rPr>
          <w:b/>
          <w:bCs/>
          <w:lang w:eastAsia="sk-SK"/>
        </w:rPr>
        <w:t>?</w:t>
      </w:r>
    </w:p>
    <w:p w14:paraId="6B115424" w14:textId="6EC10850" w:rsidR="00E45802" w:rsidRDefault="00396B85" w:rsidP="001F557B">
      <w:pPr>
        <w:pStyle w:val="Dalodstavce"/>
        <w:ind w:firstLine="0"/>
        <w:rPr>
          <w:lang w:eastAsia="sk-SK"/>
        </w:rPr>
      </w:pPr>
      <w:r w:rsidRPr="00396B85">
        <w:rPr>
          <w:lang w:eastAsia="sk-SK"/>
        </w:rPr>
        <w:t>Analyzovaly se vztahy mezi typem ošetřující ambulance, využitím zobrazovacích metod, observačního lůžka a konzilií specialisty.</w:t>
      </w:r>
    </w:p>
    <w:p w14:paraId="736DEC6F" w14:textId="77777777" w:rsidR="00B06C35" w:rsidRDefault="00B06C35" w:rsidP="001F557B">
      <w:pPr>
        <w:pStyle w:val="Dalodstavce"/>
        <w:ind w:firstLine="0"/>
        <w:rPr>
          <w:lang w:eastAsia="sk-SK"/>
        </w:rPr>
      </w:pPr>
    </w:p>
    <w:p w14:paraId="596CB27E" w14:textId="18EC1AB4" w:rsidR="00F21758" w:rsidRPr="00F21758" w:rsidRDefault="00F21758" w:rsidP="009C4DBB">
      <w:pPr>
        <w:pStyle w:val="Dalodstavce"/>
        <w:ind w:firstLine="0"/>
        <w:rPr>
          <w:lang w:eastAsia="sk-SK"/>
        </w:rPr>
      </w:pPr>
      <w:r w:rsidRPr="003656E6">
        <w:rPr>
          <w:b/>
          <w:bCs/>
          <w:lang w:eastAsia="sk-SK"/>
        </w:rPr>
        <w:t>Byly zjištěny statisticky významné</w:t>
      </w:r>
      <w:r w:rsidRPr="000F45E4">
        <w:rPr>
          <w:b/>
          <w:bCs/>
          <w:lang w:eastAsia="sk-SK"/>
        </w:rPr>
        <w:t xml:space="preserve"> vztahy mezi využitím jednotlivých služeb na NUP FN Brno v roce 2023</w:t>
      </w:r>
      <w:r w:rsidRPr="00F21758">
        <w:rPr>
          <w:lang w:eastAsia="sk-SK"/>
        </w:rPr>
        <w:t>. Nejvýraznější vztah byl mezi způsobem dopravy pacienta k ošetření a využitím observačního lůžka (silná závislost; CV=0,683</w:t>
      </w:r>
      <w:r w:rsidR="00343D28">
        <w:rPr>
          <w:lang w:eastAsia="sk-SK"/>
        </w:rPr>
        <w:t>;</w:t>
      </w:r>
      <w:r w:rsidRPr="00F21758">
        <w:rPr>
          <w:lang w:eastAsia="sk-SK"/>
        </w:rPr>
        <w:t xml:space="preserve"> p</w:t>
      </w:r>
      <w:r w:rsidR="00557872">
        <w:rPr>
          <w:lang w:eastAsia="sk-SK"/>
        </w:rPr>
        <w:t xml:space="preserve"> </w:t>
      </w:r>
      <w:r w:rsidRPr="00F21758">
        <w:rPr>
          <w:lang w:eastAsia="sk-SK"/>
        </w:rPr>
        <w:t>&lt;0,001). Středně silná závislost byla nalezena mezi způsobem dopravy a využitím zobrazovacích metod (CV=0,246</w:t>
      </w:r>
      <w:r w:rsidR="00343D28">
        <w:rPr>
          <w:lang w:eastAsia="sk-SK"/>
        </w:rPr>
        <w:t>;</w:t>
      </w:r>
      <w:r w:rsidRPr="00F21758">
        <w:rPr>
          <w:lang w:eastAsia="sk-SK"/>
        </w:rPr>
        <w:t xml:space="preserve"> p</w:t>
      </w:r>
      <w:r w:rsidR="00557872">
        <w:rPr>
          <w:lang w:eastAsia="sk-SK"/>
        </w:rPr>
        <w:t xml:space="preserve"> </w:t>
      </w:r>
      <w:r w:rsidRPr="00F21758">
        <w:rPr>
          <w:lang w:eastAsia="sk-SK"/>
        </w:rPr>
        <w:t>&lt;0,001). Statisticky významné, avšak slabší vztahy byly zaznamenány mezi typem ošetřující ambulance a využitím observačního lůžka (CV=0,127</w:t>
      </w:r>
      <w:r w:rsidR="00343D28">
        <w:rPr>
          <w:lang w:eastAsia="sk-SK"/>
        </w:rPr>
        <w:t>;</w:t>
      </w:r>
      <w:r w:rsidRPr="00F21758">
        <w:rPr>
          <w:lang w:eastAsia="sk-SK"/>
        </w:rPr>
        <w:t xml:space="preserve"> p=0,008) a také mezi využitím observačního lůžka a zobrazovacími metodami (Fí=0,139</w:t>
      </w:r>
      <w:r w:rsidR="00343D28">
        <w:rPr>
          <w:lang w:eastAsia="sk-SK"/>
        </w:rPr>
        <w:t>;</w:t>
      </w:r>
      <w:r w:rsidRPr="00F21758">
        <w:rPr>
          <w:lang w:eastAsia="sk-SK"/>
        </w:rPr>
        <w:t xml:space="preserve"> p</w:t>
      </w:r>
      <w:r w:rsidR="009C4DBB">
        <w:rPr>
          <w:lang w:eastAsia="sk-SK"/>
        </w:rPr>
        <w:t> </w:t>
      </w:r>
      <w:r w:rsidRPr="00F21758">
        <w:rPr>
          <w:lang w:eastAsia="sk-SK"/>
        </w:rPr>
        <w:t xml:space="preserve">&lt;0,001). </w:t>
      </w:r>
      <w:r w:rsidR="004A668F">
        <w:rPr>
          <w:lang w:eastAsia="sk-SK"/>
        </w:rPr>
        <w:t>Zmíněné</w:t>
      </w:r>
      <w:r w:rsidRPr="00F21758">
        <w:rPr>
          <w:lang w:eastAsia="sk-SK"/>
        </w:rPr>
        <w:t xml:space="preserve"> výsledky jsou uvedeny v Tabulce </w:t>
      </w:r>
      <w:r w:rsidR="00726C94">
        <w:rPr>
          <w:lang w:eastAsia="sk-SK"/>
        </w:rPr>
        <w:t>20</w:t>
      </w:r>
      <w:r w:rsidRPr="00F21758">
        <w:rPr>
          <w:lang w:eastAsia="sk-SK"/>
        </w:rPr>
        <w:t>.</w:t>
      </w:r>
    </w:p>
    <w:p w14:paraId="72486603" w14:textId="4C1FF9E2" w:rsidR="00F21758" w:rsidRPr="00F21758" w:rsidRDefault="00F21758" w:rsidP="00A303B8">
      <w:pPr>
        <w:pStyle w:val="Dalodstavce"/>
        <w:rPr>
          <w:lang w:eastAsia="sk-SK"/>
        </w:rPr>
      </w:pPr>
      <w:r w:rsidRPr="00F21758">
        <w:rPr>
          <w:lang w:eastAsia="sk-SK"/>
        </w:rPr>
        <w:t>Pacienti ve věku 75 a více let, kteří byli na NUP FN Brno přivezeni</w:t>
      </w:r>
      <w:r w:rsidR="005C7D23">
        <w:rPr>
          <w:lang w:eastAsia="sk-SK"/>
        </w:rPr>
        <w:t xml:space="preserve"> </w:t>
      </w:r>
      <w:r w:rsidRPr="00F21758">
        <w:rPr>
          <w:lang w:eastAsia="sk-SK"/>
        </w:rPr>
        <w:t>ZZS, vyžadovali observační lůžko statisticky významně častěji (p</w:t>
      </w:r>
      <w:r w:rsidR="0070392E">
        <w:rPr>
          <w:lang w:eastAsia="sk-SK"/>
        </w:rPr>
        <w:t> </w:t>
      </w:r>
      <w:r w:rsidRPr="00F21758">
        <w:rPr>
          <w:lang w:eastAsia="sk-SK"/>
        </w:rPr>
        <w:t>&lt;0,001). Podobně tomu bylo u pacientů, kteří byli ošetřeni pouze na interní ambulanci (p=0,008). Naopak observační lůžko méně často vyžadovali pacienti, kteří se dostavili sami (nebo v</w:t>
      </w:r>
      <w:r w:rsidR="004D7140">
        <w:rPr>
          <w:lang w:eastAsia="sk-SK"/>
        </w:rPr>
        <w:t> </w:t>
      </w:r>
      <w:r w:rsidRPr="00F21758">
        <w:rPr>
          <w:lang w:eastAsia="sk-SK"/>
        </w:rPr>
        <w:t>doprovodu</w:t>
      </w:r>
      <w:r w:rsidR="004D7140">
        <w:rPr>
          <w:lang w:eastAsia="sk-SK"/>
        </w:rPr>
        <w:t xml:space="preserve"> blízké osoby</w:t>
      </w:r>
      <w:r w:rsidRPr="00F21758">
        <w:rPr>
          <w:lang w:eastAsia="sk-SK"/>
        </w:rPr>
        <w:t>), byli přivezeni</w:t>
      </w:r>
      <w:r w:rsidR="005C7D23">
        <w:rPr>
          <w:lang w:eastAsia="sk-SK"/>
        </w:rPr>
        <w:t xml:space="preserve"> </w:t>
      </w:r>
      <w:r w:rsidRPr="00F21758">
        <w:rPr>
          <w:lang w:eastAsia="sk-SK"/>
        </w:rPr>
        <w:t>Z</w:t>
      </w:r>
      <w:r w:rsidR="00F46C30">
        <w:rPr>
          <w:lang w:eastAsia="sk-SK"/>
        </w:rPr>
        <w:t>D</w:t>
      </w:r>
      <w:r w:rsidRPr="00F21758">
        <w:rPr>
          <w:lang w:eastAsia="sk-SK"/>
        </w:rPr>
        <w:t>S, byli konziliární (či předaní) pacienti z jiných ambulancí FN</w:t>
      </w:r>
      <w:r w:rsidR="004B243A">
        <w:rPr>
          <w:lang w:eastAsia="sk-SK"/>
        </w:rPr>
        <w:t> </w:t>
      </w:r>
      <w:r w:rsidRPr="00F21758">
        <w:rPr>
          <w:lang w:eastAsia="sk-SK"/>
        </w:rPr>
        <w:t>Brno a pacienti ošetřeni pouze na neurologické ambulanci.</w:t>
      </w:r>
    </w:p>
    <w:p w14:paraId="36269489" w14:textId="43AF9696" w:rsidR="00A303B8" w:rsidRDefault="00F21758" w:rsidP="00A303B8">
      <w:pPr>
        <w:pStyle w:val="Dalodstavce"/>
        <w:rPr>
          <w:lang w:eastAsia="sk-SK"/>
        </w:rPr>
      </w:pPr>
      <w:r w:rsidRPr="00F21758">
        <w:rPr>
          <w:lang w:eastAsia="sk-SK"/>
        </w:rPr>
        <w:t>Pacienti přivezení ZZS a Z</w:t>
      </w:r>
      <w:r w:rsidR="00A303B8">
        <w:rPr>
          <w:lang w:eastAsia="sk-SK"/>
        </w:rPr>
        <w:t>D</w:t>
      </w:r>
      <w:r w:rsidRPr="00F21758">
        <w:rPr>
          <w:lang w:eastAsia="sk-SK"/>
        </w:rPr>
        <w:t>S statisticky významně častěji vyžadovali zobrazovací metody (p</w:t>
      </w:r>
      <w:r w:rsidR="00006134">
        <w:rPr>
          <w:lang w:eastAsia="sk-SK"/>
        </w:rPr>
        <w:t xml:space="preserve"> </w:t>
      </w:r>
      <w:r w:rsidRPr="00F21758">
        <w:rPr>
          <w:lang w:eastAsia="sk-SK"/>
        </w:rPr>
        <w:t>&lt;0,001), stejně jako ti, kteří byli současně vyšetřeni internistou i neurologem, a ti, kteří byli umístěni na observaci (p</w:t>
      </w:r>
      <w:r w:rsidR="00006134">
        <w:rPr>
          <w:lang w:eastAsia="sk-SK"/>
        </w:rPr>
        <w:t xml:space="preserve"> </w:t>
      </w:r>
      <w:r w:rsidRPr="00F21758">
        <w:rPr>
          <w:lang w:eastAsia="sk-SK"/>
        </w:rPr>
        <w:t xml:space="preserve">&lt;0,001). Naopak konziliární (předaní) pacienti, pacienti ošetřeni pouze na interní ambulanci a pacienti umístění v čekárně NUP </w:t>
      </w:r>
      <w:r w:rsidR="00180C6F">
        <w:rPr>
          <w:lang w:eastAsia="sk-SK"/>
        </w:rPr>
        <w:t xml:space="preserve">vyžadovali využití </w:t>
      </w:r>
      <w:r w:rsidRPr="00F21758">
        <w:rPr>
          <w:lang w:eastAsia="sk-SK"/>
        </w:rPr>
        <w:t>zobrazovací</w:t>
      </w:r>
      <w:r w:rsidR="00180C6F">
        <w:rPr>
          <w:lang w:eastAsia="sk-SK"/>
        </w:rPr>
        <w:t>ch</w:t>
      </w:r>
      <w:r w:rsidRPr="00F21758">
        <w:rPr>
          <w:lang w:eastAsia="sk-SK"/>
        </w:rPr>
        <w:t xml:space="preserve"> metod méně čast</w:t>
      </w:r>
      <w:r w:rsidR="00180C6F">
        <w:rPr>
          <w:lang w:eastAsia="sk-SK"/>
        </w:rPr>
        <w:t>o</w:t>
      </w:r>
      <w:r w:rsidRPr="00F21758">
        <w:rPr>
          <w:lang w:eastAsia="sk-SK"/>
        </w:rPr>
        <w:t>.</w:t>
      </w:r>
    </w:p>
    <w:p w14:paraId="66468600" w14:textId="7B0DAF6C" w:rsidR="00823369" w:rsidRDefault="00F21758" w:rsidP="00FE44D6">
      <w:pPr>
        <w:pStyle w:val="Dalodstavce"/>
        <w:rPr>
          <w:lang w:eastAsia="sk-SK"/>
        </w:rPr>
        <w:sectPr w:rsidR="00823369" w:rsidSect="001C5D57">
          <w:pgSz w:w="11906" w:h="16838" w:code="9"/>
          <w:pgMar w:top="1980" w:right="1140" w:bottom="2380" w:left="1140" w:header="1140" w:footer="1420" w:gutter="860"/>
          <w:cols w:space="708"/>
          <w:docGrid w:linePitch="360"/>
        </w:sectPr>
      </w:pPr>
      <w:r w:rsidRPr="00F21758">
        <w:rPr>
          <w:lang w:eastAsia="sk-SK"/>
        </w:rPr>
        <w:t>Konzilium dalšího specialisty bylo častěji požadováno u pacientů přivezených Z</w:t>
      </w:r>
      <w:r w:rsidR="00B83610">
        <w:rPr>
          <w:lang w:eastAsia="sk-SK"/>
        </w:rPr>
        <w:t>D</w:t>
      </w:r>
      <w:r w:rsidRPr="00F21758">
        <w:rPr>
          <w:lang w:eastAsia="sk-SK"/>
        </w:rPr>
        <w:t>S, pacientů umístěných na observaci a pacientů, u nichž bylo indikováno vyšetření zobrazovacími metodami. Naopak pacienti přivezení ZZS, pacienti vyšetření současně internistou i neurologem, pacienti umístění v čekárně NUP a ti, u nichž nebylo indikováno vyšetření</w:t>
      </w:r>
      <w:r w:rsidR="00B83610">
        <w:rPr>
          <w:lang w:eastAsia="sk-SK"/>
        </w:rPr>
        <w:t xml:space="preserve"> zobrazovacími metodami</w:t>
      </w:r>
      <w:r w:rsidRPr="00F21758">
        <w:rPr>
          <w:lang w:eastAsia="sk-SK"/>
        </w:rPr>
        <w:t xml:space="preserve">, konzilium specialisty </w:t>
      </w:r>
      <w:r w:rsidR="00637214">
        <w:rPr>
          <w:lang w:eastAsia="sk-SK"/>
        </w:rPr>
        <w:t xml:space="preserve">vyžadovali </w:t>
      </w:r>
      <w:r w:rsidRPr="00F21758">
        <w:rPr>
          <w:lang w:eastAsia="sk-SK"/>
        </w:rPr>
        <w:t>méně často.</w:t>
      </w:r>
    </w:p>
    <w:p w14:paraId="2969BF27" w14:textId="29EB3B9D" w:rsidR="00823369" w:rsidRDefault="006D7732" w:rsidP="006D7732">
      <w:pPr>
        <w:pStyle w:val="Titulektabulky"/>
      </w:pPr>
      <w:bookmarkStart w:id="55" w:name="_Toc195517145"/>
      <w:r w:rsidRPr="003656E6">
        <w:lastRenderedPageBreak/>
        <w:t xml:space="preserve">Tab. </w:t>
      </w:r>
      <w:fldSimple w:instr=" SEQ Tab. \* ARABIC ">
        <w:r w:rsidR="0022490D">
          <w:rPr>
            <w:noProof/>
          </w:rPr>
          <w:t>20</w:t>
        </w:r>
      </w:fldSimple>
      <w:r w:rsidRPr="003656E6">
        <w:t xml:space="preserve">: </w:t>
      </w:r>
      <w:r w:rsidR="00AB39CC" w:rsidRPr="003656E6">
        <w:t>Vztah mezi jednotlivými službami na NUP FN Brno u pacientů ve věku 75 a více let</w:t>
      </w:r>
      <w:r w:rsidR="00BB4858" w:rsidRPr="003656E6">
        <w:t xml:space="preserve"> – rok 2023 (N=598</w:t>
      </w:r>
      <w:r w:rsidR="00277539" w:rsidRPr="003656E6">
        <w:t>;</w:t>
      </w:r>
      <w:r w:rsidR="00BB4858" w:rsidRPr="003656E6">
        <w:t xml:space="preserve"> *N=592)</w:t>
      </w:r>
      <w:bookmarkEnd w:id="55"/>
    </w:p>
    <w:tbl>
      <w:tblPr>
        <w:tblW w:w="15690" w:type="dxa"/>
        <w:tblCellMar>
          <w:left w:w="70" w:type="dxa"/>
          <w:right w:w="70" w:type="dxa"/>
        </w:tblCellMar>
        <w:tblLook w:val="04A0" w:firstRow="1" w:lastRow="0" w:firstColumn="1" w:lastColumn="0" w:noHBand="0" w:noVBand="1"/>
      </w:tblPr>
      <w:tblGrid>
        <w:gridCol w:w="2689"/>
        <w:gridCol w:w="1984"/>
        <w:gridCol w:w="1843"/>
        <w:gridCol w:w="1984"/>
        <w:gridCol w:w="1985"/>
        <w:gridCol w:w="1984"/>
        <w:gridCol w:w="3221"/>
      </w:tblGrid>
      <w:tr w:rsidR="0073616F" w:rsidRPr="0073616F" w14:paraId="101F038E" w14:textId="77777777" w:rsidTr="00A016EE">
        <w:trPr>
          <w:gridAfter w:val="1"/>
          <w:wAfter w:w="3221" w:type="dxa"/>
          <w:trHeight w:val="850"/>
        </w:trPr>
        <w:tc>
          <w:tcPr>
            <w:tcW w:w="2689" w:type="dxa"/>
            <w:tcBorders>
              <w:top w:val="single" w:sz="4" w:space="0" w:color="auto"/>
              <w:left w:val="single" w:sz="4" w:space="0" w:color="auto"/>
              <w:bottom w:val="single" w:sz="4" w:space="0" w:color="auto"/>
              <w:right w:val="single" w:sz="4" w:space="0" w:color="auto"/>
              <w:tr2bl w:val="single" w:sz="4" w:space="0" w:color="auto"/>
            </w:tcBorders>
            <w:shd w:val="clear" w:color="000000" w:fill="DDEBF7"/>
            <w:vAlign w:val="center"/>
            <w:hideMark/>
          </w:tcPr>
          <w:p w14:paraId="713A9442" w14:textId="4F3353D1" w:rsidR="0073616F" w:rsidRPr="0073616F" w:rsidRDefault="0073616F" w:rsidP="0073616F">
            <w:pPr>
              <w:jc w:val="center"/>
              <w:rPr>
                <w:rFonts w:ascii="Arial" w:hAnsi="Arial" w:cs="Arial"/>
                <w:b/>
                <w:bCs/>
                <w:color w:val="000000"/>
              </w:rPr>
            </w:pPr>
          </w:p>
        </w:tc>
        <w:tc>
          <w:tcPr>
            <w:tcW w:w="1984" w:type="dxa"/>
            <w:tcBorders>
              <w:top w:val="single" w:sz="4" w:space="0" w:color="auto"/>
              <w:left w:val="nil"/>
              <w:bottom w:val="single" w:sz="4" w:space="0" w:color="auto"/>
              <w:right w:val="single" w:sz="4" w:space="0" w:color="auto"/>
            </w:tcBorders>
            <w:shd w:val="clear" w:color="000000" w:fill="DDEBF7"/>
            <w:vAlign w:val="center"/>
            <w:hideMark/>
          </w:tcPr>
          <w:p w14:paraId="4107245A" w14:textId="5729D03D" w:rsidR="00D00D7F" w:rsidRDefault="0073616F" w:rsidP="0073616F">
            <w:pPr>
              <w:jc w:val="center"/>
              <w:rPr>
                <w:rFonts w:ascii="Arial" w:hAnsi="Arial" w:cs="Arial"/>
                <w:b/>
                <w:bCs/>
                <w:color w:val="000000"/>
              </w:rPr>
            </w:pPr>
            <w:r w:rsidRPr="0073616F">
              <w:rPr>
                <w:rFonts w:ascii="Arial" w:hAnsi="Arial" w:cs="Arial"/>
                <w:b/>
                <w:bCs/>
                <w:color w:val="000000"/>
              </w:rPr>
              <w:t>*</w:t>
            </w:r>
            <w:r w:rsidR="006C33E5">
              <w:rPr>
                <w:rFonts w:ascii="Arial" w:hAnsi="Arial" w:cs="Arial"/>
                <w:b/>
                <w:bCs/>
                <w:color w:val="000000"/>
              </w:rPr>
              <w:t xml:space="preserve"> </w:t>
            </w:r>
            <w:r w:rsidR="00D00D7F">
              <w:rPr>
                <w:rFonts w:ascii="Arial" w:hAnsi="Arial" w:cs="Arial"/>
                <w:b/>
                <w:bCs/>
                <w:color w:val="000000"/>
              </w:rPr>
              <w:t>Způsob</w:t>
            </w:r>
          </w:p>
          <w:p w14:paraId="44E0852C" w14:textId="123DED38" w:rsidR="00601F66" w:rsidRDefault="00D00D7F" w:rsidP="0073616F">
            <w:pPr>
              <w:jc w:val="center"/>
              <w:rPr>
                <w:rFonts w:ascii="Arial" w:hAnsi="Arial" w:cs="Arial"/>
                <w:b/>
                <w:bCs/>
                <w:color w:val="000000"/>
              </w:rPr>
            </w:pPr>
            <w:r>
              <w:rPr>
                <w:rFonts w:ascii="Arial" w:hAnsi="Arial" w:cs="Arial"/>
                <w:b/>
                <w:bCs/>
                <w:color w:val="000000"/>
              </w:rPr>
              <w:t>d</w:t>
            </w:r>
            <w:r w:rsidR="0073616F" w:rsidRPr="0073616F">
              <w:rPr>
                <w:rFonts w:ascii="Arial" w:hAnsi="Arial" w:cs="Arial"/>
                <w:b/>
                <w:bCs/>
                <w:color w:val="000000"/>
              </w:rPr>
              <w:t>oprav</w:t>
            </w:r>
            <w:r>
              <w:rPr>
                <w:rFonts w:ascii="Arial" w:hAnsi="Arial" w:cs="Arial"/>
                <w:b/>
                <w:bCs/>
                <w:color w:val="000000"/>
              </w:rPr>
              <w:t>y</w:t>
            </w:r>
            <w:r w:rsidR="00601F66">
              <w:rPr>
                <w:rFonts w:ascii="Arial" w:hAnsi="Arial" w:cs="Arial"/>
                <w:b/>
                <w:bCs/>
                <w:color w:val="000000"/>
              </w:rPr>
              <w:t xml:space="preserve"> </w:t>
            </w:r>
          </w:p>
          <w:p w14:paraId="6F568E53" w14:textId="38D0FF57" w:rsidR="0073616F" w:rsidRPr="0073616F" w:rsidRDefault="00601F66" w:rsidP="0073616F">
            <w:pPr>
              <w:jc w:val="center"/>
              <w:rPr>
                <w:rFonts w:ascii="Arial" w:hAnsi="Arial" w:cs="Arial"/>
                <w:b/>
                <w:bCs/>
                <w:color w:val="000000"/>
              </w:rPr>
            </w:pPr>
            <w:r>
              <w:rPr>
                <w:rFonts w:ascii="Arial" w:hAnsi="Arial" w:cs="Arial"/>
                <w:b/>
                <w:bCs/>
                <w:color w:val="000000"/>
              </w:rPr>
              <w:t>k ošetření</w:t>
            </w:r>
          </w:p>
        </w:tc>
        <w:tc>
          <w:tcPr>
            <w:tcW w:w="1843" w:type="dxa"/>
            <w:tcBorders>
              <w:top w:val="single" w:sz="4" w:space="0" w:color="auto"/>
              <w:left w:val="nil"/>
              <w:bottom w:val="single" w:sz="4" w:space="0" w:color="auto"/>
              <w:right w:val="single" w:sz="4" w:space="0" w:color="auto"/>
            </w:tcBorders>
            <w:shd w:val="clear" w:color="000000" w:fill="DDEBF7"/>
            <w:vAlign w:val="center"/>
            <w:hideMark/>
          </w:tcPr>
          <w:p w14:paraId="18791CFD" w14:textId="77777777" w:rsidR="0073616F" w:rsidRDefault="0073616F" w:rsidP="0073616F">
            <w:pPr>
              <w:jc w:val="center"/>
              <w:rPr>
                <w:rFonts w:ascii="Arial" w:hAnsi="Arial" w:cs="Arial"/>
                <w:b/>
                <w:bCs/>
                <w:color w:val="000000"/>
              </w:rPr>
            </w:pPr>
            <w:r w:rsidRPr="0073616F">
              <w:rPr>
                <w:rFonts w:ascii="Arial" w:hAnsi="Arial" w:cs="Arial"/>
                <w:b/>
                <w:bCs/>
                <w:color w:val="000000"/>
              </w:rPr>
              <w:t xml:space="preserve">Ošetřující </w:t>
            </w:r>
          </w:p>
          <w:p w14:paraId="669F0B26" w14:textId="5B098D28" w:rsidR="0073616F" w:rsidRPr="0073616F" w:rsidRDefault="0073616F" w:rsidP="0073616F">
            <w:pPr>
              <w:jc w:val="center"/>
              <w:rPr>
                <w:rFonts w:ascii="Arial" w:hAnsi="Arial" w:cs="Arial"/>
                <w:b/>
                <w:bCs/>
                <w:color w:val="000000"/>
              </w:rPr>
            </w:pPr>
            <w:r w:rsidRPr="0073616F">
              <w:rPr>
                <w:rFonts w:ascii="Arial" w:hAnsi="Arial" w:cs="Arial"/>
                <w:b/>
                <w:bCs/>
                <w:color w:val="000000"/>
              </w:rPr>
              <w:t>ambulance</w:t>
            </w:r>
          </w:p>
        </w:tc>
        <w:tc>
          <w:tcPr>
            <w:tcW w:w="1984" w:type="dxa"/>
            <w:tcBorders>
              <w:top w:val="single" w:sz="4" w:space="0" w:color="auto"/>
              <w:left w:val="nil"/>
              <w:bottom w:val="single" w:sz="4" w:space="0" w:color="auto"/>
              <w:right w:val="single" w:sz="4" w:space="0" w:color="auto"/>
            </w:tcBorders>
            <w:shd w:val="clear" w:color="000000" w:fill="DDEBF7"/>
            <w:vAlign w:val="center"/>
            <w:hideMark/>
          </w:tcPr>
          <w:p w14:paraId="748712E0" w14:textId="5FA8667F" w:rsidR="0056638E" w:rsidRDefault="0073616F" w:rsidP="0073616F">
            <w:pPr>
              <w:jc w:val="center"/>
              <w:rPr>
                <w:rFonts w:ascii="Arial" w:hAnsi="Arial" w:cs="Arial"/>
                <w:b/>
                <w:bCs/>
                <w:color w:val="000000"/>
              </w:rPr>
            </w:pPr>
            <w:r w:rsidRPr="0073616F">
              <w:rPr>
                <w:rFonts w:ascii="Arial" w:hAnsi="Arial" w:cs="Arial"/>
                <w:b/>
                <w:bCs/>
                <w:color w:val="000000"/>
              </w:rPr>
              <w:t>Využití</w:t>
            </w:r>
          </w:p>
          <w:p w14:paraId="546A627C" w14:textId="5BA695C6" w:rsidR="00686622" w:rsidRDefault="00686622" w:rsidP="0073616F">
            <w:pPr>
              <w:jc w:val="center"/>
              <w:rPr>
                <w:rFonts w:ascii="Arial" w:hAnsi="Arial" w:cs="Arial"/>
                <w:b/>
                <w:bCs/>
                <w:color w:val="000000"/>
              </w:rPr>
            </w:pPr>
            <w:r>
              <w:rPr>
                <w:rFonts w:ascii="Arial" w:hAnsi="Arial" w:cs="Arial"/>
                <w:b/>
                <w:bCs/>
                <w:color w:val="000000"/>
              </w:rPr>
              <w:t>o</w:t>
            </w:r>
            <w:r w:rsidR="0073616F" w:rsidRPr="0073616F">
              <w:rPr>
                <w:rFonts w:ascii="Arial" w:hAnsi="Arial" w:cs="Arial"/>
                <w:b/>
                <w:bCs/>
                <w:color w:val="000000"/>
              </w:rPr>
              <w:t>bservačního</w:t>
            </w:r>
          </w:p>
          <w:p w14:paraId="7E7B9A86" w14:textId="1B6A3470" w:rsidR="0073616F" w:rsidRPr="0073616F" w:rsidRDefault="0073616F" w:rsidP="0073616F">
            <w:pPr>
              <w:jc w:val="center"/>
              <w:rPr>
                <w:rFonts w:ascii="Arial" w:hAnsi="Arial" w:cs="Arial"/>
                <w:b/>
                <w:bCs/>
                <w:color w:val="000000"/>
              </w:rPr>
            </w:pPr>
            <w:r w:rsidRPr="0073616F">
              <w:rPr>
                <w:rFonts w:ascii="Arial" w:hAnsi="Arial" w:cs="Arial"/>
                <w:b/>
                <w:bCs/>
                <w:color w:val="000000"/>
              </w:rPr>
              <w:t>lůžka</w:t>
            </w:r>
          </w:p>
        </w:tc>
        <w:tc>
          <w:tcPr>
            <w:tcW w:w="1985" w:type="dxa"/>
            <w:tcBorders>
              <w:top w:val="single" w:sz="4" w:space="0" w:color="auto"/>
              <w:left w:val="nil"/>
              <w:bottom w:val="single" w:sz="4" w:space="0" w:color="auto"/>
              <w:right w:val="single" w:sz="4" w:space="0" w:color="auto"/>
            </w:tcBorders>
            <w:shd w:val="clear" w:color="000000" w:fill="DDEBF7"/>
            <w:vAlign w:val="center"/>
            <w:hideMark/>
          </w:tcPr>
          <w:p w14:paraId="13A205E5" w14:textId="0A7D3E6E" w:rsidR="0056638E" w:rsidRDefault="0073616F" w:rsidP="0073616F">
            <w:pPr>
              <w:jc w:val="center"/>
              <w:rPr>
                <w:rFonts w:ascii="Arial" w:hAnsi="Arial" w:cs="Arial"/>
                <w:b/>
                <w:bCs/>
                <w:color w:val="000000"/>
              </w:rPr>
            </w:pPr>
            <w:r w:rsidRPr="0073616F">
              <w:rPr>
                <w:rFonts w:ascii="Arial" w:hAnsi="Arial" w:cs="Arial"/>
                <w:b/>
                <w:bCs/>
                <w:color w:val="000000"/>
              </w:rPr>
              <w:t>Využití</w:t>
            </w:r>
          </w:p>
          <w:p w14:paraId="137B099C" w14:textId="57A74F74" w:rsidR="00686622" w:rsidRDefault="00686622" w:rsidP="0073616F">
            <w:pPr>
              <w:jc w:val="center"/>
              <w:rPr>
                <w:rFonts w:ascii="Arial" w:hAnsi="Arial" w:cs="Arial"/>
                <w:b/>
                <w:bCs/>
                <w:color w:val="000000"/>
              </w:rPr>
            </w:pPr>
            <w:r>
              <w:rPr>
                <w:rFonts w:ascii="Arial" w:hAnsi="Arial" w:cs="Arial"/>
                <w:b/>
                <w:bCs/>
                <w:color w:val="000000"/>
              </w:rPr>
              <w:t>z</w:t>
            </w:r>
            <w:r w:rsidR="0073616F" w:rsidRPr="0073616F">
              <w:rPr>
                <w:rFonts w:ascii="Arial" w:hAnsi="Arial" w:cs="Arial"/>
                <w:b/>
                <w:bCs/>
                <w:color w:val="000000"/>
              </w:rPr>
              <w:t>obrazovacích</w:t>
            </w:r>
          </w:p>
          <w:p w14:paraId="66E41232" w14:textId="25C86297" w:rsidR="0073616F" w:rsidRPr="0073616F" w:rsidRDefault="0073616F" w:rsidP="0073616F">
            <w:pPr>
              <w:jc w:val="center"/>
              <w:rPr>
                <w:rFonts w:ascii="Arial" w:hAnsi="Arial" w:cs="Arial"/>
                <w:b/>
                <w:bCs/>
                <w:color w:val="000000"/>
              </w:rPr>
            </w:pPr>
            <w:r w:rsidRPr="0073616F">
              <w:rPr>
                <w:rFonts w:ascii="Arial" w:hAnsi="Arial" w:cs="Arial"/>
                <w:b/>
                <w:bCs/>
                <w:color w:val="000000"/>
              </w:rPr>
              <w:t>metod</w:t>
            </w:r>
          </w:p>
        </w:tc>
        <w:tc>
          <w:tcPr>
            <w:tcW w:w="1984" w:type="dxa"/>
            <w:tcBorders>
              <w:top w:val="single" w:sz="4" w:space="0" w:color="auto"/>
              <w:left w:val="nil"/>
              <w:bottom w:val="single" w:sz="4" w:space="0" w:color="auto"/>
              <w:right w:val="single" w:sz="4" w:space="0" w:color="auto"/>
            </w:tcBorders>
            <w:shd w:val="clear" w:color="000000" w:fill="DDEBF7"/>
            <w:vAlign w:val="center"/>
            <w:hideMark/>
          </w:tcPr>
          <w:p w14:paraId="42D4993C" w14:textId="77777777" w:rsidR="006D7732" w:rsidRDefault="0073616F" w:rsidP="0073616F">
            <w:pPr>
              <w:jc w:val="center"/>
              <w:rPr>
                <w:rFonts w:ascii="Arial" w:hAnsi="Arial" w:cs="Arial"/>
                <w:b/>
                <w:bCs/>
                <w:color w:val="000000"/>
              </w:rPr>
            </w:pPr>
            <w:r w:rsidRPr="0073616F">
              <w:rPr>
                <w:rFonts w:ascii="Arial" w:hAnsi="Arial" w:cs="Arial"/>
                <w:b/>
                <w:bCs/>
                <w:color w:val="000000"/>
              </w:rPr>
              <w:t xml:space="preserve">Konzilium </w:t>
            </w:r>
          </w:p>
          <w:p w14:paraId="569AEA65" w14:textId="06E60EDB" w:rsidR="0073616F" w:rsidRPr="0073616F" w:rsidRDefault="0073616F" w:rsidP="0073616F">
            <w:pPr>
              <w:jc w:val="center"/>
              <w:rPr>
                <w:rFonts w:ascii="Arial" w:hAnsi="Arial" w:cs="Arial"/>
                <w:b/>
                <w:bCs/>
                <w:color w:val="000000"/>
              </w:rPr>
            </w:pPr>
            <w:r w:rsidRPr="0073616F">
              <w:rPr>
                <w:rFonts w:ascii="Arial" w:hAnsi="Arial" w:cs="Arial"/>
                <w:b/>
                <w:bCs/>
                <w:color w:val="000000"/>
              </w:rPr>
              <w:t>specialisty</w:t>
            </w:r>
          </w:p>
        </w:tc>
      </w:tr>
      <w:tr w:rsidR="0073616F" w:rsidRPr="0073616F" w14:paraId="6E214868" w14:textId="77777777" w:rsidTr="00BB5B3E">
        <w:trPr>
          <w:gridAfter w:val="1"/>
          <w:wAfter w:w="3221" w:type="dxa"/>
          <w:trHeight w:val="285"/>
        </w:trPr>
        <w:tc>
          <w:tcPr>
            <w:tcW w:w="2689" w:type="dxa"/>
            <w:vMerge w:val="restart"/>
            <w:tcBorders>
              <w:top w:val="nil"/>
              <w:left w:val="single" w:sz="4" w:space="0" w:color="auto"/>
              <w:bottom w:val="single" w:sz="4" w:space="0" w:color="auto"/>
              <w:right w:val="single" w:sz="4" w:space="0" w:color="auto"/>
            </w:tcBorders>
            <w:shd w:val="clear" w:color="000000" w:fill="DDEBF7"/>
            <w:vAlign w:val="center"/>
            <w:hideMark/>
          </w:tcPr>
          <w:p w14:paraId="418444A0" w14:textId="315D0F11" w:rsidR="00D00D7F" w:rsidRDefault="006C33E5" w:rsidP="0073616F">
            <w:pPr>
              <w:jc w:val="center"/>
              <w:rPr>
                <w:rFonts w:ascii="Arial" w:hAnsi="Arial" w:cs="Arial"/>
                <w:b/>
                <w:bCs/>
                <w:color w:val="000000"/>
              </w:rPr>
            </w:pPr>
            <w:r>
              <w:rPr>
                <w:rFonts w:ascii="Arial" w:hAnsi="Arial" w:cs="Arial"/>
                <w:b/>
                <w:bCs/>
                <w:color w:val="000000"/>
              </w:rPr>
              <w:t xml:space="preserve">* </w:t>
            </w:r>
            <w:r w:rsidR="00D00D7F">
              <w:rPr>
                <w:rFonts w:ascii="Arial" w:hAnsi="Arial" w:cs="Arial"/>
                <w:b/>
                <w:bCs/>
                <w:color w:val="000000"/>
              </w:rPr>
              <w:t>Způsob d</w:t>
            </w:r>
            <w:r w:rsidR="0073616F" w:rsidRPr="0073616F">
              <w:rPr>
                <w:rFonts w:ascii="Arial" w:hAnsi="Arial" w:cs="Arial"/>
                <w:b/>
                <w:bCs/>
                <w:color w:val="000000"/>
              </w:rPr>
              <w:t>oprav</w:t>
            </w:r>
            <w:r w:rsidR="00D00D7F">
              <w:rPr>
                <w:rFonts w:ascii="Arial" w:hAnsi="Arial" w:cs="Arial"/>
                <w:b/>
                <w:bCs/>
                <w:color w:val="000000"/>
              </w:rPr>
              <w:t>y</w:t>
            </w:r>
          </w:p>
          <w:p w14:paraId="10D8106B" w14:textId="6C420684" w:rsidR="0073616F" w:rsidRPr="0073616F" w:rsidRDefault="00601F66" w:rsidP="0073616F">
            <w:pPr>
              <w:jc w:val="center"/>
              <w:rPr>
                <w:rFonts w:ascii="Arial" w:hAnsi="Arial" w:cs="Arial"/>
                <w:b/>
                <w:bCs/>
                <w:color w:val="000000"/>
              </w:rPr>
            </w:pPr>
            <w:r>
              <w:rPr>
                <w:rFonts w:ascii="Arial" w:hAnsi="Arial" w:cs="Arial"/>
                <w:b/>
                <w:bCs/>
                <w:color w:val="000000"/>
              </w:rPr>
              <w:t>k ošetření</w:t>
            </w:r>
          </w:p>
        </w:tc>
        <w:tc>
          <w:tcPr>
            <w:tcW w:w="1984" w:type="dxa"/>
            <w:vMerge w:val="restart"/>
            <w:tcBorders>
              <w:top w:val="nil"/>
              <w:left w:val="single" w:sz="4" w:space="0" w:color="auto"/>
              <w:bottom w:val="single" w:sz="4" w:space="0" w:color="auto"/>
              <w:right w:val="single" w:sz="4" w:space="0" w:color="auto"/>
              <w:tr2bl w:val="single" w:sz="4" w:space="0" w:color="auto"/>
            </w:tcBorders>
            <w:shd w:val="clear" w:color="auto" w:fill="auto"/>
            <w:vAlign w:val="center"/>
            <w:hideMark/>
          </w:tcPr>
          <w:p w14:paraId="4BFA8454" w14:textId="7F234845" w:rsidR="0073616F" w:rsidRPr="0073616F" w:rsidRDefault="0073616F" w:rsidP="0073616F">
            <w:pPr>
              <w:jc w:val="center"/>
              <w:rPr>
                <w:rFonts w:ascii="Arial" w:hAnsi="Arial" w:cs="Arial"/>
                <w:color w:val="000000"/>
              </w:rPr>
            </w:pP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64B371D7" w14:textId="3C670181" w:rsidR="0073616F" w:rsidRPr="0073616F" w:rsidRDefault="000D5D56" w:rsidP="0073616F">
            <w:pPr>
              <w:jc w:val="center"/>
              <w:rPr>
                <w:rFonts w:ascii="Arial" w:hAnsi="Arial" w:cs="Arial"/>
                <w:color w:val="000000"/>
              </w:rPr>
            </w:pPr>
            <w:r>
              <w:rPr>
                <w:rFonts w:ascii="Arial" w:hAnsi="Arial" w:cs="Arial"/>
                <w:color w:val="000000"/>
              </w:rPr>
              <w:t>p=</w:t>
            </w:r>
            <w:r w:rsidRPr="0073616F">
              <w:rPr>
                <w:rFonts w:ascii="Arial" w:hAnsi="Arial" w:cs="Arial"/>
                <w:color w:val="000000"/>
              </w:rPr>
              <w:t>0,674</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14:paraId="53233173" w14:textId="2D0A31AD" w:rsidR="0073616F" w:rsidRPr="0073616F" w:rsidRDefault="000D5D56" w:rsidP="0073616F">
            <w:pPr>
              <w:jc w:val="center"/>
              <w:rPr>
                <w:rFonts w:ascii="Arial" w:hAnsi="Arial" w:cs="Arial"/>
                <w:color w:val="000000"/>
              </w:rPr>
            </w:pPr>
            <w:r>
              <w:rPr>
                <w:rFonts w:ascii="Arial" w:hAnsi="Arial" w:cs="Arial"/>
                <w:b/>
                <w:bCs/>
                <w:color w:val="000000"/>
              </w:rPr>
              <w:t xml:space="preserve">p </w:t>
            </w:r>
            <w:r w:rsidRPr="0073616F">
              <w:rPr>
                <w:rFonts w:ascii="Arial" w:hAnsi="Arial" w:cs="Arial"/>
                <w:b/>
                <w:bCs/>
                <w:color w:val="000000"/>
              </w:rPr>
              <w:t>&lt;0,001 CV=0,683</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082CFBA5" w14:textId="2923F4AD" w:rsidR="0073616F" w:rsidRPr="0073616F" w:rsidRDefault="000D5D56" w:rsidP="0073616F">
            <w:pPr>
              <w:jc w:val="center"/>
              <w:rPr>
                <w:rFonts w:ascii="Arial" w:hAnsi="Arial" w:cs="Arial"/>
                <w:color w:val="000000"/>
              </w:rPr>
            </w:pPr>
            <w:r>
              <w:rPr>
                <w:rFonts w:ascii="Arial" w:hAnsi="Arial" w:cs="Arial"/>
                <w:b/>
                <w:bCs/>
                <w:color w:val="000000"/>
              </w:rPr>
              <w:t xml:space="preserve">p </w:t>
            </w:r>
            <w:r w:rsidRPr="0073616F">
              <w:rPr>
                <w:rFonts w:ascii="Arial" w:hAnsi="Arial" w:cs="Arial"/>
                <w:b/>
                <w:bCs/>
                <w:color w:val="000000"/>
              </w:rPr>
              <w:t>&lt;0,001 CV=0,246</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14:paraId="570FC5C1" w14:textId="77777777" w:rsidR="000D5D56" w:rsidRPr="00F945AD" w:rsidRDefault="000D5D56" w:rsidP="000D5D56">
            <w:pPr>
              <w:jc w:val="center"/>
              <w:rPr>
                <w:rFonts w:ascii="Arial" w:hAnsi="Arial" w:cs="Arial"/>
                <w:color w:val="000000"/>
              </w:rPr>
            </w:pPr>
            <w:r w:rsidRPr="00F945AD">
              <w:rPr>
                <w:rFonts w:ascii="Arial" w:hAnsi="Arial" w:cs="Arial"/>
                <w:color w:val="000000"/>
              </w:rPr>
              <w:t>Nelze</w:t>
            </w:r>
          </w:p>
          <w:p w14:paraId="40BEADE0" w14:textId="132266C4" w:rsidR="0073616F" w:rsidRPr="0073616F" w:rsidRDefault="000D5D56" w:rsidP="000D5D56">
            <w:pPr>
              <w:jc w:val="center"/>
              <w:rPr>
                <w:rFonts w:ascii="Arial" w:hAnsi="Arial" w:cs="Arial"/>
                <w:color w:val="000000"/>
              </w:rPr>
            </w:pPr>
            <w:r w:rsidRPr="00F945AD">
              <w:rPr>
                <w:rFonts w:ascii="Arial" w:hAnsi="Arial" w:cs="Arial"/>
                <w:color w:val="000000"/>
              </w:rPr>
              <w:t xml:space="preserve">hodnotit </w:t>
            </w:r>
            <w:r w:rsidRPr="00F945AD">
              <w:rPr>
                <w:rFonts w:ascii="Arial" w:hAnsi="Arial" w:cs="Arial"/>
              </w:rPr>
              <w:t>χ2</w:t>
            </w:r>
          </w:p>
        </w:tc>
      </w:tr>
      <w:tr w:rsidR="0073616F" w:rsidRPr="0073616F" w14:paraId="1A84FFD7" w14:textId="77777777" w:rsidTr="00BB5B3E">
        <w:trPr>
          <w:trHeight w:val="540"/>
        </w:trPr>
        <w:tc>
          <w:tcPr>
            <w:tcW w:w="2689" w:type="dxa"/>
            <w:vMerge/>
            <w:tcBorders>
              <w:top w:val="nil"/>
              <w:left w:val="single" w:sz="4" w:space="0" w:color="auto"/>
              <w:bottom w:val="single" w:sz="4" w:space="0" w:color="auto"/>
              <w:right w:val="single" w:sz="4" w:space="0" w:color="auto"/>
            </w:tcBorders>
            <w:vAlign w:val="center"/>
            <w:hideMark/>
          </w:tcPr>
          <w:p w14:paraId="0DE3BC6A" w14:textId="77777777" w:rsidR="0073616F" w:rsidRPr="0073616F" w:rsidRDefault="0073616F" w:rsidP="0073616F">
            <w:pPr>
              <w:jc w:val="center"/>
              <w:rPr>
                <w:rFonts w:ascii="Arial" w:hAnsi="Arial" w:cs="Arial"/>
                <w:b/>
                <w:bCs/>
                <w:color w:val="000000"/>
              </w:rPr>
            </w:pPr>
          </w:p>
        </w:tc>
        <w:tc>
          <w:tcPr>
            <w:tcW w:w="1984" w:type="dxa"/>
            <w:vMerge/>
            <w:tcBorders>
              <w:top w:val="nil"/>
              <w:left w:val="single" w:sz="4" w:space="0" w:color="auto"/>
              <w:bottom w:val="single" w:sz="4" w:space="0" w:color="auto"/>
              <w:right w:val="single" w:sz="4" w:space="0" w:color="auto"/>
            </w:tcBorders>
            <w:vAlign w:val="center"/>
            <w:hideMark/>
          </w:tcPr>
          <w:p w14:paraId="74BFE115" w14:textId="77777777" w:rsidR="0073616F" w:rsidRPr="0073616F" w:rsidRDefault="0073616F" w:rsidP="0073616F">
            <w:pPr>
              <w:jc w:val="center"/>
              <w:rPr>
                <w:rFonts w:ascii="Arial" w:hAnsi="Arial" w:cs="Arial"/>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002AD3C6" w14:textId="77777777" w:rsidR="0073616F" w:rsidRPr="0073616F" w:rsidRDefault="0073616F" w:rsidP="0073616F">
            <w:pPr>
              <w:jc w:val="center"/>
              <w:rPr>
                <w:rFonts w:ascii="Arial" w:hAnsi="Arial" w:cs="Arial"/>
                <w:color w:val="000000"/>
              </w:rPr>
            </w:pPr>
          </w:p>
        </w:tc>
        <w:tc>
          <w:tcPr>
            <w:tcW w:w="1984" w:type="dxa"/>
            <w:vMerge/>
            <w:tcBorders>
              <w:top w:val="nil"/>
              <w:left w:val="single" w:sz="4" w:space="0" w:color="auto"/>
              <w:bottom w:val="single" w:sz="4" w:space="0" w:color="auto"/>
              <w:right w:val="single" w:sz="4" w:space="0" w:color="auto"/>
            </w:tcBorders>
            <w:vAlign w:val="center"/>
            <w:hideMark/>
          </w:tcPr>
          <w:p w14:paraId="060B1133" w14:textId="77777777" w:rsidR="0073616F" w:rsidRPr="0073616F" w:rsidRDefault="0073616F" w:rsidP="0073616F">
            <w:pPr>
              <w:jc w:val="center"/>
              <w:rPr>
                <w:rFonts w:ascii="Arial" w:hAnsi="Arial" w:cs="Arial"/>
                <w:color w:val="000000"/>
              </w:rPr>
            </w:pPr>
          </w:p>
        </w:tc>
        <w:tc>
          <w:tcPr>
            <w:tcW w:w="1985" w:type="dxa"/>
            <w:vMerge/>
            <w:tcBorders>
              <w:top w:val="nil"/>
              <w:left w:val="single" w:sz="4" w:space="0" w:color="auto"/>
              <w:bottom w:val="single" w:sz="4" w:space="0" w:color="auto"/>
              <w:right w:val="single" w:sz="4" w:space="0" w:color="auto"/>
            </w:tcBorders>
            <w:vAlign w:val="center"/>
            <w:hideMark/>
          </w:tcPr>
          <w:p w14:paraId="719F82D4" w14:textId="77777777" w:rsidR="0073616F" w:rsidRPr="0073616F" w:rsidRDefault="0073616F" w:rsidP="0073616F">
            <w:pPr>
              <w:jc w:val="center"/>
              <w:rPr>
                <w:rFonts w:ascii="Arial" w:hAnsi="Arial" w:cs="Arial"/>
                <w:color w:val="000000"/>
              </w:rPr>
            </w:pPr>
          </w:p>
        </w:tc>
        <w:tc>
          <w:tcPr>
            <w:tcW w:w="1984" w:type="dxa"/>
            <w:vMerge/>
            <w:tcBorders>
              <w:top w:val="nil"/>
              <w:left w:val="single" w:sz="4" w:space="0" w:color="auto"/>
              <w:bottom w:val="single" w:sz="4" w:space="0" w:color="auto"/>
              <w:right w:val="single" w:sz="4" w:space="0" w:color="auto"/>
            </w:tcBorders>
            <w:vAlign w:val="center"/>
            <w:hideMark/>
          </w:tcPr>
          <w:p w14:paraId="0F6AFB29" w14:textId="77777777" w:rsidR="0073616F" w:rsidRPr="0073616F" w:rsidRDefault="0073616F" w:rsidP="0073616F">
            <w:pPr>
              <w:jc w:val="center"/>
              <w:rPr>
                <w:rFonts w:ascii="Arial" w:hAnsi="Arial" w:cs="Arial"/>
                <w:color w:val="000000"/>
              </w:rPr>
            </w:pPr>
          </w:p>
        </w:tc>
        <w:tc>
          <w:tcPr>
            <w:tcW w:w="3221" w:type="dxa"/>
            <w:tcBorders>
              <w:top w:val="nil"/>
              <w:left w:val="nil"/>
              <w:bottom w:val="nil"/>
              <w:right w:val="nil"/>
            </w:tcBorders>
            <w:shd w:val="clear" w:color="auto" w:fill="auto"/>
            <w:noWrap/>
            <w:vAlign w:val="bottom"/>
            <w:hideMark/>
          </w:tcPr>
          <w:p w14:paraId="1632160F" w14:textId="77777777" w:rsidR="0073616F" w:rsidRPr="0073616F" w:rsidRDefault="0073616F" w:rsidP="0073616F">
            <w:pPr>
              <w:jc w:val="center"/>
              <w:rPr>
                <w:rFonts w:ascii="Arial" w:hAnsi="Arial" w:cs="Arial"/>
                <w:color w:val="000000"/>
              </w:rPr>
            </w:pPr>
          </w:p>
        </w:tc>
      </w:tr>
      <w:tr w:rsidR="00BB5B3E" w:rsidRPr="0073616F" w14:paraId="332283B9" w14:textId="77777777" w:rsidTr="00BB5B3E">
        <w:trPr>
          <w:trHeight w:val="848"/>
        </w:trPr>
        <w:tc>
          <w:tcPr>
            <w:tcW w:w="2689" w:type="dxa"/>
            <w:tcBorders>
              <w:top w:val="nil"/>
              <w:left w:val="single" w:sz="4" w:space="0" w:color="auto"/>
              <w:bottom w:val="single" w:sz="4" w:space="0" w:color="auto"/>
              <w:right w:val="single" w:sz="4" w:space="0" w:color="auto"/>
            </w:tcBorders>
            <w:shd w:val="clear" w:color="000000" w:fill="DDEBF7"/>
            <w:vAlign w:val="center"/>
            <w:hideMark/>
          </w:tcPr>
          <w:p w14:paraId="7B578C08" w14:textId="77777777" w:rsidR="0073616F" w:rsidRPr="0073616F" w:rsidRDefault="0073616F" w:rsidP="0073616F">
            <w:pPr>
              <w:jc w:val="center"/>
              <w:rPr>
                <w:rFonts w:ascii="Arial" w:hAnsi="Arial" w:cs="Arial"/>
                <w:b/>
                <w:bCs/>
                <w:color w:val="000000"/>
              </w:rPr>
            </w:pPr>
            <w:r w:rsidRPr="0073616F">
              <w:rPr>
                <w:rFonts w:ascii="Arial" w:hAnsi="Arial" w:cs="Arial"/>
                <w:b/>
                <w:bCs/>
                <w:color w:val="000000"/>
              </w:rPr>
              <w:t>Ošetřující ambulance</w:t>
            </w:r>
          </w:p>
        </w:tc>
        <w:tc>
          <w:tcPr>
            <w:tcW w:w="1984" w:type="dxa"/>
            <w:tcBorders>
              <w:top w:val="nil"/>
              <w:left w:val="nil"/>
              <w:bottom w:val="single" w:sz="4" w:space="0" w:color="auto"/>
              <w:right w:val="single" w:sz="4" w:space="0" w:color="auto"/>
            </w:tcBorders>
            <w:shd w:val="clear" w:color="auto" w:fill="auto"/>
            <w:vAlign w:val="center"/>
            <w:hideMark/>
          </w:tcPr>
          <w:p w14:paraId="68A40032" w14:textId="1CEC7B38" w:rsidR="0073616F" w:rsidRPr="0073616F" w:rsidRDefault="000D5D56" w:rsidP="0073616F">
            <w:pPr>
              <w:jc w:val="center"/>
              <w:rPr>
                <w:rFonts w:ascii="Arial" w:hAnsi="Arial" w:cs="Arial"/>
                <w:color w:val="000000"/>
              </w:rPr>
            </w:pPr>
            <w:r>
              <w:rPr>
                <w:rFonts w:ascii="Arial" w:hAnsi="Arial" w:cs="Arial"/>
                <w:color w:val="000000"/>
              </w:rPr>
              <w:t>p</w:t>
            </w:r>
            <w:r w:rsidR="00BD4FBA">
              <w:rPr>
                <w:rFonts w:ascii="Arial" w:hAnsi="Arial" w:cs="Arial"/>
                <w:color w:val="000000"/>
              </w:rPr>
              <w:t>=</w:t>
            </w:r>
            <w:r w:rsidR="0073616F" w:rsidRPr="0073616F">
              <w:rPr>
                <w:rFonts w:ascii="Arial" w:hAnsi="Arial" w:cs="Arial"/>
                <w:color w:val="000000"/>
              </w:rPr>
              <w:t>0,674</w:t>
            </w:r>
          </w:p>
        </w:tc>
        <w:tc>
          <w:tcPr>
            <w:tcW w:w="1843" w:type="dxa"/>
            <w:tcBorders>
              <w:top w:val="nil"/>
              <w:left w:val="nil"/>
              <w:bottom w:val="single" w:sz="4" w:space="0" w:color="auto"/>
              <w:right w:val="single" w:sz="4" w:space="0" w:color="auto"/>
              <w:tr2bl w:val="single" w:sz="4" w:space="0" w:color="auto"/>
            </w:tcBorders>
            <w:shd w:val="clear" w:color="auto" w:fill="auto"/>
            <w:vAlign w:val="center"/>
            <w:hideMark/>
          </w:tcPr>
          <w:p w14:paraId="76A87094" w14:textId="75BBA4F4" w:rsidR="0073616F" w:rsidRPr="0073616F" w:rsidRDefault="0073616F" w:rsidP="0073616F">
            <w:pPr>
              <w:jc w:val="center"/>
              <w:rPr>
                <w:rFonts w:ascii="Arial" w:hAnsi="Arial" w:cs="Arial"/>
                <w:color w:val="000000"/>
              </w:rPr>
            </w:pPr>
          </w:p>
        </w:tc>
        <w:tc>
          <w:tcPr>
            <w:tcW w:w="1984" w:type="dxa"/>
            <w:tcBorders>
              <w:top w:val="nil"/>
              <w:left w:val="nil"/>
              <w:bottom w:val="single" w:sz="4" w:space="0" w:color="auto"/>
              <w:right w:val="single" w:sz="4" w:space="0" w:color="auto"/>
            </w:tcBorders>
            <w:shd w:val="clear" w:color="auto" w:fill="auto"/>
            <w:noWrap/>
            <w:vAlign w:val="center"/>
            <w:hideMark/>
          </w:tcPr>
          <w:p w14:paraId="36F3C59E" w14:textId="583E320F" w:rsidR="0073616F" w:rsidRPr="0073616F" w:rsidRDefault="000D5D56" w:rsidP="0073616F">
            <w:pPr>
              <w:jc w:val="center"/>
              <w:rPr>
                <w:rFonts w:ascii="Arial" w:hAnsi="Arial" w:cs="Arial"/>
                <w:color w:val="000000"/>
              </w:rPr>
            </w:pPr>
            <w:r w:rsidRPr="0073616F">
              <w:rPr>
                <w:rFonts w:ascii="Arial" w:hAnsi="Arial" w:cs="Arial"/>
                <w:b/>
                <w:bCs/>
                <w:color w:val="000000"/>
              </w:rPr>
              <w:t>p=0,008 CV=0,127</w:t>
            </w:r>
          </w:p>
        </w:tc>
        <w:tc>
          <w:tcPr>
            <w:tcW w:w="1985" w:type="dxa"/>
            <w:tcBorders>
              <w:top w:val="nil"/>
              <w:left w:val="nil"/>
              <w:bottom w:val="single" w:sz="4" w:space="0" w:color="auto"/>
              <w:right w:val="single" w:sz="4" w:space="0" w:color="auto"/>
            </w:tcBorders>
            <w:shd w:val="clear" w:color="auto" w:fill="auto"/>
            <w:vAlign w:val="center"/>
            <w:hideMark/>
          </w:tcPr>
          <w:p w14:paraId="40F10EF2" w14:textId="4B6F6161" w:rsidR="0073616F" w:rsidRPr="0073616F" w:rsidRDefault="000D5D56" w:rsidP="0073616F">
            <w:pPr>
              <w:jc w:val="center"/>
              <w:rPr>
                <w:rFonts w:ascii="Arial" w:hAnsi="Arial" w:cs="Arial"/>
                <w:color w:val="000000"/>
              </w:rPr>
            </w:pPr>
            <w:r w:rsidRPr="0073616F">
              <w:rPr>
                <w:rFonts w:ascii="Arial" w:hAnsi="Arial" w:cs="Arial"/>
                <w:color w:val="000000"/>
              </w:rPr>
              <w:t>p=0,089</w:t>
            </w:r>
          </w:p>
        </w:tc>
        <w:tc>
          <w:tcPr>
            <w:tcW w:w="1984" w:type="dxa"/>
            <w:tcBorders>
              <w:top w:val="nil"/>
              <w:left w:val="nil"/>
              <w:bottom w:val="single" w:sz="4" w:space="0" w:color="auto"/>
              <w:right w:val="single" w:sz="4" w:space="0" w:color="auto"/>
            </w:tcBorders>
            <w:shd w:val="clear" w:color="auto" w:fill="auto"/>
            <w:vAlign w:val="center"/>
            <w:hideMark/>
          </w:tcPr>
          <w:p w14:paraId="7AD73DDD" w14:textId="02BF4224" w:rsidR="0073616F" w:rsidRPr="0073616F" w:rsidRDefault="000D5D56" w:rsidP="0073616F">
            <w:pPr>
              <w:jc w:val="center"/>
              <w:rPr>
                <w:rFonts w:ascii="Arial" w:hAnsi="Arial" w:cs="Arial"/>
                <w:color w:val="000000"/>
              </w:rPr>
            </w:pPr>
            <w:r w:rsidRPr="0073616F">
              <w:rPr>
                <w:rFonts w:ascii="Arial" w:hAnsi="Arial" w:cs="Arial"/>
                <w:color w:val="000000"/>
              </w:rPr>
              <w:t>p=0,651</w:t>
            </w:r>
          </w:p>
        </w:tc>
        <w:tc>
          <w:tcPr>
            <w:tcW w:w="3221" w:type="dxa"/>
            <w:vAlign w:val="center"/>
            <w:hideMark/>
          </w:tcPr>
          <w:p w14:paraId="2E6D5354" w14:textId="77777777" w:rsidR="0073616F" w:rsidRPr="0073616F" w:rsidRDefault="0073616F" w:rsidP="0073616F">
            <w:pPr>
              <w:jc w:val="center"/>
              <w:rPr>
                <w:rFonts w:ascii="Arial" w:hAnsi="Arial" w:cs="Arial"/>
              </w:rPr>
            </w:pPr>
          </w:p>
        </w:tc>
      </w:tr>
      <w:tr w:rsidR="00BB5B3E" w:rsidRPr="0073616F" w14:paraId="3DAF8974" w14:textId="77777777" w:rsidTr="00A016EE">
        <w:trPr>
          <w:trHeight w:val="794"/>
        </w:trPr>
        <w:tc>
          <w:tcPr>
            <w:tcW w:w="2689" w:type="dxa"/>
            <w:tcBorders>
              <w:top w:val="nil"/>
              <w:left w:val="single" w:sz="4" w:space="0" w:color="auto"/>
              <w:bottom w:val="single" w:sz="4" w:space="0" w:color="auto"/>
              <w:right w:val="single" w:sz="4" w:space="0" w:color="auto"/>
            </w:tcBorders>
            <w:shd w:val="clear" w:color="000000" w:fill="DDEBF7"/>
            <w:vAlign w:val="center"/>
            <w:hideMark/>
          </w:tcPr>
          <w:p w14:paraId="1A0095F1" w14:textId="77777777" w:rsidR="006F09CB" w:rsidRDefault="0073616F" w:rsidP="0073616F">
            <w:pPr>
              <w:jc w:val="center"/>
              <w:rPr>
                <w:rFonts w:ascii="Arial" w:hAnsi="Arial" w:cs="Arial"/>
                <w:b/>
                <w:bCs/>
                <w:color w:val="000000"/>
              </w:rPr>
            </w:pPr>
            <w:r w:rsidRPr="0073616F">
              <w:rPr>
                <w:rFonts w:ascii="Arial" w:hAnsi="Arial" w:cs="Arial"/>
                <w:b/>
                <w:bCs/>
                <w:color w:val="000000"/>
              </w:rPr>
              <w:t xml:space="preserve">Využití </w:t>
            </w:r>
          </w:p>
          <w:p w14:paraId="4E24319D" w14:textId="476C1F7B" w:rsidR="0073616F" w:rsidRPr="0073616F" w:rsidRDefault="0073616F" w:rsidP="0073616F">
            <w:pPr>
              <w:jc w:val="center"/>
              <w:rPr>
                <w:rFonts w:ascii="Arial" w:hAnsi="Arial" w:cs="Arial"/>
                <w:b/>
                <w:bCs/>
                <w:color w:val="000000"/>
              </w:rPr>
            </w:pPr>
            <w:r w:rsidRPr="0073616F">
              <w:rPr>
                <w:rFonts w:ascii="Arial" w:hAnsi="Arial" w:cs="Arial"/>
                <w:b/>
                <w:bCs/>
                <w:color w:val="000000"/>
              </w:rPr>
              <w:t>observačního lůžka</w:t>
            </w:r>
          </w:p>
        </w:tc>
        <w:tc>
          <w:tcPr>
            <w:tcW w:w="1984" w:type="dxa"/>
            <w:tcBorders>
              <w:top w:val="nil"/>
              <w:left w:val="nil"/>
              <w:bottom w:val="single" w:sz="4" w:space="0" w:color="auto"/>
              <w:right w:val="single" w:sz="4" w:space="0" w:color="auto"/>
            </w:tcBorders>
            <w:shd w:val="clear" w:color="auto" w:fill="auto"/>
            <w:vAlign w:val="center"/>
            <w:hideMark/>
          </w:tcPr>
          <w:p w14:paraId="5D9032F8" w14:textId="476A2500" w:rsidR="0073616F" w:rsidRPr="0073616F" w:rsidRDefault="00350BC3" w:rsidP="0073616F">
            <w:pPr>
              <w:jc w:val="center"/>
              <w:rPr>
                <w:rFonts w:ascii="Arial" w:hAnsi="Arial" w:cs="Arial"/>
                <w:b/>
                <w:bCs/>
                <w:color w:val="000000"/>
              </w:rPr>
            </w:pPr>
            <w:r>
              <w:rPr>
                <w:rFonts w:ascii="Arial" w:hAnsi="Arial" w:cs="Arial"/>
                <w:b/>
                <w:bCs/>
                <w:color w:val="000000"/>
              </w:rPr>
              <w:t xml:space="preserve">p </w:t>
            </w:r>
            <w:r w:rsidR="0073616F" w:rsidRPr="0073616F">
              <w:rPr>
                <w:rFonts w:ascii="Arial" w:hAnsi="Arial" w:cs="Arial"/>
                <w:b/>
                <w:bCs/>
                <w:color w:val="000000"/>
              </w:rPr>
              <w:t>&lt;0,001 CV=0,683</w:t>
            </w:r>
          </w:p>
        </w:tc>
        <w:tc>
          <w:tcPr>
            <w:tcW w:w="1843" w:type="dxa"/>
            <w:tcBorders>
              <w:top w:val="nil"/>
              <w:left w:val="nil"/>
              <w:bottom w:val="single" w:sz="4" w:space="0" w:color="auto"/>
              <w:right w:val="single" w:sz="4" w:space="0" w:color="auto"/>
            </w:tcBorders>
            <w:shd w:val="clear" w:color="auto" w:fill="auto"/>
            <w:vAlign w:val="center"/>
            <w:hideMark/>
          </w:tcPr>
          <w:p w14:paraId="00003342" w14:textId="77777777" w:rsidR="0073616F" w:rsidRPr="0073616F" w:rsidRDefault="0073616F" w:rsidP="0073616F">
            <w:pPr>
              <w:jc w:val="center"/>
              <w:rPr>
                <w:rFonts w:ascii="Arial" w:hAnsi="Arial" w:cs="Arial"/>
                <w:b/>
                <w:bCs/>
                <w:color w:val="000000"/>
              </w:rPr>
            </w:pPr>
            <w:r w:rsidRPr="0073616F">
              <w:rPr>
                <w:rFonts w:ascii="Arial" w:hAnsi="Arial" w:cs="Arial"/>
                <w:b/>
                <w:bCs/>
                <w:color w:val="000000"/>
              </w:rPr>
              <w:t>p=0,008 CV=0,127</w:t>
            </w:r>
          </w:p>
        </w:tc>
        <w:tc>
          <w:tcPr>
            <w:tcW w:w="1984" w:type="dxa"/>
            <w:tcBorders>
              <w:top w:val="nil"/>
              <w:left w:val="nil"/>
              <w:bottom w:val="single" w:sz="4" w:space="0" w:color="auto"/>
              <w:right w:val="single" w:sz="4" w:space="0" w:color="auto"/>
              <w:tr2bl w:val="single" w:sz="4" w:space="0" w:color="auto"/>
            </w:tcBorders>
            <w:shd w:val="clear" w:color="auto" w:fill="auto"/>
            <w:vAlign w:val="center"/>
            <w:hideMark/>
          </w:tcPr>
          <w:p w14:paraId="22BB1251" w14:textId="0D3DED0D" w:rsidR="0073616F" w:rsidRPr="0073616F" w:rsidRDefault="0073616F" w:rsidP="0073616F">
            <w:pPr>
              <w:jc w:val="center"/>
              <w:rPr>
                <w:rFonts w:ascii="Arial" w:hAnsi="Arial" w:cs="Arial"/>
                <w:color w:val="000000"/>
              </w:rPr>
            </w:pPr>
          </w:p>
        </w:tc>
        <w:tc>
          <w:tcPr>
            <w:tcW w:w="1985" w:type="dxa"/>
            <w:tcBorders>
              <w:top w:val="nil"/>
              <w:left w:val="nil"/>
              <w:bottom w:val="single" w:sz="4" w:space="0" w:color="auto"/>
              <w:right w:val="single" w:sz="4" w:space="0" w:color="auto"/>
            </w:tcBorders>
            <w:shd w:val="clear" w:color="auto" w:fill="auto"/>
            <w:noWrap/>
            <w:vAlign w:val="center"/>
            <w:hideMark/>
          </w:tcPr>
          <w:p w14:paraId="4C31B66A" w14:textId="77777777" w:rsidR="000D5D56" w:rsidRDefault="000D5D56" w:rsidP="000D5D56">
            <w:pPr>
              <w:jc w:val="center"/>
              <w:rPr>
                <w:rFonts w:ascii="Arial" w:hAnsi="Arial" w:cs="Arial"/>
                <w:b/>
                <w:bCs/>
                <w:color w:val="000000"/>
              </w:rPr>
            </w:pPr>
            <w:r>
              <w:rPr>
                <w:rFonts w:ascii="Arial" w:hAnsi="Arial" w:cs="Arial"/>
                <w:b/>
                <w:bCs/>
                <w:color w:val="000000"/>
              </w:rPr>
              <w:t xml:space="preserve">p </w:t>
            </w:r>
            <w:r w:rsidRPr="0073616F">
              <w:rPr>
                <w:rFonts w:ascii="Arial" w:hAnsi="Arial" w:cs="Arial"/>
                <w:b/>
                <w:bCs/>
                <w:color w:val="000000"/>
              </w:rPr>
              <w:t xml:space="preserve">&lt;0,001 </w:t>
            </w:r>
          </w:p>
          <w:p w14:paraId="7DBA6EC3" w14:textId="2A2FED3B" w:rsidR="0073616F" w:rsidRPr="0073616F" w:rsidRDefault="000D5D56" w:rsidP="000D5D56">
            <w:pPr>
              <w:jc w:val="center"/>
              <w:rPr>
                <w:rFonts w:ascii="Arial" w:hAnsi="Arial" w:cs="Arial"/>
                <w:color w:val="000000"/>
              </w:rPr>
            </w:pPr>
            <w:r w:rsidRPr="0073616F">
              <w:rPr>
                <w:rFonts w:ascii="Arial" w:hAnsi="Arial" w:cs="Arial"/>
                <w:b/>
                <w:bCs/>
                <w:color w:val="000000"/>
              </w:rPr>
              <w:t>Fí=0,139</w:t>
            </w:r>
          </w:p>
        </w:tc>
        <w:tc>
          <w:tcPr>
            <w:tcW w:w="1984" w:type="dxa"/>
            <w:tcBorders>
              <w:top w:val="nil"/>
              <w:left w:val="nil"/>
              <w:bottom w:val="single" w:sz="4" w:space="0" w:color="auto"/>
              <w:right w:val="single" w:sz="4" w:space="0" w:color="auto"/>
            </w:tcBorders>
            <w:shd w:val="clear" w:color="auto" w:fill="auto"/>
            <w:vAlign w:val="center"/>
            <w:hideMark/>
          </w:tcPr>
          <w:p w14:paraId="74382573" w14:textId="76D6FC1C" w:rsidR="0073616F" w:rsidRPr="0073616F" w:rsidRDefault="000D5D56" w:rsidP="0073616F">
            <w:pPr>
              <w:jc w:val="center"/>
              <w:rPr>
                <w:rFonts w:ascii="Arial" w:hAnsi="Arial" w:cs="Arial"/>
                <w:color w:val="000000"/>
              </w:rPr>
            </w:pPr>
            <w:r w:rsidRPr="0073616F">
              <w:rPr>
                <w:rFonts w:ascii="Arial" w:hAnsi="Arial" w:cs="Arial"/>
                <w:color w:val="000000"/>
              </w:rPr>
              <w:t>p=0,224</w:t>
            </w:r>
          </w:p>
        </w:tc>
        <w:tc>
          <w:tcPr>
            <w:tcW w:w="3221" w:type="dxa"/>
            <w:vAlign w:val="center"/>
            <w:hideMark/>
          </w:tcPr>
          <w:p w14:paraId="29019B4C" w14:textId="77777777" w:rsidR="0073616F" w:rsidRPr="0073616F" w:rsidRDefault="0073616F" w:rsidP="0073616F">
            <w:pPr>
              <w:jc w:val="center"/>
              <w:rPr>
                <w:rFonts w:ascii="Arial" w:hAnsi="Arial" w:cs="Arial"/>
              </w:rPr>
            </w:pPr>
          </w:p>
        </w:tc>
      </w:tr>
      <w:tr w:rsidR="00615B00" w:rsidRPr="0073616F" w14:paraId="4A6A38D6" w14:textId="77777777" w:rsidTr="00E31E41">
        <w:trPr>
          <w:trHeight w:val="918"/>
        </w:trPr>
        <w:tc>
          <w:tcPr>
            <w:tcW w:w="2689" w:type="dxa"/>
            <w:tcBorders>
              <w:top w:val="nil"/>
              <w:left w:val="single" w:sz="4" w:space="0" w:color="auto"/>
              <w:bottom w:val="single" w:sz="4" w:space="0" w:color="auto"/>
              <w:right w:val="single" w:sz="4" w:space="0" w:color="auto"/>
            </w:tcBorders>
            <w:shd w:val="clear" w:color="000000" w:fill="DDEBF7"/>
            <w:vAlign w:val="center"/>
            <w:hideMark/>
          </w:tcPr>
          <w:p w14:paraId="5AA6A9C2" w14:textId="77777777" w:rsidR="006F09CB" w:rsidRDefault="0073616F" w:rsidP="0073616F">
            <w:pPr>
              <w:jc w:val="center"/>
              <w:rPr>
                <w:rFonts w:ascii="Arial" w:hAnsi="Arial" w:cs="Arial"/>
                <w:b/>
                <w:bCs/>
                <w:color w:val="000000"/>
              </w:rPr>
            </w:pPr>
            <w:r w:rsidRPr="0073616F">
              <w:rPr>
                <w:rFonts w:ascii="Arial" w:hAnsi="Arial" w:cs="Arial"/>
                <w:b/>
                <w:bCs/>
                <w:color w:val="000000"/>
              </w:rPr>
              <w:t xml:space="preserve">Využití </w:t>
            </w:r>
          </w:p>
          <w:p w14:paraId="1238EEA0" w14:textId="5426415F" w:rsidR="0073616F" w:rsidRPr="0073616F" w:rsidRDefault="0073616F" w:rsidP="0073616F">
            <w:pPr>
              <w:jc w:val="center"/>
              <w:rPr>
                <w:rFonts w:ascii="Arial" w:hAnsi="Arial" w:cs="Arial"/>
                <w:b/>
                <w:bCs/>
                <w:color w:val="000000"/>
              </w:rPr>
            </w:pPr>
            <w:r w:rsidRPr="0073616F">
              <w:rPr>
                <w:rFonts w:ascii="Arial" w:hAnsi="Arial" w:cs="Arial"/>
                <w:b/>
                <w:bCs/>
                <w:color w:val="000000"/>
              </w:rPr>
              <w:t>zobrazovacích metod</w:t>
            </w:r>
          </w:p>
        </w:tc>
        <w:tc>
          <w:tcPr>
            <w:tcW w:w="1984" w:type="dxa"/>
            <w:tcBorders>
              <w:top w:val="nil"/>
              <w:left w:val="nil"/>
              <w:bottom w:val="single" w:sz="4" w:space="0" w:color="auto"/>
              <w:right w:val="single" w:sz="4" w:space="0" w:color="auto"/>
            </w:tcBorders>
            <w:shd w:val="clear" w:color="auto" w:fill="auto"/>
            <w:vAlign w:val="center"/>
            <w:hideMark/>
          </w:tcPr>
          <w:p w14:paraId="2D272E8B" w14:textId="08EDB42E" w:rsidR="0073616F" w:rsidRPr="0073616F" w:rsidRDefault="00350BC3" w:rsidP="0073616F">
            <w:pPr>
              <w:jc w:val="center"/>
              <w:rPr>
                <w:rFonts w:ascii="Arial" w:hAnsi="Arial" w:cs="Arial"/>
                <w:b/>
                <w:bCs/>
                <w:color w:val="000000"/>
              </w:rPr>
            </w:pPr>
            <w:r>
              <w:rPr>
                <w:rFonts w:ascii="Arial" w:hAnsi="Arial" w:cs="Arial"/>
                <w:b/>
                <w:bCs/>
                <w:color w:val="000000"/>
              </w:rPr>
              <w:t xml:space="preserve">p </w:t>
            </w:r>
            <w:r w:rsidR="0073616F" w:rsidRPr="0073616F">
              <w:rPr>
                <w:rFonts w:ascii="Arial" w:hAnsi="Arial" w:cs="Arial"/>
                <w:b/>
                <w:bCs/>
                <w:color w:val="000000"/>
              </w:rPr>
              <w:t>&lt;0,001 CV=0,246</w:t>
            </w:r>
          </w:p>
        </w:tc>
        <w:tc>
          <w:tcPr>
            <w:tcW w:w="1843" w:type="dxa"/>
            <w:tcBorders>
              <w:top w:val="nil"/>
              <w:left w:val="nil"/>
              <w:bottom w:val="single" w:sz="4" w:space="0" w:color="auto"/>
              <w:right w:val="single" w:sz="4" w:space="0" w:color="auto"/>
            </w:tcBorders>
            <w:shd w:val="clear" w:color="auto" w:fill="auto"/>
            <w:vAlign w:val="center"/>
            <w:hideMark/>
          </w:tcPr>
          <w:p w14:paraId="533149BC" w14:textId="77777777" w:rsidR="0073616F" w:rsidRPr="0073616F" w:rsidRDefault="0073616F" w:rsidP="0073616F">
            <w:pPr>
              <w:jc w:val="center"/>
              <w:rPr>
                <w:rFonts w:ascii="Arial" w:hAnsi="Arial" w:cs="Arial"/>
                <w:color w:val="000000"/>
              </w:rPr>
            </w:pPr>
            <w:r w:rsidRPr="0073616F">
              <w:rPr>
                <w:rFonts w:ascii="Arial" w:hAnsi="Arial" w:cs="Arial"/>
                <w:color w:val="000000"/>
              </w:rPr>
              <w:t>p=0,089</w:t>
            </w:r>
          </w:p>
        </w:tc>
        <w:tc>
          <w:tcPr>
            <w:tcW w:w="1984" w:type="dxa"/>
            <w:tcBorders>
              <w:top w:val="nil"/>
              <w:left w:val="nil"/>
              <w:bottom w:val="single" w:sz="4" w:space="0" w:color="auto"/>
              <w:right w:val="single" w:sz="4" w:space="0" w:color="auto"/>
            </w:tcBorders>
            <w:shd w:val="clear" w:color="auto" w:fill="auto"/>
            <w:vAlign w:val="center"/>
            <w:hideMark/>
          </w:tcPr>
          <w:p w14:paraId="79125BFD" w14:textId="3E3139DC" w:rsidR="0056638E" w:rsidRDefault="00350BC3" w:rsidP="0073616F">
            <w:pPr>
              <w:jc w:val="center"/>
              <w:rPr>
                <w:rFonts w:ascii="Arial" w:hAnsi="Arial" w:cs="Arial"/>
                <w:b/>
                <w:bCs/>
                <w:color w:val="000000"/>
              </w:rPr>
            </w:pPr>
            <w:r>
              <w:rPr>
                <w:rFonts w:ascii="Arial" w:hAnsi="Arial" w:cs="Arial"/>
                <w:b/>
                <w:bCs/>
                <w:color w:val="000000"/>
              </w:rPr>
              <w:t xml:space="preserve">p </w:t>
            </w:r>
            <w:r w:rsidR="0073616F" w:rsidRPr="0073616F">
              <w:rPr>
                <w:rFonts w:ascii="Arial" w:hAnsi="Arial" w:cs="Arial"/>
                <w:b/>
                <w:bCs/>
                <w:color w:val="000000"/>
              </w:rPr>
              <w:t xml:space="preserve">&lt;0,001 </w:t>
            </w:r>
          </w:p>
          <w:p w14:paraId="24E696D4" w14:textId="06B8C2B5" w:rsidR="0073616F" w:rsidRPr="0073616F" w:rsidRDefault="0073616F" w:rsidP="0073616F">
            <w:pPr>
              <w:jc w:val="center"/>
              <w:rPr>
                <w:rFonts w:ascii="Arial" w:hAnsi="Arial" w:cs="Arial"/>
                <w:b/>
                <w:bCs/>
                <w:color w:val="000000"/>
              </w:rPr>
            </w:pPr>
            <w:r w:rsidRPr="0073616F">
              <w:rPr>
                <w:rFonts w:ascii="Arial" w:hAnsi="Arial" w:cs="Arial"/>
                <w:b/>
                <w:bCs/>
                <w:color w:val="000000"/>
              </w:rPr>
              <w:t>Fí=0,139</w:t>
            </w:r>
          </w:p>
        </w:tc>
        <w:tc>
          <w:tcPr>
            <w:tcW w:w="1985" w:type="dxa"/>
            <w:tcBorders>
              <w:top w:val="nil"/>
              <w:left w:val="nil"/>
              <w:bottom w:val="single" w:sz="4" w:space="0" w:color="auto"/>
              <w:right w:val="single" w:sz="4" w:space="0" w:color="auto"/>
              <w:tr2bl w:val="single" w:sz="4" w:space="0" w:color="auto"/>
            </w:tcBorders>
            <w:shd w:val="clear" w:color="auto" w:fill="auto"/>
            <w:vAlign w:val="center"/>
            <w:hideMark/>
          </w:tcPr>
          <w:p w14:paraId="3D34FB36" w14:textId="6E843F2C" w:rsidR="0073616F" w:rsidRPr="0073616F" w:rsidRDefault="0073616F" w:rsidP="0073616F">
            <w:pPr>
              <w:jc w:val="center"/>
              <w:rPr>
                <w:rFonts w:ascii="Arial" w:hAnsi="Arial" w:cs="Arial"/>
                <w:color w:val="000000"/>
              </w:rPr>
            </w:pPr>
          </w:p>
        </w:tc>
        <w:tc>
          <w:tcPr>
            <w:tcW w:w="1984" w:type="dxa"/>
            <w:tcBorders>
              <w:top w:val="nil"/>
              <w:left w:val="nil"/>
              <w:bottom w:val="single" w:sz="4" w:space="0" w:color="auto"/>
              <w:right w:val="single" w:sz="4" w:space="0" w:color="auto"/>
            </w:tcBorders>
            <w:shd w:val="clear" w:color="auto" w:fill="auto"/>
            <w:noWrap/>
            <w:vAlign w:val="center"/>
            <w:hideMark/>
          </w:tcPr>
          <w:p w14:paraId="3496294C" w14:textId="2920D9AA" w:rsidR="0073616F" w:rsidRPr="0073616F" w:rsidRDefault="006C33E5" w:rsidP="0073616F">
            <w:pPr>
              <w:jc w:val="center"/>
              <w:rPr>
                <w:rFonts w:ascii="Arial" w:hAnsi="Arial" w:cs="Arial"/>
                <w:color w:val="000000"/>
              </w:rPr>
            </w:pPr>
            <w:r w:rsidRPr="0073616F">
              <w:rPr>
                <w:rFonts w:ascii="Arial" w:hAnsi="Arial" w:cs="Arial"/>
                <w:color w:val="000000"/>
              </w:rPr>
              <w:t>p=0,137</w:t>
            </w:r>
          </w:p>
        </w:tc>
        <w:tc>
          <w:tcPr>
            <w:tcW w:w="3221" w:type="dxa"/>
            <w:vAlign w:val="center"/>
            <w:hideMark/>
          </w:tcPr>
          <w:p w14:paraId="7FBB2AE9" w14:textId="77777777" w:rsidR="0073616F" w:rsidRPr="0073616F" w:rsidRDefault="0073616F" w:rsidP="0073616F">
            <w:pPr>
              <w:jc w:val="center"/>
              <w:rPr>
                <w:rFonts w:ascii="Arial" w:hAnsi="Arial" w:cs="Arial"/>
              </w:rPr>
            </w:pPr>
          </w:p>
        </w:tc>
      </w:tr>
      <w:tr w:rsidR="00BB5B3E" w:rsidRPr="0073616F" w14:paraId="34385D79" w14:textId="77777777" w:rsidTr="009C06E8">
        <w:trPr>
          <w:trHeight w:val="832"/>
        </w:trPr>
        <w:tc>
          <w:tcPr>
            <w:tcW w:w="2689" w:type="dxa"/>
            <w:tcBorders>
              <w:top w:val="nil"/>
              <w:left w:val="single" w:sz="4" w:space="0" w:color="auto"/>
              <w:bottom w:val="single" w:sz="4" w:space="0" w:color="auto"/>
              <w:right w:val="single" w:sz="4" w:space="0" w:color="auto"/>
            </w:tcBorders>
            <w:shd w:val="clear" w:color="000000" w:fill="DDEBF7"/>
            <w:vAlign w:val="center"/>
            <w:hideMark/>
          </w:tcPr>
          <w:p w14:paraId="68133DE2" w14:textId="77777777" w:rsidR="0073616F" w:rsidRPr="0073616F" w:rsidRDefault="0073616F" w:rsidP="0073616F">
            <w:pPr>
              <w:jc w:val="center"/>
              <w:rPr>
                <w:rFonts w:ascii="Arial" w:hAnsi="Arial" w:cs="Arial"/>
                <w:b/>
                <w:bCs/>
                <w:color w:val="000000"/>
              </w:rPr>
            </w:pPr>
            <w:r w:rsidRPr="0073616F">
              <w:rPr>
                <w:rFonts w:ascii="Arial" w:hAnsi="Arial" w:cs="Arial"/>
                <w:b/>
                <w:bCs/>
                <w:color w:val="000000"/>
              </w:rPr>
              <w:t>Konzilium specialisty</w:t>
            </w:r>
          </w:p>
        </w:tc>
        <w:tc>
          <w:tcPr>
            <w:tcW w:w="1984" w:type="dxa"/>
            <w:tcBorders>
              <w:top w:val="nil"/>
              <w:left w:val="nil"/>
              <w:bottom w:val="single" w:sz="4" w:space="0" w:color="auto"/>
              <w:right w:val="single" w:sz="4" w:space="0" w:color="auto"/>
            </w:tcBorders>
            <w:shd w:val="clear" w:color="auto" w:fill="auto"/>
            <w:vAlign w:val="center"/>
            <w:hideMark/>
          </w:tcPr>
          <w:p w14:paraId="5B9917FE" w14:textId="77777777" w:rsidR="00F945AD" w:rsidRPr="00F945AD" w:rsidRDefault="00F945AD" w:rsidP="00F945AD">
            <w:pPr>
              <w:jc w:val="center"/>
              <w:rPr>
                <w:rFonts w:ascii="Arial" w:hAnsi="Arial" w:cs="Arial"/>
                <w:color w:val="000000"/>
              </w:rPr>
            </w:pPr>
            <w:r w:rsidRPr="00F945AD">
              <w:rPr>
                <w:rFonts w:ascii="Arial" w:hAnsi="Arial" w:cs="Arial"/>
                <w:color w:val="000000"/>
              </w:rPr>
              <w:t>Nelze</w:t>
            </w:r>
          </w:p>
          <w:p w14:paraId="453A06A1" w14:textId="1B3A54ED" w:rsidR="0073616F" w:rsidRPr="0073616F" w:rsidRDefault="00F945AD" w:rsidP="00F945AD">
            <w:pPr>
              <w:jc w:val="center"/>
              <w:rPr>
                <w:rFonts w:ascii="Arial" w:hAnsi="Arial" w:cs="Arial"/>
                <w:color w:val="000000"/>
              </w:rPr>
            </w:pPr>
            <w:r w:rsidRPr="00F945AD">
              <w:rPr>
                <w:rFonts w:ascii="Arial" w:hAnsi="Arial" w:cs="Arial"/>
                <w:color w:val="000000"/>
              </w:rPr>
              <w:t xml:space="preserve">hodnotit </w:t>
            </w:r>
            <w:r w:rsidRPr="00F945AD">
              <w:rPr>
                <w:rFonts w:ascii="Arial" w:hAnsi="Arial" w:cs="Arial"/>
              </w:rPr>
              <w:t>χ2</w:t>
            </w:r>
          </w:p>
        </w:tc>
        <w:tc>
          <w:tcPr>
            <w:tcW w:w="1843" w:type="dxa"/>
            <w:tcBorders>
              <w:top w:val="nil"/>
              <w:left w:val="nil"/>
              <w:bottom w:val="single" w:sz="4" w:space="0" w:color="auto"/>
              <w:right w:val="single" w:sz="4" w:space="0" w:color="auto"/>
            </w:tcBorders>
            <w:shd w:val="clear" w:color="auto" w:fill="auto"/>
            <w:vAlign w:val="center"/>
            <w:hideMark/>
          </w:tcPr>
          <w:p w14:paraId="5E1D2E2C" w14:textId="77777777" w:rsidR="0073616F" w:rsidRPr="0073616F" w:rsidRDefault="0073616F" w:rsidP="0073616F">
            <w:pPr>
              <w:jc w:val="center"/>
              <w:rPr>
                <w:rFonts w:ascii="Arial" w:hAnsi="Arial" w:cs="Arial"/>
                <w:color w:val="000000"/>
              </w:rPr>
            </w:pPr>
            <w:r w:rsidRPr="0073616F">
              <w:rPr>
                <w:rFonts w:ascii="Arial" w:hAnsi="Arial" w:cs="Arial"/>
                <w:color w:val="000000"/>
              </w:rPr>
              <w:t>p=0,651</w:t>
            </w:r>
          </w:p>
        </w:tc>
        <w:tc>
          <w:tcPr>
            <w:tcW w:w="1984" w:type="dxa"/>
            <w:tcBorders>
              <w:top w:val="nil"/>
              <w:left w:val="nil"/>
              <w:bottom w:val="single" w:sz="4" w:space="0" w:color="auto"/>
              <w:right w:val="single" w:sz="4" w:space="0" w:color="auto"/>
            </w:tcBorders>
            <w:shd w:val="clear" w:color="auto" w:fill="auto"/>
            <w:vAlign w:val="center"/>
            <w:hideMark/>
          </w:tcPr>
          <w:p w14:paraId="2081261A" w14:textId="77777777" w:rsidR="0073616F" w:rsidRPr="0073616F" w:rsidRDefault="0073616F" w:rsidP="0073616F">
            <w:pPr>
              <w:jc w:val="center"/>
              <w:rPr>
                <w:rFonts w:ascii="Arial" w:hAnsi="Arial" w:cs="Arial"/>
                <w:color w:val="000000"/>
              </w:rPr>
            </w:pPr>
            <w:r w:rsidRPr="0073616F">
              <w:rPr>
                <w:rFonts w:ascii="Arial" w:hAnsi="Arial" w:cs="Arial"/>
                <w:color w:val="000000"/>
              </w:rPr>
              <w:t>p=0,224</w:t>
            </w:r>
          </w:p>
        </w:tc>
        <w:tc>
          <w:tcPr>
            <w:tcW w:w="1985" w:type="dxa"/>
            <w:tcBorders>
              <w:top w:val="nil"/>
              <w:left w:val="nil"/>
              <w:bottom w:val="single" w:sz="4" w:space="0" w:color="auto"/>
              <w:right w:val="single" w:sz="4" w:space="0" w:color="auto"/>
            </w:tcBorders>
            <w:shd w:val="clear" w:color="auto" w:fill="auto"/>
            <w:vAlign w:val="center"/>
            <w:hideMark/>
          </w:tcPr>
          <w:p w14:paraId="159F7E4D" w14:textId="77777777" w:rsidR="0073616F" w:rsidRPr="0073616F" w:rsidRDefault="0073616F" w:rsidP="0073616F">
            <w:pPr>
              <w:jc w:val="center"/>
              <w:rPr>
                <w:rFonts w:ascii="Arial" w:hAnsi="Arial" w:cs="Arial"/>
                <w:color w:val="000000"/>
              </w:rPr>
            </w:pPr>
            <w:r w:rsidRPr="0073616F">
              <w:rPr>
                <w:rFonts w:ascii="Arial" w:hAnsi="Arial" w:cs="Arial"/>
                <w:color w:val="000000"/>
              </w:rPr>
              <w:t>p=0,137</w:t>
            </w:r>
          </w:p>
        </w:tc>
        <w:tc>
          <w:tcPr>
            <w:tcW w:w="1984" w:type="dxa"/>
            <w:tcBorders>
              <w:top w:val="nil"/>
              <w:left w:val="nil"/>
              <w:bottom w:val="single" w:sz="4" w:space="0" w:color="auto"/>
              <w:right w:val="single" w:sz="4" w:space="0" w:color="auto"/>
              <w:tr2bl w:val="single" w:sz="4" w:space="0" w:color="auto"/>
            </w:tcBorders>
            <w:shd w:val="clear" w:color="auto" w:fill="auto"/>
            <w:vAlign w:val="center"/>
            <w:hideMark/>
          </w:tcPr>
          <w:p w14:paraId="22BD150F" w14:textId="437C6DCA" w:rsidR="0073616F" w:rsidRPr="0073616F" w:rsidRDefault="0073616F" w:rsidP="0073616F">
            <w:pPr>
              <w:jc w:val="center"/>
              <w:rPr>
                <w:rFonts w:ascii="Arial" w:hAnsi="Arial" w:cs="Arial"/>
                <w:color w:val="000000"/>
              </w:rPr>
            </w:pPr>
          </w:p>
        </w:tc>
        <w:tc>
          <w:tcPr>
            <w:tcW w:w="3221" w:type="dxa"/>
            <w:vAlign w:val="center"/>
            <w:hideMark/>
          </w:tcPr>
          <w:p w14:paraId="4ADDA60F" w14:textId="77777777" w:rsidR="0073616F" w:rsidRPr="0073616F" w:rsidRDefault="0073616F" w:rsidP="0073616F">
            <w:pPr>
              <w:jc w:val="center"/>
              <w:rPr>
                <w:rFonts w:ascii="Arial" w:hAnsi="Arial" w:cs="Arial"/>
              </w:rPr>
            </w:pPr>
          </w:p>
        </w:tc>
      </w:tr>
    </w:tbl>
    <w:p w14:paraId="37EC9186" w14:textId="11AFEC7D" w:rsidR="00823369" w:rsidRDefault="006E31A5" w:rsidP="006E31A5">
      <w:pPr>
        <w:pStyle w:val="Popisobrzku"/>
        <w:sectPr w:rsidR="00823369" w:rsidSect="00B65A77">
          <w:pgSz w:w="16838" w:h="11906" w:orient="landscape" w:code="9"/>
          <w:pgMar w:top="1140" w:right="1980" w:bottom="1140" w:left="2380" w:header="1140" w:footer="1420" w:gutter="860"/>
          <w:cols w:space="708"/>
          <w:docGrid w:linePitch="360"/>
        </w:sectPr>
      </w:pPr>
      <w:r w:rsidRPr="0073616F">
        <w:t xml:space="preserve">Chí-kvadrát test (χ2), koeficient </w:t>
      </w:r>
      <w:proofErr w:type="spellStart"/>
      <w:r w:rsidRPr="0073616F">
        <w:t>asociance</w:t>
      </w:r>
      <w:proofErr w:type="spellEnd"/>
      <w:r w:rsidRPr="0073616F">
        <w:t xml:space="preserve"> Fí a </w:t>
      </w:r>
      <w:proofErr w:type="spellStart"/>
      <w:r w:rsidRPr="0073616F">
        <w:t>Cramerovo</w:t>
      </w:r>
      <w:proofErr w:type="spellEnd"/>
      <w:r w:rsidRPr="0073616F">
        <w:t xml:space="preserve"> V </w:t>
      </w:r>
      <w:r>
        <w:t xml:space="preserve">(CV) </w:t>
      </w:r>
      <w:r w:rsidRPr="0073616F">
        <w:t>byly použity s hladinou významnosti &lt;0,05.</w:t>
      </w:r>
    </w:p>
    <w:p w14:paraId="3C3D8B60" w14:textId="275B6EC8" w:rsidR="00101B5B" w:rsidRDefault="00101B5B" w:rsidP="00E9339B">
      <w:pPr>
        <w:pStyle w:val="Dalodstavce"/>
        <w:numPr>
          <w:ilvl w:val="0"/>
          <w:numId w:val="26"/>
        </w:numPr>
        <w:rPr>
          <w:lang w:eastAsia="sk-SK"/>
        </w:rPr>
      </w:pPr>
      <w:r w:rsidRPr="00E9339B">
        <w:rPr>
          <w:b/>
          <w:bCs/>
          <w:lang w:eastAsia="sk-SK"/>
        </w:rPr>
        <w:lastRenderedPageBreak/>
        <w:t>Které proměnné predik</w:t>
      </w:r>
      <w:r w:rsidR="008B01D6">
        <w:rPr>
          <w:b/>
          <w:bCs/>
          <w:lang w:eastAsia="sk-SK"/>
        </w:rPr>
        <w:t>ovaly</w:t>
      </w:r>
      <w:r w:rsidRPr="00E9339B">
        <w:rPr>
          <w:b/>
          <w:bCs/>
          <w:lang w:eastAsia="sk-SK"/>
        </w:rPr>
        <w:t xml:space="preserve"> způsob ukončení návštěvy </w:t>
      </w:r>
      <w:r w:rsidR="00EB2165">
        <w:rPr>
          <w:b/>
          <w:bCs/>
          <w:lang w:eastAsia="sk-SK"/>
        </w:rPr>
        <w:t>nízkoprahového urgentního příjmu</w:t>
      </w:r>
      <w:r w:rsidR="008B01D6">
        <w:rPr>
          <w:b/>
          <w:bCs/>
          <w:lang w:eastAsia="sk-SK"/>
        </w:rPr>
        <w:t xml:space="preserve"> u pacientů ve věku 75+</w:t>
      </w:r>
      <w:r w:rsidRPr="00E9339B">
        <w:rPr>
          <w:b/>
          <w:bCs/>
          <w:lang w:eastAsia="sk-SK"/>
        </w:rPr>
        <w:t>?</w:t>
      </w:r>
    </w:p>
    <w:p w14:paraId="2018BB1E" w14:textId="1371E177" w:rsidR="00101B5B" w:rsidRDefault="00101B5B" w:rsidP="005655C6">
      <w:pPr>
        <w:pStyle w:val="Dalodstavce"/>
        <w:ind w:firstLine="0"/>
        <w:rPr>
          <w:lang w:eastAsia="sk-SK"/>
        </w:rPr>
      </w:pPr>
      <w:r>
        <w:rPr>
          <w:lang w:eastAsia="sk-SK"/>
        </w:rPr>
        <w:t xml:space="preserve">Bylo </w:t>
      </w:r>
      <w:r w:rsidR="0016178E">
        <w:rPr>
          <w:lang w:eastAsia="sk-SK"/>
        </w:rPr>
        <w:t>zjišťováno, zda některé</w:t>
      </w:r>
      <w:r>
        <w:rPr>
          <w:lang w:eastAsia="sk-SK"/>
        </w:rPr>
        <w:t xml:space="preserve"> ze sledovaných proměnných (pohlaví, věk, způsob dopravy</w:t>
      </w:r>
      <w:r w:rsidR="005655C6">
        <w:rPr>
          <w:lang w:eastAsia="sk-SK"/>
        </w:rPr>
        <w:t xml:space="preserve"> k</w:t>
      </w:r>
      <w:r w:rsidR="00620C19">
        <w:rPr>
          <w:lang w:eastAsia="sk-SK"/>
        </w:rPr>
        <w:t> </w:t>
      </w:r>
      <w:r w:rsidR="005655C6">
        <w:rPr>
          <w:lang w:eastAsia="sk-SK"/>
        </w:rPr>
        <w:t>ošetření</w:t>
      </w:r>
      <w:r>
        <w:rPr>
          <w:lang w:eastAsia="sk-SK"/>
        </w:rPr>
        <w:t xml:space="preserve">, </w:t>
      </w:r>
      <w:r w:rsidR="00E80DA4">
        <w:rPr>
          <w:lang w:eastAsia="sk-SK"/>
        </w:rPr>
        <w:t xml:space="preserve">typ </w:t>
      </w:r>
      <w:r w:rsidR="005655C6">
        <w:rPr>
          <w:lang w:eastAsia="sk-SK"/>
        </w:rPr>
        <w:t xml:space="preserve">ošetřující </w:t>
      </w:r>
      <w:r>
        <w:rPr>
          <w:lang w:eastAsia="sk-SK"/>
        </w:rPr>
        <w:t>ambulance, využití observačního lůžka, zobrazovacích metod č</w:t>
      </w:r>
      <w:r w:rsidR="00280B94">
        <w:rPr>
          <w:lang w:eastAsia="sk-SK"/>
        </w:rPr>
        <w:t xml:space="preserve">i </w:t>
      </w:r>
      <w:r>
        <w:rPr>
          <w:lang w:eastAsia="sk-SK"/>
        </w:rPr>
        <w:t>konzili</w:t>
      </w:r>
      <w:r w:rsidR="00280B94">
        <w:rPr>
          <w:lang w:eastAsia="sk-SK"/>
        </w:rPr>
        <w:t>í specialisty</w:t>
      </w:r>
      <w:r>
        <w:rPr>
          <w:lang w:eastAsia="sk-SK"/>
        </w:rPr>
        <w:t>), zvyšuj</w:t>
      </w:r>
      <w:r w:rsidR="00A56A28">
        <w:rPr>
          <w:lang w:eastAsia="sk-SK"/>
        </w:rPr>
        <w:t>í</w:t>
      </w:r>
      <w:r>
        <w:rPr>
          <w:lang w:eastAsia="sk-SK"/>
        </w:rPr>
        <w:t xml:space="preserve"> pravděpodobnost určitého způsobu ukončení ošetření na NUP </w:t>
      </w:r>
      <w:r w:rsidR="00280B94">
        <w:rPr>
          <w:lang w:eastAsia="sk-SK"/>
        </w:rPr>
        <w:t>FN Brno</w:t>
      </w:r>
      <w:r w:rsidR="00C65ADE">
        <w:rPr>
          <w:lang w:eastAsia="sk-SK"/>
        </w:rPr>
        <w:t>.</w:t>
      </w:r>
      <w:r w:rsidR="005B1378">
        <w:rPr>
          <w:lang w:eastAsia="sk-SK"/>
        </w:rPr>
        <w:t xml:space="preserve"> </w:t>
      </w:r>
      <w:r w:rsidR="005B1378" w:rsidRPr="005B1378">
        <w:rPr>
          <w:lang w:eastAsia="sk-SK"/>
        </w:rPr>
        <w:t>Možné způsoby ukončení zahrnovaly hospitalizaci na standardním či intenzivním lůžku, odjezd domů nebo do jiné formy péče (po vlastní ose či sanitním vozem), nebo převoz do jiného zdravotnického zařízení.</w:t>
      </w:r>
    </w:p>
    <w:p w14:paraId="28CE7245" w14:textId="77777777" w:rsidR="00D77CDE" w:rsidRDefault="00D77CDE" w:rsidP="005655C6">
      <w:pPr>
        <w:pStyle w:val="Dalodstavce"/>
        <w:ind w:firstLine="0"/>
        <w:rPr>
          <w:lang w:eastAsia="sk-SK"/>
        </w:rPr>
      </w:pPr>
    </w:p>
    <w:p w14:paraId="530D0705" w14:textId="246B7679" w:rsidR="00B0427B" w:rsidRDefault="00B0427B" w:rsidP="00D64B1B">
      <w:pPr>
        <w:pStyle w:val="Dalodstavce"/>
        <w:ind w:firstLine="0"/>
        <w:rPr>
          <w:lang w:eastAsia="sk-SK"/>
        </w:rPr>
      </w:pPr>
      <w:r w:rsidRPr="003656E6">
        <w:rPr>
          <w:b/>
          <w:bCs/>
          <w:lang w:eastAsia="sk-SK"/>
        </w:rPr>
        <w:t>Byla zjištěna statisticky významná</w:t>
      </w:r>
      <w:r w:rsidRPr="00B0427B">
        <w:rPr>
          <w:b/>
          <w:bCs/>
          <w:lang w:eastAsia="sk-SK"/>
        </w:rPr>
        <w:t xml:space="preserve"> </w:t>
      </w:r>
      <w:r w:rsidR="00B9291B">
        <w:rPr>
          <w:b/>
          <w:bCs/>
          <w:lang w:eastAsia="sk-SK"/>
        </w:rPr>
        <w:t>asociace</w:t>
      </w:r>
      <w:r w:rsidRPr="00B0427B">
        <w:rPr>
          <w:b/>
          <w:bCs/>
          <w:lang w:eastAsia="sk-SK"/>
        </w:rPr>
        <w:t xml:space="preserve"> mezi faktory ovlivňujícími způsob ukončení ošetření na NUP FN Brno u pacientů ve věku 75 a více let v roce 2023.</w:t>
      </w:r>
      <w:r>
        <w:rPr>
          <w:lang w:eastAsia="sk-SK"/>
        </w:rPr>
        <w:t xml:space="preserve"> Statisticky významný vztah byl prokázán u proměnných věk pacienta (p=0,002), způsob dopravy k ošetření (p &lt;0,001), typ ošetřující ambulance (p &lt;0,001), využití observačního lůžka (p &lt;0,001) a zobrazovacích metod (p &lt;0,001). Přestože věk pacienta (CV=0,136) a typ ambulance (CV=0,16</w:t>
      </w:r>
      <w:r w:rsidR="009E7467">
        <w:rPr>
          <w:lang w:eastAsia="sk-SK"/>
        </w:rPr>
        <w:t>9</w:t>
      </w:r>
      <w:r>
        <w:rPr>
          <w:lang w:eastAsia="sk-SK"/>
        </w:rPr>
        <w:t>) vykazovaly jen slabou závislost na způsobu ukončení ošetření, způsob dopravy (CV=0,230), využití observačního lůžka (CV=0,394) a zobrazovacích metod (CV=0,192) ukázaly středně silnou vazbu</w:t>
      </w:r>
      <w:r w:rsidR="00504EB4">
        <w:rPr>
          <w:lang w:eastAsia="sk-SK"/>
        </w:rPr>
        <w:t xml:space="preserve"> (viz Tabulka 2</w:t>
      </w:r>
      <w:r w:rsidR="005204D7">
        <w:rPr>
          <w:lang w:eastAsia="sk-SK"/>
        </w:rPr>
        <w:t>1</w:t>
      </w:r>
      <w:r w:rsidR="00504EB4">
        <w:rPr>
          <w:lang w:eastAsia="sk-SK"/>
        </w:rPr>
        <w:t>)</w:t>
      </w:r>
      <w:r>
        <w:rPr>
          <w:lang w:eastAsia="sk-SK"/>
        </w:rPr>
        <w:t>.</w:t>
      </w:r>
    </w:p>
    <w:p w14:paraId="0217DCDA" w14:textId="79F33DC1" w:rsidR="00B0427B" w:rsidRDefault="00B0427B" w:rsidP="000F5441">
      <w:pPr>
        <w:pStyle w:val="Dalodstavce"/>
        <w:rPr>
          <w:lang w:eastAsia="sk-SK"/>
        </w:rPr>
      </w:pPr>
      <w:r>
        <w:rPr>
          <w:lang w:eastAsia="sk-SK"/>
        </w:rPr>
        <w:t xml:space="preserve">Muži ve věku 75 a více let byli méně často propuštěni do domácí </w:t>
      </w:r>
      <w:r w:rsidR="008C3212">
        <w:rPr>
          <w:lang w:eastAsia="sk-SK"/>
        </w:rPr>
        <w:t xml:space="preserve">či jiné formy </w:t>
      </w:r>
      <w:r>
        <w:rPr>
          <w:lang w:eastAsia="sk-SK"/>
        </w:rPr>
        <w:t>péče (bez ohledu na způsob dopravy) než ženy,</w:t>
      </w:r>
      <w:r w:rsidR="0020013E">
        <w:rPr>
          <w:lang w:eastAsia="sk-SK"/>
        </w:rPr>
        <w:t xml:space="preserve"> jejich ošetření na NUP </w:t>
      </w:r>
      <w:r w:rsidR="00E70DB1">
        <w:rPr>
          <w:lang w:eastAsia="sk-SK"/>
        </w:rPr>
        <w:t xml:space="preserve">bylo častěji ukončeno </w:t>
      </w:r>
      <w:r>
        <w:rPr>
          <w:lang w:eastAsia="sk-SK"/>
        </w:rPr>
        <w:t>hospitalizací nebo převozem do jiného zdravotnického zařízení. Pacienti ve věku 74–</w:t>
      </w:r>
      <w:r w:rsidR="00522302">
        <w:rPr>
          <w:lang w:eastAsia="sk-SK"/>
        </w:rPr>
        <w:t xml:space="preserve"> –</w:t>
      </w:r>
      <w:r>
        <w:rPr>
          <w:lang w:eastAsia="sk-SK"/>
        </w:rPr>
        <w:t>79</w:t>
      </w:r>
      <w:r w:rsidR="00316D03">
        <w:rPr>
          <w:lang w:eastAsia="sk-SK"/>
        </w:rPr>
        <w:t xml:space="preserve"> </w:t>
      </w:r>
      <w:r>
        <w:rPr>
          <w:lang w:eastAsia="sk-SK"/>
        </w:rPr>
        <w:t xml:space="preserve">let odcházeli do domácí </w:t>
      </w:r>
      <w:r w:rsidR="007F0FC3">
        <w:rPr>
          <w:lang w:eastAsia="sk-SK"/>
        </w:rPr>
        <w:t xml:space="preserve">či jiné formy </w:t>
      </w:r>
      <w:r>
        <w:rPr>
          <w:lang w:eastAsia="sk-SK"/>
        </w:rPr>
        <w:t xml:space="preserve">péče po vlastní ose častěji než ostatní věkové skupiny, méně často však využívali sanitní převoz, byli hospitalizováni nebo překládáni </w:t>
      </w:r>
      <w:r w:rsidR="007F0FC3">
        <w:rPr>
          <w:lang w:eastAsia="sk-SK"/>
        </w:rPr>
        <w:t>do jiného nemocničního zařízení</w:t>
      </w:r>
      <w:r>
        <w:rPr>
          <w:lang w:eastAsia="sk-SK"/>
        </w:rPr>
        <w:t xml:space="preserve">. Naopak pacienti ve věku 80–84 let byli častěji hospitalizováni na intenzivním lůžku či odesláni do jiného </w:t>
      </w:r>
      <w:r w:rsidR="00940DE4">
        <w:rPr>
          <w:lang w:eastAsia="sk-SK"/>
        </w:rPr>
        <w:t xml:space="preserve">nemocničního </w:t>
      </w:r>
      <w:r>
        <w:rPr>
          <w:lang w:eastAsia="sk-SK"/>
        </w:rPr>
        <w:t>zařízení, zatímco převoz do</w:t>
      </w:r>
      <w:r w:rsidR="001C6D36">
        <w:rPr>
          <w:lang w:eastAsia="sk-SK"/>
        </w:rPr>
        <w:t xml:space="preserve"> domácí či jiné formy péče</w:t>
      </w:r>
      <w:r>
        <w:rPr>
          <w:lang w:eastAsia="sk-SK"/>
        </w:rPr>
        <w:t xml:space="preserve"> sanitním vozem u nich byl méně častý. Pacienti ve věku 85</w:t>
      </w:r>
      <w:r w:rsidR="00EF2B9F">
        <w:rPr>
          <w:lang w:eastAsia="sk-SK"/>
        </w:rPr>
        <w:t>–</w:t>
      </w:r>
      <w:r>
        <w:rPr>
          <w:lang w:eastAsia="sk-SK"/>
        </w:rPr>
        <w:t xml:space="preserve">89 let i 90+ častěji využívali </w:t>
      </w:r>
      <w:r w:rsidR="00FA59C1">
        <w:rPr>
          <w:lang w:eastAsia="sk-SK"/>
        </w:rPr>
        <w:t xml:space="preserve">převoz </w:t>
      </w:r>
      <w:r>
        <w:rPr>
          <w:lang w:eastAsia="sk-SK"/>
        </w:rPr>
        <w:t>sanitní</w:t>
      </w:r>
      <w:r w:rsidR="00FA59C1">
        <w:rPr>
          <w:lang w:eastAsia="sk-SK"/>
        </w:rPr>
        <w:t>m v</w:t>
      </w:r>
      <w:r>
        <w:rPr>
          <w:lang w:eastAsia="sk-SK"/>
        </w:rPr>
        <w:t>oz</w:t>
      </w:r>
      <w:r w:rsidR="00FA59C1">
        <w:rPr>
          <w:lang w:eastAsia="sk-SK"/>
        </w:rPr>
        <w:t>em</w:t>
      </w:r>
      <w:r>
        <w:rPr>
          <w:lang w:eastAsia="sk-SK"/>
        </w:rPr>
        <w:t xml:space="preserve"> a méně často odcházeli </w:t>
      </w:r>
      <w:r w:rsidR="00145D45">
        <w:rPr>
          <w:lang w:eastAsia="sk-SK"/>
        </w:rPr>
        <w:t xml:space="preserve">do domácí či jiné formy péče </w:t>
      </w:r>
      <w:r>
        <w:rPr>
          <w:lang w:eastAsia="sk-SK"/>
        </w:rPr>
        <w:t>po vlastní ose. Nejstarší pacienti (90+) byli navíc častěji hospitalizováni na standardním oddělení a méně často odesíláni do jiného zdravotnického zařízení.</w:t>
      </w:r>
    </w:p>
    <w:p w14:paraId="1BC92527" w14:textId="3305A0D4" w:rsidR="00B0427B" w:rsidRDefault="00B0427B" w:rsidP="00F67658">
      <w:pPr>
        <w:pStyle w:val="Dalodstavce"/>
        <w:rPr>
          <w:lang w:eastAsia="sk-SK"/>
        </w:rPr>
      </w:pPr>
      <w:r>
        <w:rPr>
          <w:lang w:eastAsia="sk-SK"/>
        </w:rPr>
        <w:t xml:space="preserve">Faktor využití observačního lůžka byl spojen s častější hospitalizací, převozem sanitkou či překladem do jiného </w:t>
      </w:r>
      <w:r w:rsidR="000F5441">
        <w:rPr>
          <w:lang w:eastAsia="sk-SK"/>
        </w:rPr>
        <w:t xml:space="preserve">nemocničního </w:t>
      </w:r>
      <w:r>
        <w:rPr>
          <w:lang w:eastAsia="sk-SK"/>
        </w:rPr>
        <w:t>zařízení, zatímco pacienti, kteří observační lůžko nevy</w:t>
      </w:r>
      <w:r w:rsidR="000F5441">
        <w:rPr>
          <w:lang w:eastAsia="sk-SK"/>
        </w:rPr>
        <w:t>žadoval</w:t>
      </w:r>
      <w:r>
        <w:rPr>
          <w:lang w:eastAsia="sk-SK"/>
        </w:rPr>
        <w:t xml:space="preserve">i, odcházeli častěji </w:t>
      </w:r>
      <w:r w:rsidR="00A021E5">
        <w:rPr>
          <w:lang w:eastAsia="sk-SK"/>
        </w:rPr>
        <w:t xml:space="preserve">domů či do jiné formy péče </w:t>
      </w:r>
      <w:r>
        <w:rPr>
          <w:lang w:eastAsia="sk-SK"/>
        </w:rPr>
        <w:t xml:space="preserve">po vlastní ose. Podobný trend byl zaznamenán u pacientů, kteří podstoupili zobrazovací vyšetření – </w:t>
      </w:r>
      <w:r w:rsidR="008A733C">
        <w:rPr>
          <w:lang w:eastAsia="sk-SK"/>
        </w:rPr>
        <w:t>– </w:t>
      </w:r>
      <w:r>
        <w:rPr>
          <w:lang w:eastAsia="sk-SK"/>
        </w:rPr>
        <w:t xml:space="preserve">ti byli častěji hospitalizováni nebo předáni </w:t>
      </w:r>
      <w:r w:rsidR="00E86933">
        <w:rPr>
          <w:lang w:eastAsia="sk-SK"/>
        </w:rPr>
        <w:t>do jiného nemocničního zařízení</w:t>
      </w:r>
      <w:r>
        <w:rPr>
          <w:lang w:eastAsia="sk-SK"/>
        </w:rPr>
        <w:t xml:space="preserve"> a méně často propuštěni do</w:t>
      </w:r>
      <w:r w:rsidR="00E86933">
        <w:rPr>
          <w:lang w:eastAsia="sk-SK"/>
        </w:rPr>
        <w:t xml:space="preserve"> domácí či jiné formy péče</w:t>
      </w:r>
      <w:r>
        <w:rPr>
          <w:lang w:eastAsia="sk-SK"/>
        </w:rPr>
        <w:t xml:space="preserve"> po vlastní ose. Rovněž pacienti, kteří vyžadovali konzilium specialisty, byli častěji hospitalizováni a méně často propuštěni do</w:t>
      </w:r>
      <w:r w:rsidR="00E86933">
        <w:rPr>
          <w:lang w:eastAsia="sk-SK"/>
        </w:rPr>
        <w:t xml:space="preserve"> domácí či jiné formy péče</w:t>
      </w:r>
      <w:r>
        <w:rPr>
          <w:lang w:eastAsia="sk-SK"/>
        </w:rPr>
        <w:t xml:space="preserve"> </w:t>
      </w:r>
      <w:r w:rsidR="002C565B">
        <w:rPr>
          <w:lang w:eastAsia="sk-SK"/>
        </w:rPr>
        <w:t>nebo</w:t>
      </w:r>
      <w:r>
        <w:rPr>
          <w:lang w:eastAsia="sk-SK"/>
        </w:rPr>
        <w:t xml:space="preserve"> přeloženi </w:t>
      </w:r>
      <w:r w:rsidR="002C565B">
        <w:rPr>
          <w:lang w:eastAsia="sk-SK"/>
        </w:rPr>
        <w:t>do jiného nemocničního zařízení</w:t>
      </w:r>
      <w:r>
        <w:rPr>
          <w:lang w:eastAsia="sk-SK"/>
        </w:rPr>
        <w:t>.</w:t>
      </w:r>
    </w:p>
    <w:p w14:paraId="0EA31838" w14:textId="07FC0EF0" w:rsidR="00B0427B" w:rsidRDefault="00B0427B" w:rsidP="00B0427B">
      <w:pPr>
        <w:pStyle w:val="Dalodstavce"/>
        <w:rPr>
          <w:lang w:eastAsia="sk-SK"/>
        </w:rPr>
      </w:pPr>
      <w:r>
        <w:rPr>
          <w:lang w:eastAsia="sk-SK"/>
        </w:rPr>
        <w:t>Významným faktorem ovlivňujícím způsob ukončení ošetření byl také způsob dopravy pacienta na NUP FN Brno. Pacienti přivezení</w:t>
      </w:r>
      <w:r w:rsidR="005F065D">
        <w:rPr>
          <w:lang w:eastAsia="sk-SK"/>
        </w:rPr>
        <w:t xml:space="preserve"> </w:t>
      </w:r>
      <w:r>
        <w:rPr>
          <w:lang w:eastAsia="sk-SK"/>
        </w:rPr>
        <w:t xml:space="preserve">ZZS byli častěji hospitalizováni na intenzivním lůžku nebo přeloženi do jiného </w:t>
      </w:r>
      <w:r w:rsidR="00EE51C6">
        <w:rPr>
          <w:lang w:eastAsia="sk-SK"/>
        </w:rPr>
        <w:t>nemocničního</w:t>
      </w:r>
      <w:r>
        <w:rPr>
          <w:lang w:eastAsia="sk-SK"/>
        </w:rPr>
        <w:t xml:space="preserve"> zařízení, zatímco pacienti, </w:t>
      </w:r>
      <w:r>
        <w:rPr>
          <w:lang w:eastAsia="sk-SK"/>
        </w:rPr>
        <w:lastRenderedPageBreak/>
        <w:t>kteří přišli sami nebo s</w:t>
      </w:r>
      <w:r w:rsidR="005F065D">
        <w:rPr>
          <w:lang w:eastAsia="sk-SK"/>
        </w:rPr>
        <w:t> </w:t>
      </w:r>
      <w:r>
        <w:rPr>
          <w:lang w:eastAsia="sk-SK"/>
        </w:rPr>
        <w:t>doprovodem</w:t>
      </w:r>
      <w:r w:rsidR="005F065D">
        <w:rPr>
          <w:lang w:eastAsia="sk-SK"/>
        </w:rPr>
        <w:t xml:space="preserve"> blízké osoby</w:t>
      </w:r>
      <w:r>
        <w:rPr>
          <w:lang w:eastAsia="sk-SK"/>
        </w:rPr>
        <w:t>, byli častěji propuštěni do</w:t>
      </w:r>
      <w:r w:rsidR="00400FB2">
        <w:rPr>
          <w:lang w:eastAsia="sk-SK"/>
        </w:rPr>
        <w:t xml:space="preserve"> domácí či jiné formy péče</w:t>
      </w:r>
      <w:r>
        <w:rPr>
          <w:lang w:eastAsia="sk-SK"/>
        </w:rPr>
        <w:t xml:space="preserve"> po vlastní ose. Pacienti transportovaní</w:t>
      </w:r>
      <w:r w:rsidR="005F065D">
        <w:rPr>
          <w:lang w:eastAsia="sk-SK"/>
        </w:rPr>
        <w:t xml:space="preserve"> </w:t>
      </w:r>
      <w:r>
        <w:rPr>
          <w:lang w:eastAsia="sk-SK"/>
        </w:rPr>
        <w:t xml:space="preserve">ZDS byli nejčastěji hospitalizováni na standardním oddělení, méně často však končili na intenzivním lůžku nebo byli propuštěni do domácí </w:t>
      </w:r>
      <w:r w:rsidR="00400FB2">
        <w:rPr>
          <w:lang w:eastAsia="sk-SK"/>
        </w:rPr>
        <w:t xml:space="preserve">či jiné formy </w:t>
      </w:r>
      <w:r>
        <w:rPr>
          <w:lang w:eastAsia="sk-SK"/>
        </w:rPr>
        <w:t>péče.</w:t>
      </w:r>
    </w:p>
    <w:p w14:paraId="2D8D9A39" w14:textId="5FDBF4D5" w:rsidR="00C202FC" w:rsidRDefault="00B0427B" w:rsidP="00C948F5">
      <w:pPr>
        <w:pStyle w:val="Dalodstavce"/>
        <w:rPr>
          <w:lang w:eastAsia="sk-SK"/>
        </w:rPr>
      </w:pPr>
      <w:r>
        <w:rPr>
          <w:lang w:eastAsia="sk-SK"/>
        </w:rPr>
        <w:t xml:space="preserve">Z důvodu nemožnosti použití chí-kvadrátu při analýze vztahu mezi typem ambulance a způsobem ukončení ošetření byla provedena alternativní kategorizace pacientů. Výsledky ukázaly, že pacienti z neurologické ambulance byli častěji propuštěni do domácí péče, zatímco pacienti z interní ambulance byli častěji hospitalizováni na standardním oddělení. Na intenzivním lůžku končili častěji pacienti neurologické ambulance, zatímco ti, kteří byli vyšetřeni jak internistou, tak neurologem, byli častěji přeloženi do jiného </w:t>
      </w:r>
      <w:r w:rsidR="0053631C">
        <w:rPr>
          <w:lang w:eastAsia="sk-SK"/>
        </w:rPr>
        <w:t>nemocničního</w:t>
      </w:r>
      <w:r>
        <w:rPr>
          <w:lang w:eastAsia="sk-SK"/>
        </w:rPr>
        <w:t xml:space="preserve"> zařízení.</w:t>
      </w:r>
    </w:p>
    <w:p w14:paraId="2310C25E" w14:textId="77777777" w:rsidR="00D316D2" w:rsidRDefault="00D316D2" w:rsidP="005655C6">
      <w:pPr>
        <w:pStyle w:val="Dalodstavce"/>
        <w:ind w:firstLine="0"/>
        <w:rPr>
          <w:lang w:eastAsia="sk-SK"/>
        </w:rPr>
      </w:pPr>
    </w:p>
    <w:p w14:paraId="5B946410" w14:textId="77777777" w:rsidR="00B0427B" w:rsidRDefault="00B0427B" w:rsidP="005655C6">
      <w:pPr>
        <w:pStyle w:val="Dalodstavce"/>
        <w:ind w:firstLine="0"/>
        <w:rPr>
          <w:lang w:eastAsia="sk-SK"/>
        </w:rPr>
        <w:sectPr w:rsidR="00B0427B" w:rsidSect="001C5D57">
          <w:pgSz w:w="11906" w:h="16838" w:code="9"/>
          <w:pgMar w:top="1980" w:right="1140" w:bottom="2380" w:left="1140" w:header="1140" w:footer="1420" w:gutter="860"/>
          <w:cols w:space="708"/>
          <w:docGrid w:linePitch="360"/>
        </w:sectPr>
      </w:pPr>
    </w:p>
    <w:p w14:paraId="1402591D" w14:textId="545839B1" w:rsidR="007304EA" w:rsidRDefault="00D316D2" w:rsidP="0080364F">
      <w:pPr>
        <w:pStyle w:val="Titulektabulky"/>
      </w:pPr>
      <w:bookmarkStart w:id="56" w:name="_Toc195517146"/>
      <w:r>
        <w:lastRenderedPageBreak/>
        <w:t xml:space="preserve">Tab. </w:t>
      </w:r>
      <w:fldSimple w:instr=" SEQ Tab. \* ARABIC ">
        <w:r w:rsidR="009B7DCB" w:rsidRPr="003656E6">
          <w:rPr>
            <w:noProof/>
          </w:rPr>
          <w:t>21</w:t>
        </w:r>
      </w:fldSimple>
      <w:r w:rsidRPr="003656E6">
        <w:t xml:space="preserve">: </w:t>
      </w:r>
      <w:r w:rsidR="00E261D3" w:rsidRPr="003656E6">
        <w:t>Faktory predikující způsob ukončení ošetření na NUP FN Brno u pacientů ve věku 75 a více let – rok 2023 (řádková %; N=552)</w:t>
      </w:r>
      <w:bookmarkEnd w:id="56"/>
    </w:p>
    <w:tbl>
      <w:tblPr>
        <w:tblW w:w="12550" w:type="dxa"/>
        <w:tblLayout w:type="fixed"/>
        <w:tblCellMar>
          <w:left w:w="70" w:type="dxa"/>
          <w:right w:w="70" w:type="dxa"/>
        </w:tblCellMar>
        <w:tblLook w:val="04A0" w:firstRow="1" w:lastRow="0" w:firstColumn="1" w:lastColumn="0" w:noHBand="0" w:noVBand="1"/>
      </w:tblPr>
      <w:tblGrid>
        <w:gridCol w:w="1271"/>
        <w:gridCol w:w="1418"/>
        <w:gridCol w:w="1417"/>
        <w:gridCol w:w="1559"/>
        <w:gridCol w:w="1560"/>
        <w:gridCol w:w="1559"/>
        <w:gridCol w:w="1417"/>
        <w:gridCol w:w="993"/>
        <w:gridCol w:w="1356"/>
      </w:tblGrid>
      <w:tr w:rsidR="00CB6977" w:rsidRPr="00177205" w14:paraId="7539C864" w14:textId="77777777" w:rsidTr="006E31A5">
        <w:trPr>
          <w:trHeight w:val="975"/>
          <w:tblHeader/>
        </w:trPr>
        <w:tc>
          <w:tcPr>
            <w:tcW w:w="1271"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57423971" w14:textId="77777777" w:rsidR="00F32DEC" w:rsidRPr="00F32DEC" w:rsidRDefault="00F32DEC" w:rsidP="00F32DEC">
            <w:pPr>
              <w:jc w:val="center"/>
              <w:rPr>
                <w:rFonts w:ascii="Arial" w:hAnsi="Arial" w:cs="Arial"/>
                <w:b/>
                <w:bCs/>
                <w:color w:val="000000"/>
                <w:sz w:val="22"/>
                <w:szCs w:val="22"/>
              </w:rPr>
            </w:pPr>
            <w:r w:rsidRPr="00F32DEC">
              <w:rPr>
                <w:rFonts w:ascii="Arial" w:hAnsi="Arial" w:cs="Arial"/>
                <w:b/>
                <w:bCs/>
                <w:color w:val="000000"/>
                <w:sz w:val="22"/>
                <w:szCs w:val="22"/>
              </w:rPr>
              <w:t>Proměnná</w:t>
            </w:r>
          </w:p>
        </w:tc>
        <w:tc>
          <w:tcPr>
            <w:tcW w:w="1418" w:type="dxa"/>
            <w:tcBorders>
              <w:top w:val="single" w:sz="4" w:space="0" w:color="auto"/>
              <w:left w:val="nil"/>
              <w:bottom w:val="single" w:sz="4" w:space="0" w:color="auto"/>
              <w:right w:val="single" w:sz="4" w:space="0" w:color="auto"/>
            </w:tcBorders>
            <w:shd w:val="clear" w:color="000000" w:fill="DDEBF7"/>
            <w:vAlign w:val="center"/>
            <w:hideMark/>
          </w:tcPr>
          <w:p w14:paraId="22A284C9" w14:textId="77777777" w:rsidR="00F32DEC" w:rsidRPr="00F32DEC" w:rsidRDefault="00F32DEC" w:rsidP="00F32DEC">
            <w:pPr>
              <w:jc w:val="center"/>
              <w:rPr>
                <w:rFonts w:ascii="Arial" w:hAnsi="Arial" w:cs="Arial"/>
                <w:b/>
                <w:bCs/>
                <w:color w:val="000000"/>
                <w:sz w:val="22"/>
                <w:szCs w:val="22"/>
              </w:rPr>
            </w:pPr>
            <w:r w:rsidRPr="00F32DEC">
              <w:rPr>
                <w:rFonts w:ascii="Arial" w:hAnsi="Arial" w:cs="Arial"/>
                <w:b/>
                <w:bCs/>
                <w:color w:val="000000"/>
                <w:sz w:val="22"/>
                <w:szCs w:val="22"/>
              </w:rPr>
              <w:t>Výsledek</w:t>
            </w:r>
          </w:p>
        </w:tc>
        <w:tc>
          <w:tcPr>
            <w:tcW w:w="1417" w:type="dxa"/>
            <w:tcBorders>
              <w:top w:val="single" w:sz="4" w:space="0" w:color="auto"/>
              <w:left w:val="nil"/>
              <w:bottom w:val="single" w:sz="4" w:space="0" w:color="auto"/>
              <w:right w:val="single" w:sz="4" w:space="0" w:color="000000"/>
            </w:tcBorders>
            <w:shd w:val="clear" w:color="000000" w:fill="DDEBF7"/>
            <w:vAlign w:val="center"/>
            <w:hideMark/>
          </w:tcPr>
          <w:p w14:paraId="62BA83F1" w14:textId="77777777" w:rsidR="00EA716E" w:rsidRPr="008B732F" w:rsidRDefault="00F32DEC" w:rsidP="00F32DEC">
            <w:pPr>
              <w:jc w:val="center"/>
              <w:rPr>
                <w:rFonts w:ascii="Arial" w:hAnsi="Arial" w:cs="Arial"/>
                <w:b/>
                <w:bCs/>
                <w:sz w:val="22"/>
                <w:szCs w:val="22"/>
              </w:rPr>
            </w:pPr>
            <w:r w:rsidRPr="00F32DEC">
              <w:rPr>
                <w:rFonts w:ascii="Arial" w:hAnsi="Arial" w:cs="Arial"/>
                <w:b/>
                <w:bCs/>
                <w:sz w:val="22"/>
                <w:szCs w:val="22"/>
              </w:rPr>
              <w:t xml:space="preserve">Domácí či jiná forma péče </w:t>
            </w:r>
          </w:p>
          <w:p w14:paraId="4FCCD99A" w14:textId="70A41B5C" w:rsidR="00F32DEC" w:rsidRPr="00F32DEC" w:rsidRDefault="00F32DEC" w:rsidP="00F32DEC">
            <w:pPr>
              <w:jc w:val="center"/>
              <w:rPr>
                <w:rFonts w:ascii="Arial" w:hAnsi="Arial" w:cs="Arial"/>
                <w:b/>
                <w:bCs/>
                <w:sz w:val="22"/>
                <w:szCs w:val="22"/>
              </w:rPr>
            </w:pPr>
            <w:r w:rsidRPr="00F32DEC">
              <w:rPr>
                <w:rFonts w:ascii="Arial" w:hAnsi="Arial" w:cs="Arial"/>
                <w:b/>
                <w:bCs/>
                <w:sz w:val="22"/>
                <w:szCs w:val="22"/>
              </w:rPr>
              <w:t>(převoz po vlastní ose)</w:t>
            </w:r>
          </w:p>
        </w:tc>
        <w:tc>
          <w:tcPr>
            <w:tcW w:w="1559" w:type="dxa"/>
            <w:tcBorders>
              <w:top w:val="single" w:sz="4" w:space="0" w:color="auto"/>
              <w:left w:val="nil"/>
              <w:bottom w:val="single" w:sz="4" w:space="0" w:color="auto"/>
              <w:right w:val="single" w:sz="4" w:space="0" w:color="000000"/>
            </w:tcBorders>
            <w:shd w:val="clear" w:color="000000" w:fill="DDEBF7"/>
            <w:vAlign w:val="center"/>
            <w:hideMark/>
          </w:tcPr>
          <w:p w14:paraId="7083B883" w14:textId="77777777" w:rsidR="00B97D6D" w:rsidRDefault="00F32DEC" w:rsidP="009C1627">
            <w:pPr>
              <w:jc w:val="center"/>
              <w:rPr>
                <w:rFonts w:ascii="Arial" w:hAnsi="Arial" w:cs="Arial"/>
                <w:b/>
                <w:bCs/>
                <w:sz w:val="22"/>
                <w:szCs w:val="22"/>
              </w:rPr>
            </w:pPr>
            <w:r w:rsidRPr="00F32DEC">
              <w:rPr>
                <w:rFonts w:ascii="Arial" w:hAnsi="Arial" w:cs="Arial"/>
                <w:b/>
                <w:bCs/>
                <w:sz w:val="22"/>
                <w:szCs w:val="22"/>
              </w:rPr>
              <w:t>Domácí či jiná forma péče</w:t>
            </w:r>
          </w:p>
          <w:p w14:paraId="13372253" w14:textId="6059CFBF" w:rsidR="00B97D6D" w:rsidRDefault="009C1627" w:rsidP="009C1627">
            <w:pPr>
              <w:jc w:val="center"/>
              <w:rPr>
                <w:rFonts w:ascii="Arial" w:hAnsi="Arial" w:cs="Arial"/>
                <w:b/>
                <w:bCs/>
                <w:sz w:val="22"/>
                <w:szCs w:val="22"/>
              </w:rPr>
            </w:pPr>
            <w:r>
              <w:rPr>
                <w:rFonts w:ascii="Arial" w:hAnsi="Arial" w:cs="Arial"/>
                <w:b/>
                <w:bCs/>
                <w:sz w:val="22"/>
                <w:szCs w:val="22"/>
              </w:rPr>
              <w:t xml:space="preserve"> </w:t>
            </w:r>
            <w:r w:rsidR="00F32DEC" w:rsidRPr="00F32DEC">
              <w:rPr>
                <w:rFonts w:ascii="Arial" w:hAnsi="Arial" w:cs="Arial"/>
                <w:b/>
                <w:bCs/>
                <w:sz w:val="22"/>
                <w:szCs w:val="22"/>
              </w:rPr>
              <w:t>(převoz</w:t>
            </w:r>
            <w:r>
              <w:rPr>
                <w:rFonts w:ascii="Arial" w:hAnsi="Arial" w:cs="Arial"/>
                <w:b/>
                <w:bCs/>
                <w:sz w:val="22"/>
                <w:szCs w:val="22"/>
              </w:rPr>
              <w:t xml:space="preserve"> </w:t>
            </w:r>
          </w:p>
          <w:p w14:paraId="5B0ACAEB" w14:textId="71598B05" w:rsidR="00080FEA" w:rsidRDefault="00F32DEC" w:rsidP="009C1627">
            <w:pPr>
              <w:jc w:val="center"/>
              <w:rPr>
                <w:rFonts w:ascii="Arial" w:hAnsi="Arial" w:cs="Arial"/>
                <w:b/>
                <w:bCs/>
                <w:sz w:val="22"/>
                <w:szCs w:val="22"/>
              </w:rPr>
            </w:pPr>
            <w:r w:rsidRPr="00F32DEC">
              <w:rPr>
                <w:rFonts w:ascii="Arial" w:hAnsi="Arial" w:cs="Arial"/>
                <w:b/>
                <w:bCs/>
                <w:sz w:val="22"/>
                <w:szCs w:val="22"/>
              </w:rPr>
              <w:t>sanitním</w:t>
            </w:r>
          </w:p>
          <w:p w14:paraId="00C4C6D6" w14:textId="31851F34" w:rsidR="00F32DEC" w:rsidRPr="00F32DEC" w:rsidRDefault="00F32DEC" w:rsidP="00F32DEC">
            <w:pPr>
              <w:jc w:val="center"/>
              <w:rPr>
                <w:rFonts w:ascii="Arial" w:hAnsi="Arial" w:cs="Arial"/>
                <w:b/>
                <w:bCs/>
                <w:sz w:val="22"/>
                <w:szCs w:val="22"/>
              </w:rPr>
            </w:pPr>
            <w:r w:rsidRPr="00F32DEC">
              <w:rPr>
                <w:rFonts w:ascii="Arial" w:hAnsi="Arial" w:cs="Arial"/>
                <w:b/>
                <w:bCs/>
                <w:sz w:val="22"/>
                <w:szCs w:val="22"/>
              </w:rPr>
              <w:t>vozem)</w:t>
            </w:r>
          </w:p>
        </w:tc>
        <w:tc>
          <w:tcPr>
            <w:tcW w:w="1560" w:type="dxa"/>
            <w:tcBorders>
              <w:top w:val="single" w:sz="4" w:space="0" w:color="auto"/>
              <w:left w:val="nil"/>
              <w:bottom w:val="single" w:sz="4" w:space="0" w:color="auto"/>
              <w:right w:val="single" w:sz="4" w:space="0" w:color="000000"/>
            </w:tcBorders>
            <w:shd w:val="clear" w:color="000000" w:fill="DDEBF7"/>
            <w:vAlign w:val="center"/>
            <w:hideMark/>
          </w:tcPr>
          <w:p w14:paraId="1EE4E64D" w14:textId="77777777" w:rsidR="006E178E" w:rsidRPr="008B732F" w:rsidRDefault="00F32DEC" w:rsidP="00F32DEC">
            <w:pPr>
              <w:jc w:val="center"/>
              <w:rPr>
                <w:rFonts w:ascii="Arial" w:hAnsi="Arial" w:cs="Arial"/>
                <w:b/>
                <w:bCs/>
                <w:sz w:val="22"/>
                <w:szCs w:val="22"/>
              </w:rPr>
            </w:pPr>
            <w:r w:rsidRPr="00F32DEC">
              <w:rPr>
                <w:rFonts w:ascii="Arial" w:hAnsi="Arial" w:cs="Arial"/>
                <w:b/>
                <w:bCs/>
                <w:sz w:val="22"/>
                <w:szCs w:val="22"/>
              </w:rPr>
              <w:t>Hospitalizace</w:t>
            </w:r>
          </w:p>
          <w:p w14:paraId="180CA3B6" w14:textId="311572E1" w:rsidR="00F32DEC" w:rsidRPr="00F32DEC" w:rsidRDefault="00F32DEC" w:rsidP="00F32DEC">
            <w:pPr>
              <w:jc w:val="center"/>
              <w:rPr>
                <w:rFonts w:ascii="Arial" w:hAnsi="Arial" w:cs="Arial"/>
                <w:b/>
                <w:bCs/>
                <w:sz w:val="22"/>
                <w:szCs w:val="22"/>
              </w:rPr>
            </w:pPr>
            <w:r w:rsidRPr="00F32DEC">
              <w:rPr>
                <w:rFonts w:ascii="Arial" w:hAnsi="Arial" w:cs="Arial"/>
                <w:b/>
                <w:bCs/>
                <w:sz w:val="22"/>
                <w:szCs w:val="22"/>
              </w:rPr>
              <w:t>standardní lůžko</w:t>
            </w:r>
          </w:p>
        </w:tc>
        <w:tc>
          <w:tcPr>
            <w:tcW w:w="1559" w:type="dxa"/>
            <w:tcBorders>
              <w:top w:val="single" w:sz="4" w:space="0" w:color="auto"/>
              <w:left w:val="nil"/>
              <w:bottom w:val="single" w:sz="4" w:space="0" w:color="auto"/>
              <w:right w:val="single" w:sz="4" w:space="0" w:color="000000"/>
            </w:tcBorders>
            <w:shd w:val="clear" w:color="000000" w:fill="DDEBF7"/>
            <w:vAlign w:val="center"/>
            <w:hideMark/>
          </w:tcPr>
          <w:p w14:paraId="094C52A8" w14:textId="77777777" w:rsidR="006E178E" w:rsidRPr="008B732F" w:rsidRDefault="00F32DEC" w:rsidP="00F32DEC">
            <w:pPr>
              <w:jc w:val="center"/>
              <w:rPr>
                <w:rFonts w:ascii="Arial" w:hAnsi="Arial" w:cs="Arial"/>
                <w:b/>
                <w:bCs/>
                <w:sz w:val="22"/>
                <w:szCs w:val="22"/>
              </w:rPr>
            </w:pPr>
            <w:r w:rsidRPr="00F32DEC">
              <w:rPr>
                <w:rFonts w:ascii="Arial" w:hAnsi="Arial" w:cs="Arial"/>
                <w:b/>
                <w:bCs/>
                <w:sz w:val="22"/>
                <w:szCs w:val="22"/>
              </w:rPr>
              <w:t>Hospitalizace</w:t>
            </w:r>
          </w:p>
          <w:p w14:paraId="37F137CA" w14:textId="27E14CCE" w:rsidR="00F32DEC" w:rsidRPr="00F32DEC" w:rsidRDefault="00F32DEC" w:rsidP="00F32DEC">
            <w:pPr>
              <w:jc w:val="center"/>
              <w:rPr>
                <w:rFonts w:ascii="Arial" w:hAnsi="Arial" w:cs="Arial"/>
                <w:b/>
                <w:bCs/>
                <w:sz w:val="22"/>
                <w:szCs w:val="22"/>
              </w:rPr>
            </w:pPr>
            <w:r w:rsidRPr="00F32DEC">
              <w:rPr>
                <w:rFonts w:ascii="Arial" w:hAnsi="Arial" w:cs="Arial"/>
                <w:b/>
                <w:bCs/>
                <w:sz w:val="22"/>
                <w:szCs w:val="22"/>
              </w:rPr>
              <w:t>intenzivní lůžko</w:t>
            </w:r>
          </w:p>
        </w:tc>
        <w:tc>
          <w:tcPr>
            <w:tcW w:w="1417" w:type="dxa"/>
            <w:tcBorders>
              <w:top w:val="single" w:sz="4" w:space="0" w:color="auto"/>
              <w:left w:val="nil"/>
              <w:bottom w:val="single" w:sz="4" w:space="0" w:color="auto"/>
              <w:right w:val="single" w:sz="4" w:space="0" w:color="000000"/>
            </w:tcBorders>
            <w:shd w:val="clear" w:color="000000" w:fill="DDEBF7"/>
            <w:vAlign w:val="center"/>
            <w:hideMark/>
          </w:tcPr>
          <w:p w14:paraId="3F311112" w14:textId="77777777" w:rsidR="006E178E" w:rsidRPr="008B732F" w:rsidRDefault="00F32DEC" w:rsidP="006E178E">
            <w:pPr>
              <w:jc w:val="center"/>
              <w:rPr>
                <w:rFonts w:ascii="Arial" w:hAnsi="Arial" w:cs="Arial"/>
                <w:b/>
                <w:bCs/>
                <w:sz w:val="22"/>
                <w:szCs w:val="22"/>
              </w:rPr>
            </w:pPr>
            <w:r w:rsidRPr="00F32DEC">
              <w:rPr>
                <w:rFonts w:ascii="Arial" w:hAnsi="Arial" w:cs="Arial"/>
                <w:b/>
                <w:bCs/>
                <w:sz w:val="22"/>
                <w:szCs w:val="22"/>
              </w:rPr>
              <w:t>Jiné</w:t>
            </w:r>
          </w:p>
          <w:p w14:paraId="00EAE069" w14:textId="69833A36" w:rsidR="006E178E" w:rsidRPr="008B732F" w:rsidRDefault="003806BF" w:rsidP="006E178E">
            <w:pPr>
              <w:jc w:val="center"/>
              <w:rPr>
                <w:rFonts w:ascii="Arial" w:hAnsi="Arial" w:cs="Arial"/>
                <w:b/>
                <w:bCs/>
                <w:sz w:val="22"/>
                <w:szCs w:val="22"/>
              </w:rPr>
            </w:pPr>
            <w:r>
              <w:rPr>
                <w:rFonts w:ascii="Arial" w:hAnsi="Arial" w:cs="Arial"/>
                <w:b/>
                <w:bCs/>
                <w:sz w:val="22"/>
                <w:szCs w:val="22"/>
              </w:rPr>
              <w:t>n</w:t>
            </w:r>
            <w:r w:rsidR="00F32DEC" w:rsidRPr="00F32DEC">
              <w:rPr>
                <w:rFonts w:ascii="Arial" w:hAnsi="Arial" w:cs="Arial"/>
                <w:b/>
                <w:bCs/>
                <w:sz w:val="22"/>
                <w:szCs w:val="22"/>
              </w:rPr>
              <w:t>emocniční</w:t>
            </w:r>
          </w:p>
          <w:p w14:paraId="3BF607FA" w14:textId="1FF7CFC8" w:rsidR="00F32DEC" w:rsidRPr="00F32DEC" w:rsidRDefault="00F32DEC" w:rsidP="006E178E">
            <w:pPr>
              <w:jc w:val="center"/>
              <w:rPr>
                <w:rFonts w:ascii="Arial" w:hAnsi="Arial" w:cs="Arial"/>
                <w:b/>
                <w:bCs/>
                <w:sz w:val="22"/>
                <w:szCs w:val="22"/>
              </w:rPr>
            </w:pPr>
            <w:r w:rsidRPr="00F32DEC">
              <w:rPr>
                <w:rFonts w:ascii="Arial" w:hAnsi="Arial" w:cs="Arial"/>
                <w:b/>
                <w:bCs/>
                <w:sz w:val="22"/>
                <w:szCs w:val="22"/>
              </w:rPr>
              <w:t>zařízení</w:t>
            </w:r>
          </w:p>
        </w:tc>
        <w:tc>
          <w:tcPr>
            <w:tcW w:w="993" w:type="dxa"/>
            <w:tcBorders>
              <w:top w:val="single" w:sz="4" w:space="0" w:color="auto"/>
              <w:left w:val="nil"/>
              <w:bottom w:val="single" w:sz="4" w:space="0" w:color="auto"/>
              <w:right w:val="single" w:sz="4" w:space="0" w:color="000000"/>
            </w:tcBorders>
            <w:shd w:val="clear" w:color="000000" w:fill="DDEBF7"/>
            <w:vAlign w:val="center"/>
            <w:hideMark/>
          </w:tcPr>
          <w:p w14:paraId="689CDDD5" w14:textId="77777777" w:rsidR="00F32DEC" w:rsidRPr="00F32DEC" w:rsidRDefault="00F32DEC" w:rsidP="00F32DEC">
            <w:pPr>
              <w:jc w:val="center"/>
              <w:rPr>
                <w:rFonts w:ascii="Arial" w:hAnsi="Arial" w:cs="Arial"/>
                <w:b/>
                <w:bCs/>
                <w:sz w:val="22"/>
                <w:szCs w:val="22"/>
              </w:rPr>
            </w:pPr>
            <w:r w:rsidRPr="00F32DEC">
              <w:rPr>
                <w:rFonts w:ascii="Arial" w:hAnsi="Arial" w:cs="Arial"/>
                <w:b/>
                <w:bCs/>
                <w:sz w:val="22"/>
                <w:szCs w:val="22"/>
              </w:rPr>
              <w:t>Celkem</w:t>
            </w:r>
          </w:p>
        </w:tc>
        <w:tc>
          <w:tcPr>
            <w:tcW w:w="1356" w:type="dxa"/>
            <w:tcBorders>
              <w:top w:val="single" w:sz="4" w:space="0" w:color="auto"/>
              <w:left w:val="nil"/>
              <w:bottom w:val="single" w:sz="4" w:space="0" w:color="auto"/>
              <w:right w:val="single" w:sz="4" w:space="0" w:color="auto"/>
            </w:tcBorders>
            <w:shd w:val="clear" w:color="000000" w:fill="DDEBF7"/>
            <w:vAlign w:val="center"/>
            <w:hideMark/>
          </w:tcPr>
          <w:p w14:paraId="64F71050" w14:textId="53D4C645" w:rsidR="00F32DEC" w:rsidRPr="00F32DEC" w:rsidRDefault="00750C22" w:rsidP="00F32DEC">
            <w:pPr>
              <w:jc w:val="center"/>
              <w:rPr>
                <w:rFonts w:ascii="Arial" w:hAnsi="Arial" w:cs="Arial"/>
                <w:b/>
                <w:bCs/>
                <w:color w:val="000000"/>
                <w:sz w:val="22"/>
                <w:szCs w:val="22"/>
              </w:rPr>
            </w:pPr>
            <w:r>
              <w:rPr>
                <w:rFonts w:ascii="Arial" w:hAnsi="Arial" w:cs="Arial"/>
                <w:b/>
                <w:bCs/>
                <w:color w:val="000000"/>
                <w:sz w:val="22"/>
                <w:szCs w:val="22"/>
              </w:rPr>
              <w:t>p</w:t>
            </w:r>
            <w:r w:rsidR="00F32DEC" w:rsidRPr="00F32DEC">
              <w:rPr>
                <w:rFonts w:ascii="Arial" w:hAnsi="Arial" w:cs="Arial"/>
                <w:b/>
                <w:bCs/>
                <w:color w:val="000000"/>
                <w:sz w:val="22"/>
                <w:szCs w:val="22"/>
              </w:rPr>
              <w:t>-hodnota</w:t>
            </w:r>
          </w:p>
        </w:tc>
      </w:tr>
      <w:tr w:rsidR="00CB6977" w:rsidRPr="00177205" w14:paraId="6429601E" w14:textId="77777777" w:rsidTr="006E31A5">
        <w:trPr>
          <w:trHeight w:val="437"/>
        </w:trPr>
        <w:tc>
          <w:tcPr>
            <w:tcW w:w="1271" w:type="dxa"/>
            <w:vMerge w:val="restart"/>
            <w:tcBorders>
              <w:top w:val="nil"/>
              <w:left w:val="single" w:sz="4" w:space="0" w:color="auto"/>
              <w:bottom w:val="single" w:sz="4" w:space="0" w:color="auto"/>
              <w:right w:val="single" w:sz="4" w:space="0" w:color="auto"/>
            </w:tcBorders>
            <w:shd w:val="clear" w:color="auto" w:fill="auto"/>
            <w:vAlign w:val="center"/>
            <w:hideMark/>
          </w:tcPr>
          <w:p w14:paraId="44C9A3C8" w14:textId="77777777" w:rsidR="005F75D6" w:rsidRPr="00F32DEC" w:rsidRDefault="005F75D6" w:rsidP="00F32DEC">
            <w:pPr>
              <w:jc w:val="center"/>
              <w:rPr>
                <w:rFonts w:ascii="Arial" w:hAnsi="Arial" w:cs="Arial"/>
                <w:color w:val="000000"/>
                <w:sz w:val="22"/>
                <w:szCs w:val="22"/>
              </w:rPr>
            </w:pPr>
            <w:r w:rsidRPr="00F32DEC">
              <w:rPr>
                <w:rFonts w:ascii="Arial" w:hAnsi="Arial" w:cs="Arial"/>
                <w:color w:val="000000"/>
                <w:sz w:val="22"/>
                <w:szCs w:val="22"/>
              </w:rPr>
              <w:t>Pohlaví</w:t>
            </w:r>
          </w:p>
        </w:tc>
        <w:tc>
          <w:tcPr>
            <w:tcW w:w="1418" w:type="dxa"/>
            <w:tcBorders>
              <w:top w:val="nil"/>
              <w:left w:val="nil"/>
              <w:bottom w:val="single" w:sz="4" w:space="0" w:color="auto"/>
              <w:right w:val="single" w:sz="4" w:space="0" w:color="auto"/>
            </w:tcBorders>
            <w:shd w:val="clear" w:color="auto" w:fill="auto"/>
            <w:vAlign w:val="center"/>
            <w:hideMark/>
          </w:tcPr>
          <w:p w14:paraId="069D0873" w14:textId="77777777" w:rsidR="005F75D6" w:rsidRPr="00F32DEC" w:rsidRDefault="005F75D6" w:rsidP="00F32DEC">
            <w:pPr>
              <w:jc w:val="center"/>
              <w:rPr>
                <w:rFonts w:ascii="Arial" w:hAnsi="Arial" w:cs="Arial"/>
                <w:color w:val="000000"/>
                <w:sz w:val="22"/>
                <w:szCs w:val="22"/>
              </w:rPr>
            </w:pPr>
            <w:r w:rsidRPr="00F32DEC">
              <w:rPr>
                <w:rFonts w:ascii="Arial" w:hAnsi="Arial" w:cs="Arial"/>
                <w:color w:val="000000"/>
                <w:sz w:val="22"/>
                <w:szCs w:val="22"/>
              </w:rPr>
              <w:t>Muž</w:t>
            </w:r>
          </w:p>
        </w:tc>
        <w:tc>
          <w:tcPr>
            <w:tcW w:w="1417" w:type="dxa"/>
            <w:tcBorders>
              <w:top w:val="single" w:sz="4" w:space="0" w:color="993366"/>
              <w:left w:val="nil"/>
              <w:bottom w:val="single" w:sz="4" w:space="0" w:color="333333"/>
              <w:right w:val="single" w:sz="4" w:space="0" w:color="333399"/>
            </w:tcBorders>
            <w:shd w:val="clear" w:color="000000" w:fill="FFFFFF"/>
            <w:noWrap/>
            <w:vAlign w:val="center"/>
            <w:hideMark/>
          </w:tcPr>
          <w:p w14:paraId="000AFA20" w14:textId="07DB5438" w:rsidR="005F75D6" w:rsidRPr="00F32DEC" w:rsidRDefault="005F75D6" w:rsidP="005F75D6">
            <w:pPr>
              <w:jc w:val="center"/>
              <w:rPr>
                <w:rFonts w:ascii="Arial" w:hAnsi="Arial" w:cs="Arial"/>
                <w:color w:val="000000"/>
                <w:sz w:val="22"/>
                <w:szCs w:val="22"/>
              </w:rPr>
            </w:pPr>
            <w:r w:rsidRPr="00F32DEC">
              <w:rPr>
                <w:rFonts w:ascii="Arial" w:hAnsi="Arial" w:cs="Arial"/>
                <w:color w:val="000000"/>
                <w:sz w:val="22"/>
                <w:szCs w:val="22"/>
              </w:rPr>
              <w:t>57</w:t>
            </w:r>
            <w:r w:rsidRPr="008B732F">
              <w:rPr>
                <w:rFonts w:ascii="Arial" w:hAnsi="Arial" w:cs="Arial"/>
                <w:color w:val="000000"/>
                <w:sz w:val="22"/>
                <w:szCs w:val="22"/>
              </w:rPr>
              <w:t xml:space="preserve"> (</w:t>
            </w:r>
            <w:r w:rsidRPr="00F32DEC">
              <w:rPr>
                <w:rFonts w:ascii="Arial" w:hAnsi="Arial" w:cs="Arial"/>
                <w:color w:val="000000"/>
                <w:sz w:val="22"/>
                <w:szCs w:val="22"/>
              </w:rPr>
              <w:t>34,3</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single" w:sz="4" w:space="0" w:color="993366"/>
              <w:left w:val="nil"/>
              <w:bottom w:val="single" w:sz="4" w:space="0" w:color="333333"/>
              <w:right w:val="single" w:sz="4" w:space="0" w:color="333399"/>
            </w:tcBorders>
            <w:shd w:val="clear" w:color="000000" w:fill="FFFFFF"/>
            <w:noWrap/>
            <w:vAlign w:val="center"/>
            <w:hideMark/>
          </w:tcPr>
          <w:p w14:paraId="4AED368C" w14:textId="77777777" w:rsidR="00B4479D" w:rsidRDefault="005F75D6" w:rsidP="005F75D6">
            <w:pPr>
              <w:jc w:val="center"/>
              <w:rPr>
                <w:rFonts w:ascii="Arial" w:hAnsi="Arial" w:cs="Arial"/>
                <w:color w:val="000000"/>
                <w:sz w:val="22"/>
                <w:szCs w:val="22"/>
              </w:rPr>
            </w:pPr>
            <w:r w:rsidRPr="00F32DEC">
              <w:rPr>
                <w:rFonts w:ascii="Arial" w:hAnsi="Arial" w:cs="Arial"/>
                <w:color w:val="000000"/>
                <w:sz w:val="22"/>
                <w:szCs w:val="22"/>
              </w:rPr>
              <w:t>23</w:t>
            </w:r>
          </w:p>
          <w:p w14:paraId="2FEF6138" w14:textId="3E011772" w:rsidR="005F75D6" w:rsidRPr="00F32DEC" w:rsidRDefault="005F75D6" w:rsidP="005F75D6">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29,5</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60" w:type="dxa"/>
            <w:tcBorders>
              <w:top w:val="single" w:sz="4" w:space="0" w:color="993366"/>
              <w:left w:val="nil"/>
              <w:bottom w:val="single" w:sz="4" w:space="0" w:color="333333"/>
              <w:right w:val="single" w:sz="4" w:space="0" w:color="333399"/>
            </w:tcBorders>
            <w:shd w:val="clear" w:color="000000" w:fill="FFFFFF"/>
            <w:noWrap/>
            <w:vAlign w:val="center"/>
            <w:hideMark/>
          </w:tcPr>
          <w:p w14:paraId="212098F7" w14:textId="77777777" w:rsidR="00B4479D" w:rsidRDefault="005F75D6" w:rsidP="005F75D6">
            <w:pPr>
              <w:jc w:val="center"/>
              <w:rPr>
                <w:rFonts w:ascii="Arial" w:hAnsi="Arial" w:cs="Arial"/>
                <w:color w:val="000000"/>
                <w:sz w:val="22"/>
                <w:szCs w:val="22"/>
              </w:rPr>
            </w:pPr>
            <w:r w:rsidRPr="00F32DEC">
              <w:rPr>
                <w:rFonts w:ascii="Arial" w:hAnsi="Arial" w:cs="Arial"/>
                <w:color w:val="000000"/>
                <w:sz w:val="22"/>
                <w:szCs w:val="22"/>
              </w:rPr>
              <w:t>90</w:t>
            </w:r>
          </w:p>
          <w:p w14:paraId="52C3CBF3" w14:textId="0A029BD3" w:rsidR="005F75D6" w:rsidRPr="00F32DEC" w:rsidRDefault="005F75D6" w:rsidP="005F75D6">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41,1</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single" w:sz="4" w:space="0" w:color="993366"/>
              <w:left w:val="nil"/>
              <w:bottom w:val="single" w:sz="4" w:space="0" w:color="333333"/>
              <w:right w:val="single" w:sz="4" w:space="0" w:color="333399"/>
            </w:tcBorders>
            <w:shd w:val="clear" w:color="000000" w:fill="FFFFFF"/>
            <w:noWrap/>
            <w:vAlign w:val="center"/>
            <w:hideMark/>
          </w:tcPr>
          <w:p w14:paraId="48245907" w14:textId="21FD8BD1" w:rsidR="005F75D6" w:rsidRPr="00F32DEC" w:rsidRDefault="005F75D6" w:rsidP="005F75D6">
            <w:pPr>
              <w:jc w:val="center"/>
              <w:rPr>
                <w:rFonts w:ascii="Arial" w:hAnsi="Arial" w:cs="Arial"/>
                <w:color w:val="000000"/>
                <w:sz w:val="22"/>
                <w:szCs w:val="22"/>
              </w:rPr>
            </w:pPr>
            <w:r w:rsidRPr="00F32DEC">
              <w:rPr>
                <w:rFonts w:ascii="Arial" w:hAnsi="Arial" w:cs="Arial"/>
                <w:color w:val="000000"/>
                <w:sz w:val="22"/>
                <w:szCs w:val="22"/>
              </w:rPr>
              <w:t>29</w:t>
            </w:r>
            <w:r w:rsidRPr="008B732F">
              <w:rPr>
                <w:rFonts w:ascii="Arial" w:hAnsi="Arial" w:cs="Arial"/>
                <w:color w:val="000000"/>
                <w:sz w:val="22"/>
                <w:szCs w:val="22"/>
              </w:rPr>
              <w:t xml:space="preserve"> (</w:t>
            </w:r>
            <w:r w:rsidRPr="00F32DEC">
              <w:rPr>
                <w:rFonts w:ascii="Arial" w:hAnsi="Arial" w:cs="Arial"/>
                <w:color w:val="000000"/>
                <w:sz w:val="22"/>
                <w:szCs w:val="22"/>
              </w:rPr>
              <w:t>46,0</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417" w:type="dxa"/>
            <w:tcBorders>
              <w:top w:val="single" w:sz="4" w:space="0" w:color="993366"/>
              <w:left w:val="nil"/>
              <w:bottom w:val="single" w:sz="4" w:space="0" w:color="333333"/>
              <w:right w:val="single" w:sz="4" w:space="0" w:color="333399"/>
            </w:tcBorders>
            <w:shd w:val="clear" w:color="000000" w:fill="FFFFFF"/>
            <w:noWrap/>
            <w:vAlign w:val="center"/>
            <w:hideMark/>
          </w:tcPr>
          <w:p w14:paraId="635C6FD0" w14:textId="646198DA" w:rsidR="005F75D6" w:rsidRPr="00F32DEC" w:rsidRDefault="005F75D6" w:rsidP="005F75D6">
            <w:pPr>
              <w:jc w:val="center"/>
              <w:rPr>
                <w:rFonts w:ascii="Arial" w:hAnsi="Arial" w:cs="Arial"/>
                <w:color w:val="000000"/>
                <w:sz w:val="22"/>
                <w:szCs w:val="22"/>
              </w:rPr>
            </w:pPr>
            <w:r w:rsidRPr="00F32DEC">
              <w:rPr>
                <w:rFonts w:ascii="Arial" w:hAnsi="Arial" w:cs="Arial"/>
                <w:color w:val="000000"/>
                <w:sz w:val="22"/>
                <w:szCs w:val="22"/>
              </w:rPr>
              <w:t>13</w:t>
            </w:r>
            <w:r w:rsidRPr="008B732F">
              <w:rPr>
                <w:rFonts w:ascii="Arial" w:hAnsi="Arial" w:cs="Arial"/>
                <w:color w:val="000000"/>
                <w:sz w:val="22"/>
                <w:szCs w:val="22"/>
              </w:rPr>
              <w:t xml:space="preserve"> (</w:t>
            </w:r>
            <w:r w:rsidRPr="00F32DEC">
              <w:rPr>
                <w:rFonts w:ascii="Arial" w:hAnsi="Arial" w:cs="Arial"/>
                <w:color w:val="000000"/>
                <w:sz w:val="22"/>
                <w:szCs w:val="22"/>
              </w:rPr>
              <w:t>50,0</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993" w:type="dxa"/>
            <w:tcBorders>
              <w:top w:val="single" w:sz="4" w:space="0" w:color="993366"/>
              <w:left w:val="nil"/>
              <w:bottom w:val="single" w:sz="4" w:space="0" w:color="333333"/>
              <w:right w:val="single" w:sz="4" w:space="0" w:color="333399"/>
            </w:tcBorders>
            <w:shd w:val="clear" w:color="000000" w:fill="FFFFFF"/>
            <w:noWrap/>
            <w:vAlign w:val="center"/>
            <w:hideMark/>
          </w:tcPr>
          <w:p w14:paraId="12E225E8" w14:textId="77777777" w:rsidR="00CB6977" w:rsidRDefault="005F75D6" w:rsidP="000031E3">
            <w:pPr>
              <w:jc w:val="center"/>
              <w:rPr>
                <w:rFonts w:ascii="Arial" w:hAnsi="Arial" w:cs="Arial"/>
                <w:color w:val="000000"/>
                <w:sz w:val="22"/>
                <w:szCs w:val="22"/>
              </w:rPr>
            </w:pPr>
            <w:r w:rsidRPr="00F32DEC">
              <w:rPr>
                <w:rFonts w:ascii="Arial" w:hAnsi="Arial" w:cs="Arial"/>
                <w:color w:val="000000"/>
                <w:sz w:val="22"/>
                <w:szCs w:val="22"/>
              </w:rPr>
              <w:t>212</w:t>
            </w:r>
            <w:r w:rsidR="000031E3" w:rsidRPr="008B732F">
              <w:rPr>
                <w:rFonts w:ascii="Arial" w:hAnsi="Arial" w:cs="Arial"/>
                <w:color w:val="000000"/>
                <w:sz w:val="22"/>
                <w:szCs w:val="22"/>
              </w:rPr>
              <w:t xml:space="preserve"> </w:t>
            </w:r>
          </w:p>
          <w:p w14:paraId="15839769" w14:textId="6DEF5D7B" w:rsidR="005F75D6" w:rsidRPr="00F32DEC" w:rsidRDefault="005F75D6" w:rsidP="000031E3">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38,4</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356" w:type="dxa"/>
            <w:vMerge w:val="restart"/>
            <w:tcBorders>
              <w:top w:val="nil"/>
              <w:left w:val="single" w:sz="4" w:space="0" w:color="auto"/>
              <w:bottom w:val="single" w:sz="4" w:space="0" w:color="auto"/>
              <w:right w:val="single" w:sz="4" w:space="0" w:color="auto"/>
            </w:tcBorders>
            <w:shd w:val="clear" w:color="auto" w:fill="auto"/>
            <w:vAlign w:val="center"/>
            <w:hideMark/>
          </w:tcPr>
          <w:p w14:paraId="74546165" w14:textId="77777777" w:rsidR="005F75D6" w:rsidRPr="003656E6" w:rsidRDefault="005F75D6" w:rsidP="00F32DEC">
            <w:pPr>
              <w:jc w:val="center"/>
              <w:rPr>
                <w:rFonts w:ascii="Arial" w:hAnsi="Arial" w:cs="Arial"/>
                <w:color w:val="000000"/>
                <w:sz w:val="22"/>
                <w:szCs w:val="22"/>
              </w:rPr>
            </w:pPr>
            <w:r w:rsidRPr="003656E6">
              <w:rPr>
                <w:rFonts w:ascii="Arial" w:hAnsi="Arial" w:cs="Arial"/>
                <w:color w:val="000000"/>
                <w:sz w:val="22"/>
                <w:szCs w:val="22"/>
              </w:rPr>
              <w:t>p=0,113</w:t>
            </w:r>
          </w:p>
        </w:tc>
      </w:tr>
      <w:tr w:rsidR="00CB6977" w:rsidRPr="00177205" w14:paraId="0178761A" w14:textId="77777777" w:rsidTr="006E31A5">
        <w:trPr>
          <w:trHeight w:val="487"/>
        </w:trPr>
        <w:tc>
          <w:tcPr>
            <w:tcW w:w="1271" w:type="dxa"/>
            <w:vMerge/>
            <w:tcBorders>
              <w:top w:val="nil"/>
              <w:left w:val="single" w:sz="4" w:space="0" w:color="auto"/>
              <w:bottom w:val="single" w:sz="4" w:space="0" w:color="auto"/>
              <w:right w:val="single" w:sz="4" w:space="0" w:color="auto"/>
            </w:tcBorders>
            <w:vAlign w:val="center"/>
            <w:hideMark/>
          </w:tcPr>
          <w:p w14:paraId="225945A1" w14:textId="77777777" w:rsidR="005F75D6" w:rsidRPr="00F32DEC" w:rsidRDefault="005F75D6" w:rsidP="00F32DEC">
            <w:pPr>
              <w:rPr>
                <w:rFonts w:ascii="Arial" w:hAnsi="Arial" w:cs="Arial"/>
                <w:color w:val="000000"/>
                <w:sz w:val="22"/>
                <w:szCs w:val="22"/>
              </w:rPr>
            </w:pPr>
          </w:p>
        </w:tc>
        <w:tc>
          <w:tcPr>
            <w:tcW w:w="1418" w:type="dxa"/>
            <w:tcBorders>
              <w:top w:val="nil"/>
              <w:left w:val="nil"/>
              <w:bottom w:val="single" w:sz="4" w:space="0" w:color="auto"/>
              <w:right w:val="single" w:sz="4" w:space="0" w:color="auto"/>
            </w:tcBorders>
            <w:shd w:val="clear" w:color="auto" w:fill="auto"/>
            <w:vAlign w:val="center"/>
            <w:hideMark/>
          </w:tcPr>
          <w:p w14:paraId="55D0E616" w14:textId="77777777" w:rsidR="005F75D6" w:rsidRPr="00F32DEC" w:rsidRDefault="005F75D6" w:rsidP="00F32DEC">
            <w:pPr>
              <w:jc w:val="center"/>
              <w:rPr>
                <w:rFonts w:ascii="Arial" w:hAnsi="Arial" w:cs="Arial"/>
                <w:color w:val="000000"/>
                <w:sz w:val="22"/>
                <w:szCs w:val="22"/>
              </w:rPr>
            </w:pPr>
            <w:r w:rsidRPr="00F32DEC">
              <w:rPr>
                <w:rFonts w:ascii="Arial" w:hAnsi="Arial" w:cs="Arial"/>
                <w:color w:val="000000"/>
                <w:sz w:val="22"/>
                <w:szCs w:val="22"/>
              </w:rPr>
              <w:t>Žena</w:t>
            </w:r>
          </w:p>
        </w:tc>
        <w:tc>
          <w:tcPr>
            <w:tcW w:w="1417" w:type="dxa"/>
            <w:tcBorders>
              <w:top w:val="nil"/>
              <w:left w:val="nil"/>
              <w:bottom w:val="single" w:sz="4" w:space="0" w:color="333333"/>
              <w:right w:val="single" w:sz="4" w:space="0" w:color="333399"/>
            </w:tcBorders>
            <w:shd w:val="clear" w:color="000000" w:fill="FFFFFF"/>
            <w:noWrap/>
            <w:vAlign w:val="center"/>
            <w:hideMark/>
          </w:tcPr>
          <w:p w14:paraId="0D4BE22C" w14:textId="3F9B7D39" w:rsidR="005F75D6" w:rsidRPr="00F32DEC" w:rsidRDefault="005F75D6" w:rsidP="005F75D6">
            <w:pPr>
              <w:jc w:val="center"/>
              <w:rPr>
                <w:rFonts w:ascii="Arial" w:hAnsi="Arial" w:cs="Arial"/>
                <w:color w:val="000000"/>
                <w:sz w:val="22"/>
                <w:szCs w:val="22"/>
              </w:rPr>
            </w:pPr>
            <w:r w:rsidRPr="00F32DEC">
              <w:rPr>
                <w:rFonts w:ascii="Arial" w:hAnsi="Arial" w:cs="Arial"/>
                <w:color w:val="000000"/>
                <w:sz w:val="22"/>
                <w:szCs w:val="22"/>
              </w:rPr>
              <w:t>109</w:t>
            </w:r>
            <w:r w:rsidRPr="008B732F">
              <w:rPr>
                <w:rFonts w:ascii="Arial" w:hAnsi="Arial" w:cs="Arial"/>
                <w:color w:val="000000"/>
                <w:sz w:val="22"/>
                <w:szCs w:val="22"/>
              </w:rPr>
              <w:t xml:space="preserve"> (</w:t>
            </w:r>
            <w:r w:rsidRPr="00F32DEC">
              <w:rPr>
                <w:rFonts w:ascii="Arial" w:hAnsi="Arial" w:cs="Arial"/>
                <w:color w:val="000000"/>
                <w:sz w:val="22"/>
                <w:szCs w:val="22"/>
              </w:rPr>
              <w:t>65,7</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03D594E2" w14:textId="77777777" w:rsidR="00B4479D" w:rsidRDefault="005F75D6" w:rsidP="005F75D6">
            <w:pPr>
              <w:jc w:val="center"/>
              <w:rPr>
                <w:rFonts w:ascii="Arial" w:hAnsi="Arial" w:cs="Arial"/>
                <w:color w:val="000000"/>
                <w:sz w:val="22"/>
                <w:szCs w:val="22"/>
              </w:rPr>
            </w:pPr>
            <w:r w:rsidRPr="00F32DEC">
              <w:rPr>
                <w:rFonts w:ascii="Arial" w:hAnsi="Arial" w:cs="Arial"/>
                <w:color w:val="000000"/>
                <w:sz w:val="22"/>
                <w:szCs w:val="22"/>
              </w:rPr>
              <w:t>55</w:t>
            </w:r>
          </w:p>
          <w:p w14:paraId="61CB3BE2" w14:textId="5C4FFE24" w:rsidR="005F75D6" w:rsidRPr="00F32DEC" w:rsidRDefault="005F75D6" w:rsidP="005F75D6">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70,5</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60" w:type="dxa"/>
            <w:tcBorders>
              <w:top w:val="nil"/>
              <w:left w:val="nil"/>
              <w:bottom w:val="single" w:sz="4" w:space="0" w:color="333333"/>
              <w:right w:val="single" w:sz="4" w:space="0" w:color="333399"/>
            </w:tcBorders>
            <w:shd w:val="clear" w:color="000000" w:fill="FFFFFF"/>
            <w:noWrap/>
            <w:vAlign w:val="center"/>
            <w:hideMark/>
          </w:tcPr>
          <w:p w14:paraId="6B8C09C7" w14:textId="77777777" w:rsidR="00B4479D" w:rsidRDefault="005F75D6" w:rsidP="005F75D6">
            <w:pPr>
              <w:jc w:val="center"/>
              <w:rPr>
                <w:rFonts w:ascii="Arial" w:hAnsi="Arial" w:cs="Arial"/>
                <w:color w:val="000000"/>
                <w:sz w:val="22"/>
                <w:szCs w:val="22"/>
              </w:rPr>
            </w:pPr>
            <w:r w:rsidRPr="00F32DEC">
              <w:rPr>
                <w:rFonts w:ascii="Arial" w:hAnsi="Arial" w:cs="Arial"/>
                <w:color w:val="000000"/>
                <w:sz w:val="22"/>
                <w:szCs w:val="22"/>
              </w:rPr>
              <w:t>129</w:t>
            </w:r>
            <w:r w:rsidRPr="008B732F">
              <w:rPr>
                <w:rFonts w:ascii="Arial" w:hAnsi="Arial" w:cs="Arial"/>
                <w:color w:val="000000"/>
                <w:sz w:val="22"/>
                <w:szCs w:val="22"/>
              </w:rPr>
              <w:t xml:space="preserve"> </w:t>
            </w:r>
          </w:p>
          <w:p w14:paraId="45CC56AF" w14:textId="6AD7956B" w:rsidR="005F75D6" w:rsidRPr="00F32DEC" w:rsidRDefault="005F75D6" w:rsidP="005F75D6">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58,9</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17EBA2BC" w14:textId="6656B84C" w:rsidR="005F75D6" w:rsidRPr="00F32DEC" w:rsidRDefault="005F75D6" w:rsidP="005F75D6">
            <w:pPr>
              <w:jc w:val="center"/>
              <w:rPr>
                <w:rFonts w:ascii="Arial" w:hAnsi="Arial" w:cs="Arial"/>
                <w:color w:val="000000"/>
                <w:sz w:val="22"/>
                <w:szCs w:val="22"/>
              </w:rPr>
            </w:pPr>
            <w:r w:rsidRPr="00F32DEC">
              <w:rPr>
                <w:rFonts w:ascii="Arial" w:hAnsi="Arial" w:cs="Arial"/>
                <w:color w:val="000000"/>
                <w:sz w:val="22"/>
                <w:szCs w:val="22"/>
              </w:rPr>
              <w:t>34</w:t>
            </w:r>
            <w:r w:rsidRPr="008B732F">
              <w:rPr>
                <w:rFonts w:ascii="Arial" w:hAnsi="Arial" w:cs="Arial"/>
                <w:color w:val="000000"/>
                <w:sz w:val="22"/>
                <w:szCs w:val="22"/>
              </w:rPr>
              <w:t xml:space="preserve"> (</w:t>
            </w:r>
            <w:r w:rsidRPr="00F32DEC">
              <w:rPr>
                <w:rFonts w:ascii="Arial" w:hAnsi="Arial" w:cs="Arial"/>
                <w:color w:val="000000"/>
                <w:sz w:val="22"/>
                <w:szCs w:val="22"/>
              </w:rPr>
              <w:t>54,0</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417" w:type="dxa"/>
            <w:tcBorders>
              <w:top w:val="nil"/>
              <w:left w:val="nil"/>
              <w:bottom w:val="single" w:sz="4" w:space="0" w:color="333333"/>
              <w:right w:val="single" w:sz="4" w:space="0" w:color="333399"/>
            </w:tcBorders>
            <w:shd w:val="clear" w:color="000000" w:fill="FFFFFF"/>
            <w:noWrap/>
            <w:vAlign w:val="center"/>
            <w:hideMark/>
          </w:tcPr>
          <w:p w14:paraId="2851E03D" w14:textId="18E73BD4" w:rsidR="005F75D6" w:rsidRPr="00F32DEC" w:rsidRDefault="005F75D6" w:rsidP="005F75D6">
            <w:pPr>
              <w:jc w:val="center"/>
              <w:rPr>
                <w:rFonts w:ascii="Arial" w:hAnsi="Arial" w:cs="Arial"/>
                <w:color w:val="000000"/>
                <w:sz w:val="22"/>
                <w:szCs w:val="22"/>
              </w:rPr>
            </w:pPr>
            <w:r w:rsidRPr="00F32DEC">
              <w:rPr>
                <w:rFonts w:ascii="Arial" w:hAnsi="Arial" w:cs="Arial"/>
                <w:color w:val="000000"/>
                <w:sz w:val="22"/>
                <w:szCs w:val="22"/>
              </w:rPr>
              <w:t>13</w:t>
            </w:r>
            <w:r w:rsidRPr="008B732F">
              <w:rPr>
                <w:rFonts w:ascii="Arial" w:hAnsi="Arial" w:cs="Arial"/>
                <w:color w:val="000000"/>
                <w:sz w:val="22"/>
                <w:szCs w:val="22"/>
              </w:rPr>
              <w:t xml:space="preserve"> (</w:t>
            </w:r>
            <w:r w:rsidRPr="00F32DEC">
              <w:rPr>
                <w:rFonts w:ascii="Arial" w:hAnsi="Arial" w:cs="Arial"/>
                <w:color w:val="000000"/>
                <w:sz w:val="22"/>
                <w:szCs w:val="22"/>
              </w:rPr>
              <w:t>50,0</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993" w:type="dxa"/>
            <w:tcBorders>
              <w:top w:val="nil"/>
              <w:left w:val="nil"/>
              <w:bottom w:val="single" w:sz="4" w:space="0" w:color="333333"/>
              <w:right w:val="single" w:sz="4" w:space="0" w:color="333399"/>
            </w:tcBorders>
            <w:shd w:val="clear" w:color="000000" w:fill="FFFFFF"/>
            <w:noWrap/>
            <w:vAlign w:val="center"/>
            <w:hideMark/>
          </w:tcPr>
          <w:p w14:paraId="37C15666" w14:textId="77777777" w:rsidR="00CB6977" w:rsidRDefault="005F75D6" w:rsidP="000031E3">
            <w:pPr>
              <w:jc w:val="center"/>
              <w:rPr>
                <w:rFonts w:ascii="Arial" w:hAnsi="Arial" w:cs="Arial"/>
                <w:color w:val="000000"/>
                <w:sz w:val="22"/>
                <w:szCs w:val="22"/>
              </w:rPr>
            </w:pPr>
            <w:r w:rsidRPr="00F32DEC">
              <w:rPr>
                <w:rFonts w:ascii="Arial" w:hAnsi="Arial" w:cs="Arial"/>
                <w:color w:val="000000"/>
                <w:sz w:val="22"/>
                <w:szCs w:val="22"/>
              </w:rPr>
              <w:t>340</w:t>
            </w:r>
            <w:r w:rsidR="000031E3" w:rsidRPr="008B732F">
              <w:rPr>
                <w:rFonts w:ascii="Arial" w:hAnsi="Arial" w:cs="Arial"/>
                <w:color w:val="000000"/>
                <w:sz w:val="22"/>
                <w:szCs w:val="22"/>
              </w:rPr>
              <w:t xml:space="preserve"> </w:t>
            </w:r>
          </w:p>
          <w:p w14:paraId="6EE00942" w14:textId="40C0992E" w:rsidR="005F75D6" w:rsidRPr="00F32DEC" w:rsidRDefault="005F75D6" w:rsidP="000031E3">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61,6</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356" w:type="dxa"/>
            <w:vMerge/>
            <w:tcBorders>
              <w:top w:val="nil"/>
              <w:left w:val="single" w:sz="4" w:space="0" w:color="auto"/>
              <w:bottom w:val="single" w:sz="4" w:space="0" w:color="auto"/>
              <w:right w:val="single" w:sz="4" w:space="0" w:color="auto"/>
            </w:tcBorders>
            <w:vAlign w:val="center"/>
            <w:hideMark/>
          </w:tcPr>
          <w:p w14:paraId="23D019BF" w14:textId="77777777" w:rsidR="005F75D6" w:rsidRPr="003656E6" w:rsidRDefault="005F75D6" w:rsidP="00F32DEC">
            <w:pPr>
              <w:rPr>
                <w:rFonts w:ascii="Arial" w:hAnsi="Arial" w:cs="Arial"/>
                <w:color w:val="000000"/>
                <w:sz w:val="22"/>
                <w:szCs w:val="22"/>
              </w:rPr>
            </w:pPr>
          </w:p>
        </w:tc>
      </w:tr>
      <w:tr w:rsidR="00CB6977" w:rsidRPr="00177205" w14:paraId="312F3401" w14:textId="77777777" w:rsidTr="006E31A5">
        <w:trPr>
          <w:trHeight w:val="300"/>
        </w:trPr>
        <w:tc>
          <w:tcPr>
            <w:tcW w:w="1271" w:type="dxa"/>
            <w:vMerge w:val="restart"/>
            <w:tcBorders>
              <w:top w:val="nil"/>
              <w:left w:val="single" w:sz="4" w:space="0" w:color="auto"/>
              <w:bottom w:val="single" w:sz="4" w:space="0" w:color="auto"/>
              <w:right w:val="single" w:sz="4" w:space="0" w:color="auto"/>
            </w:tcBorders>
            <w:shd w:val="clear" w:color="auto" w:fill="auto"/>
            <w:vAlign w:val="center"/>
            <w:hideMark/>
          </w:tcPr>
          <w:p w14:paraId="05578264" w14:textId="77777777" w:rsidR="005F75D6" w:rsidRPr="00F32DEC" w:rsidRDefault="005F75D6" w:rsidP="00F32DEC">
            <w:pPr>
              <w:jc w:val="center"/>
              <w:rPr>
                <w:rFonts w:ascii="Arial" w:hAnsi="Arial" w:cs="Arial"/>
                <w:color w:val="000000"/>
                <w:sz w:val="22"/>
                <w:szCs w:val="22"/>
              </w:rPr>
            </w:pPr>
            <w:r w:rsidRPr="00F32DEC">
              <w:rPr>
                <w:rFonts w:ascii="Arial" w:hAnsi="Arial" w:cs="Arial"/>
                <w:color w:val="000000"/>
                <w:sz w:val="22"/>
                <w:szCs w:val="22"/>
              </w:rPr>
              <w:t>Věk</w:t>
            </w:r>
          </w:p>
        </w:tc>
        <w:tc>
          <w:tcPr>
            <w:tcW w:w="1418" w:type="dxa"/>
            <w:tcBorders>
              <w:top w:val="nil"/>
              <w:left w:val="nil"/>
              <w:bottom w:val="single" w:sz="4" w:space="0" w:color="auto"/>
              <w:right w:val="single" w:sz="4" w:space="0" w:color="auto"/>
            </w:tcBorders>
            <w:shd w:val="clear" w:color="auto" w:fill="auto"/>
            <w:vAlign w:val="center"/>
            <w:hideMark/>
          </w:tcPr>
          <w:p w14:paraId="0931D9A0" w14:textId="77777777" w:rsidR="005F75D6" w:rsidRPr="00F32DEC" w:rsidRDefault="005F75D6" w:rsidP="00F32DEC">
            <w:pPr>
              <w:jc w:val="center"/>
              <w:rPr>
                <w:rFonts w:ascii="Arial" w:hAnsi="Arial" w:cs="Arial"/>
                <w:sz w:val="22"/>
                <w:szCs w:val="22"/>
              </w:rPr>
            </w:pPr>
            <w:r w:rsidRPr="00F32DEC">
              <w:rPr>
                <w:rFonts w:ascii="Arial" w:hAnsi="Arial" w:cs="Arial"/>
                <w:sz w:val="22"/>
                <w:szCs w:val="22"/>
              </w:rPr>
              <w:t>75-79 let</w:t>
            </w:r>
          </w:p>
        </w:tc>
        <w:tc>
          <w:tcPr>
            <w:tcW w:w="1417" w:type="dxa"/>
            <w:tcBorders>
              <w:top w:val="nil"/>
              <w:left w:val="nil"/>
              <w:bottom w:val="single" w:sz="4" w:space="0" w:color="333333"/>
              <w:right w:val="single" w:sz="4" w:space="0" w:color="333399"/>
            </w:tcBorders>
            <w:shd w:val="clear" w:color="000000" w:fill="FFFFFF"/>
            <w:noWrap/>
            <w:vAlign w:val="center"/>
            <w:hideMark/>
          </w:tcPr>
          <w:p w14:paraId="54A3EB65" w14:textId="2A259472" w:rsidR="005F75D6" w:rsidRPr="00F32DEC" w:rsidRDefault="005F75D6" w:rsidP="005F75D6">
            <w:pPr>
              <w:jc w:val="center"/>
              <w:rPr>
                <w:rFonts w:ascii="Arial" w:hAnsi="Arial" w:cs="Arial"/>
                <w:color w:val="000000"/>
                <w:sz w:val="22"/>
                <w:szCs w:val="22"/>
              </w:rPr>
            </w:pPr>
            <w:r w:rsidRPr="00F32DEC">
              <w:rPr>
                <w:rFonts w:ascii="Arial" w:hAnsi="Arial" w:cs="Arial"/>
                <w:color w:val="000000"/>
                <w:sz w:val="22"/>
                <w:szCs w:val="22"/>
              </w:rPr>
              <w:t>72</w:t>
            </w:r>
            <w:r w:rsidRPr="008B732F">
              <w:rPr>
                <w:rFonts w:ascii="Arial" w:hAnsi="Arial" w:cs="Arial"/>
                <w:color w:val="000000"/>
                <w:sz w:val="22"/>
                <w:szCs w:val="22"/>
              </w:rPr>
              <w:t xml:space="preserve"> (</w:t>
            </w:r>
            <w:r w:rsidRPr="00F32DEC">
              <w:rPr>
                <w:rFonts w:ascii="Arial" w:hAnsi="Arial" w:cs="Arial"/>
                <w:color w:val="000000"/>
                <w:sz w:val="22"/>
                <w:szCs w:val="22"/>
              </w:rPr>
              <w:t>43,4</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3308C784" w14:textId="77777777" w:rsidR="00B4479D" w:rsidRDefault="005F75D6" w:rsidP="005F75D6">
            <w:pPr>
              <w:jc w:val="center"/>
              <w:rPr>
                <w:rFonts w:ascii="Arial" w:hAnsi="Arial" w:cs="Arial"/>
                <w:color w:val="000000"/>
                <w:sz w:val="22"/>
                <w:szCs w:val="22"/>
              </w:rPr>
            </w:pPr>
            <w:r w:rsidRPr="00F32DEC">
              <w:rPr>
                <w:rFonts w:ascii="Arial" w:hAnsi="Arial" w:cs="Arial"/>
                <w:color w:val="000000"/>
                <w:sz w:val="22"/>
                <w:szCs w:val="22"/>
              </w:rPr>
              <w:t>24</w:t>
            </w:r>
            <w:r w:rsidRPr="008B732F">
              <w:rPr>
                <w:rFonts w:ascii="Arial" w:hAnsi="Arial" w:cs="Arial"/>
                <w:color w:val="000000"/>
                <w:sz w:val="22"/>
                <w:szCs w:val="22"/>
              </w:rPr>
              <w:t xml:space="preserve"> </w:t>
            </w:r>
          </w:p>
          <w:p w14:paraId="6922CADF" w14:textId="494339AF" w:rsidR="005F75D6" w:rsidRPr="00F32DEC" w:rsidRDefault="005F75D6" w:rsidP="005F75D6">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30,8</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60" w:type="dxa"/>
            <w:tcBorders>
              <w:top w:val="nil"/>
              <w:left w:val="nil"/>
              <w:bottom w:val="single" w:sz="4" w:space="0" w:color="333333"/>
              <w:right w:val="single" w:sz="4" w:space="0" w:color="333399"/>
            </w:tcBorders>
            <w:shd w:val="clear" w:color="000000" w:fill="FFFFFF"/>
            <w:noWrap/>
            <w:vAlign w:val="center"/>
            <w:hideMark/>
          </w:tcPr>
          <w:p w14:paraId="0DAF1E4E" w14:textId="77777777" w:rsidR="00B4479D" w:rsidRDefault="005F75D6" w:rsidP="005F75D6">
            <w:pPr>
              <w:jc w:val="center"/>
              <w:rPr>
                <w:rFonts w:ascii="Arial" w:hAnsi="Arial" w:cs="Arial"/>
                <w:color w:val="000000"/>
                <w:sz w:val="22"/>
                <w:szCs w:val="22"/>
              </w:rPr>
            </w:pPr>
            <w:r w:rsidRPr="00F32DEC">
              <w:rPr>
                <w:rFonts w:ascii="Arial" w:hAnsi="Arial" w:cs="Arial"/>
                <w:color w:val="000000"/>
                <w:sz w:val="22"/>
                <w:szCs w:val="22"/>
              </w:rPr>
              <w:t>73</w:t>
            </w:r>
            <w:r w:rsidRPr="008B732F">
              <w:rPr>
                <w:rFonts w:ascii="Arial" w:hAnsi="Arial" w:cs="Arial"/>
                <w:color w:val="000000"/>
                <w:sz w:val="22"/>
                <w:szCs w:val="22"/>
              </w:rPr>
              <w:t xml:space="preserve"> </w:t>
            </w:r>
          </w:p>
          <w:p w14:paraId="4C35F778" w14:textId="59BB9E27" w:rsidR="005F75D6" w:rsidRPr="00F32DEC" w:rsidRDefault="005F75D6" w:rsidP="005F75D6">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33,3</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7EF0CC45" w14:textId="3E7D0DA4" w:rsidR="005F75D6" w:rsidRPr="00F32DEC" w:rsidRDefault="005F75D6" w:rsidP="005F75D6">
            <w:pPr>
              <w:jc w:val="center"/>
              <w:rPr>
                <w:rFonts w:ascii="Arial" w:hAnsi="Arial" w:cs="Arial"/>
                <w:color w:val="000000"/>
                <w:sz w:val="22"/>
                <w:szCs w:val="22"/>
              </w:rPr>
            </w:pPr>
            <w:r w:rsidRPr="00F32DEC">
              <w:rPr>
                <w:rFonts w:ascii="Arial" w:hAnsi="Arial" w:cs="Arial"/>
                <w:color w:val="000000"/>
                <w:sz w:val="22"/>
                <w:szCs w:val="22"/>
              </w:rPr>
              <w:t>23</w:t>
            </w:r>
            <w:r w:rsidRPr="008B732F">
              <w:rPr>
                <w:rFonts w:ascii="Arial" w:hAnsi="Arial" w:cs="Arial"/>
                <w:color w:val="000000"/>
                <w:sz w:val="22"/>
                <w:szCs w:val="22"/>
              </w:rPr>
              <w:t xml:space="preserve"> (</w:t>
            </w:r>
            <w:r w:rsidRPr="00F32DEC">
              <w:rPr>
                <w:rFonts w:ascii="Arial" w:hAnsi="Arial" w:cs="Arial"/>
                <w:color w:val="000000"/>
                <w:sz w:val="22"/>
                <w:szCs w:val="22"/>
              </w:rPr>
              <w:t>36,5</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417" w:type="dxa"/>
            <w:tcBorders>
              <w:top w:val="nil"/>
              <w:left w:val="nil"/>
              <w:bottom w:val="single" w:sz="4" w:space="0" w:color="333333"/>
              <w:right w:val="single" w:sz="4" w:space="0" w:color="333399"/>
            </w:tcBorders>
            <w:shd w:val="clear" w:color="000000" w:fill="FFFFFF"/>
            <w:noWrap/>
            <w:vAlign w:val="center"/>
            <w:hideMark/>
          </w:tcPr>
          <w:p w14:paraId="0E5EB8DF" w14:textId="2E4E11D1" w:rsidR="005F75D6" w:rsidRPr="00F32DEC" w:rsidRDefault="005F75D6" w:rsidP="005F75D6">
            <w:pPr>
              <w:jc w:val="center"/>
              <w:rPr>
                <w:rFonts w:ascii="Arial" w:hAnsi="Arial" w:cs="Arial"/>
                <w:color w:val="000000"/>
                <w:sz w:val="22"/>
                <w:szCs w:val="22"/>
              </w:rPr>
            </w:pPr>
            <w:r w:rsidRPr="00F32DEC">
              <w:rPr>
                <w:rFonts w:ascii="Arial" w:hAnsi="Arial" w:cs="Arial"/>
                <w:color w:val="000000"/>
                <w:sz w:val="22"/>
                <w:szCs w:val="22"/>
              </w:rPr>
              <w:t>7</w:t>
            </w:r>
            <w:r w:rsidRPr="008B732F">
              <w:rPr>
                <w:rFonts w:ascii="Arial" w:hAnsi="Arial" w:cs="Arial"/>
                <w:color w:val="000000"/>
                <w:sz w:val="22"/>
                <w:szCs w:val="22"/>
              </w:rPr>
              <w:t xml:space="preserve"> (</w:t>
            </w:r>
            <w:r w:rsidRPr="00F32DEC">
              <w:rPr>
                <w:rFonts w:ascii="Arial" w:hAnsi="Arial" w:cs="Arial"/>
                <w:color w:val="000000"/>
                <w:sz w:val="22"/>
                <w:szCs w:val="22"/>
              </w:rPr>
              <w:t>26,9</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993" w:type="dxa"/>
            <w:tcBorders>
              <w:top w:val="nil"/>
              <w:left w:val="nil"/>
              <w:bottom w:val="single" w:sz="4" w:space="0" w:color="333333"/>
              <w:right w:val="single" w:sz="4" w:space="0" w:color="333399"/>
            </w:tcBorders>
            <w:shd w:val="clear" w:color="000000" w:fill="FFFFFF"/>
            <w:noWrap/>
            <w:vAlign w:val="center"/>
            <w:hideMark/>
          </w:tcPr>
          <w:p w14:paraId="717E5D85" w14:textId="77777777" w:rsidR="00CB6977" w:rsidRDefault="005F75D6" w:rsidP="000031E3">
            <w:pPr>
              <w:jc w:val="center"/>
              <w:rPr>
                <w:rFonts w:ascii="Arial" w:hAnsi="Arial" w:cs="Arial"/>
                <w:color w:val="000000"/>
                <w:sz w:val="22"/>
                <w:szCs w:val="22"/>
              </w:rPr>
            </w:pPr>
            <w:r w:rsidRPr="00F32DEC">
              <w:rPr>
                <w:rFonts w:ascii="Arial" w:hAnsi="Arial" w:cs="Arial"/>
                <w:color w:val="000000"/>
                <w:sz w:val="22"/>
                <w:szCs w:val="22"/>
              </w:rPr>
              <w:t>199</w:t>
            </w:r>
            <w:r w:rsidR="000031E3" w:rsidRPr="008B732F">
              <w:rPr>
                <w:rFonts w:ascii="Arial" w:hAnsi="Arial" w:cs="Arial"/>
                <w:color w:val="000000"/>
                <w:sz w:val="22"/>
                <w:szCs w:val="22"/>
              </w:rPr>
              <w:t xml:space="preserve"> </w:t>
            </w:r>
          </w:p>
          <w:p w14:paraId="4FC4BF84" w14:textId="6E273738" w:rsidR="005F75D6" w:rsidRPr="00F32DEC" w:rsidRDefault="005F75D6" w:rsidP="000031E3">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36,1</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356" w:type="dxa"/>
            <w:vMerge w:val="restart"/>
            <w:tcBorders>
              <w:top w:val="nil"/>
              <w:left w:val="single" w:sz="4" w:space="0" w:color="auto"/>
              <w:bottom w:val="single" w:sz="4" w:space="0" w:color="auto"/>
              <w:right w:val="single" w:sz="4" w:space="0" w:color="auto"/>
            </w:tcBorders>
            <w:shd w:val="clear" w:color="auto" w:fill="auto"/>
            <w:vAlign w:val="center"/>
            <w:hideMark/>
          </w:tcPr>
          <w:p w14:paraId="49F4034B" w14:textId="77777777" w:rsidR="005F75D6" w:rsidRPr="003656E6" w:rsidRDefault="005F75D6" w:rsidP="00F32DEC">
            <w:pPr>
              <w:jc w:val="center"/>
              <w:rPr>
                <w:rFonts w:ascii="Arial" w:hAnsi="Arial" w:cs="Arial"/>
                <w:b/>
                <w:bCs/>
                <w:color w:val="000000"/>
                <w:sz w:val="22"/>
                <w:szCs w:val="22"/>
              </w:rPr>
            </w:pPr>
            <w:r w:rsidRPr="003656E6">
              <w:rPr>
                <w:rFonts w:ascii="Arial" w:hAnsi="Arial" w:cs="Arial"/>
                <w:b/>
                <w:bCs/>
                <w:color w:val="000000"/>
                <w:sz w:val="22"/>
                <w:szCs w:val="22"/>
              </w:rPr>
              <w:t>p=0,002 CV=0,136</w:t>
            </w:r>
          </w:p>
        </w:tc>
      </w:tr>
      <w:tr w:rsidR="00CB6977" w:rsidRPr="00177205" w14:paraId="5944037F" w14:textId="77777777" w:rsidTr="006E31A5">
        <w:trPr>
          <w:trHeight w:val="300"/>
        </w:trPr>
        <w:tc>
          <w:tcPr>
            <w:tcW w:w="1271" w:type="dxa"/>
            <w:vMerge/>
            <w:tcBorders>
              <w:top w:val="nil"/>
              <w:left w:val="single" w:sz="4" w:space="0" w:color="auto"/>
              <w:bottom w:val="single" w:sz="4" w:space="0" w:color="auto"/>
              <w:right w:val="single" w:sz="4" w:space="0" w:color="auto"/>
            </w:tcBorders>
            <w:vAlign w:val="center"/>
            <w:hideMark/>
          </w:tcPr>
          <w:p w14:paraId="7AEAE972" w14:textId="77777777" w:rsidR="005F75D6" w:rsidRPr="00F32DEC" w:rsidRDefault="005F75D6" w:rsidP="00F32DEC">
            <w:pPr>
              <w:rPr>
                <w:rFonts w:ascii="Arial" w:hAnsi="Arial" w:cs="Arial"/>
                <w:color w:val="000000"/>
                <w:sz w:val="22"/>
                <w:szCs w:val="22"/>
              </w:rPr>
            </w:pPr>
          </w:p>
        </w:tc>
        <w:tc>
          <w:tcPr>
            <w:tcW w:w="1418" w:type="dxa"/>
            <w:tcBorders>
              <w:top w:val="nil"/>
              <w:left w:val="nil"/>
              <w:bottom w:val="single" w:sz="4" w:space="0" w:color="auto"/>
              <w:right w:val="single" w:sz="4" w:space="0" w:color="auto"/>
            </w:tcBorders>
            <w:shd w:val="clear" w:color="auto" w:fill="auto"/>
            <w:vAlign w:val="center"/>
            <w:hideMark/>
          </w:tcPr>
          <w:p w14:paraId="210AA783" w14:textId="77777777" w:rsidR="005F75D6" w:rsidRPr="00F32DEC" w:rsidRDefault="005F75D6" w:rsidP="00F32DEC">
            <w:pPr>
              <w:jc w:val="center"/>
              <w:rPr>
                <w:rFonts w:ascii="Arial" w:hAnsi="Arial" w:cs="Arial"/>
                <w:sz w:val="22"/>
                <w:szCs w:val="22"/>
              </w:rPr>
            </w:pPr>
            <w:r w:rsidRPr="00F32DEC">
              <w:rPr>
                <w:rFonts w:ascii="Arial" w:hAnsi="Arial" w:cs="Arial"/>
                <w:sz w:val="22"/>
                <w:szCs w:val="22"/>
              </w:rPr>
              <w:t>80-84 let</w:t>
            </w:r>
          </w:p>
        </w:tc>
        <w:tc>
          <w:tcPr>
            <w:tcW w:w="1417" w:type="dxa"/>
            <w:tcBorders>
              <w:top w:val="nil"/>
              <w:left w:val="nil"/>
              <w:bottom w:val="single" w:sz="4" w:space="0" w:color="333333"/>
              <w:right w:val="single" w:sz="4" w:space="0" w:color="333399"/>
            </w:tcBorders>
            <w:shd w:val="clear" w:color="000000" w:fill="FFFFFF"/>
            <w:noWrap/>
            <w:vAlign w:val="center"/>
            <w:hideMark/>
          </w:tcPr>
          <w:p w14:paraId="2CC63ED0" w14:textId="1441DF86" w:rsidR="005F75D6" w:rsidRPr="00F32DEC" w:rsidRDefault="005F75D6" w:rsidP="005F75D6">
            <w:pPr>
              <w:jc w:val="center"/>
              <w:rPr>
                <w:rFonts w:ascii="Arial" w:hAnsi="Arial" w:cs="Arial"/>
                <w:color w:val="000000"/>
                <w:sz w:val="22"/>
                <w:szCs w:val="22"/>
              </w:rPr>
            </w:pPr>
            <w:r w:rsidRPr="00F32DEC">
              <w:rPr>
                <w:rFonts w:ascii="Arial" w:hAnsi="Arial" w:cs="Arial"/>
                <w:color w:val="000000"/>
                <w:sz w:val="22"/>
                <w:szCs w:val="22"/>
              </w:rPr>
              <w:t>60</w:t>
            </w:r>
            <w:r w:rsidRPr="008B732F">
              <w:rPr>
                <w:rFonts w:ascii="Arial" w:hAnsi="Arial" w:cs="Arial"/>
                <w:color w:val="000000"/>
                <w:sz w:val="22"/>
                <w:szCs w:val="22"/>
              </w:rPr>
              <w:t xml:space="preserve"> (</w:t>
            </w:r>
            <w:r w:rsidRPr="00F32DEC">
              <w:rPr>
                <w:rFonts w:ascii="Arial" w:hAnsi="Arial" w:cs="Arial"/>
                <w:color w:val="000000"/>
                <w:sz w:val="22"/>
                <w:szCs w:val="22"/>
              </w:rPr>
              <w:t>36,1</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0C00F612" w14:textId="77777777" w:rsidR="00B4479D" w:rsidRDefault="005F75D6" w:rsidP="005F75D6">
            <w:pPr>
              <w:jc w:val="center"/>
              <w:rPr>
                <w:rFonts w:ascii="Arial" w:hAnsi="Arial" w:cs="Arial"/>
                <w:color w:val="000000"/>
                <w:sz w:val="22"/>
                <w:szCs w:val="22"/>
              </w:rPr>
            </w:pPr>
            <w:r w:rsidRPr="00F32DEC">
              <w:rPr>
                <w:rFonts w:ascii="Arial" w:hAnsi="Arial" w:cs="Arial"/>
                <w:color w:val="000000"/>
                <w:sz w:val="22"/>
                <w:szCs w:val="22"/>
              </w:rPr>
              <w:t>18</w:t>
            </w:r>
            <w:r w:rsidRPr="008B732F">
              <w:rPr>
                <w:rFonts w:ascii="Arial" w:hAnsi="Arial" w:cs="Arial"/>
                <w:color w:val="000000"/>
                <w:sz w:val="22"/>
                <w:szCs w:val="22"/>
              </w:rPr>
              <w:t xml:space="preserve"> </w:t>
            </w:r>
          </w:p>
          <w:p w14:paraId="43B5B499" w14:textId="37928B90" w:rsidR="005F75D6" w:rsidRPr="00F32DEC" w:rsidRDefault="005F75D6" w:rsidP="005F75D6">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23,1</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60" w:type="dxa"/>
            <w:tcBorders>
              <w:top w:val="nil"/>
              <w:left w:val="nil"/>
              <w:bottom w:val="single" w:sz="4" w:space="0" w:color="333333"/>
              <w:right w:val="single" w:sz="4" w:space="0" w:color="333399"/>
            </w:tcBorders>
            <w:shd w:val="clear" w:color="000000" w:fill="FFFFFF"/>
            <w:noWrap/>
            <w:vAlign w:val="center"/>
            <w:hideMark/>
          </w:tcPr>
          <w:p w14:paraId="0AC10206" w14:textId="77777777" w:rsidR="00B4479D" w:rsidRDefault="005F75D6" w:rsidP="005F75D6">
            <w:pPr>
              <w:jc w:val="center"/>
              <w:rPr>
                <w:rFonts w:ascii="Arial" w:hAnsi="Arial" w:cs="Arial"/>
                <w:color w:val="000000"/>
                <w:sz w:val="22"/>
                <w:szCs w:val="22"/>
              </w:rPr>
            </w:pPr>
            <w:r w:rsidRPr="00F32DEC">
              <w:rPr>
                <w:rFonts w:ascii="Arial" w:hAnsi="Arial" w:cs="Arial"/>
                <w:color w:val="000000"/>
                <w:sz w:val="22"/>
                <w:szCs w:val="22"/>
              </w:rPr>
              <w:t>71</w:t>
            </w:r>
            <w:r w:rsidRPr="008B732F">
              <w:rPr>
                <w:rFonts w:ascii="Arial" w:hAnsi="Arial" w:cs="Arial"/>
                <w:color w:val="000000"/>
                <w:sz w:val="22"/>
                <w:szCs w:val="22"/>
              </w:rPr>
              <w:t xml:space="preserve"> </w:t>
            </w:r>
          </w:p>
          <w:p w14:paraId="5FEA3A49" w14:textId="29CBCE95" w:rsidR="005F75D6" w:rsidRPr="00F32DEC" w:rsidRDefault="005F75D6" w:rsidP="005F75D6">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32,4</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01A48B59" w14:textId="40850110" w:rsidR="005F75D6" w:rsidRPr="00F32DEC" w:rsidRDefault="005F75D6" w:rsidP="005F75D6">
            <w:pPr>
              <w:jc w:val="center"/>
              <w:rPr>
                <w:rFonts w:ascii="Arial" w:hAnsi="Arial" w:cs="Arial"/>
                <w:color w:val="000000"/>
                <w:sz w:val="22"/>
                <w:szCs w:val="22"/>
              </w:rPr>
            </w:pPr>
            <w:r w:rsidRPr="00F32DEC">
              <w:rPr>
                <w:rFonts w:ascii="Arial" w:hAnsi="Arial" w:cs="Arial"/>
                <w:color w:val="000000"/>
                <w:sz w:val="22"/>
                <w:szCs w:val="22"/>
              </w:rPr>
              <w:t>25</w:t>
            </w:r>
            <w:r w:rsidRPr="008B732F">
              <w:rPr>
                <w:rFonts w:ascii="Arial" w:hAnsi="Arial" w:cs="Arial"/>
                <w:color w:val="000000"/>
                <w:sz w:val="22"/>
                <w:szCs w:val="22"/>
              </w:rPr>
              <w:t xml:space="preserve"> (</w:t>
            </w:r>
            <w:r w:rsidRPr="00F32DEC">
              <w:rPr>
                <w:rFonts w:ascii="Arial" w:hAnsi="Arial" w:cs="Arial"/>
                <w:color w:val="000000"/>
                <w:sz w:val="22"/>
                <w:szCs w:val="22"/>
              </w:rPr>
              <w:t>39,7</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417" w:type="dxa"/>
            <w:tcBorders>
              <w:top w:val="nil"/>
              <w:left w:val="nil"/>
              <w:bottom w:val="single" w:sz="4" w:space="0" w:color="333333"/>
              <w:right w:val="single" w:sz="4" w:space="0" w:color="333399"/>
            </w:tcBorders>
            <w:shd w:val="clear" w:color="000000" w:fill="FFFFFF"/>
            <w:noWrap/>
            <w:vAlign w:val="center"/>
            <w:hideMark/>
          </w:tcPr>
          <w:p w14:paraId="4CD82713" w14:textId="0434DC85" w:rsidR="005F75D6" w:rsidRPr="00F32DEC" w:rsidRDefault="005F75D6" w:rsidP="005F75D6">
            <w:pPr>
              <w:jc w:val="center"/>
              <w:rPr>
                <w:rFonts w:ascii="Arial" w:hAnsi="Arial" w:cs="Arial"/>
                <w:color w:val="000000"/>
                <w:sz w:val="22"/>
                <w:szCs w:val="22"/>
              </w:rPr>
            </w:pPr>
            <w:r w:rsidRPr="00F32DEC">
              <w:rPr>
                <w:rFonts w:ascii="Arial" w:hAnsi="Arial" w:cs="Arial"/>
                <w:color w:val="000000"/>
                <w:sz w:val="22"/>
                <w:szCs w:val="22"/>
              </w:rPr>
              <w:t>13</w:t>
            </w:r>
            <w:r w:rsidRPr="008B732F">
              <w:rPr>
                <w:rFonts w:ascii="Arial" w:hAnsi="Arial" w:cs="Arial"/>
                <w:color w:val="000000"/>
                <w:sz w:val="22"/>
                <w:szCs w:val="22"/>
              </w:rPr>
              <w:t xml:space="preserve"> (</w:t>
            </w:r>
            <w:r w:rsidRPr="00F32DEC">
              <w:rPr>
                <w:rFonts w:ascii="Arial" w:hAnsi="Arial" w:cs="Arial"/>
                <w:color w:val="000000"/>
                <w:sz w:val="22"/>
                <w:szCs w:val="22"/>
              </w:rPr>
              <w:t>50,0</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993" w:type="dxa"/>
            <w:tcBorders>
              <w:top w:val="nil"/>
              <w:left w:val="nil"/>
              <w:bottom w:val="single" w:sz="4" w:space="0" w:color="333333"/>
              <w:right w:val="single" w:sz="4" w:space="0" w:color="333399"/>
            </w:tcBorders>
            <w:shd w:val="clear" w:color="000000" w:fill="FFFFFF"/>
            <w:noWrap/>
            <w:vAlign w:val="center"/>
            <w:hideMark/>
          </w:tcPr>
          <w:p w14:paraId="3F958B7F" w14:textId="77777777" w:rsidR="00CB6977" w:rsidRDefault="005F75D6" w:rsidP="000031E3">
            <w:pPr>
              <w:jc w:val="center"/>
              <w:rPr>
                <w:rFonts w:ascii="Arial" w:hAnsi="Arial" w:cs="Arial"/>
                <w:color w:val="000000"/>
                <w:sz w:val="22"/>
                <w:szCs w:val="22"/>
              </w:rPr>
            </w:pPr>
            <w:r w:rsidRPr="00F32DEC">
              <w:rPr>
                <w:rFonts w:ascii="Arial" w:hAnsi="Arial" w:cs="Arial"/>
                <w:color w:val="000000"/>
                <w:sz w:val="22"/>
                <w:szCs w:val="22"/>
              </w:rPr>
              <w:t>187</w:t>
            </w:r>
            <w:r w:rsidR="000031E3" w:rsidRPr="008B732F">
              <w:rPr>
                <w:rFonts w:ascii="Arial" w:hAnsi="Arial" w:cs="Arial"/>
                <w:color w:val="000000"/>
                <w:sz w:val="22"/>
                <w:szCs w:val="22"/>
              </w:rPr>
              <w:t xml:space="preserve"> </w:t>
            </w:r>
          </w:p>
          <w:p w14:paraId="4ACB8123" w14:textId="7CB4CFD1" w:rsidR="005F75D6" w:rsidRPr="00F32DEC" w:rsidRDefault="005F75D6" w:rsidP="000031E3">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33,9</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356" w:type="dxa"/>
            <w:vMerge/>
            <w:tcBorders>
              <w:top w:val="nil"/>
              <w:left w:val="single" w:sz="4" w:space="0" w:color="auto"/>
              <w:bottom w:val="single" w:sz="4" w:space="0" w:color="auto"/>
              <w:right w:val="single" w:sz="4" w:space="0" w:color="auto"/>
            </w:tcBorders>
            <w:vAlign w:val="center"/>
            <w:hideMark/>
          </w:tcPr>
          <w:p w14:paraId="7C2602BD" w14:textId="77777777" w:rsidR="005F75D6" w:rsidRPr="003656E6" w:rsidRDefault="005F75D6" w:rsidP="00F32DEC">
            <w:pPr>
              <w:rPr>
                <w:rFonts w:ascii="Arial" w:hAnsi="Arial" w:cs="Arial"/>
                <w:b/>
                <w:bCs/>
                <w:color w:val="000000"/>
                <w:sz w:val="22"/>
                <w:szCs w:val="22"/>
              </w:rPr>
            </w:pPr>
          </w:p>
        </w:tc>
      </w:tr>
      <w:tr w:rsidR="00CB6977" w:rsidRPr="00177205" w14:paraId="468DD638" w14:textId="77777777" w:rsidTr="006E31A5">
        <w:trPr>
          <w:trHeight w:val="300"/>
        </w:trPr>
        <w:tc>
          <w:tcPr>
            <w:tcW w:w="1271" w:type="dxa"/>
            <w:vMerge/>
            <w:tcBorders>
              <w:top w:val="nil"/>
              <w:left w:val="single" w:sz="4" w:space="0" w:color="auto"/>
              <w:bottom w:val="single" w:sz="4" w:space="0" w:color="auto"/>
              <w:right w:val="single" w:sz="4" w:space="0" w:color="auto"/>
            </w:tcBorders>
            <w:vAlign w:val="center"/>
            <w:hideMark/>
          </w:tcPr>
          <w:p w14:paraId="2146FC46" w14:textId="77777777" w:rsidR="005F75D6" w:rsidRPr="00F32DEC" w:rsidRDefault="005F75D6" w:rsidP="00F32DEC">
            <w:pPr>
              <w:rPr>
                <w:rFonts w:ascii="Arial" w:hAnsi="Arial" w:cs="Arial"/>
                <w:color w:val="000000"/>
                <w:sz w:val="22"/>
                <w:szCs w:val="22"/>
              </w:rPr>
            </w:pPr>
          </w:p>
        </w:tc>
        <w:tc>
          <w:tcPr>
            <w:tcW w:w="1418" w:type="dxa"/>
            <w:tcBorders>
              <w:top w:val="nil"/>
              <w:left w:val="nil"/>
              <w:bottom w:val="single" w:sz="4" w:space="0" w:color="auto"/>
              <w:right w:val="single" w:sz="4" w:space="0" w:color="auto"/>
            </w:tcBorders>
            <w:shd w:val="clear" w:color="auto" w:fill="auto"/>
            <w:vAlign w:val="center"/>
            <w:hideMark/>
          </w:tcPr>
          <w:p w14:paraId="3B48DACD" w14:textId="77777777" w:rsidR="005F75D6" w:rsidRPr="00F32DEC" w:rsidRDefault="005F75D6" w:rsidP="00F32DEC">
            <w:pPr>
              <w:jc w:val="center"/>
              <w:rPr>
                <w:rFonts w:ascii="Arial" w:hAnsi="Arial" w:cs="Arial"/>
                <w:sz w:val="22"/>
                <w:szCs w:val="22"/>
              </w:rPr>
            </w:pPr>
            <w:r w:rsidRPr="00F32DEC">
              <w:rPr>
                <w:rFonts w:ascii="Arial" w:hAnsi="Arial" w:cs="Arial"/>
                <w:sz w:val="22"/>
                <w:szCs w:val="22"/>
              </w:rPr>
              <w:t>85-89 let</w:t>
            </w:r>
          </w:p>
        </w:tc>
        <w:tc>
          <w:tcPr>
            <w:tcW w:w="1417" w:type="dxa"/>
            <w:tcBorders>
              <w:top w:val="nil"/>
              <w:left w:val="nil"/>
              <w:bottom w:val="single" w:sz="4" w:space="0" w:color="333333"/>
              <w:right w:val="single" w:sz="4" w:space="0" w:color="333399"/>
            </w:tcBorders>
            <w:shd w:val="clear" w:color="000000" w:fill="FFFFFF"/>
            <w:noWrap/>
            <w:vAlign w:val="center"/>
            <w:hideMark/>
          </w:tcPr>
          <w:p w14:paraId="6E3F3167" w14:textId="30678CAE" w:rsidR="005F75D6" w:rsidRPr="00F32DEC" w:rsidRDefault="005F75D6" w:rsidP="005F75D6">
            <w:pPr>
              <w:jc w:val="center"/>
              <w:rPr>
                <w:rFonts w:ascii="Arial" w:hAnsi="Arial" w:cs="Arial"/>
                <w:color w:val="000000"/>
                <w:sz w:val="22"/>
                <w:szCs w:val="22"/>
              </w:rPr>
            </w:pPr>
            <w:r w:rsidRPr="00F32DEC">
              <w:rPr>
                <w:rFonts w:ascii="Arial" w:hAnsi="Arial" w:cs="Arial"/>
                <w:color w:val="000000"/>
                <w:sz w:val="22"/>
                <w:szCs w:val="22"/>
              </w:rPr>
              <w:t>23</w:t>
            </w:r>
            <w:r w:rsidRPr="008B732F">
              <w:rPr>
                <w:rFonts w:ascii="Arial" w:hAnsi="Arial" w:cs="Arial"/>
                <w:color w:val="000000"/>
                <w:sz w:val="22"/>
                <w:szCs w:val="22"/>
              </w:rPr>
              <w:t xml:space="preserve"> (</w:t>
            </w:r>
            <w:r w:rsidRPr="00F32DEC">
              <w:rPr>
                <w:rFonts w:ascii="Arial" w:hAnsi="Arial" w:cs="Arial"/>
                <w:color w:val="000000"/>
                <w:sz w:val="22"/>
                <w:szCs w:val="22"/>
              </w:rPr>
              <w:t>13,9</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21BB1247" w14:textId="77777777" w:rsidR="00B4479D" w:rsidRDefault="005F75D6" w:rsidP="005F75D6">
            <w:pPr>
              <w:jc w:val="center"/>
              <w:rPr>
                <w:rFonts w:ascii="Arial" w:hAnsi="Arial" w:cs="Arial"/>
                <w:color w:val="000000"/>
                <w:sz w:val="22"/>
                <w:szCs w:val="22"/>
              </w:rPr>
            </w:pPr>
            <w:r w:rsidRPr="00F32DEC">
              <w:rPr>
                <w:rFonts w:ascii="Arial" w:hAnsi="Arial" w:cs="Arial"/>
                <w:color w:val="000000"/>
                <w:sz w:val="22"/>
                <w:szCs w:val="22"/>
              </w:rPr>
              <w:t>23</w:t>
            </w:r>
            <w:r w:rsidRPr="008B732F">
              <w:rPr>
                <w:rFonts w:ascii="Arial" w:hAnsi="Arial" w:cs="Arial"/>
                <w:color w:val="000000"/>
                <w:sz w:val="22"/>
                <w:szCs w:val="22"/>
              </w:rPr>
              <w:t xml:space="preserve"> </w:t>
            </w:r>
          </w:p>
          <w:p w14:paraId="70678C68" w14:textId="579C4976" w:rsidR="005F75D6" w:rsidRPr="00F32DEC" w:rsidRDefault="005F75D6" w:rsidP="005F75D6">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29,5</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60" w:type="dxa"/>
            <w:tcBorders>
              <w:top w:val="nil"/>
              <w:left w:val="nil"/>
              <w:bottom w:val="single" w:sz="4" w:space="0" w:color="333333"/>
              <w:right w:val="single" w:sz="4" w:space="0" w:color="333399"/>
            </w:tcBorders>
            <w:shd w:val="clear" w:color="000000" w:fill="FFFFFF"/>
            <w:noWrap/>
            <w:vAlign w:val="center"/>
            <w:hideMark/>
          </w:tcPr>
          <w:p w14:paraId="110101E0" w14:textId="77777777" w:rsidR="002C7AC6" w:rsidRDefault="005F75D6" w:rsidP="005F75D6">
            <w:pPr>
              <w:jc w:val="center"/>
              <w:rPr>
                <w:rFonts w:ascii="Arial" w:hAnsi="Arial" w:cs="Arial"/>
                <w:color w:val="000000"/>
                <w:sz w:val="22"/>
                <w:szCs w:val="22"/>
              </w:rPr>
            </w:pPr>
            <w:r w:rsidRPr="00F32DEC">
              <w:rPr>
                <w:rFonts w:ascii="Arial" w:hAnsi="Arial" w:cs="Arial"/>
                <w:color w:val="000000"/>
                <w:sz w:val="22"/>
                <w:szCs w:val="22"/>
              </w:rPr>
              <w:t>36</w:t>
            </w:r>
            <w:r w:rsidRPr="008B732F">
              <w:rPr>
                <w:rFonts w:ascii="Arial" w:hAnsi="Arial" w:cs="Arial"/>
                <w:color w:val="000000"/>
                <w:sz w:val="22"/>
                <w:szCs w:val="22"/>
              </w:rPr>
              <w:t xml:space="preserve"> </w:t>
            </w:r>
          </w:p>
          <w:p w14:paraId="578FE292" w14:textId="5C054836" w:rsidR="005F75D6" w:rsidRPr="00F32DEC" w:rsidRDefault="005F75D6" w:rsidP="002C7AC6">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16,4</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36CD26D1" w14:textId="0AD38E9F" w:rsidR="005F75D6" w:rsidRPr="00F32DEC" w:rsidRDefault="005F75D6" w:rsidP="005F75D6">
            <w:pPr>
              <w:jc w:val="center"/>
              <w:rPr>
                <w:rFonts w:ascii="Arial" w:hAnsi="Arial" w:cs="Arial"/>
                <w:color w:val="000000"/>
                <w:sz w:val="22"/>
                <w:szCs w:val="22"/>
              </w:rPr>
            </w:pPr>
            <w:r w:rsidRPr="00F32DEC">
              <w:rPr>
                <w:rFonts w:ascii="Arial" w:hAnsi="Arial" w:cs="Arial"/>
                <w:color w:val="000000"/>
                <w:sz w:val="22"/>
                <w:szCs w:val="22"/>
              </w:rPr>
              <w:t>9</w:t>
            </w:r>
            <w:r w:rsidRPr="008B732F">
              <w:rPr>
                <w:rFonts w:ascii="Arial" w:hAnsi="Arial" w:cs="Arial"/>
                <w:color w:val="000000"/>
                <w:sz w:val="22"/>
                <w:szCs w:val="22"/>
              </w:rPr>
              <w:t xml:space="preserve"> (</w:t>
            </w:r>
            <w:r w:rsidRPr="00F32DEC">
              <w:rPr>
                <w:rFonts w:ascii="Arial" w:hAnsi="Arial" w:cs="Arial"/>
                <w:color w:val="000000"/>
                <w:sz w:val="22"/>
                <w:szCs w:val="22"/>
              </w:rPr>
              <w:t>14,3</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417" w:type="dxa"/>
            <w:tcBorders>
              <w:top w:val="nil"/>
              <w:left w:val="nil"/>
              <w:bottom w:val="single" w:sz="4" w:space="0" w:color="333333"/>
              <w:right w:val="single" w:sz="4" w:space="0" w:color="333399"/>
            </w:tcBorders>
            <w:shd w:val="clear" w:color="000000" w:fill="FFFFFF"/>
            <w:noWrap/>
            <w:vAlign w:val="center"/>
            <w:hideMark/>
          </w:tcPr>
          <w:p w14:paraId="5BE72656" w14:textId="18380095" w:rsidR="005F75D6" w:rsidRPr="00F32DEC" w:rsidRDefault="005F75D6" w:rsidP="005F75D6">
            <w:pPr>
              <w:jc w:val="center"/>
              <w:rPr>
                <w:rFonts w:ascii="Arial" w:hAnsi="Arial" w:cs="Arial"/>
                <w:color w:val="000000"/>
                <w:sz w:val="22"/>
                <w:szCs w:val="22"/>
              </w:rPr>
            </w:pPr>
            <w:r w:rsidRPr="00F32DEC">
              <w:rPr>
                <w:rFonts w:ascii="Arial" w:hAnsi="Arial" w:cs="Arial"/>
                <w:color w:val="000000"/>
                <w:sz w:val="22"/>
                <w:szCs w:val="22"/>
              </w:rPr>
              <w:t>5</w:t>
            </w:r>
            <w:r w:rsidRPr="008B732F">
              <w:rPr>
                <w:rFonts w:ascii="Arial" w:hAnsi="Arial" w:cs="Arial"/>
                <w:color w:val="000000"/>
                <w:sz w:val="22"/>
                <w:szCs w:val="22"/>
              </w:rPr>
              <w:t xml:space="preserve"> (</w:t>
            </w:r>
            <w:r w:rsidRPr="00F32DEC">
              <w:rPr>
                <w:rFonts w:ascii="Arial" w:hAnsi="Arial" w:cs="Arial"/>
                <w:color w:val="000000"/>
                <w:sz w:val="22"/>
                <w:szCs w:val="22"/>
              </w:rPr>
              <w:t>19,2</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993" w:type="dxa"/>
            <w:tcBorders>
              <w:top w:val="nil"/>
              <w:left w:val="nil"/>
              <w:bottom w:val="single" w:sz="4" w:space="0" w:color="333333"/>
              <w:right w:val="single" w:sz="4" w:space="0" w:color="333399"/>
            </w:tcBorders>
            <w:shd w:val="clear" w:color="000000" w:fill="FFFFFF"/>
            <w:noWrap/>
            <w:vAlign w:val="center"/>
            <w:hideMark/>
          </w:tcPr>
          <w:p w14:paraId="5F5010A6" w14:textId="77777777" w:rsidR="00CB6977" w:rsidRDefault="005F75D6" w:rsidP="002C7AC6">
            <w:pPr>
              <w:jc w:val="center"/>
              <w:rPr>
                <w:rFonts w:ascii="Arial" w:hAnsi="Arial" w:cs="Arial"/>
                <w:color w:val="000000"/>
                <w:sz w:val="22"/>
                <w:szCs w:val="22"/>
              </w:rPr>
            </w:pPr>
            <w:r w:rsidRPr="00F32DEC">
              <w:rPr>
                <w:rFonts w:ascii="Arial" w:hAnsi="Arial" w:cs="Arial"/>
                <w:color w:val="000000"/>
                <w:sz w:val="22"/>
                <w:szCs w:val="22"/>
              </w:rPr>
              <w:t>96</w:t>
            </w:r>
            <w:r w:rsidR="002C7AC6">
              <w:rPr>
                <w:rFonts w:ascii="Arial" w:hAnsi="Arial" w:cs="Arial"/>
                <w:color w:val="000000"/>
                <w:sz w:val="22"/>
                <w:szCs w:val="22"/>
              </w:rPr>
              <w:t xml:space="preserve"> </w:t>
            </w:r>
          </w:p>
          <w:p w14:paraId="6EBD7967" w14:textId="6F530768" w:rsidR="005F75D6" w:rsidRPr="00F32DEC" w:rsidRDefault="005F75D6" w:rsidP="002C7AC6">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17,4</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356" w:type="dxa"/>
            <w:vMerge/>
            <w:tcBorders>
              <w:top w:val="nil"/>
              <w:left w:val="single" w:sz="4" w:space="0" w:color="auto"/>
              <w:bottom w:val="single" w:sz="4" w:space="0" w:color="auto"/>
              <w:right w:val="single" w:sz="4" w:space="0" w:color="auto"/>
            </w:tcBorders>
            <w:vAlign w:val="center"/>
            <w:hideMark/>
          </w:tcPr>
          <w:p w14:paraId="75E753FC" w14:textId="77777777" w:rsidR="005F75D6" w:rsidRPr="003656E6" w:rsidRDefault="005F75D6" w:rsidP="00F32DEC">
            <w:pPr>
              <w:rPr>
                <w:rFonts w:ascii="Arial" w:hAnsi="Arial" w:cs="Arial"/>
                <w:b/>
                <w:bCs/>
                <w:color w:val="000000"/>
                <w:sz w:val="22"/>
                <w:szCs w:val="22"/>
              </w:rPr>
            </w:pPr>
          </w:p>
        </w:tc>
      </w:tr>
      <w:tr w:rsidR="00CB6977" w:rsidRPr="00177205" w14:paraId="0794D648" w14:textId="77777777" w:rsidTr="006E31A5">
        <w:trPr>
          <w:trHeight w:val="404"/>
        </w:trPr>
        <w:tc>
          <w:tcPr>
            <w:tcW w:w="1271" w:type="dxa"/>
            <w:vMerge/>
            <w:tcBorders>
              <w:top w:val="nil"/>
              <w:left w:val="single" w:sz="4" w:space="0" w:color="auto"/>
              <w:bottom w:val="single" w:sz="4" w:space="0" w:color="auto"/>
              <w:right w:val="single" w:sz="4" w:space="0" w:color="auto"/>
            </w:tcBorders>
            <w:vAlign w:val="center"/>
            <w:hideMark/>
          </w:tcPr>
          <w:p w14:paraId="4A5FFCEF" w14:textId="77777777" w:rsidR="000031E3" w:rsidRPr="00F32DEC" w:rsidRDefault="000031E3" w:rsidP="00F32DEC">
            <w:pPr>
              <w:rPr>
                <w:rFonts w:ascii="Arial" w:hAnsi="Arial" w:cs="Arial"/>
                <w:color w:val="000000"/>
                <w:sz w:val="22"/>
                <w:szCs w:val="22"/>
              </w:rPr>
            </w:pPr>
          </w:p>
        </w:tc>
        <w:tc>
          <w:tcPr>
            <w:tcW w:w="1418" w:type="dxa"/>
            <w:tcBorders>
              <w:top w:val="nil"/>
              <w:left w:val="nil"/>
              <w:bottom w:val="single" w:sz="4" w:space="0" w:color="auto"/>
              <w:right w:val="single" w:sz="4" w:space="0" w:color="auto"/>
            </w:tcBorders>
            <w:shd w:val="clear" w:color="auto" w:fill="auto"/>
            <w:vAlign w:val="center"/>
            <w:hideMark/>
          </w:tcPr>
          <w:p w14:paraId="5F772774" w14:textId="77777777" w:rsidR="000031E3" w:rsidRPr="00F32DEC" w:rsidRDefault="000031E3" w:rsidP="00F32DEC">
            <w:pPr>
              <w:jc w:val="center"/>
              <w:rPr>
                <w:rFonts w:ascii="Arial" w:hAnsi="Arial" w:cs="Arial"/>
                <w:sz w:val="22"/>
                <w:szCs w:val="22"/>
              </w:rPr>
            </w:pPr>
            <w:r w:rsidRPr="00F32DEC">
              <w:rPr>
                <w:rFonts w:ascii="Arial" w:hAnsi="Arial" w:cs="Arial"/>
                <w:sz w:val="22"/>
                <w:szCs w:val="22"/>
              </w:rPr>
              <w:t>90 a více let</w:t>
            </w:r>
          </w:p>
        </w:tc>
        <w:tc>
          <w:tcPr>
            <w:tcW w:w="1417" w:type="dxa"/>
            <w:tcBorders>
              <w:top w:val="nil"/>
              <w:left w:val="nil"/>
              <w:bottom w:val="single" w:sz="4" w:space="0" w:color="333333"/>
              <w:right w:val="single" w:sz="4" w:space="0" w:color="333399"/>
            </w:tcBorders>
            <w:shd w:val="clear" w:color="000000" w:fill="FFFFFF"/>
            <w:noWrap/>
            <w:vAlign w:val="center"/>
            <w:hideMark/>
          </w:tcPr>
          <w:p w14:paraId="76CA028B" w14:textId="47275387" w:rsidR="000031E3" w:rsidRPr="00F32DEC" w:rsidRDefault="000031E3" w:rsidP="005F75D6">
            <w:pPr>
              <w:jc w:val="center"/>
              <w:rPr>
                <w:rFonts w:ascii="Arial" w:hAnsi="Arial" w:cs="Arial"/>
                <w:color w:val="000000"/>
                <w:sz w:val="22"/>
                <w:szCs w:val="22"/>
              </w:rPr>
            </w:pPr>
            <w:r w:rsidRPr="00F32DEC">
              <w:rPr>
                <w:rFonts w:ascii="Arial" w:hAnsi="Arial" w:cs="Arial"/>
                <w:color w:val="000000"/>
                <w:sz w:val="22"/>
                <w:szCs w:val="22"/>
              </w:rPr>
              <w:t>11</w:t>
            </w:r>
            <w:r w:rsidRPr="008B732F">
              <w:rPr>
                <w:rFonts w:ascii="Arial" w:hAnsi="Arial" w:cs="Arial"/>
                <w:color w:val="000000"/>
                <w:sz w:val="22"/>
                <w:szCs w:val="22"/>
              </w:rPr>
              <w:t xml:space="preserve"> (</w:t>
            </w:r>
            <w:r w:rsidRPr="00F32DEC">
              <w:rPr>
                <w:rFonts w:ascii="Arial" w:hAnsi="Arial" w:cs="Arial"/>
                <w:color w:val="000000"/>
                <w:sz w:val="22"/>
                <w:szCs w:val="22"/>
              </w:rPr>
              <w:t>6,6</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281FC0AE" w14:textId="77777777" w:rsidR="00B4479D" w:rsidRDefault="000031E3" w:rsidP="005F75D6">
            <w:pPr>
              <w:jc w:val="center"/>
              <w:rPr>
                <w:rFonts w:ascii="Arial" w:hAnsi="Arial" w:cs="Arial"/>
                <w:color w:val="000000"/>
                <w:sz w:val="22"/>
                <w:szCs w:val="22"/>
              </w:rPr>
            </w:pPr>
            <w:r w:rsidRPr="00F32DEC">
              <w:rPr>
                <w:rFonts w:ascii="Arial" w:hAnsi="Arial" w:cs="Arial"/>
                <w:color w:val="000000"/>
                <w:sz w:val="22"/>
                <w:szCs w:val="22"/>
              </w:rPr>
              <w:t>13</w:t>
            </w:r>
            <w:r w:rsidRPr="008B732F">
              <w:rPr>
                <w:rFonts w:ascii="Arial" w:hAnsi="Arial" w:cs="Arial"/>
                <w:color w:val="000000"/>
                <w:sz w:val="22"/>
                <w:szCs w:val="22"/>
              </w:rPr>
              <w:t xml:space="preserve"> </w:t>
            </w:r>
          </w:p>
          <w:p w14:paraId="60614D65" w14:textId="1C0FE062" w:rsidR="000031E3" w:rsidRPr="00F32DEC" w:rsidRDefault="000031E3" w:rsidP="005F75D6">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16,7</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60" w:type="dxa"/>
            <w:tcBorders>
              <w:top w:val="nil"/>
              <w:left w:val="nil"/>
              <w:bottom w:val="single" w:sz="4" w:space="0" w:color="333333"/>
              <w:right w:val="single" w:sz="4" w:space="0" w:color="333399"/>
            </w:tcBorders>
            <w:shd w:val="clear" w:color="000000" w:fill="FFFFFF"/>
            <w:noWrap/>
            <w:vAlign w:val="center"/>
            <w:hideMark/>
          </w:tcPr>
          <w:p w14:paraId="74123A70" w14:textId="77777777" w:rsidR="00B4479D" w:rsidRDefault="000031E3" w:rsidP="005F75D6">
            <w:pPr>
              <w:jc w:val="center"/>
              <w:rPr>
                <w:rFonts w:ascii="Arial" w:hAnsi="Arial" w:cs="Arial"/>
                <w:color w:val="000000"/>
                <w:sz w:val="22"/>
                <w:szCs w:val="22"/>
              </w:rPr>
            </w:pPr>
            <w:r w:rsidRPr="00F32DEC">
              <w:rPr>
                <w:rFonts w:ascii="Arial" w:hAnsi="Arial" w:cs="Arial"/>
                <w:color w:val="000000"/>
                <w:sz w:val="22"/>
                <w:szCs w:val="22"/>
              </w:rPr>
              <w:t>39</w:t>
            </w:r>
            <w:r w:rsidRPr="008B732F">
              <w:rPr>
                <w:rFonts w:ascii="Arial" w:hAnsi="Arial" w:cs="Arial"/>
                <w:color w:val="000000"/>
                <w:sz w:val="22"/>
                <w:szCs w:val="22"/>
              </w:rPr>
              <w:t xml:space="preserve"> </w:t>
            </w:r>
          </w:p>
          <w:p w14:paraId="149E29CB" w14:textId="2D857625" w:rsidR="000031E3" w:rsidRPr="00F32DEC" w:rsidRDefault="000031E3" w:rsidP="005F75D6">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17,8</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6B00B98F" w14:textId="26A6F4C2" w:rsidR="000031E3" w:rsidRPr="00F32DEC" w:rsidRDefault="000031E3" w:rsidP="005F75D6">
            <w:pPr>
              <w:jc w:val="center"/>
              <w:rPr>
                <w:rFonts w:ascii="Arial" w:hAnsi="Arial" w:cs="Arial"/>
                <w:color w:val="000000"/>
                <w:sz w:val="22"/>
                <w:szCs w:val="22"/>
              </w:rPr>
            </w:pPr>
            <w:r w:rsidRPr="00F32DEC">
              <w:rPr>
                <w:rFonts w:ascii="Arial" w:hAnsi="Arial" w:cs="Arial"/>
                <w:color w:val="000000"/>
                <w:sz w:val="22"/>
                <w:szCs w:val="22"/>
              </w:rPr>
              <w:t>6</w:t>
            </w:r>
            <w:r w:rsidRPr="008B732F">
              <w:rPr>
                <w:rFonts w:ascii="Arial" w:hAnsi="Arial" w:cs="Arial"/>
                <w:color w:val="000000"/>
                <w:sz w:val="22"/>
                <w:szCs w:val="22"/>
              </w:rPr>
              <w:t xml:space="preserve"> (</w:t>
            </w:r>
            <w:r w:rsidRPr="00F32DEC">
              <w:rPr>
                <w:rFonts w:ascii="Arial" w:hAnsi="Arial" w:cs="Arial"/>
                <w:color w:val="000000"/>
                <w:sz w:val="22"/>
                <w:szCs w:val="22"/>
              </w:rPr>
              <w:t>9,5</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417" w:type="dxa"/>
            <w:tcBorders>
              <w:top w:val="nil"/>
              <w:left w:val="nil"/>
              <w:bottom w:val="single" w:sz="4" w:space="0" w:color="333333"/>
              <w:right w:val="single" w:sz="4" w:space="0" w:color="333399"/>
            </w:tcBorders>
            <w:shd w:val="clear" w:color="000000" w:fill="FFFFFF"/>
            <w:noWrap/>
            <w:vAlign w:val="center"/>
            <w:hideMark/>
          </w:tcPr>
          <w:p w14:paraId="23D89A78" w14:textId="1DAAE40E" w:rsidR="000031E3" w:rsidRPr="00F32DEC" w:rsidRDefault="000031E3" w:rsidP="005F75D6">
            <w:pPr>
              <w:jc w:val="center"/>
              <w:rPr>
                <w:rFonts w:ascii="Arial" w:hAnsi="Arial" w:cs="Arial"/>
                <w:color w:val="000000"/>
                <w:sz w:val="22"/>
                <w:szCs w:val="22"/>
              </w:rPr>
            </w:pPr>
            <w:r w:rsidRPr="00F32DEC">
              <w:rPr>
                <w:rFonts w:ascii="Arial" w:hAnsi="Arial" w:cs="Arial"/>
                <w:color w:val="000000"/>
                <w:sz w:val="22"/>
                <w:szCs w:val="22"/>
              </w:rPr>
              <w:t>1</w:t>
            </w:r>
            <w:r w:rsidRPr="008B732F">
              <w:rPr>
                <w:rFonts w:ascii="Arial" w:hAnsi="Arial" w:cs="Arial"/>
                <w:color w:val="000000"/>
                <w:sz w:val="22"/>
                <w:szCs w:val="22"/>
              </w:rPr>
              <w:t xml:space="preserve"> (</w:t>
            </w:r>
            <w:r w:rsidRPr="00F32DEC">
              <w:rPr>
                <w:rFonts w:ascii="Arial" w:hAnsi="Arial" w:cs="Arial"/>
                <w:color w:val="000000"/>
                <w:sz w:val="22"/>
                <w:szCs w:val="22"/>
              </w:rPr>
              <w:t>3,8</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993" w:type="dxa"/>
            <w:tcBorders>
              <w:top w:val="nil"/>
              <w:left w:val="nil"/>
              <w:bottom w:val="single" w:sz="4" w:space="0" w:color="333333"/>
              <w:right w:val="single" w:sz="4" w:space="0" w:color="333399"/>
            </w:tcBorders>
            <w:shd w:val="clear" w:color="000000" w:fill="FFFFFF"/>
            <w:noWrap/>
            <w:vAlign w:val="center"/>
            <w:hideMark/>
          </w:tcPr>
          <w:p w14:paraId="2F4FE326" w14:textId="77777777" w:rsidR="00CB6977" w:rsidRDefault="000031E3" w:rsidP="002C7AC6">
            <w:pPr>
              <w:jc w:val="center"/>
              <w:rPr>
                <w:rFonts w:ascii="Arial" w:hAnsi="Arial" w:cs="Arial"/>
                <w:color w:val="000000"/>
                <w:sz w:val="22"/>
                <w:szCs w:val="22"/>
              </w:rPr>
            </w:pPr>
            <w:r w:rsidRPr="00F32DEC">
              <w:rPr>
                <w:rFonts w:ascii="Arial" w:hAnsi="Arial" w:cs="Arial"/>
                <w:color w:val="000000"/>
                <w:sz w:val="22"/>
                <w:szCs w:val="22"/>
              </w:rPr>
              <w:t>70</w:t>
            </w:r>
            <w:r w:rsidR="002C7AC6">
              <w:rPr>
                <w:rFonts w:ascii="Arial" w:hAnsi="Arial" w:cs="Arial"/>
                <w:color w:val="000000"/>
                <w:sz w:val="22"/>
                <w:szCs w:val="22"/>
              </w:rPr>
              <w:t xml:space="preserve"> </w:t>
            </w:r>
          </w:p>
          <w:p w14:paraId="7AE5FF32" w14:textId="19D584AF" w:rsidR="000031E3" w:rsidRPr="00F32DEC" w:rsidRDefault="000031E3" w:rsidP="002C7AC6">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12,7</w:t>
            </w:r>
            <w:r w:rsidR="008D0C26">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356" w:type="dxa"/>
            <w:vMerge/>
            <w:tcBorders>
              <w:top w:val="nil"/>
              <w:left w:val="single" w:sz="4" w:space="0" w:color="auto"/>
              <w:bottom w:val="single" w:sz="4" w:space="0" w:color="auto"/>
              <w:right w:val="single" w:sz="4" w:space="0" w:color="auto"/>
            </w:tcBorders>
            <w:vAlign w:val="center"/>
            <w:hideMark/>
          </w:tcPr>
          <w:p w14:paraId="647C1740" w14:textId="77777777" w:rsidR="000031E3" w:rsidRPr="003656E6" w:rsidRDefault="000031E3" w:rsidP="00F32DEC">
            <w:pPr>
              <w:rPr>
                <w:rFonts w:ascii="Arial" w:hAnsi="Arial" w:cs="Arial"/>
                <w:b/>
                <w:bCs/>
                <w:color w:val="000000"/>
                <w:sz w:val="22"/>
                <w:szCs w:val="22"/>
              </w:rPr>
            </w:pPr>
          </w:p>
        </w:tc>
      </w:tr>
      <w:tr w:rsidR="00CB6977" w:rsidRPr="00177205" w14:paraId="1A8AA708" w14:textId="77777777" w:rsidTr="006E31A5">
        <w:trPr>
          <w:trHeight w:val="300"/>
        </w:trPr>
        <w:tc>
          <w:tcPr>
            <w:tcW w:w="1271" w:type="dxa"/>
            <w:vMerge w:val="restart"/>
            <w:tcBorders>
              <w:top w:val="nil"/>
              <w:left w:val="single" w:sz="4" w:space="0" w:color="auto"/>
              <w:bottom w:val="single" w:sz="4" w:space="0" w:color="000000"/>
              <w:right w:val="single" w:sz="4" w:space="0" w:color="auto"/>
            </w:tcBorders>
            <w:shd w:val="clear" w:color="auto" w:fill="auto"/>
            <w:vAlign w:val="center"/>
            <w:hideMark/>
          </w:tcPr>
          <w:p w14:paraId="3A9F3341" w14:textId="77777777" w:rsidR="00EC5E24" w:rsidRDefault="000031E3" w:rsidP="00F32DEC">
            <w:pPr>
              <w:jc w:val="center"/>
              <w:rPr>
                <w:rFonts w:ascii="Arial" w:hAnsi="Arial" w:cs="Arial"/>
                <w:color w:val="000000"/>
                <w:sz w:val="22"/>
                <w:szCs w:val="22"/>
              </w:rPr>
            </w:pPr>
            <w:r w:rsidRPr="00F32DEC">
              <w:rPr>
                <w:rFonts w:ascii="Arial" w:hAnsi="Arial" w:cs="Arial"/>
                <w:color w:val="000000"/>
                <w:sz w:val="22"/>
                <w:szCs w:val="22"/>
              </w:rPr>
              <w:t>Způsob</w:t>
            </w:r>
          </w:p>
          <w:p w14:paraId="4F0A76F2" w14:textId="37A7C78D" w:rsidR="00ED602B" w:rsidRPr="008B732F" w:rsidRDefault="000031E3" w:rsidP="00F32DEC">
            <w:pPr>
              <w:jc w:val="center"/>
              <w:rPr>
                <w:rFonts w:ascii="Arial" w:hAnsi="Arial" w:cs="Arial"/>
                <w:color w:val="000000"/>
                <w:sz w:val="22"/>
                <w:szCs w:val="22"/>
              </w:rPr>
            </w:pPr>
            <w:r w:rsidRPr="00F32DEC">
              <w:rPr>
                <w:rFonts w:ascii="Arial" w:hAnsi="Arial" w:cs="Arial"/>
                <w:color w:val="000000"/>
                <w:sz w:val="22"/>
                <w:szCs w:val="22"/>
              </w:rPr>
              <w:t xml:space="preserve">dopravy </w:t>
            </w:r>
          </w:p>
          <w:p w14:paraId="73ED4E70" w14:textId="29842EF7" w:rsidR="000031E3" w:rsidRPr="00F32DEC" w:rsidRDefault="000031E3" w:rsidP="00F32DEC">
            <w:pPr>
              <w:jc w:val="center"/>
              <w:rPr>
                <w:rFonts w:ascii="Arial" w:hAnsi="Arial" w:cs="Arial"/>
                <w:color w:val="000000"/>
                <w:sz w:val="22"/>
                <w:szCs w:val="22"/>
              </w:rPr>
            </w:pPr>
            <w:r w:rsidRPr="00F32DEC">
              <w:rPr>
                <w:rFonts w:ascii="Arial" w:hAnsi="Arial" w:cs="Arial"/>
                <w:color w:val="000000"/>
                <w:sz w:val="22"/>
                <w:szCs w:val="22"/>
              </w:rPr>
              <w:t>k ošetření</w:t>
            </w:r>
          </w:p>
        </w:tc>
        <w:tc>
          <w:tcPr>
            <w:tcW w:w="1418" w:type="dxa"/>
            <w:tcBorders>
              <w:top w:val="nil"/>
              <w:left w:val="nil"/>
              <w:bottom w:val="single" w:sz="4" w:space="0" w:color="auto"/>
              <w:right w:val="single" w:sz="4" w:space="0" w:color="auto"/>
            </w:tcBorders>
            <w:shd w:val="clear" w:color="auto" w:fill="auto"/>
            <w:vAlign w:val="center"/>
            <w:hideMark/>
          </w:tcPr>
          <w:p w14:paraId="71E7070F" w14:textId="77777777" w:rsidR="000031E3" w:rsidRPr="00F32DEC" w:rsidRDefault="000031E3" w:rsidP="00F32DEC">
            <w:pPr>
              <w:jc w:val="center"/>
              <w:rPr>
                <w:rFonts w:ascii="Arial" w:hAnsi="Arial" w:cs="Arial"/>
                <w:sz w:val="22"/>
                <w:szCs w:val="22"/>
              </w:rPr>
            </w:pPr>
            <w:r w:rsidRPr="00F32DEC">
              <w:rPr>
                <w:rFonts w:ascii="Arial" w:hAnsi="Arial" w:cs="Arial"/>
                <w:sz w:val="22"/>
                <w:szCs w:val="22"/>
              </w:rPr>
              <w:t>ZZS</w:t>
            </w:r>
          </w:p>
        </w:tc>
        <w:tc>
          <w:tcPr>
            <w:tcW w:w="1417" w:type="dxa"/>
            <w:tcBorders>
              <w:top w:val="nil"/>
              <w:left w:val="nil"/>
              <w:bottom w:val="single" w:sz="4" w:space="0" w:color="333333"/>
              <w:right w:val="single" w:sz="4" w:space="0" w:color="333399"/>
            </w:tcBorders>
            <w:shd w:val="clear" w:color="000000" w:fill="FFFFFF"/>
            <w:noWrap/>
            <w:vAlign w:val="center"/>
            <w:hideMark/>
          </w:tcPr>
          <w:p w14:paraId="6AC1789A" w14:textId="1C32D8E2" w:rsidR="000031E3" w:rsidRPr="00F32DEC" w:rsidRDefault="000031E3" w:rsidP="005F75D6">
            <w:pPr>
              <w:jc w:val="center"/>
              <w:rPr>
                <w:rFonts w:ascii="Arial" w:hAnsi="Arial" w:cs="Arial"/>
                <w:color w:val="000000"/>
                <w:sz w:val="22"/>
                <w:szCs w:val="22"/>
              </w:rPr>
            </w:pPr>
            <w:r w:rsidRPr="00F32DEC">
              <w:rPr>
                <w:rFonts w:ascii="Arial" w:hAnsi="Arial" w:cs="Arial"/>
                <w:color w:val="000000"/>
                <w:sz w:val="22"/>
                <w:szCs w:val="22"/>
              </w:rPr>
              <w:t>74</w:t>
            </w:r>
            <w:r w:rsidRPr="008B732F">
              <w:rPr>
                <w:rFonts w:ascii="Arial" w:hAnsi="Arial" w:cs="Arial"/>
                <w:color w:val="000000"/>
                <w:sz w:val="22"/>
                <w:szCs w:val="22"/>
              </w:rPr>
              <w:t xml:space="preserve"> (</w:t>
            </w:r>
            <w:r w:rsidRPr="00F32DEC">
              <w:rPr>
                <w:rFonts w:ascii="Arial" w:hAnsi="Arial" w:cs="Arial"/>
                <w:color w:val="000000"/>
                <w:sz w:val="22"/>
                <w:szCs w:val="22"/>
              </w:rPr>
              <w:t>44,8</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4C395041" w14:textId="77777777" w:rsidR="00B4479D" w:rsidRDefault="000031E3" w:rsidP="005F75D6">
            <w:pPr>
              <w:jc w:val="center"/>
              <w:rPr>
                <w:rFonts w:ascii="Arial" w:hAnsi="Arial" w:cs="Arial"/>
                <w:color w:val="000000"/>
                <w:sz w:val="22"/>
                <w:szCs w:val="22"/>
              </w:rPr>
            </w:pPr>
            <w:r w:rsidRPr="00F32DEC">
              <w:rPr>
                <w:rFonts w:ascii="Arial" w:hAnsi="Arial" w:cs="Arial"/>
                <w:color w:val="000000"/>
                <w:sz w:val="22"/>
                <w:szCs w:val="22"/>
              </w:rPr>
              <w:t>62</w:t>
            </w:r>
            <w:r w:rsidRPr="008B732F">
              <w:rPr>
                <w:rFonts w:ascii="Arial" w:hAnsi="Arial" w:cs="Arial"/>
                <w:color w:val="000000"/>
                <w:sz w:val="22"/>
                <w:szCs w:val="22"/>
              </w:rPr>
              <w:t xml:space="preserve"> </w:t>
            </w:r>
          </w:p>
          <w:p w14:paraId="7FB97596" w14:textId="74D5E183" w:rsidR="000031E3" w:rsidRPr="00F32DEC" w:rsidRDefault="000031E3" w:rsidP="005F75D6">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80,5</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60" w:type="dxa"/>
            <w:tcBorders>
              <w:top w:val="nil"/>
              <w:left w:val="nil"/>
              <w:bottom w:val="single" w:sz="4" w:space="0" w:color="333333"/>
              <w:right w:val="single" w:sz="4" w:space="0" w:color="333399"/>
            </w:tcBorders>
            <w:shd w:val="clear" w:color="000000" w:fill="FFFFFF"/>
            <w:noWrap/>
            <w:vAlign w:val="center"/>
            <w:hideMark/>
          </w:tcPr>
          <w:p w14:paraId="79D06ECD" w14:textId="77777777" w:rsidR="00B4479D" w:rsidRDefault="000031E3" w:rsidP="005F75D6">
            <w:pPr>
              <w:jc w:val="center"/>
              <w:rPr>
                <w:rFonts w:ascii="Arial" w:hAnsi="Arial" w:cs="Arial"/>
                <w:color w:val="000000"/>
                <w:sz w:val="22"/>
                <w:szCs w:val="22"/>
              </w:rPr>
            </w:pPr>
            <w:r w:rsidRPr="00F32DEC">
              <w:rPr>
                <w:rFonts w:ascii="Arial" w:hAnsi="Arial" w:cs="Arial"/>
                <w:color w:val="000000"/>
                <w:sz w:val="22"/>
                <w:szCs w:val="22"/>
              </w:rPr>
              <w:t>142</w:t>
            </w:r>
            <w:r w:rsidRPr="008B732F">
              <w:rPr>
                <w:rFonts w:ascii="Arial" w:hAnsi="Arial" w:cs="Arial"/>
                <w:color w:val="000000"/>
                <w:sz w:val="22"/>
                <w:szCs w:val="22"/>
              </w:rPr>
              <w:t xml:space="preserve"> </w:t>
            </w:r>
          </w:p>
          <w:p w14:paraId="3C32B5D2" w14:textId="701BE942" w:rsidR="000031E3" w:rsidRPr="00F32DEC" w:rsidRDefault="000031E3" w:rsidP="005F75D6">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65,7</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4B055EF7" w14:textId="7AB95649" w:rsidR="000031E3" w:rsidRPr="00F32DEC" w:rsidRDefault="000031E3" w:rsidP="005F75D6">
            <w:pPr>
              <w:jc w:val="center"/>
              <w:rPr>
                <w:rFonts w:ascii="Arial" w:hAnsi="Arial" w:cs="Arial"/>
                <w:color w:val="000000"/>
                <w:sz w:val="22"/>
                <w:szCs w:val="22"/>
              </w:rPr>
            </w:pPr>
            <w:r w:rsidRPr="00F32DEC">
              <w:rPr>
                <w:rFonts w:ascii="Arial" w:hAnsi="Arial" w:cs="Arial"/>
                <w:color w:val="000000"/>
                <w:sz w:val="22"/>
                <w:szCs w:val="22"/>
              </w:rPr>
              <w:t>50</w:t>
            </w:r>
            <w:r w:rsidRPr="008B732F">
              <w:rPr>
                <w:rFonts w:ascii="Arial" w:hAnsi="Arial" w:cs="Arial"/>
                <w:color w:val="000000"/>
                <w:sz w:val="22"/>
                <w:szCs w:val="22"/>
              </w:rPr>
              <w:t xml:space="preserve"> (</w:t>
            </w:r>
            <w:r w:rsidRPr="00F32DEC">
              <w:rPr>
                <w:rFonts w:ascii="Arial" w:hAnsi="Arial" w:cs="Arial"/>
                <w:color w:val="000000"/>
                <w:sz w:val="22"/>
                <w:szCs w:val="22"/>
              </w:rPr>
              <w:t>79,4</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417" w:type="dxa"/>
            <w:tcBorders>
              <w:top w:val="nil"/>
              <w:left w:val="nil"/>
              <w:bottom w:val="single" w:sz="4" w:space="0" w:color="333333"/>
              <w:right w:val="single" w:sz="4" w:space="0" w:color="333399"/>
            </w:tcBorders>
            <w:shd w:val="clear" w:color="000000" w:fill="FFFFFF"/>
            <w:noWrap/>
            <w:vAlign w:val="center"/>
            <w:hideMark/>
          </w:tcPr>
          <w:p w14:paraId="61D33EDF" w14:textId="33F14ED5" w:rsidR="000031E3" w:rsidRPr="00F32DEC" w:rsidRDefault="000031E3" w:rsidP="005F75D6">
            <w:pPr>
              <w:jc w:val="center"/>
              <w:rPr>
                <w:rFonts w:ascii="Arial" w:hAnsi="Arial" w:cs="Arial"/>
                <w:color w:val="000000"/>
                <w:sz w:val="22"/>
                <w:szCs w:val="22"/>
              </w:rPr>
            </w:pPr>
            <w:r w:rsidRPr="00F32DEC">
              <w:rPr>
                <w:rFonts w:ascii="Arial" w:hAnsi="Arial" w:cs="Arial"/>
                <w:color w:val="000000"/>
                <w:sz w:val="22"/>
                <w:szCs w:val="22"/>
              </w:rPr>
              <w:t>19</w:t>
            </w:r>
            <w:r w:rsidRPr="008B732F">
              <w:rPr>
                <w:rFonts w:ascii="Arial" w:hAnsi="Arial" w:cs="Arial"/>
                <w:color w:val="000000"/>
                <w:sz w:val="22"/>
                <w:szCs w:val="22"/>
              </w:rPr>
              <w:t xml:space="preserve"> (</w:t>
            </w:r>
            <w:r w:rsidRPr="00F32DEC">
              <w:rPr>
                <w:rFonts w:ascii="Arial" w:hAnsi="Arial" w:cs="Arial"/>
                <w:color w:val="000000"/>
                <w:sz w:val="22"/>
                <w:szCs w:val="22"/>
              </w:rPr>
              <w:t>73,1</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993" w:type="dxa"/>
            <w:tcBorders>
              <w:top w:val="nil"/>
              <w:left w:val="nil"/>
              <w:bottom w:val="single" w:sz="4" w:space="0" w:color="333333"/>
              <w:right w:val="single" w:sz="4" w:space="0" w:color="333399"/>
            </w:tcBorders>
            <w:shd w:val="clear" w:color="000000" w:fill="FFFFFF"/>
            <w:noWrap/>
            <w:vAlign w:val="center"/>
            <w:hideMark/>
          </w:tcPr>
          <w:p w14:paraId="1F288A7A" w14:textId="77777777" w:rsidR="00CB6977" w:rsidRDefault="000031E3" w:rsidP="000031E3">
            <w:pPr>
              <w:jc w:val="center"/>
              <w:rPr>
                <w:rFonts w:ascii="Arial" w:hAnsi="Arial" w:cs="Arial"/>
                <w:color w:val="000000"/>
                <w:sz w:val="22"/>
                <w:szCs w:val="22"/>
              </w:rPr>
            </w:pPr>
            <w:r w:rsidRPr="00F32DEC">
              <w:rPr>
                <w:rFonts w:ascii="Arial" w:hAnsi="Arial" w:cs="Arial"/>
                <w:color w:val="000000"/>
                <w:sz w:val="22"/>
                <w:szCs w:val="22"/>
              </w:rPr>
              <w:t>347</w:t>
            </w:r>
            <w:r w:rsidRPr="008B732F">
              <w:rPr>
                <w:rFonts w:ascii="Arial" w:hAnsi="Arial" w:cs="Arial"/>
                <w:color w:val="000000"/>
                <w:sz w:val="22"/>
                <w:szCs w:val="22"/>
              </w:rPr>
              <w:t xml:space="preserve"> </w:t>
            </w:r>
          </w:p>
          <w:p w14:paraId="63842784" w14:textId="1F9B2D60" w:rsidR="000031E3" w:rsidRPr="00F32DEC" w:rsidRDefault="000031E3" w:rsidP="000031E3">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63,4</w:t>
            </w:r>
            <w:r w:rsidR="008D0C26">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356" w:type="dxa"/>
            <w:vMerge w:val="restart"/>
            <w:tcBorders>
              <w:top w:val="nil"/>
              <w:left w:val="single" w:sz="4" w:space="0" w:color="auto"/>
              <w:bottom w:val="single" w:sz="4" w:space="0" w:color="000000"/>
              <w:right w:val="single" w:sz="4" w:space="0" w:color="auto"/>
            </w:tcBorders>
            <w:shd w:val="clear" w:color="auto" w:fill="auto"/>
            <w:vAlign w:val="center"/>
            <w:hideMark/>
          </w:tcPr>
          <w:p w14:paraId="5FECCD3E" w14:textId="3895FC9D" w:rsidR="000031E3" w:rsidRPr="003656E6" w:rsidRDefault="00502910" w:rsidP="00F32DEC">
            <w:pPr>
              <w:jc w:val="center"/>
              <w:rPr>
                <w:rFonts w:ascii="Arial" w:hAnsi="Arial" w:cs="Arial"/>
                <w:b/>
                <w:bCs/>
                <w:color w:val="000000"/>
                <w:sz w:val="22"/>
                <w:szCs w:val="22"/>
              </w:rPr>
            </w:pPr>
            <w:r w:rsidRPr="003656E6">
              <w:rPr>
                <w:rFonts w:ascii="Arial" w:hAnsi="Arial" w:cs="Arial"/>
                <w:b/>
                <w:bCs/>
                <w:color w:val="000000"/>
                <w:sz w:val="22"/>
                <w:szCs w:val="22"/>
              </w:rPr>
              <w:t xml:space="preserve">p </w:t>
            </w:r>
            <w:r w:rsidR="000031E3" w:rsidRPr="003656E6">
              <w:rPr>
                <w:rFonts w:ascii="Arial" w:hAnsi="Arial" w:cs="Arial"/>
                <w:b/>
                <w:bCs/>
                <w:color w:val="000000"/>
                <w:sz w:val="22"/>
                <w:szCs w:val="22"/>
              </w:rPr>
              <w:t>&lt;0,001 CV=0,230</w:t>
            </w:r>
          </w:p>
        </w:tc>
      </w:tr>
      <w:tr w:rsidR="00CB6977" w:rsidRPr="00177205" w14:paraId="33ECB9E2" w14:textId="77777777" w:rsidTr="006E31A5">
        <w:trPr>
          <w:trHeight w:val="517"/>
        </w:trPr>
        <w:tc>
          <w:tcPr>
            <w:tcW w:w="1271" w:type="dxa"/>
            <w:vMerge/>
            <w:tcBorders>
              <w:top w:val="nil"/>
              <w:left w:val="single" w:sz="4" w:space="0" w:color="auto"/>
              <w:bottom w:val="single" w:sz="4" w:space="0" w:color="000000"/>
              <w:right w:val="single" w:sz="4" w:space="0" w:color="auto"/>
            </w:tcBorders>
            <w:vAlign w:val="center"/>
            <w:hideMark/>
          </w:tcPr>
          <w:p w14:paraId="543699C6" w14:textId="77777777" w:rsidR="000031E3" w:rsidRPr="00F32DEC" w:rsidRDefault="000031E3" w:rsidP="00F32DEC">
            <w:pPr>
              <w:rPr>
                <w:rFonts w:ascii="Arial" w:hAnsi="Arial" w:cs="Arial"/>
                <w:color w:val="000000"/>
                <w:sz w:val="22"/>
                <w:szCs w:val="22"/>
              </w:rPr>
            </w:pPr>
          </w:p>
        </w:tc>
        <w:tc>
          <w:tcPr>
            <w:tcW w:w="1418" w:type="dxa"/>
            <w:tcBorders>
              <w:top w:val="nil"/>
              <w:left w:val="nil"/>
              <w:bottom w:val="single" w:sz="4" w:space="0" w:color="auto"/>
              <w:right w:val="single" w:sz="4" w:space="0" w:color="auto"/>
            </w:tcBorders>
            <w:shd w:val="clear" w:color="auto" w:fill="auto"/>
            <w:vAlign w:val="center"/>
            <w:hideMark/>
          </w:tcPr>
          <w:p w14:paraId="0D25C89C" w14:textId="77777777" w:rsidR="00080FEA" w:rsidRDefault="000031E3" w:rsidP="00F32DEC">
            <w:pPr>
              <w:jc w:val="center"/>
              <w:rPr>
                <w:rFonts w:ascii="Arial" w:hAnsi="Arial" w:cs="Arial"/>
                <w:sz w:val="22"/>
                <w:szCs w:val="22"/>
              </w:rPr>
            </w:pPr>
            <w:r w:rsidRPr="00F32DEC">
              <w:rPr>
                <w:rFonts w:ascii="Arial" w:hAnsi="Arial" w:cs="Arial"/>
                <w:sz w:val="22"/>
                <w:szCs w:val="22"/>
              </w:rPr>
              <w:t>Sám(a)/</w:t>
            </w:r>
          </w:p>
          <w:p w14:paraId="4DB61FCA" w14:textId="427E94F8" w:rsidR="000031E3" w:rsidRPr="00F32DEC" w:rsidRDefault="000031E3" w:rsidP="00F32DEC">
            <w:pPr>
              <w:jc w:val="center"/>
              <w:rPr>
                <w:rFonts w:ascii="Arial" w:hAnsi="Arial" w:cs="Arial"/>
                <w:sz w:val="22"/>
                <w:szCs w:val="22"/>
              </w:rPr>
            </w:pPr>
            <w:r w:rsidRPr="00F32DEC">
              <w:rPr>
                <w:rFonts w:ascii="Arial" w:hAnsi="Arial" w:cs="Arial"/>
                <w:sz w:val="22"/>
                <w:szCs w:val="22"/>
              </w:rPr>
              <w:t>doprovod</w:t>
            </w:r>
          </w:p>
        </w:tc>
        <w:tc>
          <w:tcPr>
            <w:tcW w:w="1417" w:type="dxa"/>
            <w:tcBorders>
              <w:top w:val="nil"/>
              <w:left w:val="nil"/>
              <w:bottom w:val="single" w:sz="4" w:space="0" w:color="333333"/>
              <w:right w:val="single" w:sz="4" w:space="0" w:color="333399"/>
            </w:tcBorders>
            <w:shd w:val="clear" w:color="000000" w:fill="FFFFFF"/>
            <w:noWrap/>
            <w:vAlign w:val="center"/>
            <w:hideMark/>
          </w:tcPr>
          <w:p w14:paraId="79FBB939" w14:textId="42710C42" w:rsidR="000031E3" w:rsidRPr="00F32DEC" w:rsidRDefault="000031E3" w:rsidP="005F75D6">
            <w:pPr>
              <w:jc w:val="center"/>
              <w:rPr>
                <w:rFonts w:ascii="Arial" w:hAnsi="Arial" w:cs="Arial"/>
                <w:color w:val="000000"/>
                <w:sz w:val="22"/>
                <w:szCs w:val="22"/>
              </w:rPr>
            </w:pPr>
            <w:r w:rsidRPr="00F32DEC">
              <w:rPr>
                <w:rFonts w:ascii="Arial" w:hAnsi="Arial" w:cs="Arial"/>
                <w:color w:val="000000"/>
                <w:sz w:val="22"/>
                <w:szCs w:val="22"/>
              </w:rPr>
              <w:t>64</w:t>
            </w:r>
            <w:r w:rsidRPr="008B732F">
              <w:rPr>
                <w:rFonts w:ascii="Arial" w:hAnsi="Arial" w:cs="Arial"/>
                <w:color w:val="000000"/>
                <w:sz w:val="22"/>
                <w:szCs w:val="22"/>
              </w:rPr>
              <w:t xml:space="preserve"> (</w:t>
            </w:r>
            <w:r w:rsidRPr="00F32DEC">
              <w:rPr>
                <w:rFonts w:ascii="Arial" w:hAnsi="Arial" w:cs="Arial"/>
                <w:color w:val="000000"/>
                <w:sz w:val="22"/>
                <w:szCs w:val="22"/>
              </w:rPr>
              <w:t>38,8</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45FDCA54" w14:textId="6551A0EF" w:rsidR="000031E3" w:rsidRPr="00F32DEC" w:rsidRDefault="000031E3" w:rsidP="005F75D6">
            <w:pPr>
              <w:jc w:val="center"/>
              <w:rPr>
                <w:rFonts w:ascii="Arial" w:hAnsi="Arial" w:cs="Arial"/>
                <w:color w:val="000000"/>
                <w:sz w:val="22"/>
                <w:szCs w:val="22"/>
              </w:rPr>
            </w:pPr>
            <w:r w:rsidRPr="00F32DEC">
              <w:rPr>
                <w:rFonts w:ascii="Arial" w:hAnsi="Arial" w:cs="Arial"/>
                <w:color w:val="000000"/>
                <w:sz w:val="22"/>
                <w:szCs w:val="22"/>
              </w:rPr>
              <w:t>1</w:t>
            </w:r>
            <w:r w:rsidRPr="008B732F">
              <w:rPr>
                <w:rFonts w:ascii="Arial" w:hAnsi="Arial" w:cs="Arial"/>
                <w:color w:val="000000"/>
                <w:sz w:val="22"/>
                <w:szCs w:val="22"/>
              </w:rPr>
              <w:t xml:space="preserve"> (</w:t>
            </w:r>
            <w:r w:rsidRPr="00F32DEC">
              <w:rPr>
                <w:rFonts w:ascii="Arial" w:hAnsi="Arial" w:cs="Arial"/>
                <w:color w:val="000000"/>
                <w:sz w:val="22"/>
                <w:szCs w:val="22"/>
              </w:rPr>
              <w:t>1,3</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60" w:type="dxa"/>
            <w:tcBorders>
              <w:top w:val="nil"/>
              <w:left w:val="nil"/>
              <w:bottom w:val="single" w:sz="4" w:space="0" w:color="333333"/>
              <w:right w:val="single" w:sz="4" w:space="0" w:color="333399"/>
            </w:tcBorders>
            <w:shd w:val="clear" w:color="000000" w:fill="FFFFFF"/>
            <w:noWrap/>
            <w:vAlign w:val="center"/>
            <w:hideMark/>
          </w:tcPr>
          <w:p w14:paraId="000AB1A6" w14:textId="77777777" w:rsidR="00B4479D" w:rsidRDefault="000031E3" w:rsidP="005F75D6">
            <w:pPr>
              <w:jc w:val="center"/>
              <w:rPr>
                <w:rFonts w:ascii="Arial" w:hAnsi="Arial" w:cs="Arial"/>
                <w:color w:val="000000"/>
                <w:sz w:val="22"/>
                <w:szCs w:val="22"/>
              </w:rPr>
            </w:pPr>
            <w:r w:rsidRPr="00F32DEC">
              <w:rPr>
                <w:rFonts w:ascii="Arial" w:hAnsi="Arial" w:cs="Arial"/>
                <w:color w:val="000000"/>
                <w:sz w:val="22"/>
                <w:szCs w:val="22"/>
              </w:rPr>
              <w:t>24</w:t>
            </w:r>
            <w:r w:rsidRPr="008B732F">
              <w:rPr>
                <w:rFonts w:ascii="Arial" w:hAnsi="Arial" w:cs="Arial"/>
                <w:color w:val="000000"/>
                <w:sz w:val="22"/>
                <w:szCs w:val="22"/>
              </w:rPr>
              <w:t xml:space="preserve"> </w:t>
            </w:r>
          </w:p>
          <w:p w14:paraId="416969B9" w14:textId="30BDE519" w:rsidR="000031E3" w:rsidRPr="00F32DEC" w:rsidRDefault="000031E3" w:rsidP="005F75D6">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11,1</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0495CE25" w14:textId="01552D0D" w:rsidR="000031E3" w:rsidRPr="00F32DEC" w:rsidRDefault="000031E3" w:rsidP="005F75D6">
            <w:pPr>
              <w:jc w:val="center"/>
              <w:rPr>
                <w:rFonts w:ascii="Arial" w:hAnsi="Arial" w:cs="Arial"/>
                <w:color w:val="000000"/>
                <w:sz w:val="22"/>
                <w:szCs w:val="22"/>
              </w:rPr>
            </w:pPr>
            <w:r w:rsidRPr="00F32DEC">
              <w:rPr>
                <w:rFonts w:ascii="Arial" w:hAnsi="Arial" w:cs="Arial"/>
                <w:color w:val="000000"/>
                <w:sz w:val="22"/>
                <w:szCs w:val="22"/>
              </w:rPr>
              <w:t>6</w:t>
            </w:r>
            <w:r w:rsidRPr="008B732F">
              <w:rPr>
                <w:rFonts w:ascii="Arial" w:hAnsi="Arial" w:cs="Arial"/>
                <w:color w:val="000000"/>
                <w:sz w:val="22"/>
                <w:szCs w:val="22"/>
              </w:rPr>
              <w:t xml:space="preserve"> (</w:t>
            </w:r>
            <w:r w:rsidRPr="00F32DEC">
              <w:rPr>
                <w:rFonts w:ascii="Arial" w:hAnsi="Arial" w:cs="Arial"/>
                <w:color w:val="000000"/>
                <w:sz w:val="22"/>
                <w:szCs w:val="22"/>
              </w:rPr>
              <w:t>9,5</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417" w:type="dxa"/>
            <w:tcBorders>
              <w:top w:val="nil"/>
              <w:left w:val="nil"/>
              <w:bottom w:val="single" w:sz="4" w:space="0" w:color="333333"/>
              <w:right w:val="single" w:sz="4" w:space="0" w:color="333399"/>
            </w:tcBorders>
            <w:shd w:val="clear" w:color="000000" w:fill="FFFFFF"/>
            <w:noWrap/>
            <w:vAlign w:val="center"/>
            <w:hideMark/>
          </w:tcPr>
          <w:p w14:paraId="0D3A5035" w14:textId="11518534" w:rsidR="000031E3" w:rsidRPr="00F32DEC" w:rsidRDefault="000031E3" w:rsidP="005F75D6">
            <w:pPr>
              <w:jc w:val="center"/>
              <w:rPr>
                <w:rFonts w:ascii="Arial" w:hAnsi="Arial" w:cs="Arial"/>
                <w:color w:val="000000"/>
                <w:sz w:val="22"/>
                <w:szCs w:val="22"/>
              </w:rPr>
            </w:pPr>
            <w:r w:rsidRPr="00F32DEC">
              <w:rPr>
                <w:rFonts w:ascii="Arial" w:hAnsi="Arial" w:cs="Arial"/>
                <w:color w:val="000000"/>
                <w:sz w:val="22"/>
                <w:szCs w:val="22"/>
              </w:rPr>
              <w:t>3</w:t>
            </w:r>
            <w:r w:rsidRPr="008B732F">
              <w:rPr>
                <w:rFonts w:ascii="Arial" w:hAnsi="Arial" w:cs="Arial"/>
                <w:color w:val="000000"/>
                <w:sz w:val="22"/>
                <w:szCs w:val="22"/>
              </w:rPr>
              <w:t xml:space="preserve"> (</w:t>
            </w:r>
            <w:r w:rsidRPr="00F32DEC">
              <w:rPr>
                <w:rFonts w:ascii="Arial" w:hAnsi="Arial" w:cs="Arial"/>
                <w:color w:val="000000"/>
                <w:sz w:val="22"/>
                <w:szCs w:val="22"/>
              </w:rPr>
              <w:t>11,5</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993" w:type="dxa"/>
            <w:tcBorders>
              <w:top w:val="nil"/>
              <w:left w:val="nil"/>
              <w:bottom w:val="single" w:sz="4" w:space="0" w:color="333333"/>
              <w:right w:val="single" w:sz="4" w:space="0" w:color="333399"/>
            </w:tcBorders>
            <w:shd w:val="clear" w:color="000000" w:fill="FFFFFF"/>
            <w:noWrap/>
            <w:vAlign w:val="center"/>
            <w:hideMark/>
          </w:tcPr>
          <w:p w14:paraId="77F83ED0" w14:textId="77777777" w:rsidR="00CB6977" w:rsidRDefault="000031E3" w:rsidP="002C7AC6">
            <w:pPr>
              <w:jc w:val="center"/>
              <w:rPr>
                <w:rFonts w:ascii="Arial" w:hAnsi="Arial" w:cs="Arial"/>
                <w:color w:val="000000"/>
                <w:sz w:val="22"/>
                <w:szCs w:val="22"/>
              </w:rPr>
            </w:pPr>
            <w:r w:rsidRPr="00F32DEC">
              <w:rPr>
                <w:rFonts w:ascii="Arial" w:hAnsi="Arial" w:cs="Arial"/>
                <w:color w:val="000000"/>
                <w:sz w:val="22"/>
                <w:szCs w:val="22"/>
              </w:rPr>
              <w:t>98</w:t>
            </w:r>
            <w:r w:rsidR="002C7AC6">
              <w:rPr>
                <w:rFonts w:ascii="Arial" w:hAnsi="Arial" w:cs="Arial"/>
                <w:color w:val="000000"/>
                <w:sz w:val="22"/>
                <w:szCs w:val="22"/>
              </w:rPr>
              <w:t xml:space="preserve"> </w:t>
            </w:r>
          </w:p>
          <w:p w14:paraId="220A3067" w14:textId="753E7415" w:rsidR="000031E3" w:rsidRPr="00F32DEC" w:rsidRDefault="000031E3" w:rsidP="002C7AC6">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17,9</w:t>
            </w:r>
            <w:r w:rsidR="008D0C26">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356" w:type="dxa"/>
            <w:vMerge/>
            <w:tcBorders>
              <w:top w:val="nil"/>
              <w:left w:val="single" w:sz="4" w:space="0" w:color="auto"/>
              <w:bottom w:val="single" w:sz="4" w:space="0" w:color="000000"/>
              <w:right w:val="single" w:sz="4" w:space="0" w:color="auto"/>
            </w:tcBorders>
            <w:vAlign w:val="center"/>
            <w:hideMark/>
          </w:tcPr>
          <w:p w14:paraId="7BEFA729" w14:textId="77777777" w:rsidR="000031E3" w:rsidRPr="003656E6" w:rsidRDefault="000031E3" w:rsidP="00F32DEC">
            <w:pPr>
              <w:rPr>
                <w:rFonts w:ascii="Arial" w:hAnsi="Arial" w:cs="Arial"/>
                <w:b/>
                <w:bCs/>
                <w:color w:val="000000"/>
                <w:sz w:val="22"/>
                <w:szCs w:val="22"/>
              </w:rPr>
            </w:pPr>
          </w:p>
        </w:tc>
      </w:tr>
      <w:tr w:rsidR="00CB6977" w:rsidRPr="00177205" w14:paraId="07188C82" w14:textId="77777777" w:rsidTr="006E31A5">
        <w:trPr>
          <w:trHeight w:val="411"/>
        </w:trPr>
        <w:tc>
          <w:tcPr>
            <w:tcW w:w="1271" w:type="dxa"/>
            <w:vMerge/>
            <w:tcBorders>
              <w:top w:val="nil"/>
              <w:left w:val="single" w:sz="4" w:space="0" w:color="auto"/>
              <w:bottom w:val="single" w:sz="4" w:space="0" w:color="000000"/>
              <w:right w:val="single" w:sz="4" w:space="0" w:color="auto"/>
            </w:tcBorders>
            <w:vAlign w:val="center"/>
            <w:hideMark/>
          </w:tcPr>
          <w:p w14:paraId="1BA3D737" w14:textId="77777777" w:rsidR="000031E3" w:rsidRPr="00F32DEC" w:rsidRDefault="000031E3" w:rsidP="00F32DEC">
            <w:pPr>
              <w:rPr>
                <w:rFonts w:ascii="Arial" w:hAnsi="Arial" w:cs="Arial"/>
                <w:color w:val="000000"/>
                <w:sz w:val="22"/>
                <w:szCs w:val="22"/>
              </w:rPr>
            </w:pPr>
          </w:p>
        </w:tc>
        <w:tc>
          <w:tcPr>
            <w:tcW w:w="1418" w:type="dxa"/>
            <w:tcBorders>
              <w:top w:val="nil"/>
              <w:left w:val="nil"/>
              <w:bottom w:val="single" w:sz="4" w:space="0" w:color="auto"/>
              <w:right w:val="single" w:sz="4" w:space="0" w:color="auto"/>
            </w:tcBorders>
            <w:shd w:val="clear" w:color="auto" w:fill="auto"/>
            <w:vAlign w:val="center"/>
            <w:hideMark/>
          </w:tcPr>
          <w:p w14:paraId="778410B9" w14:textId="77777777" w:rsidR="000031E3" w:rsidRPr="00F32DEC" w:rsidRDefault="000031E3" w:rsidP="00F32DEC">
            <w:pPr>
              <w:jc w:val="center"/>
              <w:rPr>
                <w:rFonts w:ascii="Arial" w:hAnsi="Arial" w:cs="Arial"/>
                <w:sz w:val="22"/>
                <w:szCs w:val="22"/>
              </w:rPr>
            </w:pPr>
            <w:r w:rsidRPr="00F32DEC">
              <w:rPr>
                <w:rFonts w:ascii="Arial" w:hAnsi="Arial" w:cs="Arial"/>
                <w:sz w:val="22"/>
                <w:szCs w:val="22"/>
              </w:rPr>
              <w:t>ZDS</w:t>
            </w:r>
          </w:p>
        </w:tc>
        <w:tc>
          <w:tcPr>
            <w:tcW w:w="1417" w:type="dxa"/>
            <w:tcBorders>
              <w:top w:val="nil"/>
              <w:left w:val="nil"/>
              <w:bottom w:val="single" w:sz="4" w:space="0" w:color="333333"/>
              <w:right w:val="single" w:sz="4" w:space="0" w:color="333399"/>
            </w:tcBorders>
            <w:shd w:val="clear" w:color="000000" w:fill="FFFFFF"/>
            <w:noWrap/>
            <w:vAlign w:val="center"/>
            <w:hideMark/>
          </w:tcPr>
          <w:p w14:paraId="4BAD4994" w14:textId="5BEF31F8" w:rsidR="000031E3" w:rsidRPr="00F32DEC" w:rsidRDefault="000031E3" w:rsidP="005F75D6">
            <w:pPr>
              <w:jc w:val="center"/>
              <w:rPr>
                <w:rFonts w:ascii="Arial" w:hAnsi="Arial" w:cs="Arial"/>
                <w:color w:val="000000"/>
                <w:sz w:val="22"/>
                <w:szCs w:val="22"/>
              </w:rPr>
            </w:pPr>
            <w:r w:rsidRPr="00F32DEC">
              <w:rPr>
                <w:rFonts w:ascii="Arial" w:hAnsi="Arial" w:cs="Arial"/>
                <w:color w:val="000000"/>
                <w:sz w:val="22"/>
                <w:szCs w:val="22"/>
              </w:rPr>
              <w:t>9</w:t>
            </w:r>
            <w:r w:rsidRPr="008B732F">
              <w:rPr>
                <w:rFonts w:ascii="Arial" w:hAnsi="Arial" w:cs="Arial"/>
                <w:color w:val="000000"/>
                <w:sz w:val="22"/>
                <w:szCs w:val="22"/>
              </w:rPr>
              <w:t xml:space="preserve"> (</w:t>
            </w:r>
            <w:r w:rsidRPr="00F32DEC">
              <w:rPr>
                <w:rFonts w:ascii="Arial" w:hAnsi="Arial" w:cs="Arial"/>
                <w:color w:val="000000"/>
                <w:sz w:val="22"/>
                <w:szCs w:val="22"/>
              </w:rPr>
              <w:t>5,5</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7D5BEB23" w14:textId="340E4088" w:rsidR="000031E3" w:rsidRPr="00F32DEC" w:rsidRDefault="000031E3" w:rsidP="005F75D6">
            <w:pPr>
              <w:jc w:val="center"/>
              <w:rPr>
                <w:rFonts w:ascii="Arial" w:hAnsi="Arial" w:cs="Arial"/>
                <w:color w:val="000000"/>
                <w:sz w:val="22"/>
                <w:szCs w:val="22"/>
              </w:rPr>
            </w:pPr>
            <w:r w:rsidRPr="00F32DEC">
              <w:rPr>
                <w:rFonts w:ascii="Arial" w:hAnsi="Arial" w:cs="Arial"/>
                <w:color w:val="000000"/>
                <w:sz w:val="22"/>
                <w:szCs w:val="22"/>
              </w:rPr>
              <w:t>6</w:t>
            </w:r>
            <w:r w:rsidRPr="008B732F">
              <w:rPr>
                <w:rFonts w:ascii="Arial" w:hAnsi="Arial" w:cs="Arial"/>
                <w:color w:val="000000"/>
                <w:sz w:val="22"/>
                <w:szCs w:val="22"/>
              </w:rPr>
              <w:t xml:space="preserve"> (</w:t>
            </w:r>
            <w:r w:rsidRPr="00F32DEC">
              <w:rPr>
                <w:rFonts w:ascii="Arial" w:hAnsi="Arial" w:cs="Arial"/>
                <w:color w:val="000000"/>
                <w:sz w:val="22"/>
                <w:szCs w:val="22"/>
              </w:rPr>
              <w:t>7,8</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60" w:type="dxa"/>
            <w:tcBorders>
              <w:top w:val="nil"/>
              <w:left w:val="nil"/>
              <w:bottom w:val="single" w:sz="4" w:space="0" w:color="333333"/>
              <w:right w:val="single" w:sz="4" w:space="0" w:color="333399"/>
            </w:tcBorders>
            <w:shd w:val="clear" w:color="000000" w:fill="FFFFFF"/>
            <w:noWrap/>
            <w:vAlign w:val="center"/>
            <w:hideMark/>
          </w:tcPr>
          <w:p w14:paraId="04C0675B" w14:textId="77777777" w:rsidR="00B4479D" w:rsidRDefault="000031E3" w:rsidP="005F75D6">
            <w:pPr>
              <w:jc w:val="center"/>
              <w:rPr>
                <w:rFonts w:ascii="Arial" w:hAnsi="Arial" w:cs="Arial"/>
                <w:color w:val="000000"/>
                <w:sz w:val="22"/>
                <w:szCs w:val="22"/>
              </w:rPr>
            </w:pPr>
            <w:r w:rsidRPr="00F32DEC">
              <w:rPr>
                <w:rFonts w:ascii="Arial" w:hAnsi="Arial" w:cs="Arial"/>
                <w:color w:val="000000"/>
                <w:sz w:val="22"/>
                <w:szCs w:val="22"/>
              </w:rPr>
              <w:t>23</w:t>
            </w:r>
            <w:r w:rsidRPr="008B732F">
              <w:rPr>
                <w:rFonts w:ascii="Arial" w:hAnsi="Arial" w:cs="Arial"/>
                <w:color w:val="000000"/>
                <w:sz w:val="22"/>
                <w:szCs w:val="22"/>
              </w:rPr>
              <w:t xml:space="preserve"> </w:t>
            </w:r>
          </w:p>
          <w:p w14:paraId="44DFEFD8" w14:textId="698DECC0" w:rsidR="000031E3" w:rsidRPr="00F32DEC" w:rsidRDefault="000031E3" w:rsidP="005F75D6">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10,6</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6A0A3CA3" w14:textId="00DD837B" w:rsidR="000031E3" w:rsidRPr="00F32DEC" w:rsidRDefault="000031E3" w:rsidP="005F75D6">
            <w:pPr>
              <w:jc w:val="center"/>
              <w:rPr>
                <w:rFonts w:ascii="Arial" w:hAnsi="Arial" w:cs="Arial"/>
                <w:color w:val="000000"/>
                <w:sz w:val="22"/>
                <w:szCs w:val="22"/>
              </w:rPr>
            </w:pPr>
            <w:r w:rsidRPr="00F32DEC">
              <w:rPr>
                <w:rFonts w:ascii="Arial" w:hAnsi="Arial" w:cs="Arial"/>
                <w:color w:val="000000"/>
                <w:sz w:val="22"/>
                <w:szCs w:val="22"/>
              </w:rPr>
              <w:t>2</w:t>
            </w:r>
            <w:r w:rsidRPr="008B732F">
              <w:rPr>
                <w:rFonts w:ascii="Arial" w:hAnsi="Arial" w:cs="Arial"/>
                <w:color w:val="000000"/>
                <w:sz w:val="22"/>
                <w:szCs w:val="22"/>
              </w:rPr>
              <w:t xml:space="preserve"> (</w:t>
            </w:r>
            <w:r w:rsidRPr="00F32DEC">
              <w:rPr>
                <w:rFonts w:ascii="Arial" w:hAnsi="Arial" w:cs="Arial"/>
                <w:color w:val="000000"/>
                <w:sz w:val="22"/>
                <w:szCs w:val="22"/>
              </w:rPr>
              <w:t>3,2</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417" w:type="dxa"/>
            <w:tcBorders>
              <w:top w:val="nil"/>
              <w:left w:val="nil"/>
              <w:bottom w:val="single" w:sz="4" w:space="0" w:color="333333"/>
              <w:right w:val="single" w:sz="4" w:space="0" w:color="333399"/>
            </w:tcBorders>
            <w:shd w:val="clear" w:color="000000" w:fill="FFFFFF"/>
            <w:noWrap/>
            <w:vAlign w:val="center"/>
            <w:hideMark/>
          </w:tcPr>
          <w:p w14:paraId="14E32CFA" w14:textId="607B307B" w:rsidR="000031E3" w:rsidRPr="00F32DEC" w:rsidRDefault="000031E3" w:rsidP="005F75D6">
            <w:pPr>
              <w:jc w:val="center"/>
              <w:rPr>
                <w:rFonts w:ascii="Arial" w:hAnsi="Arial" w:cs="Arial"/>
                <w:color w:val="000000"/>
                <w:sz w:val="22"/>
                <w:szCs w:val="22"/>
              </w:rPr>
            </w:pPr>
            <w:r w:rsidRPr="00F32DEC">
              <w:rPr>
                <w:rFonts w:ascii="Arial" w:hAnsi="Arial" w:cs="Arial"/>
                <w:color w:val="000000"/>
                <w:sz w:val="22"/>
                <w:szCs w:val="22"/>
              </w:rPr>
              <w:t>1</w:t>
            </w:r>
            <w:r w:rsidRPr="008B732F">
              <w:rPr>
                <w:rFonts w:ascii="Arial" w:hAnsi="Arial" w:cs="Arial"/>
                <w:color w:val="000000"/>
                <w:sz w:val="22"/>
                <w:szCs w:val="22"/>
              </w:rPr>
              <w:t xml:space="preserve"> (</w:t>
            </w:r>
            <w:r w:rsidRPr="00F32DEC">
              <w:rPr>
                <w:rFonts w:ascii="Arial" w:hAnsi="Arial" w:cs="Arial"/>
                <w:color w:val="000000"/>
                <w:sz w:val="22"/>
                <w:szCs w:val="22"/>
              </w:rPr>
              <w:t>3,8</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993" w:type="dxa"/>
            <w:tcBorders>
              <w:top w:val="nil"/>
              <w:left w:val="nil"/>
              <w:bottom w:val="single" w:sz="4" w:space="0" w:color="333333"/>
              <w:right w:val="single" w:sz="4" w:space="0" w:color="333399"/>
            </w:tcBorders>
            <w:shd w:val="clear" w:color="000000" w:fill="FFFFFF"/>
            <w:noWrap/>
            <w:vAlign w:val="center"/>
            <w:hideMark/>
          </w:tcPr>
          <w:p w14:paraId="0BF62792" w14:textId="77777777" w:rsidR="00CB6977" w:rsidRDefault="000031E3" w:rsidP="002C7AC6">
            <w:pPr>
              <w:jc w:val="center"/>
              <w:rPr>
                <w:rFonts w:ascii="Arial" w:hAnsi="Arial" w:cs="Arial"/>
                <w:color w:val="000000"/>
                <w:sz w:val="22"/>
                <w:szCs w:val="22"/>
              </w:rPr>
            </w:pPr>
            <w:r w:rsidRPr="00F32DEC">
              <w:rPr>
                <w:rFonts w:ascii="Arial" w:hAnsi="Arial" w:cs="Arial"/>
                <w:color w:val="000000"/>
                <w:sz w:val="22"/>
                <w:szCs w:val="22"/>
              </w:rPr>
              <w:t>41</w:t>
            </w:r>
            <w:r w:rsidR="002C7AC6">
              <w:rPr>
                <w:rFonts w:ascii="Arial" w:hAnsi="Arial" w:cs="Arial"/>
                <w:color w:val="000000"/>
                <w:sz w:val="22"/>
                <w:szCs w:val="22"/>
              </w:rPr>
              <w:t xml:space="preserve"> </w:t>
            </w:r>
          </w:p>
          <w:p w14:paraId="607B2260" w14:textId="18A84F47" w:rsidR="000031E3" w:rsidRPr="00F32DEC" w:rsidRDefault="000031E3" w:rsidP="002C7AC6">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7,5</w:t>
            </w:r>
            <w:r w:rsidR="008D0C26">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356" w:type="dxa"/>
            <w:vMerge/>
            <w:tcBorders>
              <w:top w:val="nil"/>
              <w:left w:val="single" w:sz="4" w:space="0" w:color="auto"/>
              <w:bottom w:val="single" w:sz="4" w:space="0" w:color="000000"/>
              <w:right w:val="single" w:sz="4" w:space="0" w:color="auto"/>
            </w:tcBorders>
            <w:vAlign w:val="center"/>
            <w:hideMark/>
          </w:tcPr>
          <w:p w14:paraId="6EE29FC7" w14:textId="77777777" w:rsidR="000031E3" w:rsidRPr="003656E6" w:rsidRDefault="000031E3" w:rsidP="00F32DEC">
            <w:pPr>
              <w:rPr>
                <w:rFonts w:ascii="Arial" w:hAnsi="Arial" w:cs="Arial"/>
                <w:b/>
                <w:bCs/>
                <w:color w:val="000000"/>
                <w:sz w:val="22"/>
                <w:szCs w:val="22"/>
              </w:rPr>
            </w:pPr>
          </w:p>
        </w:tc>
      </w:tr>
      <w:tr w:rsidR="00CB6977" w:rsidRPr="00177205" w14:paraId="3866932D" w14:textId="77777777" w:rsidTr="006E31A5">
        <w:trPr>
          <w:trHeight w:val="461"/>
        </w:trPr>
        <w:tc>
          <w:tcPr>
            <w:tcW w:w="1271" w:type="dxa"/>
            <w:vMerge/>
            <w:tcBorders>
              <w:top w:val="nil"/>
              <w:left w:val="single" w:sz="4" w:space="0" w:color="auto"/>
              <w:bottom w:val="single" w:sz="4" w:space="0" w:color="000000"/>
              <w:right w:val="single" w:sz="4" w:space="0" w:color="auto"/>
            </w:tcBorders>
            <w:vAlign w:val="center"/>
            <w:hideMark/>
          </w:tcPr>
          <w:p w14:paraId="53D30A67" w14:textId="77777777" w:rsidR="000031E3" w:rsidRPr="00F32DEC" w:rsidRDefault="000031E3" w:rsidP="00F32DEC">
            <w:pPr>
              <w:rPr>
                <w:rFonts w:ascii="Arial" w:hAnsi="Arial" w:cs="Arial"/>
                <w:color w:val="000000"/>
                <w:sz w:val="22"/>
                <w:szCs w:val="22"/>
              </w:rPr>
            </w:pPr>
          </w:p>
        </w:tc>
        <w:tc>
          <w:tcPr>
            <w:tcW w:w="1418" w:type="dxa"/>
            <w:tcBorders>
              <w:top w:val="nil"/>
              <w:left w:val="nil"/>
              <w:bottom w:val="single" w:sz="4" w:space="0" w:color="auto"/>
              <w:right w:val="single" w:sz="4" w:space="0" w:color="auto"/>
            </w:tcBorders>
            <w:shd w:val="clear" w:color="auto" w:fill="auto"/>
            <w:vAlign w:val="center"/>
            <w:hideMark/>
          </w:tcPr>
          <w:p w14:paraId="51BDC557" w14:textId="77777777" w:rsidR="00080FEA" w:rsidRDefault="000031E3" w:rsidP="00F32DEC">
            <w:pPr>
              <w:jc w:val="center"/>
              <w:rPr>
                <w:rFonts w:ascii="Arial" w:hAnsi="Arial" w:cs="Arial"/>
                <w:sz w:val="22"/>
                <w:szCs w:val="22"/>
              </w:rPr>
            </w:pPr>
            <w:r w:rsidRPr="00F32DEC">
              <w:rPr>
                <w:rFonts w:ascii="Arial" w:hAnsi="Arial" w:cs="Arial"/>
                <w:sz w:val="22"/>
                <w:szCs w:val="22"/>
              </w:rPr>
              <w:t>Konzilium/</w:t>
            </w:r>
          </w:p>
          <w:p w14:paraId="6242ED94" w14:textId="589B1D3E" w:rsidR="000031E3" w:rsidRPr="00F32DEC" w:rsidRDefault="000031E3" w:rsidP="00F32DEC">
            <w:pPr>
              <w:jc w:val="center"/>
              <w:rPr>
                <w:rFonts w:ascii="Arial" w:hAnsi="Arial" w:cs="Arial"/>
                <w:sz w:val="22"/>
                <w:szCs w:val="22"/>
              </w:rPr>
            </w:pPr>
            <w:r w:rsidRPr="00F32DEC">
              <w:rPr>
                <w:rFonts w:ascii="Arial" w:hAnsi="Arial" w:cs="Arial"/>
                <w:sz w:val="22"/>
                <w:szCs w:val="22"/>
              </w:rPr>
              <w:t>předání</w:t>
            </w:r>
          </w:p>
        </w:tc>
        <w:tc>
          <w:tcPr>
            <w:tcW w:w="1417" w:type="dxa"/>
            <w:tcBorders>
              <w:top w:val="nil"/>
              <w:left w:val="nil"/>
              <w:bottom w:val="single" w:sz="4" w:space="0" w:color="333333"/>
              <w:right w:val="single" w:sz="4" w:space="0" w:color="333399"/>
            </w:tcBorders>
            <w:shd w:val="clear" w:color="000000" w:fill="FFFFFF"/>
            <w:noWrap/>
            <w:vAlign w:val="center"/>
            <w:hideMark/>
          </w:tcPr>
          <w:p w14:paraId="0ED3D04F" w14:textId="69DE92FE" w:rsidR="000031E3" w:rsidRPr="00F32DEC" w:rsidRDefault="000031E3" w:rsidP="005F75D6">
            <w:pPr>
              <w:jc w:val="center"/>
              <w:rPr>
                <w:rFonts w:ascii="Arial" w:hAnsi="Arial" w:cs="Arial"/>
                <w:color w:val="000000"/>
                <w:sz w:val="22"/>
                <w:szCs w:val="22"/>
              </w:rPr>
            </w:pPr>
            <w:r w:rsidRPr="00F32DEC">
              <w:rPr>
                <w:rFonts w:ascii="Arial" w:hAnsi="Arial" w:cs="Arial"/>
                <w:color w:val="000000"/>
                <w:sz w:val="22"/>
                <w:szCs w:val="22"/>
              </w:rPr>
              <w:t>18</w:t>
            </w:r>
            <w:r w:rsidRPr="008B732F">
              <w:rPr>
                <w:rFonts w:ascii="Arial" w:hAnsi="Arial" w:cs="Arial"/>
                <w:color w:val="000000"/>
                <w:sz w:val="22"/>
                <w:szCs w:val="22"/>
              </w:rPr>
              <w:t xml:space="preserve"> (</w:t>
            </w:r>
            <w:r w:rsidRPr="00F32DEC">
              <w:rPr>
                <w:rFonts w:ascii="Arial" w:hAnsi="Arial" w:cs="Arial"/>
                <w:color w:val="000000"/>
                <w:sz w:val="22"/>
                <w:szCs w:val="22"/>
              </w:rPr>
              <w:t>10,9</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4C580205" w14:textId="05968A9E" w:rsidR="000031E3" w:rsidRPr="00F32DEC" w:rsidRDefault="000031E3" w:rsidP="005F75D6">
            <w:pPr>
              <w:jc w:val="center"/>
              <w:rPr>
                <w:rFonts w:ascii="Arial" w:hAnsi="Arial" w:cs="Arial"/>
                <w:color w:val="000000"/>
                <w:sz w:val="22"/>
                <w:szCs w:val="22"/>
              </w:rPr>
            </w:pPr>
            <w:r w:rsidRPr="00F32DEC">
              <w:rPr>
                <w:rFonts w:ascii="Arial" w:hAnsi="Arial" w:cs="Arial"/>
                <w:color w:val="000000"/>
                <w:sz w:val="22"/>
                <w:szCs w:val="22"/>
              </w:rPr>
              <w:t>8</w:t>
            </w:r>
            <w:r w:rsidRPr="008B732F">
              <w:rPr>
                <w:rFonts w:ascii="Arial" w:hAnsi="Arial" w:cs="Arial"/>
                <w:color w:val="000000"/>
                <w:sz w:val="22"/>
                <w:szCs w:val="22"/>
              </w:rPr>
              <w:t xml:space="preserve"> (</w:t>
            </w:r>
            <w:r w:rsidRPr="00F32DEC">
              <w:rPr>
                <w:rFonts w:ascii="Arial" w:hAnsi="Arial" w:cs="Arial"/>
                <w:color w:val="000000"/>
                <w:sz w:val="22"/>
                <w:szCs w:val="22"/>
              </w:rPr>
              <w:t>10,4</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60" w:type="dxa"/>
            <w:tcBorders>
              <w:top w:val="nil"/>
              <w:left w:val="nil"/>
              <w:bottom w:val="single" w:sz="4" w:space="0" w:color="333333"/>
              <w:right w:val="single" w:sz="4" w:space="0" w:color="333399"/>
            </w:tcBorders>
            <w:shd w:val="clear" w:color="000000" w:fill="FFFFFF"/>
            <w:noWrap/>
            <w:vAlign w:val="center"/>
            <w:hideMark/>
          </w:tcPr>
          <w:p w14:paraId="7C844933" w14:textId="77777777" w:rsidR="00B4479D" w:rsidRDefault="000031E3" w:rsidP="005F75D6">
            <w:pPr>
              <w:jc w:val="center"/>
              <w:rPr>
                <w:rFonts w:ascii="Arial" w:hAnsi="Arial" w:cs="Arial"/>
                <w:color w:val="000000"/>
                <w:sz w:val="22"/>
                <w:szCs w:val="22"/>
              </w:rPr>
            </w:pPr>
            <w:r w:rsidRPr="00F32DEC">
              <w:rPr>
                <w:rFonts w:ascii="Arial" w:hAnsi="Arial" w:cs="Arial"/>
                <w:color w:val="000000"/>
                <w:sz w:val="22"/>
                <w:szCs w:val="22"/>
              </w:rPr>
              <w:t>27</w:t>
            </w:r>
            <w:r w:rsidRPr="008B732F">
              <w:rPr>
                <w:rFonts w:ascii="Arial" w:hAnsi="Arial" w:cs="Arial"/>
                <w:color w:val="000000"/>
                <w:sz w:val="22"/>
                <w:szCs w:val="22"/>
              </w:rPr>
              <w:t xml:space="preserve"> </w:t>
            </w:r>
          </w:p>
          <w:p w14:paraId="5C54A638" w14:textId="04EFBF23" w:rsidR="000031E3" w:rsidRPr="00F32DEC" w:rsidRDefault="000031E3" w:rsidP="005F75D6">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12,5</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726ADD11" w14:textId="780174E0" w:rsidR="000031E3" w:rsidRPr="00F32DEC" w:rsidRDefault="000031E3" w:rsidP="005F75D6">
            <w:pPr>
              <w:jc w:val="center"/>
              <w:rPr>
                <w:rFonts w:ascii="Arial" w:hAnsi="Arial" w:cs="Arial"/>
                <w:color w:val="000000"/>
                <w:sz w:val="22"/>
                <w:szCs w:val="22"/>
              </w:rPr>
            </w:pPr>
            <w:r w:rsidRPr="00F32DEC">
              <w:rPr>
                <w:rFonts w:ascii="Arial" w:hAnsi="Arial" w:cs="Arial"/>
                <w:color w:val="000000"/>
                <w:sz w:val="22"/>
                <w:szCs w:val="22"/>
              </w:rPr>
              <w:t>5</w:t>
            </w:r>
            <w:r w:rsidRPr="008B732F">
              <w:rPr>
                <w:rFonts w:ascii="Arial" w:hAnsi="Arial" w:cs="Arial"/>
                <w:color w:val="000000"/>
                <w:sz w:val="22"/>
                <w:szCs w:val="22"/>
              </w:rPr>
              <w:t xml:space="preserve"> (</w:t>
            </w:r>
            <w:r w:rsidRPr="00F32DEC">
              <w:rPr>
                <w:rFonts w:ascii="Arial" w:hAnsi="Arial" w:cs="Arial"/>
                <w:color w:val="000000"/>
                <w:sz w:val="22"/>
                <w:szCs w:val="22"/>
              </w:rPr>
              <w:t>7,9</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417" w:type="dxa"/>
            <w:tcBorders>
              <w:top w:val="nil"/>
              <w:left w:val="nil"/>
              <w:bottom w:val="single" w:sz="4" w:space="0" w:color="333333"/>
              <w:right w:val="single" w:sz="4" w:space="0" w:color="333399"/>
            </w:tcBorders>
            <w:shd w:val="clear" w:color="000000" w:fill="FFFFFF"/>
            <w:noWrap/>
            <w:vAlign w:val="center"/>
            <w:hideMark/>
          </w:tcPr>
          <w:p w14:paraId="5C99BBFC" w14:textId="0FF4DB9B" w:rsidR="000031E3" w:rsidRPr="00F32DEC" w:rsidRDefault="000031E3" w:rsidP="005F75D6">
            <w:pPr>
              <w:jc w:val="center"/>
              <w:rPr>
                <w:rFonts w:ascii="Arial" w:hAnsi="Arial" w:cs="Arial"/>
                <w:color w:val="000000"/>
                <w:sz w:val="22"/>
                <w:szCs w:val="22"/>
              </w:rPr>
            </w:pPr>
            <w:r w:rsidRPr="00F32DEC">
              <w:rPr>
                <w:rFonts w:ascii="Arial" w:hAnsi="Arial" w:cs="Arial"/>
                <w:color w:val="000000"/>
                <w:sz w:val="22"/>
                <w:szCs w:val="22"/>
              </w:rPr>
              <w:t>3</w:t>
            </w:r>
            <w:r w:rsidRPr="008B732F">
              <w:rPr>
                <w:rFonts w:ascii="Arial" w:hAnsi="Arial" w:cs="Arial"/>
                <w:color w:val="000000"/>
                <w:sz w:val="22"/>
                <w:szCs w:val="22"/>
              </w:rPr>
              <w:t xml:space="preserve"> (</w:t>
            </w:r>
            <w:r w:rsidRPr="00F32DEC">
              <w:rPr>
                <w:rFonts w:ascii="Arial" w:hAnsi="Arial" w:cs="Arial"/>
                <w:color w:val="000000"/>
                <w:sz w:val="22"/>
                <w:szCs w:val="22"/>
              </w:rPr>
              <w:t>11,5</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993" w:type="dxa"/>
            <w:tcBorders>
              <w:top w:val="nil"/>
              <w:left w:val="nil"/>
              <w:bottom w:val="single" w:sz="4" w:space="0" w:color="333333"/>
              <w:right w:val="single" w:sz="4" w:space="0" w:color="333399"/>
            </w:tcBorders>
            <w:shd w:val="clear" w:color="000000" w:fill="FFFFFF"/>
            <w:noWrap/>
            <w:vAlign w:val="center"/>
            <w:hideMark/>
          </w:tcPr>
          <w:p w14:paraId="05DAED1A" w14:textId="77777777" w:rsidR="00CB6977" w:rsidRDefault="000031E3" w:rsidP="002C7AC6">
            <w:pPr>
              <w:jc w:val="center"/>
              <w:rPr>
                <w:rFonts w:ascii="Arial" w:hAnsi="Arial" w:cs="Arial"/>
                <w:color w:val="000000"/>
                <w:sz w:val="22"/>
                <w:szCs w:val="22"/>
              </w:rPr>
            </w:pPr>
            <w:r w:rsidRPr="00F32DEC">
              <w:rPr>
                <w:rFonts w:ascii="Arial" w:hAnsi="Arial" w:cs="Arial"/>
                <w:color w:val="000000"/>
                <w:sz w:val="22"/>
                <w:szCs w:val="22"/>
              </w:rPr>
              <w:t>61</w:t>
            </w:r>
            <w:r w:rsidR="002C7AC6">
              <w:rPr>
                <w:rFonts w:ascii="Arial" w:hAnsi="Arial" w:cs="Arial"/>
                <w:color w:val="000000"/>
                <w:sz w:val="22"/>
                <w:szCs w:val="22"/>
              </w:rPr>
              <w:t xml:space="preserve"> </w:t>
            </w:r>
          </w:p>
          <w:p w14:paraId="39899863" w14:textId="060195C2" w:rsidR="000031E3" w:rsidRPr="00F32DEC" w:rsidRDefault="000031E3" w:rsidP="002C7AC6">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11,2</w:t>
            </w:r>
            <w:r w:rsidR="008D0C26">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356" w:type="dxa"/>
            <w:vMerge/>
            <w:tcBorders>
              <w:top w:val="nil"/>
              <w:left w:val="single" w:sz="4" w:space="0" w:color="auto"/>
              <w:bottom w:val="single" w:sz="4" w:space="0" w:color="000000"/>
              <w:right w:val="single" w:sz="4" w:space="0" w:color="auto"/>
            </w:tcBorders>
            <w:vAlign w:val="center"/>
            <w:hideMark/>
          </w:tcPr>
          <w:p w14:paraId="6EA7DA17" w14:textId="77777777" w:rsidR="000031E3" w:rsidRPr="003656E6" w:rsidRDefault="000031E3" w:rsidP="00F32DEC">
            <w:pPr>
              <w:rPr>
                <w:rFonts w:ascii="Arial" w:hAnsi="Arial" w:cs="Arial"/>
                <w:b/>
                <w:bCs/>
                <w:color w:val="000000"/>
                <w:sz w:val="22"/>
                <w:szCs w:val="22"/>
              </w:rPr>
            </w:pPr>
          </w:p>
        </w:tc>
      </w:tr>
      <w:tr w:rsidR="00CB6977" w:rsidRPr="00177205" w14:paraId="4B141097" w14:textId="77777777" w:rsidTr="0012013C">
        <w:trPr>
          <w:trHeight w:val="441"/>
        </w:trPr>
        <w:tc>
          <w:tcPr>
            <w:tcW w:w="1271" w:type="dxa"/>
            <w:vMerge w:val="restart"/>
            <w:tcBorders>
              <w:top w:val="nil"/>
              <w:left w:val="single" w:sz="4" w:space="0" w:color="auto"/>
              <w:bottom w:val="single" w:sz="4" w:space="0" w:color="000000"/>
              <w:right w:val="single" w:sz="4" w:space="0" w:color="auto"/>
            </w:tcBorders>
            <w:shd w:val="clear" w:color="auto" w:fill="auto"/>
            <w:vAlign w:val="center"/>
            <w:hideMark/>
          </w:tcPr>
          <w:p w14:paraId="5228F1B3" w14:textId="162ABB81" w:rsidR="000031E3" w:rsidRPr="00F32DEC" w:rsidRDefault="000031E3" w:rsidP="00CB6C97">
            <w:pPr>
              <w:keepNext/>
              <w:jc w:val="center"/>
              <w:rPr>
                <w:rFonts w:ascii="Arial" w:hAnsi="Arial" w:cs="Arial"/>
                <w:color w:val="000000"/>
                <w:sz w:val="22"/>
                <w:szCs w:val="22"/>
              </w:rPr>
            </w:pPr>
            <w:r w:rsidRPr="00F32DEC">
              <w:rPr>
                <w:rFonts w:ascii="Arial" w:hAnsi="Arial" w:cs="Arial"/>
                <w:color w:val="000000"/>
                <w:sz w:val="22"/>
                <w:szCs w:val="22"/>
              </w:rPr>
              <w:lastRenderedPageBreak/>
              <w:t>Ošetřující ambulance</w:t>
            </w:r>
          </w:p>
        </w:tc>
        <w:tc>
          <w:tcPr>
            <w:tcW w:w="1418" w:type="dxa"/>
            <w:tcBorders>
              <w:top w:val="nil"/>
              <w:left w:val="nil"/>
              <w:bottom w:val="single" w:sz="4" w:space="0" w:color="auto"/>
              <w:right w:val="single" w:sz="4" w:space="0" w:color="auto"/>
            </w:tcBorders>
            <w:shd w:val="clear" w:color="auto" w:fill="auto"/>
            <w:vAlign w:val="center"/>
            <w:hideMark/>
          </w:tcPr>
          <w:p w14:paraId="07CD3D64" w14:textId="73409B04" w:rsidR="000031E3" w:rsidRPr="00F32DEC" w:rsidRDefault="000031E3" w:rsidP="00CB6C97">
            <w:pPr>
              <w:keepNext/>
              <w:jc w:val="center"/>
              <w:rPr>
                <w:rFonts w:ascii="Arial" w:hAnsi="Arial" w:cs="Arial"/>
                <w:color w:val="000000"/>
                <w:sz w:val="22"/>
                <w:szCs w:val="22"/>
              </w:rPr>
            </w:pPr>
            <w:r w:rsidRPr="00F32DEC">
              <w:rPr>
                <w:rFonts w:ascii="Arial" w:hAnsi="Arial" w:cs="Arial"/>
                <w:color w:val="000000"/>
                <w:sz w:val="22"/>
                <w:szCs w:val="22"/>
              </w:rPr>
              <w:t>Interní</w:t>
            </w:r>
          </w:p>
        </w:tc>
        <w:tc>
          <w:tcPr>
            <w:tcW w:w="1417" w:type="dxa"/>
            <w:tcBorders>
              <w:top w:val="nil"/>
              <w:left w:val="nil"/>
              <w:bottom w:val="single" w:sz="4" w:space="0" w:color="333333"/>
              <w:right w:val="single" w:sz="4" w:space="0" w:color="333399"/>
            </w:tcBorders>
            <w:shd w:val="clear" w:color="000000" w:fill="FFFFFF"/>
            <w:noWrap/>
            <w:vAlign w:val="center"/>
            <w:hideMark/>
          </w:tcPr>
          <w:p w14:paraId="3B3F530A" w14:textId="2BD95DD1" w:rsidR="000031E3" w:rsidRPr="00F32DEC" w:rsidRDefault="000031E3" w:rsidP="00CB6C97">
            <w:pPr>
              <w:keepNext/>
              <w:jc w:val="center"/>
              <w:rPr>
                <w:rFonts w:ascii="Arial" w:hAnsi="Arial" w:cs="Arial"/>
                <w:color w:val="000000"/>
                <w:sz w:val="22"/>
                <w:szCs w:val="22"/>
              </w:rPr>
            </w:pPr>
            <w:r w:rsidRPr="00F32DEC">
              <w:rPr>
                <w:rFonts w:ascii="Arial" w:hAnsi="Arial" w:cs="Arial"/>
                <w:color w:val="000000"/>
                <w:sz w:val="22"/>
                <w:szCs w:val="22"/>
              </w:rPr>
              <w:t>126</w:t>
            </w:r>
            <w:r w:rsidRPr="008B732F">
              <w:rPr>
                <w:rFonts w:ascii="Arial" w:hAnsi="Arial" w:cs="Arial"/>
                <w:color w:val="000000"/>
                <w:sz w:val="22"/>
                <w:szCs w:val="22"/>
              </w:rPr>
              <w:t xml:space="preserve"> (</w:t>
            </w:r>
            <w:r w:rsidRPr="00F32DEC">
              <w:rPr>
                <w:rFonts w:ascii="Arial" w:hAnsi="Arial" w:cs="Arial"/>
                <w:color w:val="000000"/>
                <w:sz w:val="22"/>
                <w:szCs w:val="22"/>
              </w:rPr>
              <w:t>75,9</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1A908F10" w14:textId="58C94196" w:rsidR="00B4479D" w:rsidRDefault="000031E3" w:rsidP="00CB6C97">
            <w:pPr>
              <w:keepNext/>
              <w:jc w:val="center"/>
              <w:rPr>
                <w:rFonts w:ascii="Arial" w:hAnsi="Arial" w:cs="Arial"/>
                <w:color w:val="000000"/>
                <w:sz w:val="22"/>
                <w:szCs w:val="22"/>
              </w:rPr>
            </w:pPr>
            <w:r w:rsidRPr="00F32DEC">
              <w:rPr>
                <w:rFonts w:ascii="Arial" w:hAnsi="Arial" w:cs="Arial"/>
                <w:color w:val="000000"/>
                <w:sz w:val="22"/>
                <w:szCs w:val="22"/>
              </w:rPr>
              <w:t>59</w:t>
            </w:r>
            <w:r w:rsidRPr="008B732F">
              <w:rPr>
                <w:rFonts w:ascii="Arial" w:hAnsi="Arial" w:cs="Arial"/>
                <w:color w:val="000000"/>
                <w:sz w:val="22"/>
                <w:szCs w:val="22"/>
              </w:rPr>
              <w:t xml:space="preserve"> </w:t>
            </w:r>
          </w:p>
          <w:p w14:paraId="43706948" w14:textId="1AB4864A" w:rsidR="000031E3" w:rsidRPr="00F32DEC" w:rsidRDefault="000031E3" w:rsidP="00CB6C97">
            <w:pPr>
              <w:keepNext/>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75,6</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60" w:type="dxa"/>
            <w:tcBorders>
              <w:top w:val="nil"/>
              <w:left w:val="nil"/>
              <w:bottom w:val="single" w:sz="4" w:space="0" w:color="333333"/>
              <w:right w:val="single" w:sz="4" w:space="0" w:color="333399"/>
            </w:tcBorders>
            <w:shd w:val="clear" w:color="000000" w:fill="FFFFFF"/>
            <w:noWrap/>
            <w:vAlign w:val="center"/>
            <w:hideMark/>
          </w:tcPr>
          <w:p w14:paraId="5E4F70A0" w14:textId="3D192A95" w:rsidR="00B4479D" w:rsidRDefault="000031E3" w:rsidP="00CB6C97">
            <w:pPr>
              <w:keepNext/>
              <w:jc w:val="center"/>
              <w:rPr>
                <w:rFonts w:ascii="Arial" w:hAnsi="Arial" w:cs="Arial"/>
                <w:color w:val="000000"/>
                <w:sz w:val="22"/>
                <w:szCs w:val="22"/>
              </w:rPr>
            </w:pPr>
            <w:r w:rsidRPr="00F32DEC">
              <w:rPr>
                <w:rFonts w:ascii="Arial" w:hAnsi="Arial" w:cs="Arial"/>
                <w:color w:val="000000"/>
                <w:sz w:val="22"/>
                <w:szCs w:val="22"/>
              </w:rPr>
              <w:t>192</w:t>
            </w:r>
            <w:r w:rsidRPr="008B732F">
              <w:rPr>
                <w:rFonts w:ascii="Arial" w:hAnsi="Arial" w:cs="Arial"/>
                <w:color w:val="000000"/>
                <w:sz w:val="22"/>
                <w:szCs w:val="22"/>
              </w:rPr>
              <w:t xml:space="preserve"> </w:t>
            </w:r>
          </w:p>
          <w:p w14:paraId="3F07562F" w14:textId="67AC769E" w:rsidR="000031E3" w:rsidRPr="00F32DEC" w:rsidRDefault="000031E3" w:rsidP="00CB6C97">
            <w:pPr>
              <w:keepNext/>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87,7</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782BA989" w14:textId="2B6441B1" w:rsidR="000031E3" w:rsidRPr="00F32DEC" w:rsidRDefault="000031E3" w:rsidP="00CB6C97">
            <w:pPr>
              <w:keepNext/>
              <w:jc w:val="center"/>
              <w:rPr>
                <w:rFonts w:ascii="Arial" w:hAnsi="Arial" w:cs="Arial"/>
                <w:color w:val="000000"/>
                <w:sz w:val="22"/>
                <w:szCs w:val="22"/>
              </w:rPr>
            </w:pPr>
            <w:r w:rsidRPr="00F32DEC">
              <w:rPr>
                <w:rFonts w:ascii="Arial" w:hAnsi="Arial" w:cs="Arial"/>
                <w:color w:val="000000"/>
                <w:sz w:val="22"/>
                <w:szCs w:val="22"/>
              </w:rPr>
              <w:t>41</w:t>
            </w:r>
            <w:r w:rsidRPr="008B732F">
              <w:rPr>
                <w:rFonts w:ascii="Arial" w:hAnsi="Arial" w:cs="Arial"/>
                <w:color w:val="000000"/>
                <w:sz w:val="22"/>
                <w:szCs w:val="22"/>
              </w:rPr>
              <w:t xml:space="preserve"> (</w:t>
            </w:r>
            <w:r w:rsidRPr="00F32DEC">
              <w:rPr>
                <w:rFonts w:ascii="Arial" w:hAnsi="Arial" w:cs="Arial"/>
                <w:color w:val="000000"/>
                <w:sz w:val="22"/>
                <w:szCs w:val="22"/>
              </w:rPr>
              <w:t>65,1</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417" w:type="dxa"/>
            <w:tcBorders>
              <w:top w:val="nil"/>
              <w:left w:val="nil"/>
              <w:bottom w:val="single" w:sz="4" w:space="0" w:color="333333"/>
              <w:right w:val="single" w:sz="4" w:space="0" w:color="333399"/>
            </w:tcBorders>
            <w:shd w:val="clear" w:color="000000" w:fill="FFFFFF"/>
            <w:noWrap/>
            <w:vAlign w:val="center"/>
            <w:hideMark/>
          </w:tcPr>
          <w:p w14:paraId="1DFB1842" w14:textId="030BC738" w:rsidR="000031E3" w:rsidRPr="00F32DEC" w:rsidRDefault="000031E3" w:rsidP="00CB6C97">
            <w:pPr>
              <w:keepNext/>
              <w:jc w:val="center"/>
              <w:rPr>
                <w:rFonts w:ascii="Arial" w:hAnsi="Arial" w:cs="Arial"/>
                <w:color w:val="000000"/>
                <w:sz w:val="22"/>
                <w:szCs w:val="22"/>
              </w:rPr>
            </w:pPr>
            <w:r w:rsidRPr="00F32DEC">
              <w:rPr>
                <w:rFonts w:ascii="Arial" w:hAnsi="Arial" w:cs="Arial"/>
                <w:color w:val="000000"/>
                <w:sz w:val="22"/>
                <w:szCs w:val="22"/>
              </w:rPr>
              <w:t>19</w:t>
            </w:r>
            <w:r w:rsidRPr="008B732F">
              <w:rPr>
                <w:rFonts w:ascii="Arial" w:hAnsi="Arial" w:cs="Arial"/>
                <w:color w:val="000000"/>
                <w:sz w:val="22"/>
                <w:szCs w:val="22"/>
              </w:rPr>
              <w:t xml:space="preserve"> (</w:t>
            </w:r>
            <w:r w:rsidRPr="00F32DEC">
              <w:rPr>
                <w:rFonts w:ascii="Arial" w:hAnsi="Arial" w:cs="Arial"/>
                <w:color w:val="000000"/>
                <w:sz w:val="22"/>
                <w:szCs w:val="22"/>
              </w:rPr>
              <w:t>73,1</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993" w:type="dxa"/>
            <w:tcBorders>
              <w:top w:val="nil"/>
              <w:left w:val="nil"/>
              <w:bottom w:val="single" w:sz="4" w:space="0" w:color="333333"/>
              <w:right w:val="single" w:sz="4" w:space="0" w:color="333399"/>
            </w:tcBorders>
            <w:shd w:val="clear" w:color="000000" w:fill="FFFFFF"/>
            <w:noWrap/>
            <w:vAlign w:val="center"/>
            <w:hideMark/>
          </w:tcPr>
          <w:p w14:paraId="3E0DC0E3" w14:textId="5AB28F2D" w:rsidR="00CB6977" w:rsidRDefault="000031E3" w:rsidP="00CB6C97">
            <w:pPr>
              <w:keepNext/>
              <w:jc w:val="center"/>
              <w:rPr>
                <w:rFonts w:ascii="Arial" w:hAnsi="Arial" w:cs="Arial"/>
                <w:color w:val="000000"/>
                <w:sz w:val="22"/>
                <w:szCs w:val="22"/>
              </w:rPr>
            </w:pPr>
            <w:r w:rsidRPr="00F32DEC">
              <w:rPr>
                <w:rFonts w:ascii="Arial" w:hAnsi="Arial" w:cs="Arial"/>
                <w:color w:val="000000"/>
                <w:sz w:val="22"/>
                <w:szCs w:val="22"/>
              </w:rPr>
              <w:t>437</w:t>
            </w:r>
            <w:r w:rsidRPr="008B732F">
              <w:rPr>
                <w:rFonts w:ascii="Arial" w:hAnsi="Arial" w:cs="Arial"/>
                <w:color w:val="000000"/>
                <w:sz w:val="22"/>
                <w:szCs w:val="22"/>
              </w:rPr>
              <w:t xml:space="preserve"> </w:t>
            </w:r>
          </w:p>
          <w:p w14:paraId="20EB37AF" w14:textId="2EF31231" w:rsidR="000031E3" w:rsidRPr="00F32DEC" w:rsidRDefault="000031E3" w:rsidP="00CB6C97">
            <w:pPr>
              <w:keepNext/>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79,2</w:t>
            </w:r>
            <w:r w:rsidR="008D0C26">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356" w:type="dxa"/>
            <w:vMerge w:val="restart"/>
            <w:tcBorders>
              <w:top w:val="nil"/>
              <w:left w:val="single" w:sz="4" w:space="0" w:color="auto"/>
              <w:bottom w:val="single" w:sz="4" w:space="0" w:color="000000"/>
              <w:right w:val="single" w:sz="4" w:space="0" w:color="auto"/>
            </w:tcBorders>
            <w:shd w:val="clear" w:color="auto" w:fill="auto"/>
            <w:vAlign w:val="center"/>
            <w:hideMark/>
          </w:tcPr>
          <w:p w14:paraId="7AC3F828" w14:textId="56C68416" w:rsidR="000031E3" w:rsidRPr="003656E6" w:rsidRDefault="00502910" w:rsidP="00CB6C97">
            <w:pPr>
              <w:keepNext/>
              <w:jc w:val="center"/>
              <w:rPr>
                <w:rFonts w:ascii="Arial" w:hAnsi="Arial" w:cs="Arial"/>
                <w:b/>
                <w:bCs/>
                <w:color w:val="000000"/>
                <w:sz w:val="22"/>
                <w:szCs w:val="22"/>
              </w:rPr>
            </w:pPr>
            <w:r w:rsidRPr="003656E6">
              <w:rPr>
                <w:rFonts w:ascii="Arial" w:hAnsi="Arial" w:cs="Arial"/>
                <w:b/>
                <w:bCs/>
                <w:color w:val="000000"/>
                <w:sz w:val="22"/>
                <w:szCs w:val="22"/>
              </w:rPr>
              <w:t xml:space="preserve">p </w:t>
            </w:r>
            <w:r w:rsidR="000031E3" w:rsidRPr="003656E6">
              <w:rPr>
                <w:rFonts w:ascii="Arial" w:hAnsi="Arial" w:cs="Arial"/>
                <w:b/>
                <w:bCs/>
                <w:color w:val="000000"/>
                <w:sz w:val="22"/>
                <w:szCs w:val="22"/>
              </w:rPr>
              <w:t>&lt;0,001 CV=0,1</w:t>
            </w:r>
            <w:r w:rsidR="00DA05C0" w:rsidRPr="003656E6">
              <w:rPr>
                <w:rFonts w:ascii="Arial" w:hAnsi="Arial" w:cs="Arial"/>
                <w:b/>
                <w:bCs/>
                <w:color w:val="000000"/>
                <w:sz w:val="22"/>
                <w:szCs w:val="22"/>
              </w:rPr>
              <w:t>69</w:t>
            </w:r>
          </w:p>
        </w:tc>
      </w:tr>
      <w:tr w:rsidR="00CB6977" w:rsidRPr="00177205" w14:paraId="75F39825" w14:textId="77777777" w:rsidTr="006E31A5">
        <w:trPr>
          <w:trHeight w:val="435"/>
        </w:trPr>
        <w:tc>
          <w:tcPr>
            <w:tcW w:w="1271" w:type="dxa"/>
            <w:vMerge/>
            <w:tcBorders>
              <w:top w:val="nil"/>
              <w:left w:val="single" w:sz="4" w:space="0" w:color="auto"/>
              <w:bottom w:val="single" w:sz="4" w:space="0" w:color="000000"/>
              <w:right w:val="single" w:sz="4" w:space="0" w:color="auto"/>
            </w:tcBorders>
            <w:vAlign w:val="center"/>
            <w:hideMark/>
          </w:tcPr>
          <w:p w14:paraId="5BCD46A6" w14:textId="77777777" w:rsidR="000031E3" w:rsidRPr="00F32DEC" w:rsidRDefault="000031E3" w:rsidP="00F32DEC">
            <w:pPr>
              <w:rPr>
                <w:rFonts w:ascii="Arial" w:hAnsi="Arial" w:cs="Arial"/>
                <w:color w:val="000000"/>
                <w:sz w:val="22"/>
                <w:szCs w:val="22"/>
              </w:rPr>
            </w:pPr>
          </w:p>
        </w:tc>
        <w:tc>
          <w:tcPr>
            <w:tcW w:w="1418" w:type="dxa"/>
            <w:tcBorders>
              <w:top w:val="nil"/>
              <w:left w:val="nil"/>
              <w:bottom w:val="single" w:sz="4" w:space="0" w:color="auto"/>
              <w:right w:val="single" w:sz="4" w:space="0" w:color="auto"/>
            </w:tcBorders>
            <w:shd w:val="clear" w:color="auto" w:fill="auto"/>
            <w:vAlign w:val="center"/>
            <w:hideMark/>
          </w:tcPr>
          <w:p w14:paraId="6D1C2751" w14:textId="77777777" w:rsidR="000031E3" w:rsidRPr="00F32DEC" w:rsidRDefault="000031E3" w:rsidP="00F32DEC">
            <w:pPr>
              <w:jc w:val="center"/>
              <w:rPr>
                <w:rFonts w:ascii="Arial" w:hAnsi="Arial" w:cs="Arial"/>
                <w:color w:val="000000"/>
                <w:sz w:val="22"/>
                <w:szCs w:val="22"/>
              </w:rPr>
            </w:pPr>
            <w:r w:rsidRPr="00F32DEC">
              <w:rPr>
                <w:rFonts w:ascii="Arial" w:hAnsi="Arial" w:cs="Arial"/>
                <w:color w:val="000000"/>
                <w:sz w:val="22"/>
                <w:szCs w:val="22"/>
              </w:rPr>
              <w:t>Neurologická</w:t>
            </w:r>
          </w:p>
        </w:tc>
        <w:tc>
          <w:tcPr>
            <w:tcW w:w="1417" w:type="dxa"/>
            <w:tcBorders>
              <w:top w:val="nil"/>
              <w:left w:val="nil"/>
              <w:bottom w:val="single" w:sz="4" w:space="0" w:color="333333"/>
              <w:right w:val="single" w:sz="4" w:space="0" w:color="333399"/>
            </w:tcBorders>
            <w:shd w:val="clear" w:color="000000" w:fill="FFFFFF"/>
            <w:noWrap/>
            <w:vAlign w:val="center"/>
            <w:hideMark/>
          </w:tcPr>
          <w:p w14:paraId="3A27D634" w14:textId="72B42475" w:rsidR="000031E3" w:rsidRPr="00F32DEC" w:rsidRDefault="000031E3" w:rsidP="005F75D6">
            <w:pPr>
              <w:jc w:val="center"/>
              <w:rPr>
                <w:rFonts w:ascii="Arial" w:hAnsi="Arial" w:cs="Arial"/>
                <w:color w:val="000000"/>
                <w:sz w:val="22"/>
                <w:szCs w:val="22"/>
              </w:rPr>
            </w:pPr>
            <w:r w:rsidRPr="00F32DEC">
              <w:rPr>
                <w:rFonts w:ascii="Arial" w:hAnsi="Arial" w:cs="Arial"/>
                <w:color w:val="000000"/>
                <w:sz w:val="22"/>
                <w:szCs w:val="22"/>
              </w:rPr>
              <w:t>34</w:t>
            </w:r>
            <w:r w:rsidRPr="008B732F">
              <w:rPr>
                <w:rFonts w:ascii="Arial" w:hAnsi="Arial" w:cs="Arial"/>
                <w:color w:val="000000"/>
                <w:sz w:val="22"/>
                <w:szCs w:val="22"/>
              </w:rPr>
              <w:t xml:space="preserve"> (</w:t>
            </w:r>
            <w:r w:rsidRPr="00F32DEC">
              <w:rPr>
                <w:rFonts w:ascii="Arial" w:hAnsi="Arial" w:cs="Arial"/>
                <w:color w:val="000000"/>
                <w:sz w:val="22"/>
                <w:szCs w:val="22"/>
              </w:rPr>
              <w:t>20,5</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47F5E479" w14:textId="77777777" w:rsidR="009B7DCB" w:rsidRDefault="000031E3" w:rsidP="005F75D6">
            <w:pPr>
              <w:jc w:val="center"/>
              <w:rPr>
                <w:rFonts w:ascii="Arial" w:hAnsi="Arial" w:cs="Arial"/>
                <w:color w:val="000000"/>
                <w:sz w:val="22"/>
                <w:szCs w:val="22"/>
              </w:rPr>
            </w:pPr>
            <w:r w:rsidRPr="00F32DEC">
              <w:rPr>
                <w:rFonts w:ascii="Arial" w:hAnsi="Arial" w:cs="Arial"/>
                <w:color w:val="000000"/>
                <w:sz w:val="22"/>
                <w:szCs w:val="22"/>
              </w:rPr>
              <w:t>15</w:t>
            </w:r>
            <w:r w:rsidRPr="008B732F">
              <w:rPr>
                <w:rFonts w:ascii="Arial" w:hAnsi="Arial" w:cs="Arial"/>
                <w:color w:val="000000"/>
                <w:sz w:val="22"/>
                <w:szCs w:val="22"/>
              </w:rPr>
              <w:t xml:space="preserve"> </w:t>
            </w:r>
          </w:p>
          <w:p w14:paraId="3CF8009C" w14:textId="76983353" w:rsidR="000031E3" w:rsidRPr="00F32DEC" w:rsidRDefault="000031E3" w:rsidP="005F75D6">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19,2</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60" w:type="dxa"/>
            <w:tcBorders>
              <w:top w:val="nil"/>
              <w:left w:val="nil"/>
              <w:bottom w:val="single" w:sz="4" w:space="0" w:color="333333"/>
              <w:right w:val="single" w:sz="4" w:space="0" w:color="333399"/>
            </w:tcBorders>
            <w:shd w:val="clear" w:color="000000" w:fill="FFFFFF"/>
            <w:noWrap/>
            <w:vAlign w:val="center"/>
            <w:hideMark/>
          </w:tcPr>
          <w:p w14:paraId="4B72E9BB" w14:textId="2886AC5B" w:rsidR="000031E3" w:rsidRPr="00F32DEC" w:rsidRDefault="000031E3" w:rsidP="005F75D6">
            <w:pPr>
              <w:jc w:val="center"/>
              <w:rPr>
                <w:rFonts w:ascii="Arial" w:hAnsi="Arial" w:cs="Arial"/>
                <w:color w:val="000000"/>
                <w:sz w:val="22"/>
                <w:szCs w:val="22"/>
              </w:rPr>
            </w:pPr>
            <w:r w:rsidRPr="00F32DEC">
              <w:rPr>
                <w:rFonts w:ascii="Arial" w:hAnsi="Arial" w:cs="Arial"/>
                <w:color w:val="000000"/>
                <w:sz w:val="22"/>
                <w:szCs w:val="22"/>
              </w:rPr>
              <w:t>14</w:t>
            </w:r>
            <w:r w:rsidRPr="008B732F">
              <w:rPr>
                <w:rFonts w:ascii="Arial" w:hAnsi="Arial" w:cs="Arial"/>
                <w:color w:val="000000"/>
                <w:sz w:val="22"/>
                <w:szCs w:val="22"/>
              </w:rPr>
              <w:t xml:space="preserve"> (</w:t>
            </w:r>
            <w:r w:rsidRPr="00F32DEC">
              <w:rPr>
                <w:rFonts w:ascii="Arial" w:hAnsi="Arial" w:cs="Arial"/>
                <w:color w:val="000000"/>
                <w:sz w:val="22"/>
                <w:szCs w:val="22"/>
              </w:rPr>
              <w:t>6,4</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75F95EFA" w14:textId="09E73614" w:rsidR="000031E3" w:rsidRPr="00F32DEC" w:rsidRDefault="000031E3" w:rsidP="005F75D6">
            <w:pPr>
              <w:jc w:val="center"/>
              <w:rPr>
                <w:rFonts w:ascii="Arial" w:hAnsi="Arial" w:cs="Arial"/>
                <w:color w:val="000000"/>
                <w:sz w:val="22"/>
                <w:szCs w:val="22"/>
              </w:rPr>
            </w:pPr>
            <w:r w:rsidRPr="00F32DEC">
              <w:rPr>
                <w:rFonts w:ascii="Arial" w:hAnsi="Arial" w:cs="Arial"/>
                <w:color w:val="000000"/>
                <w:sz w:val="22"/>
                <w:szCs w:val="22"/>
              </w:rPr>
              <w:t>21</w:t>
            </w:r>
            <w:r w:rsidRPr="008B732F">
              <w:rPr>
                <w:rFonts w:ascii="Arial" w:hAnsi="Arial" w:cs="Arial"/>
                <w:color w:val="000000"/>
                <w:sz w:val="22"/>
                <w:szCs w:val="22"/>
              </w:rPr>
              <w:t xml:space="preserve"> (</w:t>
            </w:r>
            <w:r w:rsidRPr="00F32DEC">
              <w:rPr>
                <w:rFonts w:ascii="Arial" w:hAnsi="Arial" w:cs="Arial"/>
                <w:color w:val="000000"/>
                <w:sz w:val="22"/>
                <w:szCs w:val="22"/>
              </w:rPr>
              <w:t>33,3</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417" w:type="dxa"/>
            <w:tcBorders>
              <w:top w:val="nil"/>
              <w:left w:val="nil"/>
              <w:bottom w:val="single" w:sz="4" w:space="0" w:color="333333"/>
              <w:right w:val="single" w:sz="4" w:space="0" w:color="333399"/>
            </w:tcBorders>
            <w:shd w:val="clear" w:color="000000" w:fill="FFFFFF"/>
            <w:noWrap/>
            <w:vAlign w:val="center"/>
            <w:hideMark/>
          </w:tcPr>
          <w:p w14:paraId="547AA0BD" w14:textId="63DEFF7B" w:rsidR="000031E3" w:rsidRPr="00F32DEC" w:rsidRDefault="000031E3" w:rsidP="005F75D6">
            <w:pPr>
              <w:jc w:val="center"/>
              <w:rPr>
                <w:rFonts w:ascii="Arial" w:hAnsi="Arial" w:cs="Arial"/>
                <w:color w:val="000000"/>
                <w:sz w:val="22"/>
                <w:szCs w:val="22"/>
              </w:rPr>
            </w:pPr>
            <w:r w:rsidRPr="00F32DEC">
              <w:rPr>
                <w:rFonts w:ascii="Arial" w:hAnsi="Arial" w:cs="Arial"/>
                <w:color w:val="000000"/>
                <w:sz w:val="22"/>
                <w:szCs w:val="22"/>
              </w:rPr>
              <w:t>5</w:t>
            </w:r>
            <w:r w:rsidRPr="008B732F">
              <w:rPr>
                <w:rFonts w:ascii="Arial" w:hAnsi="Arial" w:cs="Arial"/>
                <w:color w:val="000000"/>
                <w:sz w:val="22"/>
                <w:szCs w:val="22"/>
              </w:rPr>
              <w:t xml:space="preserve"> (</w:t>
            </w:r>
            <w:r w:rsidRPr="00F32DEC">
              <w:rPr>
                <w:rFonts w:ascii="Arial" w:hAnsi="Arial" w:cs="Arial"/>
                <w:color w:val="000000"/>
                <w:sz w:val="22"/>
                <w:szCs w:val="22"/>
              </w:rPr>
              <w:t>19,2</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993" w:type="dxa"/>
            <w:tcBorders>
              <w:top w:val="nil"/>
              <w:left w:val="nil"/>
              <w:bottom w:val="single" w:sz="4" w:space="0" w:color="333333"/>
              <w:right w:val="single" w:sz="4" w:space="0" w:color="333399"/>
            </w:tcBorders>
            <w:shd w:val="clear" w:color="000000" w:fill="FFFFFF"/>
            <w:noWrap/>
            <w:vAlign w:val="center"/>
            <w:hideMark/>
          </w:tcPr>
          <w:p w14:paraId="1D07B818" w14:textId="77777777" w:rsidR="00CB6977" w:rsidRDefault="000031E3" w:rsidP="009B7DCB">
            <w:pPr>
              <w:jc w:val="center"/>
              <w:rPr>
                <w:rFonts w:ascii="Arial" w:hAnsi="Arial" w:cs="Arial"/>
                <w:color w:val="000000"/>
                <w:sz w:val="22"/>
                <w:szCs w:val="22"/>
              </w:rPr>
            </w:pPr>
            <w:r w:rsidRPr="00F32DEC">
              <w:rPr>
                <w:rFonts w:ascii="Arial" w:hAnsi="Arial" w:cs="Arial"/>
                <w:color w:val="000000"/>
                <w:sz w:val="22"/>
                <w:szCs w:val="22"/>
              </w:rPr>
              <w:t>89</w:t>
            </w:r>
            <w:r w:rsidR="009B7DCB">
              <w:rPr>
                <w:rFonts w:ascii="Arial" w:hAnsi="Arial" w:cs="Arial"/>
                <w:color w:val="000000"/>
                <w:sz w:val="22"/>
                <w:szCs w:val="22"/>
              </w:rPr>
              <w:t xml:space="preserve"> </w:t>
            </w:r>
          </w:p>
          <w:p w14:paraId="55743499" w14:textId="2EBCD36D" w:rsidR="000031E3" w:rsidRPr="00F32DEC" w:rsidRDefault="000031E3" w:rsidP="009B7DCB">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16,1</w:t>
            </w:r>
            <w:r w:rsidR="008D0C26">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356" w:type="dxa"/>
            <w:vMerge/>
            <w:tcBorders>
              <w:top w:val="nil"/>
              <w:left w:val="single" w:sz="4" w:space="0" w:color="auto"/>
              <w:bottom w:val="single" w:sz="4" w:space="0" w:color="000000"/>
              <w:right w:val="single" w:sz="4" w:space="0" w:color="auto"/>
            </w:tcBorders>
            <w:vAlign w:val="center"/>
            <w:hideMark/>
          </w:tcPr>
          <w:p w14:paraId="6612AFEA" w14:textId="77777777" w:rsidR="000031E3" w:rsidRPr="00F32DEC" w:rsidRDefault="000031E3" w:rsidP="00F32DEC">
            <w:pPr>
              <w:rPr>
                <w:rFonts w:ascii="Arial" w:hAnsi="Arial" w:cs="Arial"/>
                <w:b/>
                <w:bCs/>
                <w:color w:val="000000"/>
                <w:sz w:val="22"/>
                <w:szCs w:val="22"/>
              </w:rPr>
            </w:pPr>
          </w:p>
        </w:tc>
      </w:tr>
      <w:tr w:rsidR="00CB6977" w:rsidRPr="00177205" w14:paraId="78BA4DBC" w14:textId="77777777" w:rsidTr="006E31A5">
        <w:trPr>
          <w:trHeight w:val="967"/>
        </w:trPr>
        <w:tc>
          <w:tcPr>
            <w:tcW w:w="1271" w:type="dxa"/>
            <w:vMerge/>
            <w:tcBorders>
              <w:top w:val="nil"/>
              <w:left w:val="single" w:sz="4" w:space="0" w:color="auto"/>
              <w:bottom w:val="single" w:sz="4" w:space="0" w:color="000000"/>
              <w:right w:val="single" w:sz="4" w:space="0" w:color="auto"/>
            </w:tcBorders>
            <w:vAlign w:val="center"/>
            <w:hideMark/>
          </w:tcPr>
          <w:p w14:paraId="1D20B21D" w14:textId="77777777" w:rsidR="0065354E" w:rsidRPr="00F32DEC" w:rsidRDefault="0065354E" w:rsidP="00F32DEC">
            <w:pPr>
              <w:rPr>
                <w:rFonts w:ascii="Arial" w:hAnsi="Arial" w:cs="Arial"/>
                <w:color w:val="000000"/>
                <w:sz w:val="22"/>
                <w:szCs w:val="22"/>
              </w:rPr>
            </w:pPr>
          </w:p>
        </w:tc>
        <w:tc>
          <w:tcPr>
            <w:tcW w:w="1418" w:type="dxa"/>
            <w:tcBorders>
              <w:top w:val="nil"/>
              <w:left w:val="nil"/>
              <w:bottom w:val="single" w:sz="4" w:space="0" w:color="auto"/>
              <w:right w:val="single" w:sz="4" w:space="0" w:color="auto"/>
            </w:tcBorders>
            <w:shd w:val="clear" w:color="auto" w:fill="auto"/>
            <w:vAlign w:val="center"/>
            <w:hideMark/>
          </w:tcPr>
          <w:p w14:paraId="0DD5854E" w14:textId="77777777" w:rsidR="00177205" w:rsidRPr="008B732F" w:rsidRDefault="0065354E" w:rsidP="00F32DEC">
            <w:pPr>
              <w:jc w:val="center"/>
              <w:rPr>
                <w:rFonts w:ascii="Arial" w:hAnsi="Arial" w:cs="Arial"/>
                <w:color w:val="000000"/>
                <w:sz w:val="22"/>
                <w:szCs w:val="22"/>
              </w:rPr>
            </w:pPr>
            <w:r w:rsidRPr="00F32DEC">
              <w:rPr>
                <w:rFonts w:ascii="Arial" w:hAnsi="Arial" w:cs="Arial"/>
                <w:color w:val="000000"/>
                <w:sz w:val="22"/>
                <w:szCs w:val="22"/>
              </w:rPr>
              <w:t xml:space="preserve">Současně </w:t>
            </w:r>
          </w:p>
          <w:p w14:paraId="54EF7872" w14:textId="77777777" w:rsidR="00177205" w:rsidRPr="008B732F" w:rsidRDefault="0065354E" w:rsidP="00F32DEC">
            <w:pPr>
              <w:jc w:val="center"/>
              <w:rPr>
                <w:rFonts w:ascii="Arial" w:hAnsi="Arial" w:cs="Arial"/>
                <w:color w:val="000000"/>
                <w:sz w:val="22"/>
                <w:szCs w:val="22"/>
              </w:rPr>
            </w:pPr>
            <w:r w:rsidRPr="00F32DEC">
              <w:rPr>
                <w:rFonts w:ascii="Arial" w:hAnsi="Arial" w:cs="Arial"/>
                <w:color w:val="000000"/>
                <w:sz w:val="22"/>
                <w:szCs w:val="22"/>
              </w:rPr>
              <w:t xml:space="preserve">interní </w:t>
            </w:r>
          </w:p>
          <w:p w14:paraId="0A5DC0F4" w14:textId="4EF2D558" w:rsidR="0065354E" w:rsidRPr="00F32DEC" w:rsidRDefault="0065354E" w:rsidP="00F32DEC">
            <w:pPr>
              <w:jc w:val="center"/>
              <w:rPr>
                <w:rFonts w:ascii="Arial" w:hAnsi="Arial" w:cs="Arial"/>
                <w:color w:val="000000"/>
                <w:sz w:val="22"/>
                <w:szCs w:val="22"/>
              </w:rPr>
            </w:pPr>
            <w:r w:rsidRPr="00F32DEC">
              <w:rPr>
                <w:rFonts w:ascii="Arial" w:hAnsi="Arial" w:cs="Arial"/>
                <w:color w:val="000000"/>
                <w:sz w:val="22"/>
                <w:szCs w:val="22"/>
              </w:rPr>
              <w:t>a neurologická</w:t>
            </w:r>
          </w:p>
        </w:tc>
        <w:tc>
          <w:tcPr>
            <w:tcW w:w="1417" w:type="dxa"/>
            <w:tcBorders>
              <w:top w:val="nil"/>
              <w:left w:val="nil"/>
              <w:bottom w:val="single" w:sz="4" w:space="0" w:color="333333"/>
              <w:right w:val="single" w:sz="4" w:space="0" w:color="333399"/>
            </w:tcBorders>
            <w:shd w:val="clear" w:color="000000" w:fill="FFFFFF"/>
            <w:noWrap/>
            <w:vAlign w:val="center"/>
            <w:hideMark/>
          </w:tcPr>
          <w:p w14:paraId="682E1044" w14:textId="11ED01DD"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6</w:t>
            </w:r>
            <w:r w:rsidRPr="008B732F">
              <w:rPr>
                <w:rFonts w:ascii="Arial" w:hAnsi="Arial" w:cs="Arial"/>
                <w:color w:val="000000"/>
                <w:sz w:val="22"/>
                <w:szCs w:val="22"/>
              </w:rPr>
              <w:t xml:space="preserve"> (</w:t>
            </w:r>
            <w:r w:rsidRPr="00F32DEC">
              <w:rPr>
                <w:rFonts w:ascii="Arial" w:hAnsi="Arial" w:cs="Arial"/>
                <w:color w:val="000000"/>
                <w:sz w:val="22"/>
                <w:szCs w:val="22"/>
              </w:rPr>
              <w:t>3,6</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1CABF006" w14:textId="71712C2C"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4</w:t>
            </w:r>
            <w:r w:rsidRPr="008B732F">
              <w:rPr>
                <w:rFonts w:ascii="Arial" w:hAnsi="Arial" w:cs="Arial"/>
                <w:color w:val="000000"/>
                <w:sz w:val="22"/>
                <w:szCs w:val="22"/>
              </w:rPr>
              <w:t xml:space="preserve"> (</w:t>
            </w:r>
            <w:r w:rsidRPr="00F32DEC">
              <w:rPr>
                <w:rFonts w:ascii="Arial" w:hAnsi="Arial" w:cs="Arial"/>
                <w:color w:val="000000"/>
                <w:sz w:val="22"/>
                <w:szCs w:val="22"/>
              </w:rPr>
              <w:t>5,1</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60" w:type="dxa"/>
            <w:tcBorders>
              <w:top w:val="nil"/>
              <w:left w:val="nil"/>
              <w:bottom w:val="single" w:sz="4" w:space="0" w:color="333333"/>
              <w:right w:val="single" w:sz="4" w:space="0" w:color="333399"/>
            </w:tcBorders>
            <w:shd w:val="clear" w:color="000000" w:fill="FFFFFF"/>
            <w:noWrap/>
            <w:vAlign w:val="center"/>
            <w:hideMark/>
          </w:tcPr>
          <w:p w14:paraId="7840D516" w14:textId="63347F06"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13</w:t>
            </w:r>
            <w:r w:rsidRPr="008B732F">
              <w:rPr>
                <w:rFonts w:ascii="Arial" w:hAnsi="Arial" w:cs="Arial"/>
                <w:color w:val="000000"/>
                <w:sz w:val="22"/>
                <w:szCs w:val="22"/>
              </w:rPr>
              <w:t xml:space="preserve"> (</w:t>
            </w:r>
            <w:r w:rsidRPr="00F32DEC">
              <w:rPr>
                <w:rFonts w:ascii="Arial" w:hAnsi="Arial" w:cs="Arial"/>
                <w:color w:val="000000"/>
                <w:sz w:val="22"/>
                <w:szCs w:val="22"/>
              </w:rPr>
              <w:t>5,9</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0D92D2F2" w14:textId="47AC856A"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1</w:t>
            </w:r>
            <w:r w:rsidRPr="008B732F">
              <w:rPr>
                <w:rFonts w:ascii="Arial" w:hAnsi="Arial" w:cs="Arial"/>
                <w:color w:val="000000"/>
                <w:sz w:val="22"/>
                <w:szCs w:val="22"/>
              </w:rPr>
              <w:t xml:space="preserve"> (</w:t>
            </w:r>
            <w:r w:rsidRPr="00F32DEC">
              <w:rPr>
                <w:rFonts w:ascii="Arial" w:hAnsi="Arial" w:cs="Arial"/>
                <w:color w:val="000000"/>
                <w:sz w:val="22"/>
                <w:szCs w:val="22"/>
              </w:rPr>
              <w:t>1,6</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417" w:type="dxa"/>
            <w:tcBorders>
              <w:top w:val="nil"/>
              <w:left w:val="nil"/>
              <w:bottom w:val="single" w:sz="4" w:space="0" w:color="333333"/>
              <w:right w:val="single" w:sz="4" w:space="0" w:color="333399"/>
            </w:tcBorders>
            <w:shd w:val="clear" w:color="000000" w:fill="FFFFFF"/>
            <w:noWrap/>
            <w:vAlign w:val="center"/>
            <w:hideMark/>
          </w:tcPr>
          <w:p w14:paraId="7F7561BE" w14:textId="0ED2E366"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2</w:t>
            </w:r>
            <w:r w:rsidRPr="008B732F">
              <w:rPr>
                <w:rFonts w:ascii="Arial" w:hAnsi="Arial" w:cs="Arial"/>
                <w:color w:val="000000"/>
                <w:sz w:val="22"/>
                <w:szCs w:val="22"/>
              </w:rPr>
              <w:t xml:space="preserve"> (</w:t>
            </w:r>
            <w:r w:rsidRPr="00F32DEC">
              <w:rPr>
                <w:rFonts w:ascii="Arial" w:hAnsi="Arial" w:cs="Arial"/>
                <w:color w:val="000000"/>
                <w:sz w:val="22"/>
                <w:szCs w:val="22"/>
              </w:rPr>
              <w:t>7,7</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993" w:type="dxa"/>
            <w:tcBorders>
              <w:top w:val="nil"/>
              <w:left w:val="nil"/>
              <w:bottom w:val="single" w:sz="4" w:space="0" w:color="333333"/>
              <w:right w:val="single" w:sz="4" w:space="0" w:color="333399"/>
            </w:tcBorders>
            <w:shd w:val="clear" w:color="000000" w:fill="FFFFFF"/>
            <w:noWrap/>
            <w:vAlign w:val="center"/>
            <w:hideMark/>
          </w:tcPr>
          <w:p w14:paraId="109DD917" w14:textId="77777777" w:rsidR="00CB6977" w:rsidRDefault="0065354E" w:rsidP="009B7DCB">
            <w:pPr>
              <w:jc w:val="center"/>
              <w:rPr>
                <w:rFonts w:ascii="Arial" w:hAnsi="Arial" w:cs="Arial"/>
                <w:color w:val="000000"/>
                <w:sz w:val="22"/>
                <w:szCs w:val="22"/>
              </w:rPr>
            </w:pPr>
            <w:r w:rsidRPr="00F32DEC">
              <w:rPr>
                <w:rFonts w:ascii="Arial" w:hAnsi="Arial" w:cs="Arial"/>
                <w:color w:val="000000"/>
                <w:sz w:val="22"/>
                <w:szCs w:val="22"/>
              </w:rPr>
              <w:t>26</w:t>
            </w:r>
            <w:r w:rsidR="009B7DCB">
              <w:rPr>
                <w:rFonts w:ascii="Arial" w:hAnsi="Arial" w:cs="Arial"/>
                <w:color w:val="000000"/>
                <w:sz w:val="22"/>
                <w:szCs w:val="22"/>
              </w:rPr>
              <w:t xml:space="preserve"> </w:t>
            </w:r>
          </w:p>
          <w:p w14:paraId="3A47933D" w14:textId="749198BF" w:rsidR="0065354E" w:rsidRPr="00F32DEC" w:rsidRDefault="0065354E" w:rsidP="009B7DCB">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4,7</w:t>
            </w:r>
            <w:r w:rsidR="008D0C26">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356" w:type="dxa"/>
            <w:vMerge/>
            <w:tcBorders>
              <w:top w:val="nil"/>
              <w:left w:val="single" w:sz="4" w:space="0" w:color="auto"/>
              <w:bottom w:val="single" w:sz="4" w:space="0" w:color="000000"/>
              <w:right w:val="single" w:sz="4" w:space="0" w:color="auto"/>
            </w:tcBorders>
            <w:vAlign w:val="center"/>
            <w:hideMark/>
          </w:tcPr>
          <w:p w14:paraId="66E84C0C" w14:textId="77777777" w:rsidR="0065354E" w:rsidRPr="00F32DEC" w:rsidRDefault="0065354E" w:rsidP="00F32DEC">
            <w:pPr>
              <w:rPr>
                <w:rFonts w:ascii="Arial" w:hAnsi="Arial" w:cs="Arial"/>
                <w:b/>
                <w:bCs/>
                <w:color w:val="000000"/>
                <w:sz w:val="22"/>
                <w:szCs w:val="22"/>
              </w:rPr>
            </w:pPr>
          </w:p>
        </w:tc>
      </w:tr>
      <w:tr w:rsidR="00CB6977" w:rsidRPr="00177205" w14:paraId="74214325" w14:textId="77777777" w:rsidTr="006E31A5">
        <w:trPr>
          <w:trHeight w:val="513"/>
        </w:trPr>
        <w:tc>
          <w:tcPr>
            <w:tcW w:w="1271" w:type="dxa"/>
            <w:vMerge w:val="restart"/>
            <w:tcBorders>
              <w:top w:val="nil"/>
              <w:left w:val="single" w:sz="4" w:space="0" w:color="auto"/>
              <w:bottom w:val="single" w:sz="4" w:space="0" w:color="000000"/>
              <w:right w:val="single" w:sz="4" w:space="0" w:color="auto"/>
            </w:tcBorders>
            <w:shd w:val="clear" w:color="auto" w:fill="auto"/>
            <w:vAlign w:val="center"/>
            <w:hideMark/>
          </w:tcPr>
          <w:p w14:paraId="1E451C49" w14:textId="77777777" w:rsidR="0065354E" w:rsidRPr="00F32DEC" w:rsidRDefault="0065354E" w:rsidP="00F32DEC">
            <w:pPr>
              <w:jc w:val="center"/>
              <w:rPr>
                <w:rFonts w:ascii="Arial" w:hAnsi="Arial" w:cs="Arial"/>
                <w:color w:val="000000"/>
                <w:sz w:val="22"/>
                <w:szCs w:val="22"/>
              </w:rPr>
            </w:pPr>
            <w:r w:rsidRPr="00F32DEC">
              <w:rPr>
                <w:rFonts w:ascii="Arial" w:hAnsi="Arial" w:cs="Arial"/>
                <w:color w:val="000000"/>
                <w:sz w:val="22"/>
                <w:szCs w:val="22"/>
              </w:rPr>
              <w:t>Využití observačního lůžka</w:t>
            </w:r>
          </w:p>
        </w:tc>
        <w:tc>
          <w:tcPr>
            <w:tcW w:w="1418" w:type="dxa"/>
            <w:tcBorders>
              <w:top w:val="nil"/>
              <w:left w:val="nil"/>
              <w:bottom w:val="single" w:sz="4" w:space="0" w:color="auto"/>
              <w:right w:val="single" w:sz="4" w:space="0" w:color="auto"/>
            </w:tcBorders>
            <w:shd w:val="clear" w:color="auto" w:fill="auto"/>
            <w:vAlign w:val="center"/>
            <w:hideMark/>
          </w:tcPr>
          <w:p w14:paraId="5C5AE114" w14:textId="77777777" w:rsidR="0065354E" w:rsidRPr="00F32DEC" w:rsidRDefault="0065354E" w:rsidP="00F32DEC">
            <w:pPr>
              <w:jc w:val="center"/>
              <w:rPr>
                <w:rFonts w:ascii="Arial" w:hAnsi="Arial" w:cs="Arial"/>
                <w:color w:val="000000"/>
                <w:sz w:val="22"/>
                <w:szCs w:val="22"/>
              </w:rPr>
            </w:pPr>
            <w:r w:rsidRPr="00F32DEC">
              <w:rPr>
                <w:rFonts w:ascii="Arial" w:hAnsi="Arial" w:cs="Arial"/>
                <w:color w:val="000000"/>
                <w:sz w:val="22"/>
                <w:szCs w:val="22"/>
              </w:rPr>
              <w:t>ANO</w:t>
            </w:r>
          </w:p>
        </w:tc>
        <w:tc>
          <w:tcPr>
            <w:tcW w:w="1417" w:type="dxa"/>
            <w:tcBorders>
              <w:top w:val="nil"/>
              <w:left w:val="nil"/>
              <w:bottom w:val="single" w:sz="4" w:space="0" w:color="333333"/>
              <w:right w:val="single" w:sz="4" w:space="0" w:color="333399"/>
            </w:tcBorders>
            <w:shd w:val="clear" w:color="000000" w:fill="FFFFFF"/>
            <w:noWrap/>
            <w:vAlign w:val="center"/>
            <w:hideMark/>
          </w:tcPr>
          <w:p w14:paraId="45A86E29" w14:textId="72D4FA05"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83</w:t>
            </w:r>
            <w:r w:rsidRPr="008B732F">
              <w:rPr>
                <w:rFonts w:ascii="Arial" w:hAnsi="Arial" w:cs="Arial"/>
                <w:color w:val="000000"/>
                <w:sz w:val="22"/>
                <w:szCs w:val="22"/>
              </w:rPr>
              <w:t xml:space="preserve"> (</w:t>
            </w:r>
            <w:r w:rsidRPr="00F32DEC">
              <w:rPr>
                <w:rFonts w:ascii="Arial" w:hAnsi="Arial" w:cs="Arial"/>
                <w:color w:val="000000"/>
                <w:sz w:val="22"/>
                <w:szCs w:val="22"/>
              </w:rPr>
              <w:t>50,0</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19B08054" w14:textId="77777777" w:rsidR="009B7DCB" w:rsidRDefault="0065354E" w:rsidP="0065354E">
            <w:pPr>
              <w:jc w:val="center"/>
              <w:rPr>
                <w:rFonts w:ascii="Arial" w:hAnsi="Arial" w:cs="Arial"/>
                <w:color w:val="000000"/>
                <w:sz w:val="22"/>
                <w:szCs w:val="22"/>
              </w:rPr>
            </w:pPr>
            <w:r w:rsidRPr="00F32DEC">
              <w:rPr>
                <w:rFonts w:ascii="Arial" w:hAnsi="Arial" w:cs="Arial"/>
                <w:color w:val="000000"/>
                <w:sz w:val="22"/>
                <w:szCs w:val="22"/>
              </w:rPr>
              <w:t>71</w:t>
            </w:r>
            <w:r w:rsidRPr="008B732F">
              <w:rPr>
                <w:rFonts w:ascii="Arial" w:hAnsi="Arial" w:cs="Arial"/>
                <w:color w:val="000000"/>
                <w:sz w:val="22"/>
                <w:szCs w:val="22"/>
              </w:rPr>
              <w:t xml:space="preserve"> </w:t>
            </w:r>
          </w:p>
          <w:p w14:paraId="5EC78703" w14:textId="7D57504C" w:rsidR="0065354E" w:rsidRPr="00F32DEC" w:rsidRDefault="0065354E" w:rsidP="0065354E">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91,0</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60" w:type="dxa"/>
            <w:tcBorders>
              <w:top w:val="nil"/>
              <w:left w:val="nil"/>
              <w:bottom w:val="single" w:sz="4" w:space="0" w:color="333333"/>
              <w:right w:val="single" w:sz="4" w:space="0" w:color="333399"/>
            </w:tcBorders>
            <w:shd w:val="clear" w:color="000000" w:fill="FFFFFF"/>
            <w:noWrap/>
            <w:vAlign w:val="center"/>
            <w:hideMark/>
          </w:tcPr>
          <w:p w14:paraId="5BA6AB5D" w14:textId="6A27BDB2"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184</w:t>
            </w:r>
            <w:r w:rsidRPr="008B732F">
              <w:rPr>
                <w:rFonts w:ascii="Arial" w:hAnsi="Arial" w:cs="Arial"/>
                <w:color w:val="000000"/>
                <w:sz w:val="22"/>
                <w:szCs w:val="22"/>
              </w:rPr>
              <w:t xml:space="preserve"> (</w:t>
            </w:r>
            <w:r w:rsidRPr="00F32DEC">
              <w:rPr>
                <w:rFonts w:ascii="Arial" w:hAnsi="Arial" w:cs="Arial"/>
                <w:color w:val="000000"/>
                <w:sz w:val="22"/>
                <w:szCs w:val="22"/>
              </w:rPr>
              <w:t>84,0</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060A65B4" w14:textId="1FF5C514"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56</w:t>
            </w:r>
            <w:r w:rsidRPr="008B732F">
              <w:rPr>
                <w:rFonts w:ascii="Arial" w:hAnsi="Arial" w:cs="Arial"/>
                <w:color w:val="000000"/>
                <w:sz w:val="22"/>
                <w:szCs w:val="22"/>
              </w:rPr>
              <w:t xml:space="preserve"> (</w:t>
            </w:r>
            <w:r w:rsidRPr="00F32DEC">
              <w:rPr>
                <w:rFonts w:ascii="Arial" w:hAnsi="Arial" w:cs="Arial"/>
                <w:color w:val="000000"/>
                <w:sz w:val="22"/>
                <w:szCs w:val="22"/>
              </w:rPr>
              <w:t>88,9</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417" w:type="dxa"/>
            <w:tcBorders>
              <w:top w:val="nil"/>
              <w:left w:val="nil"/>
              <w:bottom w:val="single" w:sz="4" w:space="0" w:color="333333"/>
              <w:right w:val="single" w:sz="4" w:space="0" w:color="333399"/>
            </w:tcBorders>
            <w:shd w:val="clear" w:color="000000" w:fill="FFFFFF"/>
            <w:noWrap/>
            <w:vAlign w:val="center"/>
            <w:hideMark/>
          </w:tcPr>
          <w:p w14:paraId="2374ECD4" w14:textId="06C021F9"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23</w:t>
            </w:r>
            <w:r w:rsidRPr="008B732F">
              <w:rPr>
                <w:rFonts w:ascii="Arial" w:hAnsi="Arial" w:cs="Arial"/>
                <w:color w:val="000000"/>
                <w:sz w:val="22"/>
                <w:szCs w:val="22"/>
              </w:rPr>
              <w:t xml:space="preserve"> (</w:t>
            </w:r>
            <w:r w:rsidRPr="00F32DEC">
              <w:rPr>
                <w:rFonts w:ascii="Arial" w:hAnsi="Arial" w:cs="Arial"/>
                <w:color w:val="000000"/>
                <w:sz w:val="22"/>
                <w:szCs w:val="22"/>
              </w:rPr>
              <w:t>88,5</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993" w:type="dxa"/>
            <w:tcBorders>
              <w:top w:val="nil"/>
              <w:left w:val="nil"/>
              <w:bottom w:val="single" w:sz="4" w:space="0" w:color="333333"/>
              <w:right w:val="single" w:sz="4" w:space="0" w:color="333399"/>
            </w:tcBorders>
            <w:shd w:val="clear" w:color="000000" w:fill="FFFFFF"/>
            <w:noWrap/>
            <w:vAlign w:val="center"/>
            <w:hideMark/>
          </w:tcPr>
          <w:p w14:paraId="686C7309" w14:textId="77777777" w:rsidR="00CB6977" w:rsidRDefault="0065354E" w:rsidP="0065354E">
            <w:pPr>
              <w:jc w:val="center"/>
              <w:rPr>
                <w:rFonts w:ascii="Arial" w:hAnsi="Arial" w:cs="Arial"/>
                <w:color w:val="000000"/>
                <w:sz w:val="22"/>
                <w:szCs w:val="22"/>
              </w:rPr>
            </w:pPr>
            <w:r w:rsidRPr="00F32DEC">
              <w:rPr>
                <w:rFonts w:ascii="Arial" w:hAnsi="Arial" w:cs="Arial"/>
                <w:color w:val="000000"/>
                <w:sz w:val="22"/>
                <w:szCs w:val="22"/>
              </w:rPr>
              <w:t>417</w:t>
            </w:r>
            <w:r w:rsidRPr="008B732F">
              <w:rPr>
                <w:rFonts w:ascii="Arial" w:hAnsi="Arial" w:cs="Arial"/>
                <w:color w:val="000000"/>
                <w:sz w:val="22"/>
                <w:szCs w:val="22"/>
              </w:rPr>
              <w:t xml:space="preserve"> </w:t>
            </w:r>
          </w:p>
          <w:p w14:paraId="54BB4DEE" w14:textId="09143CC8" w:rsidR="0065354E" w:rsidRPr="00F32DEC" w:rsidRDefault="0065354E" w:rsidP="0065354E">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75,5</w:t>
            </w:r>
            <w:r w:rsidR="008D0C26">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356" w:type="dxa"/>
            <w:vMerge w:val="restart"/>
            <w:tcBorders>
              <w:top w:val="nil"/>
              <w:left w:val="single" w:sz="4" w:space="0" w:color="auto"/>
              <w:bottom w:val="single" w:sz="4" w:space="0" w:color="000000"/>
              <w:right w:val="single" w:sz="4" w:space="0" w:color="auto"/>
            </w:tcBorders>
            <w:shd w:val="clear" w:color="auto" w:fill="auto"/>
            <w:vAlign w:val="center"/>
            <w:hideMark/>
          </w:tcPr>
          <w:p w14:paraId="30A990B5" w14:textId="68F464CA" w:rsidR="0065354E" w:rsidRPr="003656E6" w:rsidRDefault="002576BD" w:rsidP="00F32DEC">
            <w:pPr>
              <w:jc w:val="center"/>
              <w:rPr>
                <w:rFonts w:ascii="Arial" w:hAnsi="Arial" w:cs="Arial"/>
                <w:b/>
                <w:bCs/>
                <w:color w:val="000000"/>
                <w:sz w:val="22"/>
                <w:szCs w:val="22"/>
              </w:rPr>
            </w:pPr>
            <w:r w:rsidRPr="003656E6">
              <w:rPr>
                <w:rFonts w:ascii="Arial" w:hAnsi="Arial" w:cs="Arial"/>
                <w:b/>
                <w:bCs/>
                <w:color w:val="000000"/>
                <w:sz w:val="22"/>
                <w:szCs w:val="22"/>
              </w:rPr>
              <w:t xml:space="preserve">p </w:t>
            </w:r>
            <w:r w:rsidR="0065354E" w:rsidRPr="003656E6">
              <w:rPr>
                <w:rFonts w:ascii="Arial" w:hAnsi="Arial" w:cs="Arial"/>
                <w:b/>
                <w:bCs/>
                <w:color w:val="000000"/>
                <w:sz w:val="22"/>
                <w:szCs w:val="22"/>
              </w:rPr>
              <w:t>&lt;0,001 CV=0,394</w:t>
            </w:r>
          </w:p>
        </w:tc>
      </w:tr>
      <w:tr w:rsidR="00CB6977" w:rsidRPr="00177205" w14:paraId="383BBA3B" w14:textId="77777777" w:rsidTr="006E31A5">
        <w:trPr>
          <w:trHeight w:val="407"/>
        </w:trPr>
        <w:tc>
          <w:tcPr>
            <w:tcW w:w="1271" w:type="dxa"/>
            <w:vMerge/>
            <w:tcBorders>
              <w:top w:val="nil"/>
              <w:left w:val="single" w:sz="4" w:space="0" w:color="auto"/>
              <w:bottom w:val="single" w:sz="4" w:space="0" w:color="000000"/>
              <w:right w:val="single" w:sz="4" w:space="0" w:color="auto"/>
            </w:tcBorders>
            <w:vAlign w:val="center"/>
            <w:hideMark/>
          </w:tcPr>
          <w:p w14:paraId="3B19E903" w14:textId="77777777" w:rsidR="0065354E" w:rsidRPr="00F32DEC" w:rsidRDefault="0065354E" w:rsidP="00F32DEC">
            <w:pPr>
              <w:rPr>
                <w:rFonts w:ascii="Arial" w:hAnsi="Arial" w:cs="Arial"/>
                <w:color w:val="000000"/>
                <w:sz w:val="22"/>
                <w:szCs w:val="22"/>
              </w:rPr>
            </w:pPr>
          </w:p>
        </w:tc>
        <w:tc>
          <w:tcPr>
            <w:tcW w:w="1418" w:type="dxa"/>
            <w:tcBorders>
              <w:top w:val="nil"/>
              <w:left w:val="nil"/>
              <w:bottom w:val="single" w:sz="4" w:space="0" w:color="auto"/>
              <w:right w:val="single" w:sz="4" w:space="0" w:color="auto"/>
            </w:tcBorders>
            <w:shd w:val="clear" w:color="auto" w:fill="auto"/>
            <w:vAlign w:val="center"/>
            <w:hideMark/>
          </w:tcPr>
          <w:p w14:paraId="6C0CFA9E" w14:textId="77777777" w:rsidR="0065354E" w:rsidRPr="00F32DEC" w:rsidRDefault="0065354E" w:rsidP="00F32DEC">
            <w:pPr>
              <w:jc w:val="center"/>
              <w:rPr>
                <w:rFonts w:ascii="Arial" w:hAnsi="Arial" w:cs="Arial"/>
                <w:color w:val="000000"/>
                <w:sz w:val="22"/>
                <w:szCs w:val="22"/>
              </w:rPr>
            </w:pPr>
            <w:r w:rsidRPr="00F32DEC">
              <w:rPr>
                <w:rFonts w:ascii="Arial" w:hAnsi="Arial" w:cs="Arial"/>
                <w:color w:val="000000"/>
                <w:sz w:val="22"/>
                <w:szCs w:val="22"/>
              </w:rPr>
              <w:t>NE</w:t>
            </w:r>
          </w:p>
        </w:tc>
        <w:tc>
          <w:tcPr>
            <w:tcW w:w="1417" w:type="dxa"/>
            <w:tcBorders>
              <w:top w:val="nil"/>
              <w:left w:val="nil"/>
              <w:bottom w:val="single" w:sz="4" w:space="0" w:color="333333"/>
              <w:right w:val="single" w:sz="4" w:space="0" w:color="333399"/>
            </w:tcBorders>
            <w:shd w:val="clear" w:color="000000" w:fill="FFFFFF"/>
            <w:noWrap/>
            <w:vAlign w:val="center"/>
            <w:hideMark/>
          </w:tcPr>
          <w:p w14:paraId="59153235" w14:textId="31DF8B2A"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83</w:t>
            </w:r>
            <w:r w:rsidRPr="008B732F">
              <w:rPr>
                <w:rFonts w:ascii="Arial" w:hAnsi="Arial" w:cs="Arial"/>
                <w:color w:val="000000"/>
                <w:sz w:val="22"/>
                <w:szCs w:val="22"/>
              </w:rPr>
              <w:t xml:space="preserve"> (</w:t>
            </w:r>
            <w:r w:rsidRPr="00F32DEC">
              <w:rPr>
                <w:rFonts w:ascii="Arial" w:hAnsi="Arial" w:cs="Arial"/>
                <w:color w:val="000000"/>
                <w:sz w:val="22"/>
                <w:szCs w:val="22"/>
              </w:rPr>
              <w:t>50,0</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6E6AFE96" w14:textId="6114C869"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7</w:t>
            </w:r>
            <w:r w:rsidRPr="008B732F">
              <w:rPr>
                <w:rFonts w:ascii="Arial" w:hAnsi="Arial" w:cs="Arial"/>
                <w:color w:val="000000"/>
                <w:sz w:val="22"/>
                <w:szCs w:val="22"/>
              </w:rPr>
              <w:t xml:space="preserve"> (</w:t>
            </w:r>
            <w:r w:rsidRPr="00F32DEC">
              <w:rPr>
                <w:rFonts w:ascii="Arial" w:hAnsi="Arial" w:cs="Arial"/>
                <w:color w:val="000000"/>
                <w:sz w:val="22"/>
                <w:szCs w:val="22"/>
              </w:rPr>
              <w:t>9,0</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60" w:type="dxa"/>
            <w:tcBorders>
              <w:top w:val="nil"/>
              <w:left w:val="nil"/>
              <w:bottom w:val="single" w:sz="4" w:space="0" w:color="333333"/>
              <w:right w:val="single" w:sz="4" w:space="0" w:color="333399"/>
            </w:tcBorders>
            <w:shd w:val="clear" w:color="000000" w:fill="FFFFFF"/>
            <w:noWrap/>
            <w:vAlign w:val="center"/>
            <w:hideMark/>
          </w:tcPr>
          <w:p w14:paraId="68F6C924" w14:textId="4220A4C4"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35</w:t>
            </w:r>
            <w:r w:rsidRPr="008B732F">
              <w:rPr>
                <w:rFonts w:ascii="Arial" w:hAnsi="Arial" w:cs="Arial"/>
                <w:color w:val="000000"/>
                <w:sz w:val="22"/>
                <w:szCs w:val="22"/>
              </w:rPr>
              <w:t xml:space="preserve"> (</w:t>
            </w:r>
            <w:r w:rsidRPr="00F32DEC">
              <w:rPr>
                <w:rFonts w:ascii="Arial" w:hAnsi="Arial" w:cs="Arial"/>
                <w:color w:val="000000"/>
                <w:sz w:val="22"/>
                <w:szCs w:val="22"/>
              </w:rPr>
              <w:t>16,0</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3C4F5BF6" w14:textId="2F0707E4"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7</w:t>
            </w:r>
            <w:r w:rsidRPr="008B732F">
              <w:rPr>
                <w:rFonts w:ascii="Arial" w:hAnsi="Arial" w:cs="Arial"/>
                <w:color w:val="000000"/>
                <w:sz w:val="22"/>
                <w:szCs w:val="22"/>
              </w:rPr>
              <w:t xml:space="preserve"> (</w:t>
            </w:r>
            <w:r w:rsidRPr="00F32DEC">
              <w:rPr>
                <w:rFonts w:ascii="Arial" w:hAnsi="Arial" w:cs="Arial"/>
                <w:color w:val="000000"/>
                <w:sz w:val="22"/>
                <w:szCs w:val="22"/>
              </w:rPr>
              <w:t>11,1</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417" w:type="dxa"/>
            <w:tcBorders>
              <w:top w:val="nil"/>
              <w:left w:val="nil"/>
              <w:bottom w:val="single" w:sz="4" w:space="0" w:color="333333"/>
              <w:right w:val="single" w:sz="4" w:space="0" w:color="333399"/>
            </w:tcBorders>
            <w:shd w:val="clear" w:color="000000" w:fill="FFFFFF"/>
            <w:noWrap/>
            <w:vAlign w:val="center"/>
            <w:hideMark/>
          </w:tcPr>
          <w:p w14:paraId="32E58FC3" w14:textId="628DF924"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3</w:t>
            </w:r>
            <w:r w:rsidRPr="008B732F">
              <w:rPr>
                <w:rFonts w:ascii="Arial" w:hAnsi="Arial" w:cs="Arial"/>
                <w:color w:val="000000"/>
                <w:sz w:val="22"/>
                <w:szCs w:val="22"/>
              </w:rPr>
              <w:t xml:space="preserve"> (</w:t>
            </w:r>
            <w:r w:rsidRPr="00F32DEC">
              <w:rPr>
                <w:rFonts w:ascii="Arial" w:hAnsi="Arial" w:cs="Arial"/>
                <w:color w:val="000000"/>
                <w:sz w:val="22"/>
                <w:szCs w:val="22"/>
              </w:rPr>
              <w:t>11,5</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993" w:type="dxa"/>
            <w:tcBorders>
              <w:top w:val="nil"/>
              <w:left w:val="nil"/>
              <w:bottom w:val="single" w:sz="4" w:space="0" w:color="333333"/>
              <w:right w:val="single" w:sz="4" w:space="0" w:color="333399"/>
            </w:tcBorders>
            <w:shd w:val="clear" w:color="000000" w:fill="FFFFFF"/>
            <w:noWrap/>
            <w:vAlign w:val="center"/>
            <w:hideMark/>
          </w:tcPr>
          <w:p w14:paraId="1A0D5833" w14:textId="77777777" w:rsidR="00CB6977" w:rsidRDefault="0065354E" w:rsidP="0065354E">
            <w:pPr>
              <w:jc w:val="center"/>
              <w:rPr>
                <w:rFonts w:ascii="Arial" w:hAnsi="Arial" w:cs="Arial"/>
                <w:color w:val="000000"/>
                <w:sz w:val="22"/>
                <w:szCs w:val="22"/>
              </w:rPr>
            </w:pPr>
            <w:r w:rsidRPr="00F32DEC">
              <w:rPr>
                <w:rFonts w:ascii="Arial" w:hAnsi="Arial" w:cs="Arial"/>
                <w:color w:val="000000"/>
                <w:sz w:val="22"/>
                <w:szCs w:val="22"/>
              </w:rPr>
              <w:t>135</w:t>
            </w:r>
            <w:r w:rsidRPr="008B732F">
              <w:rPr>
                <w:rFonts w:ascii="Arial" w:hAnsi="Arial" w:cs="Arial"/>
                <w:color w:val="000000"/>
                <w:sz w:val="22"/>
                <w:szCs w:val="22"/>
              </w:rPr>
              <w:t xml:space="preserve"> </w:t>
            </w:r>
          </w:p>
          <w:p w14:paraId="5A0B5475" w14:textId="2BF61195" w:rsidR="0065354E" w:rsidRPr="00F32DEC" w:rsidRDefault="0065354E" w:rsidP="0065354E">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24,5</w:t>
            </w:r>
            <w:r w:rsidR="008D0C26">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356" w:type="dxa"/>
            <w:vMerge/>
            <w:tcBorders>
              <w:top w:val="nil"/>
              <w:left w:val="single" w:sz="4" w:space="0" w:color="auto"/>
              <w:bottom w:val="single" w:sz="4" w:space="0" w:color="000000"/>
              <w:right w:val="single" w:sz="4" w:space="0" w:color="auto"/>
            </w:tcBorders>
            <w:vAlign w:val="center"/>
            <w:hideMark/>
          </w:tcPr>
          <w:p w14:paraId="7FB40549" w14:textId="77777777" w:rsidR="0065354E" w:rsidRPr="003656E6" w:rsidRDefault="0065354E" w:rsidP="00F32DEC">
            <w:pPr>
              <w:rPr>
                <w:rFonts w:ascii="Arial" w:hAnsi="Arial" w:cs="Arial"/>
                <w:b/>
                <w:bCs/>
                <w:color w:val="000000"/>
                <w:sz w:val="22"/>
                <w:szCs w:val="22"/>
              </w:rPr>
            </w:pPr>
          </w:p>
        </w:tc>
      </w:tr>
      <w:tr w:rsidR="00CB6977" w:rsidRPr="00177205" w14:paraId="449C3215" w14:textId="77777777" w:rsidTr="006E31A5">
        <w:trPr>
          <w:trHeight w:val="471"/>
        </w:trPr>
        <w:tc>
          <w:tcPr>
            <w:tcW w:w="1271" w:type="dxa"/>
            <w:vMerge w:val="restart"/>
            <w:tcBorders>
              <w:top w:val="nil"/>
              <w:left w:val="single" w:sz="4" w:space="0" w:color="auto"/>
              <w:bottom w:val="single" w:sz="4" w:space="0" w:color="000000"/>
              <w:right w:val="single" w:sz="4" w:space="0" w:color="auto"/>
            </w:tcBorders>
            <w:shd w:val="clear" w:color="auto" w:fill="auto"/>
            <w:vAlign w:val="center"/>
            <w:hideMark/>
          </w:tcPr>
          <w:p w14:paraId="666434E2" w14:textId="77777777" w:rsidR="0065354E" w:rsidRPr="00F32DEC" w:rsidRDefault="0065354E" w:rsidP="00F32DEC">
            <w:pPr>
              <w:jc w:val="center"/>
              <w:rPr>
                <w:rFonts w:ascii="Arial" w:hAnsi="Arial" w:cs="Arial"/>
                <w:color w:val="000000"/>
                <w:sz w:val="22"/>
                <w:szCs w:val="22"/>
              </w:rPr>
            </w:pPr>
            <w:r w:rsidRPr="00F32DEC">
              <w:rPr>
                <w:rFonts w:ascii="Arial" w:hAnsi="Arial" w:cs="Arial"/>
                <w:color w:val="000000"/>
                <w:sz w:val="22"/>
                <w:szCs w:val="22"/>
              </w:rPr>
              <w:t>Využití zobrazovacích metod</w:t>
            </w:r>
          </w:p>
        </w:tc>
        <w:tc>
          <w:tcPr>
            <w:tcW w:w="1418" w:type="dxa"/>
            <w:tcBorders>
              <w:top w:val="nil"/>
              <w:left w:val="nil"/>
              <w:bottom w:val="single" w:sz="4" w:space="0" w:color="auto"/>
              <w:right w:val="single" w:sz="4" w:space="0" w:color="auto"/>
            </w:tcBorders>
            <w:shd w:val="clear" w:color="auto" w:fill="auto"/>
            <w:vAlign w:val="center"/>
            <w:hideMark/>
          </w:tcPr>
          <w:p w14:paraId="2D4DBEEF" w14:textId="77777777" w:rsidR="0065354E" w:rsidRPr="00F32DEC" w:rsidRDefault="0065354E" w:rsidP="00F32DEC">
            <w:pPr>
              <w:jc w:val="center"/>
              <w:rPr>
                <w:rFonts w:ascii="Arial" w:hAnsi="Arial" w:cs="Arial"/>
                <w:color w:val="000000"/>
                <w:sz w:val="22"/>
                <w:szCs w:val="22"/>
              </w:rPr>
            </w:pPr>
            <w:r w:rsidRPr="00F32DEC">
              <w:rPr>
                <w:rFonts w:ascii="Arial" w:hAnsi="Arial" w:cs="Arial"/>
                <w:color w:val="000000"/>
                <w:sz w:val="22"/>
                <w:szCs w:val="22"/>
              </w:rPr>
              <w:t>ANO</w:t>
            </w:r>
          </w:p>
        </w:tc>
        <w:tc>
          <w:tcPr>
            <w:tcW w:w="1417" w:type="dxa"/>
            <w:tcBorders>
              <w:top w:val="nil"/>
              <w:left w:val="nil"/>
              <w:bottom w:val="single" w:sz="4" w:space="0" w:color="333333"/>
              <w:right w:val="single" w:sz="4" w:space="0" w:color="333399"/>
            </w:tcBorders>
            <w:shd w:val="clear" w:color="000000" w:fill="FFFFFF"/>
            <w:noWrap/>
            <w:vAlign w:val="center"/>
            <w:hideMark/>
          </w:tcPr>
          <w:p w14:paraId="6C271509" w14:textId="1CF3F149"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73</w:t>
            </w:r>
            <w:r w:rsidRPr="008B732F">
              <w:rPr>
                <w:rFonts w:ascii="Arial" w:hAnsi="Arial" w:cs="Arial"/>
                <w:color w:val="000000"/>
                <w:sz w:val="22"/>
                <w:szCs w:val="22"/>
              </w:rPr>
              <w:t xml:space="preserve"> (</w:t>
            </w:r>
            <w:r w:rsidRPr="00F32DEC">
              <w:rPr>
                <w:rFonts w:ascii="Arial" w:hAnsi="Arial" w:cs="Arial"/>
                <w:color w:val="000000"/>
                <w:sz w:val="22"/>
                <w:szCs w:val="22"/>
              </w:rPr>
              <w:t>44,0</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03B058BA" w14:textId="77777777" w:rsidR="009B7DCB" w:rsidRDefault="0065354E" w:rsidP="0065354E">
            <w:pPr>
              <w:jc w:val="center"/>
              <w:rPr>
                <w:rFonts w:ascii="Arial" w:hAnsi="Arial" w:cs="Arial"/>
                <w:color w:val="000000"/>
                <w:sz w:val="22"/>
                <w:szCs w:val="22"/>
              </w:rPr>
            </w:pPr>
            <w:r w:rsidRPr="00F32DEC">
              <w:rPr>
                <w:rFonts w:ascii="Arial" w:hAnsi="Arial" w:cs="Arial"/>
                <w:color w:val="000000"/>
                <w:sz w:val="22"/>
                <w:szCs w:val="22"/>
              </w:rPr>
              <w:t>46</w:t>
            </w:r>
            <w:r w:rsidRPr="008B732F">
              <w:rPr>
                <w:rFonts w:ascii="Arial" w:hAnsi="Arial" w:cs="Arial"/>
                <w:color w:val="000000"/>
                <w:sz w:val="22"/>
                <w:szCs w:val="22"/>
              </w:rPr>
              <w:t xml:space="preserve"> </w:t>
            </w:r>
          </w:p>
          <w:p w14:paraId="7C7776D8" w14:textId="325F0E32" w:rsidR="0065354E" w:rsidRPr="00F32DEC" w:rsidRDefault="0065354E" w:rsidP="0065354E">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59,0</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60" w:type="dxa"/>
            <w:tcBorders>
              <w:top w:val="nil"/>
              <w:left w:val="nil"/>
              <w:bottom w:val="single" w:sz="4" w:space="0" w:color="333333"/>
              <w:right w:val="single" w:sz="4" w:space="0" w:color="333399"/>
            </w:tcBorders>
            <w:shd w:val="clear" w:color="000000" w:fill="FFFFFF"/>
            <w:noWrap/>
            <w:vAlign w:val="center"/>
            <w:hideMark/>
          </w:tcPr>
          <w:p w14:paraId="2C7104F4" w14:textId="62BC7AB6"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142</w:t>
            </w:r>
            <w:r w:rsidRPr="008B732F">
              <w:rPr>
                <w:rFonts w:ascii="Arial" w:hAnsi="Arial" w:cs="Arial"/>
                <w:color w:val="000000"/>
                <w:sz w:val="22"/>
                <w:szCs w:val="22"/>
              </w:rPr>
              <w:t xml:space="preserve"> (</w:t>
            </w:r>
            <w:r w:rsidRPr="00F32DEC">
              <w:rPr>
                <w:rFonts w:ascii="Arial" w:hAnsi="Arial" w:cs="Arial"/>
                <w:color w:val="000000"/>
                <w:sz w:val="22"/>
                <w:szCs w:val="22"/>
              </w:rPr>
              <w:t>64,8</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21DB0DBB" w14:textId="0C0B9B33"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39</w:t>
            </w:r>
            <w:r w:rsidRPr="008B732F">
              <w:rPr>
                <w:rFonts w:ascii="Arial" w:hAnsi="Arial" w:cs="Arial"/>
                <w:color w:val="000000"/>
                <w:sz w:val="22"/>
                <w:szCs w:val="22"/>
              </w:rPr>
              <w:t xml:space="preserve"> (</w:t>
            </w:r>
            <w:r w:rsidRPr="00F32DEC">
              <w:rPr>
                <w:rFonts w:ascii="Arial" w:hAnsi="Arial" w:cs="Arial"/>
                <w:color w:val="000000"/>
                <w:sz w:val="22"/>
                <w:szCs w:val="22"/>
              </w:rPr>
              <w:t>61,9</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417" w:type="dxa"/>
            <w:tcBorders>
              <w:top w:val="nil"/>
              <w:left w:val="nil"/>
              <w:bottom w:val="single" w:sz="4" w:space="0" w:color="333333"/>
              <w:right w:val="single" w:sz="4" w:space="0" w:color="333399"/>
            </w:tcBorders>
            <w:shd w:val="clear" w:color="000000" w:fill="FFFFFF"/>
            <w:noWrap/>
            <w:vAlign w:val="center"/>
            <w:hideMark/>
          </w:tcPr>
          <w:p w14:paraId="0597D073" w14:textId="2332F1C1"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19</w:t>
            </w:r>
            <w:r w:rsidRPr="008B732F">
              <w:rPr>
                <w:rFonts w:ascii="Arial" w:hAnsi="Arial" w:cs="Arial"/>
                <w:color w:val="000000"/>
                <w:sz w:val="22"/>
                <w:szCs w:val="22"/>
              </w:rPr>
              <w:t xml:space="preserve"> (</w:t>
            </w:r>
            <w:r w:rsidRPr="00F32DEC">
              <w:rPr>
                <w:rFonts w:ascii="Arial" w:hAnsi="Arial" w:cs="Arial"/>
                <w:color w:val="000000"/>
                <w:sz w:val="22"/>
                <w:szCs w:val="22"/>
              </w:rPr>
              <w:t>73,1</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993" w:type="dxa"/>
            <w:tcBorders>
              <w:top w:val="nil"/>
              <w:left w:val="nil"/>
              <w:bottom w:val="single" w:sz="4" w:space="0" w:color="333333"/>
              <w:right w:val="single" w:sz="4" w:space="0" w:color="333399"/>
            </w:tcBorders>
            <w:shd w:val="clear" w:color="000000" w:fill="FFFFFF"/>
            <w:noWrap/>
            <w:vAlign w:val="center"/>
            <w:hideMark/>
          </w:tcPr>
          <w:p w14:paraId="36E641E7" w14:textId="77777777" w:rsidR="00CB6977" w:rsidRDefault="0065354E" w:rsidP="0065354E">
            <w:pPr>
              <w:jc w:val="center"/>
              <w:rPr>
                <w:rFonts w:ascii="Arial" w:hAnsi="Arial" w:cs="Arial"/>
                <w:color w:val="000000"/>
                <w:sz w:val="22"/>
                <w:szCs w:val="22"/>
              </w:rPr>
            </w:pPr>
            <w:r w:rsidRPr="00F32DEC">
              <w:rPr>
                <w:rFonts w:ascii="Arial" w:hAnsi="Arial" w:cs="Arial"/>
                <w:color w:val="000000"/>
                <w:sz w:val="22"/>
                <w:szCs w:val="22"/>
              </w:rPr>
              <w:t>319</w:t>
            </w:r>
            <w:r w:rsidRPr="008B732F">
              <w:rPr>
                <w:rFonts w:ascii="Arial" w:hAnsi="Arial" w:cs="Arial"/>
                <w:color w:val="000000"/>
                <w:sz w:val="22"/>
                <w:szCs w:val="22"/>
              </w:rPr>
              <w:t xml:space="preserve"> </w:t>
            </w:r>
          </w:p>
          <w:p w14:paraId="0E6F3B15" w14:textId="4DC5C368" w:rsidR="0065354E" w:rsidRPr="00F32DEC" w:rsidRDefault="0065354E" w:rsidP="0065354E">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57,8</w:t>
            </w:r>
            <w:r w:rsidR="008D0C26">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356" w:type="dxa"/>
            <w:vMerge w:val="restart"/>
            <w:tcBorders>
              <w:top w:val="nil"/>
              <w:left w:val="single" w:sz="4" w:space="0" w:color="auto"/>
              <w:bottom w:val="single" w:sz="4" w:space="0" w:color="000000"/>
              <w:right w:val="single" w:sz="4" w:space="0" w:color="auto"/>
            </w:tcBorders>
            <w:shd w:val="clear" w:color="auto" w:fill="auto"/>
            <w:vAlign w:val="center"/>
            <w:hideMark/>
          </w:tcPr>
          <w:p w14:paraId="5C3A5358" w14:textId="68F454CF" w:rsidR="0065354E" w:rsidRPr="003656E6" w:rsidRDefault="002576BD" w:rsidP="00F32DEC">
            <w:pPr>
              <w:jc w:val="center"/>
              <w:rPr>
                <w:rFonts w:ascii="Arial" w:hAnsi="Arial" w:cs="Arial"/>
                <w:b/>
                <w:bCs/>
                <w:color w:val="000000"/>
                <w:sz w:val="22"/>
                <w:szCs w:val="22"/>
              </w:rPr>
            </w:pPr>
            <w:r w:rsidRPr="003656E6">
              <w:rPr>
                <w:rFonts w:ascii="Arial" w:hAnsi="Arial" w:cs="Arial"/>
                <w:b/>
                <w:bCs/>
                <w:color w:val="000000"/>
                <w:sz w:val="22"/>
                <w:szCs w:val="22"/>
              </w:rPr>
              <w:t xml:space="preserve">p </w:t>
            </w:r>
            <w:r w:rsidR="0065354E" w:rsidRPr="003656E6">
              <w:rPr>
                <w:rFonts w:ascii="Arial" w:hAnsi="Arial" w:cs="Arial"/>
                <w:b/>
                <w:bCs/>
                <w:color w:val="000000"/>
                <w:sz w:val="22"/>
                <w:szCs w:val="22"/>
              </w:rPr>
              <w:t>&lt;0,001 CV=0,192</w:t>
            </w:r>
          </w:p>
        </w:tc>
      </w:tr>
      <w:tr w:rsidR="00CB6977" w:rsidRPr="00177205" w14:paraId="154052B0" w14:textId="77777777" w:rsidTr="006E31A5">
        <w:trPr>
          <w:trHeight w:val="300"/>
        </w:trPr>
        <w:tc>
          <w:tcPr>
            <w:tcW w:w="1271" w:type="dxa"/>
            <w:vMerge/>
            <w:tcBorders>
              <w:top w:val="nil"/>
              <w:left w:val="single" w:sz="4" w:space="0" w:color="auto"/>
              <w:bottom w:val="single" w:sz="4" w:space="0" w:color="000000"/>
              <w:right w:val="single" w:sz="4" w:space="0" w:color="auto"/>
            </w:tcBorders>
            <w:vAlign w:val="center"/>
            <w:hideMark/>
          </w:tcPr>
          <w:p w14:paraId="373A24AC" w14:textId="77777777" w:rsidR="0065354E" w:rsidRPr="00F32DEC" w:rsidRDefault="0065354E" w:rsidP="00F32DEC">
            <w:pPr>
              <w:rPr>
                <w:rFonts w:ascii="Arial" w:hAnsi="Arial" w:cs="Arial"/>
                <w:color w:val="000000"/>
                <w:sz w:val="22"/>
                <w:szCs w:val="22"/>
              </w:rPr>
            </w:pPr>
          </w:p>
        </w:tc>
        <w:tc>
          <w:tcPr>
            <w:tcW w:w="1418" w:type="dxa"/>
            <w:tcBorders>
              <w:top w:val="nil"/>
              <w:left w:val="nil"/>
              <w:bottom w:val="single" w:sz="4" w:space="0" w:color="auto"/>
              <w:right w:val="single" w:sz="4" w:space="0" w:color="auto"/>
            </w:tcBorders>
            <w:shd w:val="clear" w:color="auto" w:fill="auto"/>
            <w:vAlign w:val="center"/>
            <w:hideMark/>
          </w:tcPr>
          <w:p w14:paraId="4C9DBA8B" w14:textId="77777777" w:rsidR="0065354E" w:rsidRPr="00F32DEC" w:rsidRDefault="0065354E" w:rsidP="00F32DEC">
            <w:pPr>
              <w:jc w:val="center"/>
              <w:rPr>
                <w:rFonts w:ascii="Arial" w:hAnsi="Arial" w:cs="Arial"/>
                <w:color w:val="000000"/>
                <w:sz w:val="22"/>
                <w:szCs w:val="22"/>
              </w:rPr>
            </w:pPr>
            <w:r w:rsidRPr="00F32DEC">
              <w:rPr>
                <w:rFonts w:ascii="Arial" w:hAnsi="Arial" w:cs="Arial"/>
                <w:color w:val="000000"/>
                <w:sz w:val="22"/>
                <w:szCs w:val="22"/>
              </w:rPr>
              <w:t>NE</w:t>
            </w:r>
          </w:p>
        </w:tc>
        <w:tc>
          <w:tcPr>
            <w:tcW w:w="1417" w:type="dxa"/>
            <w:tcBorders>
              <w:top w:val="nil"/>
              <w:left w:val="nil"/>
              <w:bottom w:val="single" w:sz="4" w:space="0" w:color="333333"/>
              <w:right w:val="single" w:sz="4" w:space="0" w:color="333399"/>
            </w:tcBorders>
            <w:shd w:val="clear" w:color="000000" w:fill="FFFFFF"/>
            <w:noWrap/>
            <w:vAlign w:val="center"/>
            <w:hideMark/>
          </w:tcPr>
          <w:p w14:paraId="5589BDF7" w14:textId="2D2CEFBD"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93</w:t>
            </w:r>
            <w:r w:rsidRPr="008B732F">
              <w:rPr>
                <w:rFonts w:ascii="Arial" w:hAnsi="Arial" w:cs="Arial"/>
                <w:color w:val="000000"/>
                <w:sz w:val="22"/>
                <w:szCs w:val="22"/>
              </w:rPr>
              <w:t xml:space="preserve"> (</w:t>
            </w:r>
            <w:r w:rsidRPr="00F32DEC">
              <w:rPr>
                <w:rFonts w:ascii="Arial" w:hAnsi="Arial" w:cs="Arial"/>
                <w:color w:val="000000"/>
                <w:sz w:val="22"/>
                <w:szCs w:val="22"/>
              </w:rPr>
              <w:t>56,0</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5DBF3DBE" w14:textId="77777777" w:rsidR="009B7DCB" w:rsidRDefault="0065354E" w:rsidP="0065354E">
            <w:pPr>
              <w:jc w:val="center"/>
              <w:rPr>
                <w:rFonts w:ascii="Arial" w:hAnsi="Arial" w:cs="Arial"/>
                <w:color w:val="000000"/>
                <w:sz w:val="22"/>
                <w:szCs w:val="22"/>
              </w:rPr>
            </w:pPr>
            <w:r w:rsidRPr="00F32DEC">
              <w:rPr>
                <w:rFonts w:ascii="Arial" w:hAnsi="Arial" w:cs="Arial"/>
                <w:color w:val="000000"/>
                <w:sz w:val="22"/>
                <w:szCs w:val="22"/>
              </w:rPr>
              <w:t>32</w:t>
            </w:r>
            <w:r w:rsidRPr="008B732F">
              <w:rPr>
                <w:rFonts w:ascii="Arial" w:hAnsi="Arial" w:cs="Arial"/>
                <w:color w:val="000000"/>
                <w:sz w:val="22"/>
                <w:szCs w:val="22"/>
              </w:rPr>
              <w:t xml:space="preserve"> </w:t>
            </w:r>
          </w:p>
          <w:p w14:paraId="42A7BF16" w14:textId="2987E740" w:rsidR="0065354E" w:rsidRPr="00F32DEC" w:rsidRDefault="0065354E" w:rsidP="0065354E">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41,0</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60" w:type="dxa"/>
            <w:tcBorders>
              <w:top w:val="nil"/>
              <w:left w:val="nil"/>
              <w:bottom w:val="single" w:sz="4" w:space="0" w:color="333333"/>
              <w:right w:val="single" w:sz="4" w:space="0" w:color="333399"/>
            </w:tcBorders>
            <w:shd w:val="clear" w:color="000000" w:fill="FFFFFF"/>
            <w:noWrap/>
            <w:vAlign w:val="center"/>
            <w:hideMark/>
          </w:tcPr>
          <w:p w14:paraId="0496612D" w14:textId="058AD5F4"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77</w:t>
            </w:r>
            <w:r w:rsidRPr="008B732F">
              <w:rPr>
                <w:rFonts w:ascii="Arial" w:hAnsi="Arial" w:cs="Arial"/>
                <w:color w:val="000000"/>
                <w:sz w:val="22"/>
                <w:szCs w:val="22"/>
              </w:rPr>
              <w:t xml:space="preserve"> (</w:t>
            </w:r>
            <w:r w:rsidRPr="00F32DEC">
              <w:rPr>
                <w:rFonts w:ascii="Arial" w:hAnsi="Arial" w:cs="Arial"/>
                <w:color w:val="000000"/>
                <w:sz w:val="22"/>
                <w:szCs w:val="22"/>
              </w:rPr>
              <w:t>35,2</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5158B5D8" w14:textId="2F1EB967"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24</w:t>
            </w:r>
            <w:r w:rsidRPr="008B732F">
              <w:rPr>
                <w:rFonts w:ascii="Arial" w:hAnsi="Arial" w:cs="Arial"/>
                <w:color w:val="000000"/>
                <w:sz w:val="22"/>
                <w:szCs w:val="22"/>
              </w:rPr>
              <w:t xml:space="preserve"> (</w:t>
            </w:r>
            <w:r w:rsidRPr="00F32DEC">
              <w:rPr>
                <w:rFonts w:ascii="Arial" w:hAnsi="Arial" w:cs="Arial"/>
                <w:color w:val="000000"/>
                <w:sz w:val="22"/>
                <w:szCs w:val="22"/>
              </w:rPr>
              <w:t>38,1</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417" w:type="dxa"/>
            <w:tcBorders>
              <w:top w:val="nil"/>
              <w:left w:val="nil"/>
              <w:bottom w:val="single" w:sz="4" w:space="0" w:color="333333"/>
              <w:right w:val="single" w:sz="4" w:space="0" w:color="333399"/>
            </w:tcBorders>
            <w:shd w:val="clear" w:color="000000" w:fill="FFFFFF"/>
            <w:noWrap/>
            <w:vAlign w:val="center"/>
            <w:hideMark/>
          </w:tcPr>
          <w:p w14:paraId="176AE564" w14:textId="5DC5AF5B"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7</w:t>
            </w:r>
            <w:r w:rsidRPr="008B732F">
              <w:rPr>
                <w:rFonts w:ascii="Arial" w:hAnsi="Arial" w:cs="Arial"/>
                <w:color w:val="000000"/>
                <w:sz w:val="22"/>
                <w:szCs w:val="22"/>
              </w:rPr>
              <w:t xml:space="preserve"> (</w:t>
            </w:r>
            <w:r w:rsidRPr="00F32DEC">
              <w:rPr>
                <w:rFonts w:ascii="Arial" w:hAnsi="Arial" w:cs="Arial"/>
                <w:color w:val="000000"/>
                <w:sz w:val="22"/>
                <w:szCs w:val="22"/>
              </w:rPr>
              <w:t>26,9</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993" w:type="dxa"/>
            <w:tcBorders>
              <w:top w:val="nil"/>
              <w:left w:val="nil"/>
              <w:bottom w:val="single" w:sz="4" w:space="0" w:color="333333"/>
              <w:right w:val="single" w:sz="4" w:space="0" w:color="333399"/>
            </w:tcBorders>
            <w:shd w:val="clear" w:color="000000" w:fill="FFFFFF"/>
            <w:noWrap/>
            <w:vAlign w:val="center"/>
            <w:hideMark/>
          </w:tcPr>
          <w:p w14:paraId="3CED6592" w14:textId="153F265B"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233</w:t>
            </w:r>
            <w:r w:rsidRPr="008B732F">
              <w:rPr>
                <w:rFonts w:ascii="Arial" w:hAnsi="Arial" w:cs="Arial"/>
                <w:color w:val="000000"/>
                <w:sz w:val="22"/>
                <w:szCs w:val="22"/>
              </w:rPr>
              <w:t xml:space="preserve"> (</w:t>
            </w:r>
            <w:r w:rsidRPr="00F32DEC">
              <w:rPr>
                <w:rFonts w:ascii="Arial" w:hAnsi="Arial" w:cs="Arial"/>
                <w:color w:val="000000"/>
                <w:sz w:val="22"/>
                <w:szCs w:val="22"/>
              </w:rPr>
              <w:t>42,2</w:t>
            </w:r>
            <w:r w:rsidR="008D0C26">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356" w:type="dxa"/>
            <w:vMerge/>
            <w:tcBorders>
              <w:top w:val="nil"/>
              <w:left w:val="single" w:sz="4" w:space="0" w:color="auto"/>
              <w:bottom w:val="single" w:sz="4" w:space="0" w:color="000000"/>
              <w:right w:val="single" w:sz="4" w:space="0" w:color="auto"/>
            </w:tcBorders>
            <w:vAlign w:val="center"/>
            <w:hideMark/>
          </w:tcPr>
          <w:p w14:paraId="7A5E7876" w14:textId="77777777" w:rsidR="0065354E" w:rsidRPr="003656E6" w:rsidRDefault="0065354E" w:rsidP="00F32DEC">
            <w:pPr>
              <w:rPr>
                <w:rFonts w:ascii="Arial" w:hAnsi="Arial" w:cs="Arial"/>
                <w:b/>
                <w:bCs/>
                <w:color w:val="000000"/>
                <w:sz w:val="22"/>
                <w:szCs w:val="22"/>
              </w:rPr>
            </w:pPr>
          </w:p>
        </w:tc>
      </w:tr>
      <w:tr w:rsidR="00CB6977" w:rsidRPr="00177205" w14:paraId="44E117E5" w14:textId="77777777" w:rsidTr="006E31A5">
        <w:trPr>
          <w:trHeight w:val="429"/>
        </w:trPr>
        <w:tc>
          <w:tcPr>
            <w:tcW w:w="1271" w:type="dxa"/>
            <w:vMerge w:val="restart"/>
            <w:tcBorders>
              <w:top w:val="nil"/>
              <w:left w:val="single" w:sz="4" w:space="0" w:color="auto"/>
              <w:bottom w:val="single" w:sz="4" w:space="0" w:color="000000"/>
              <w:right w:val="single" w:sz="4" w:space="0" w:color="auto"/>
            </w:tcBorders>
            <w:shd w:val="clear" w:color="auto" w:fill="auto"/>
            <w:vAlign w:val="center"/>
            <w:hideMark/>
          </w:tcPr>
          <w:p w14:paraId="5FB0DB50" w14:textId="77777777" w:rsidR="0065354E" w:rsidRPr="00F32DEC" w:rsidRDefault="0065354E" w:rsidP="00F32DEC">
            <w:pPr>
              <w:jc w:val="center"/>
              <w:rPr>
                <w:rFonts w:ascii="Arial" w:hAnsi="Arial" w:cs="Arial"/>
                <w:color w:val="000000"/>
                <w:sz w:val="22"/>
                <w:szCs w:val="22"/>
              </w:rPr>
            </w:pPr>
            <w:r w:rsidRPr="00F32DEC">
              <w:rPr>
                <w:rFonts w:ascii="Arial" w:hAnsi="Arial" w:cs="Arial"/>
                <w:color w:val="000000"/>
                <w:sz w:val="22"/>
                <w:szCs w:val="22"/>
              </w:rPr>
              <w:t>Konzilium specialisty</w:t>
            </w:r>
          </w:p>
        </w:tc>
        <w:tc>
          <w:tcPr>
            <w:tcW w:w="1418" w:type="dxa"/>
            <w:tcBorders>
              <w:top w:val="nil"/>
              <w:left w:val="nil"/>
              <w:bottom w:val="single" w:sz="4" w:space="0" w:color="auto"/>
              <w:right w:val="single" w:sz="4" w:space="0" w:color="auto"/>
            </w:tcBorders>
            <w:shd w:val="clear" w:color="auto" w:fill="auto"/>
            <w:vAlign w:val="center"/>
            <w:hideMark/>
          </w:tcPr>
          <w:p w14:paraId="1EDA80CE" w14:textId="77777777" w:rsidR="0065354E" w:rsidRPr="00F32DEC" w:rsidRDefault="0065354E" w:rsidP="00F32DEC">
            <w:pPr>
              <w:jc w:val="center"/>
              <w:rPr>
                <w:rFonts w:ascii="Arial" w:hAnsi="Arial" w:cs="Arial"/>
                <w:color w:val="000000"/>
                <w:sz w:val="22"/>
                <w:szCs w:val="22"/>
              </w:rPr>
            </w:pPr>
            <w:r w:rsidRPr="00F32DEC">
              <w:rPr>
                <w:rFonts w:ascii="Arial" w:hAnsi="Arial" w:cs="Arial"/>
                <w:color w:val="000000"/>
                <w:sz w:val="22"/>
                <w:szCs w:val="22"/>
              </w:rPr>
              <w:t>ANO</w:t>
            </w:r>
          </w:p>
        </w:tc>
        <w:tc>
          <w:tcPr>
            <w:tcW w:w="1417" w:type="dxa"/>
            <w:tcBorders>
              <w:top w:val="nil"/>
              <w:left w:val="nil"/>
              <w:bottom w:val="single" w:sz="4" w:space="0" w:color="333333"/>
              <w:right w:val="single" w:sz="4" w:space="0" w:color="333399"/>
            </w:tcBorders>
            <w:shd w:val="clear" w:color="000000" w:fill="FFFFFF"/>
            <w:noWrap/>
            <w:vAlign w:val="center"/>
            <w:hideMark/>
          </w:tcPr>
          <w:p w14:paraId="7BA198FD" w14:textId="6C729261"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2</w:t>
            </w:r>
            <w:r w:rsidRPr="008B732F">
              <w:rPr>
                <w:rFonts w:ascii="Arial" w:hAnsi="Arial" w:cs="Arial"/>
                <w:color w:val="000000"/>
                <w:sz w:val="22"/>
                <w:szCs w:val="22"/>
              </w:rPr>
              <w:t xml:space="preserve"> (</w:t>
            </w:r>
            <w:r w:rsidRPr="00F32DEC">
              <w:rPr>
                <w:rFonts w:ascii="Arial" w:hAnsi="Arial" w:cs="Arial"/>
                <w:color w:val="000000"/>
                <w:sz w:val="22"/>
                <w:szCs w:val="22"/>
              </w:rPr>
              <w:t>1,2</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538F76D5" w14:textId="2FEEDBBF"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2</w:t>
            </w:r>
            <w:r w:rsidRPr="008B732F">
              <w:rPr>
                <w:rFonts w:ascii="Arial" w:hAnsi="Arial" w:cs="Arial"/>
                <w:color w:val="000000"/>
                <w:sz w:val="22"/>
                <w:szCs w:val="22"/>
              </w:rPr>
              <w:t xml:space="preserve"> (</w:t>
            </w:r>
            <w:r w:rsidRPr="00F32DEC">
              <w:rPr>
                <w:rFonts w:ascii="Arial" w:hAnsi="Arial" w:cs="Arial"/>
                <w:color w:val="000000"/>
                <w:sz w:val="22"/>
                <w:szCs w:val="22"/>
              </w:rPr>
              <w:t>2,6</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60" w:type="dxa"/>
            <w:tcBorders>
              <w:top w:val="nil"/>
              <w:left w:val="nil"/>
              <w:bottom w:val="single" w:sz="4" w:space="0" w:color="333333"/>
              <w:right w:val="single" w:sz="4" w:space="0" w:color="333399"/>
            </w:tcBorders>
            <w:shd w:val="clear" w:color="000000" w:fill="FFFFFF"/>
            <w:noWrap/>
            <w:vAlign w:val="center"/>
            <w:hideMark/>
          </w:tcPr>
          <w:p w14:paraId="2F55989C" w14:textId="55C8AE56"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8</w:t>
            </w:r>
            <w:r w:rsidRPr="008B732F">
              <w:rPr>
                <w:rFonts w:ascii="Arial" w:hAnsi="Arial" w:cs="Arial"/>
                <w:color w:val="000000"/>
                <w:sz w:val="22"/>
                <w:szCs w:val="22"/>
              </w:rPr>
              <w:t xml:space="preserve"> (</w:t>
            </w:r>
            <w:r w:rsidRPr="00F32DEC">
              <w:rPr>
                <w:rFonts w:ascii="Arial" w:hAnsi="Arial" w:cs="Arial"/>
                <w:color w:val="000000"/>
                <w:sz w:val="22"/>
                <w:szCs w:val="22"/>
              </w:rPr>
              <w:t>3,7</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1AAB24C4" w14:textId="0B0C001A"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4</w:t>
            </w:r>
            <w:r w:rsidRPr="008B732F">
              <w:rPr>
                <w:rFonts w:ascii="Arial" w:hAnsi="Arial" w:cs="Arial"/>
                <w:color w:val="000000"/>
                <w:sz w:val="22"/>
                <w:szCs w:val="22"/>
              </w:rPr>
              <w:t xml:space="preserve"> (</w:t>
            </w:r>
            <w:r w:rsidRPr="00F32DEC">
              <w:rPr>
                <w:rFonts w:ascii="Arial" w:hAnsi="Arial" w:cs="Arial"/>
                <w:color w:val="000000"/>
                <w:sz w:val="22"/>
                <w:szCs w:val="22"/>
              </w:rPr>
              <w:t>6,3</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417" w:type="dxa"/>
            <w:tcBorders>
              <w:top w:val="nil"/>
              <w:left w:val="nil"/>
              <w:bottom w:val="single" w:sz="4" w:space="0" w:color="333333"/>
              <w:right w:val="single" w:sz="4" w:space="0" w:color="333399"/>
            </w:tcBorders>
            <w:shd w:val="clear" w:color="000000" w:fill="FFFFFF"/>
            <w:noWrap/>
            <w:vAlign w:val="center"/>
            <w:hideMark/>
          </w:tcPr>
          <w:p w14:paraId="5F50BB66" w14:textId="4F123930"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0</w:t>
            </w:r>
            <w:r w:rsidRPr="008B732F">
              <w:rPr>
                <w:rFonts w:ascii="Arial" w:hAnsi="Arial" w:cs="Arial"/>
                <w:color w:val="000000"/>
                <w:sz w:val="22"/>
                <w:szCs w:val="22"/>
              </w:rPr>
              <w:t xml:space="preserve"> (</w:t>
            </w:r>
            <w:r w:rsidRPr="00F32DEC">
              <w:rPr>
                <w:rFonts w:ascii="Arial" w:hAnsi="Arial" w:cs="Arial"/>
                <w:color w:val="000000"/>
                <w:sz w:val="22"/>
                <w:szCs w:val="22"/>
              </w:rPr>
              <w:t>0,0</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993" w:type="dxa"/>
            <w:tcBorders>
              <w:top w:val="nil"/>
              <w:left w:val="nil"/>
              <w:bottom w:val="single" w:sz="4" w:space="0" w:color="333333"/>
              <w:right w:val="single" w:sz="4" w:space="0" w:color="333399"/>
            </w:tcBorders>
            <w:shd w:val="clear" w:color="000000" w:fill="FFFFFF"/>
            <w:noWrap/>
            <w:vAlign w:val="center"/>
            <w:hideMark/>
          </w:tcPr>
          <w:p w14:paraId="203A3AD0" w14:textId="77777777" w:rsidR="00CB6977" w:rsidRDefault="0065354E" w:rsidP="009B7DCB">
            <w:pPr>
              <w:jc w:val="center"/>
              <w:rPr>
                <w:rFonts w:ascii="Arial" w:hAnsi="Arial" w:cs="Arial"/>
                <w:color w:val="000000"/>
                <w:sz w:val="22"/>
                <w:szCs w:val="22"/>
              </w:rPr>
            </w:pPr>
            <w:r w:rsidRPr="00F32DEC">
              <w:rPr>
                <w:rFonts w:ascii="Arial" w:hAnsi="Arial" w:cs="Arial"/>
                <w:color w:val="000000"/>
                <w:sz w:val="22"/>
                <w:szCs w:val="22"/>
              </w:rPr>
              <w:t>16</w:t>
            </w:r>
            <w:r w:rsidR="009B7DCB">
              <w:rPr>
                <w:rFonts w:ascii="Arial" w:hAnsi="Arial" w:cs="Arial"/>
                <w:color w:val="000000"/>
                <w:sz w:val="22"/>
                <w:szCs w:val="22"/>
              </w:rPr>
              <w:t xml:space="preserve"> </w:t>
            </w:r>
          </w:p>
          <w:p w14:paraId="1B0A0025" w14:textId="6E7F2EFB" w:rsidR="0065354E" w:rsidRPr="00F32DEC" w:rsidRDefault="0065354E" w:rsidP="009B7DCB">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2,9</w:t>
            </w:r>
            <w:r w:rsidR="008D0C26">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356" w:type="dxa"/>
            <w:vMerge w:val="restart"/>
            <w:tcBorders>
              <w:top w:val="nil"/>
              <w:left w:val="single" w:sz="4" w:space="0" w:color="auto"/>
              <w:bottom w:val="single" w:sz="4" w:space="0" w:color="000000"/>
              <w:right w:val="single" w:sz="4" w:space="0" w:color="auto"/>
            </w:tcBorders>
            <w:shd w:val="clear" w:color="auto" w:fill="auto"/>
            <w:vAlign w:val="center"/>
            <w:hideMark/>
          </w:tcPr>
          <w:p w14:paraId="07F6B630" w14:textId="0D8573D4" w:rsidR="00E60191" w:rsidRPr="00504AAB" w:rsidRDefault="00E60191" w:rsidP="00E60191">
            <w:pPr>
              <w:jc w:val="center"/>
              <w:rPr>
                <w:rFonts w:ascii="Arial" w:hAnsi="Arial" w:cs="Arial"/>
                <w:color w:val="000000"/>
                <w:sz w:val="22"/>
                <w:szCs w:val="22"/>
              </w:rPr>
            </w:pPr>
            <w:r w:rsidRPr="00504AAB">
              <w:rPr>
                <w:rFonts w:ascii="Arial" w:hAnsi="Arial" w:cs="Arial"/>
                <w:color w:val="000000"/>
                <w:sz w:val="22"/>
                <w:szCs w:val="22"/>
              </w:rPr>
              <w:t>Nelze</w:t>
            </w:r>
          </w:p>
          <w:p w14:paraId="69B44C54" w14:textId="5013F8BB" w:rsidR="0065354E" w:rsidRPr="003656E6" w:rsidRDefault="00E60191" w:rsidP="00E60191">
            <w:pPr>
              <w:jc w:val="center"/>
              <w:rPr>
                <w:rFonts w:ascii="Arial" w:hAnsi="Arial" w:cs="Arial"/>
                <w:color w:val="000000"/>
                <w:sz w:val="22"/>
                <w:szCs w:val="22"/>
              </w:rPr>
            </w:pPr>
            <w:r w:rsidRPr="00504AAB">
              <w:rPr>
                <w:rFonts w:ascii="Arial" w:hAnsi="Arial" w:cs="Arial"/>
                <w:color w:val="000000"/>
                <w:sz w:val="22"/>
                <w:szCs w:val="22"/>
              </w:rPr>
              <w:t xml:space="preserve">hodnotit </w:t>
            </w:r>
            <w:r w:rsidRPr="00504AAB">
              <w:rPr>
                <w:rFonts w:ascii="Arial" w:hAnsi="Arial" w:cs="Arial"/>
                <w:sz w:val="22"/>
                <w:szCs w:val="22"/>
              </w:rPr>
              <w:t>χ2</w:t>
            </w:r>
          </w:p>
        </w:tc>
      </w:tr>
      <w:tr w:rsidR="00CB6977" w:rsidRPr="00177205" w14:paraId="425E47FE" w14:textId="77777777" w:rsidTr="006E31A5">
        <w:trPr>
          <w:trHeight w:val="479"/>
        </w:trPr>
        <w:tc>
          <w:tcPr>
            <w:tcW w:w="1271" w:type="dxa"/>
            <w:vMerge/>
            <w:tcBorders>
              <w:top w:val="nil"/>
              <w:left w:val="single" w:sz="4" w:space="0" w:color="auto"/>
              <w:bottom w:val="single" w:sz="4" w:space="0" w:color="000000"/>
              <w:right w:val="single" w:sz="4" w:space="0" w:color="auto"/>
            </w:tcBorders>
            <w:vAlign w:val="center"/>
            <w:hideMark/>
          </w:tcPr>
          <w:p w14:paraId="0A5E7CD1" w14:textId="77777777" w:rsidR="0065354E" w:rsidRPr="00F32DEC" w:rsidRDefault="0065354E" w:rsidP="00F32DEC">
            <w:pPr>
              <w:rPr>
                <w:rFonts w:ascii="Arial" w:hAnsi="Arial" w:cs="Arial"/>
                <w:color w:val="000000"/>
                <w:sz w:val="22"/>
                <w:szCs w:val="22"/>
              </w:rPr>
            </w:pPr>
          </w:p>
        </w:tc>
        <w:tc>
          <w:tcPr>
            <w:tcW w:w="1418" w:type="dxa"/>
            <w:tcBorders>
              <w:top w:val="nil"/>
              <w:left w:val="nil"/>
              <w:bottom w:val="single" w:sz="4" w:space="0" w:color="auto"/>
              <w:right w:val="single" w:sz="4" w:space="0" w:color="auto"/>
            </w:tcBorders>
            <w:shd w:val="clear" w:color="auto" w:fill="auto"/>
            <w:vAlign w:val="center"/>
            <w:hideMark/>
          </w:tcPr>
          <w:p w14:paraId="65E7227C" w14:textId="77777777" w:rsidR="0065354E" w:rsidRPr="00F32DEC" w:rsidRDefault="0065354E" w:rsidP="00F32DEC">
            <w:pPr>
              <w:jc w:val="center"/>
              <w:rPr>
                <w:rFonts w:ascii="Arial" w:hAnsi="Arial" w:cs="Arial"/>
                <w:color w:val="000000"/>
                <w:sz w:val="22"/>
                <w:szCs w:val="22"/>
              </w:rPr>
            </w:pPr>
            <w:r w:rsidRPr="00F32DEC">
              <w:rPr>
                <w:rFonts w:ascii="Arial" w:hAnsi="Arial" w:cs="Arial"/>
                <w:color w:val="000000"/>
                <w:sz w:val="22"/>
                <w:szCs w:val="22"/>
              </w:rPr>
              <w:t>NE</w:t>
            </w:r>
          </w:p>
        </w:tc>
        <w:tc>
          <w:tcPr>
            <w:tcW w:w="1417" w:type="dxa"/>
            <w:tcBorders>
              <w:top w:val="nil"/>
              <w:left w:val="nil"/>
              <w:bottom w:val="single" w:sz="4" w:space="0" w:color="993366"/>
              <w:right w:val="single" w:sz="4" w:space="0" w:color="333399"/>
            </w:tcBorders>
            <w:shd w:val="clear" w:color="000000" w:fill="FFFFFF"/>
            <w:noWrap/>
            <w:vAlign w:val="center"/>
            <w:hideMark/>
          </w:tcPr>
          <w:p w14:paraId="25A990D1" w14:textId="130CA271"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164</w:t>
            </w:r>
            <w:r w:rsidRPr="008B732F">
              <w:rPr>
                <w:rFonts w:ascii="Arial" w:hAnsi="Arial" w:cs="Arial"/>
                <w:color w:val="000000"/>
                <w:sz w:val="22"/>
                <w:szCs w:val="22"/>
              </w:rPr>
              <w:t xml:space="preserve"> (</w:t>
            </w:r>
            <w:r w:rsidRPr="00F32DEC">
              <w:rPr>
                <w:rFonts w:ascii="Arial" w:hAnsi="Arial" w:cs="Arial"/>
                <w:color w:val="000000"/>
                <w:sz w:val="22"/>
                <w:szCs w:val="22"/>
              </w:rPr>
              <w:t>98,8</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993366"/>
              <w:right w:val="single" w:sz="4" w:space="0" w:color="333399"/>
            </w:tcBorders>
            <w:shd w:val="clear" w:color="000000" w:fill="FFFFFF"/>
            <w:noWrap/>
            <w:vAlign w:val="center"/>
            <w:hideMark/>
          </w:tcPr>
          <w:p w14:paraId="0FF8463E" w14:textId="77777777" w:rsidR="009B7DCB" w:rsidRDefault="0065354E" w:rsidP="0065354E">
            <w:pPr>
              <w:jc w:val="center"/>
              <w:rPr>
                <w:rFonts w:ascii="Arial" w:hAnsi="Arial" w:cs="Arial"/>
                <w:color w:val="000000"/>
                <w:sz w:val="22"/>
                <w:szCs w:val="22"/>
              </w:rPr>
            </w:pPr>
            <w:r w:rsidRPr="00F32DEC">
              <w:rPr>
                <w:rFonts w:ascii="Arial" w:hAnsi="Arial" w:cs="Arial"/>
                <w:color w:val="000000"/>
                <w:sz w:val="22"/>
                <w:szCs w:val="22"/>
              </w:rPr>
              <w:t>76</w:t>
            </w:r>
            <w:r w:rsidRPr="008B732F">
              <w:rPr>
                <w:rFonts w:ascii="Arial" w:hAnsi="Arial" w:cs="Arial"/>
                <w:color w:val="000000"/>
                <w:sz w:val="22"/>
                <w:szCs w:val="22"/>
              </w:rPr>
              <w:t xml:space="preserve"> </w:t>
            </w:r>
          </w:p>
          <w:p w14:paraId="399CA4CA" w14:textId="0E69E80F" w:rsidR="0065354E" w:rsidRPr="00F32DEC" w:rsidRDefault="0065354E" w:rsidP="0065354E">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97,4</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60" w:type="dxa"/>
            <w:tcBorders>
              <w:top w:val="nil"/>
              <w:left w:val="nil"/>
              <w:bottom w:val="single" w:sz="4" w:space="0" w:color="993366"/>
              <w:right w:val="single" w:sz="4" w:space="0" w:color="333399"/>
            </w:tcBorders>
            <w:shd w:val="clear" w:color="000000" w:fill="FFFFFF"/>
            <w:noWrap/>
            <w:vAlign w:val="center"/>
            <w:hideMark/>
          </w:tcPr>
          <w:p w14:paraId="456A1C6C" w14:textId="77777777" w:rsidR="009B7DCB" w:rsidRDefault="0065354E" w:rsidP="0065354E">
            <w:pPr>
              <w:jc w:val="center"/>
              <w:rPr>
                <w:rFonts w:ascii="Arial" w:hAnsi="Arial" w:cs="Arial"/>
                <w:color w:val="000000"/>
                <w:sz w:val="22"/>
                <w:szCs w:val="22"/>
              </w:rPr>
            </w:pPr>
            <w:r w:rsidRPr="00F32DEC">
              <w:rPr>
                <w:rFonts w:ascii="Arial" w:hAnsi="Arial" w:cs="Arial"/>
                <w:color w:val="000000"/>
                <w:sz w:val="22"/>
                <w:szCs w:val="22"/>
              </w:rPr>
              <w:t>211</w:t>
            </w:r>
            <w:r w:rsidRPr="008B732F">
              <w:rPr>
                <w:rFonts w:ascii="Arial" w:hAnsi="Arial" w:cs="Arial"/>
                <w:color w:val="000000"/>
                <w:sz w:val="22"/>
                <w:szCs w:val="22"/>
              </w:rPr>
              <w:t xml:space="preserve"> </w:t>
            </w:r>
          </w:p>
          <w:p w14:paraId="1DD1DEBA" w14:textId="170567C1" w:rsidR="0065354E" w:rsidRPr="00F32DEC" w:rsidRDefault="0065354E" w:rsidP="0065354E">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96,3</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559" w:type="dxa"/>
            <w:tcBorders>
              <w:top w:val="nil"/>
              <w:left w:val="nil"/>
              <w:bottom w:val="single" w:sz="4" w:space="0" w:color="993366"/>
              <w:right w:val="single" w:sz="4" w:space="0" w:color="333399"/>
            </w:tcBorders>
            <w:shd w:val="clear" w:color="000000" w:fill="FFFFFF"/>
            <w:noWrap/>
            <w:vAlign w:val="center"/>
            <w:hideMark/>
          </w:tcPr>
          <w:p w14:paraId="7BFD8B02" w14:textId="12AA75F3"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59</w:t>
            </w:r>
            <w:r w:rsidRPr="008B732F">
              <w:rPr>
                <w:rFonts w:ascii="Arial" w:hAnsi="Arial" w:cs="Arial"/>
                <w:color w:val="000000"/>
                <w:sz w:val="22"/>
                <w:szCs w:val="22"/>
              </w:rPr>
              <w:t xml:space="preserve"> (</w:t>
            </w:r>
            <w:r w:rsidRPr="00F32DEC">
              <w:rPr>
                <w:rFonts w:ascii="Arial" w:hAnsi="Arial" w:cs="Arial"/>
                <w:color w:val="000000"/>
                <w:sz w:val="22"/>
                <w:szCs w:val="22"/>
              </w:rPr>
              <w:t>93,7</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417" w:type="dxa"/>
            <w:tcBorders>
              <w:top w:val="nil"/>
              <w:left w:val="nil"/>
              <w:bottom w:val="single" w:sz="4" w:space="0" w:color="993366"/>
              <w:right w:val="single" w:sz="4" w:space="0" w:color="333399"/>
            </w:tcBorders>
            <w:shd w:val="clear" w:color="000000" w:fill="FFFFFF"/>
            <w:noWrap/>
            <w:vAlign w:val="center"/>
            <w:hideMark/>
          </w:tcPr>
          <w:p w14:paraId="28E1257C" w14:textId="0E8C88A9" w:rsidR="0065354E" w:rsidRPr="00F32DEC" w:rsidRDefault="0065354E" w:rsidP="0065354E">
            <w:pPr>
              <w:jc w:val="center"/>
              <w:rPr>
                <w:rFonts w:ascii="Arial" w:hAnsi="Arial" w:cs="Arial"/>
                <w:color w:val="000000"/>
                <w:sz w:val="22"/>
                <w:szCs w:val="22"/>
              </w:rPr>
            </w:pPr>
            <w:r w:rsidRPr="00F32DEC">
              <w:rPr>
                <w:rFonts w:ascii="Arial" w:hAnsi="Arial" w:cs="Arial"/>
                <w:color w:val="000000"/>
                <w:sz w:val="22"/>
                <w:szCs w:val="22"/>
              </w:rPr>
              <w:t>26</w:t>
            </w:r>
            <w:r w:rsidRPr="008B732F">
              <w:rPr>
                <w:rFonts w:ascii="Arial" w:hAnsi="Arial" w:cs="Arial"/>
                <w:color w:val="000000"/>
                <w:sz w:val="22"/>
                <w:szCs w:val="22"/>
              </w:rPr>
              <w:t xml:space="preserve"> (</w:t>
            </w:r>
            <w:r w:rsidRPr="00F32DEC">
              <w:rPr>
                <w:rFonts w:ascii="Arial" w:hAnsi="Arial" w:cs="Arial"/>
                <w:color w:val="000000"/>
                <w:sz w:val="22"/>
                <w:szCs w:val="22"/>
              </w:rPr>
              <w:t>100,0</w:t>
            </w:r>
            <w:r w:rsidR="00080FEA">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993" w:type="dxa"/>
            <w:tcBorders>
              <w:top w:val="nil"/>
              <w:left w:val="nil"/>
              <w:bottom w:val="single" w:sz="4" w:space="0" w:color="993366"/>
              <w:right w:val="single" w:sz="4" w:space="0" w:color="333399"/>
            </w:tcBorders>
            <w:shd w:val="clear" w:color="000000" w:fill="FFFFFF"/>
            <w:noWrap/>
            <w:vAlign w:val="center"/>
            <w:hideMark/>
          </w:tcPr>
          <w:p w14:paraId="2A940F61" w14:textId="77777777" w:rsidR="00CB6977" w:rsidRDefault="0065354E" w:rsidP="0065354E">
            <w:pPr>
              <w:jc w:val="center"/>
              <w:rPr>
                <w:rFonts w:ascii="Arial" w:hAnsi="Arial" w:cs="Arial"/>
                <w:color w:val="000000"/>
                <w:sz w:val="22"/>
                <w:szCs w:val="22"/>
              </w:rPr>
            </w:pPr>
            <w:r w:rsidRPr="00F32DEC">
              <w:rPr>
                <w:rFonts w:ascii="Arial" w:hAnsi="Arial" w:cs="Arial"/>
                <w:color w:val="000000"/>
                <w:sz w:val="22"/>
                <w:szCs w:val="22"/>
              </w:rPr>
              <w:t>536</w:t>
            </w:r>
            <w:r w:rsidRPr="008B732F">
              <w:rPr>
                <w:rFonts w:ascii="Arial" w:hAnsi="Arial" w:cs="Arial"/>
                <w:color w:val="000000"/>
                <w:sz w:val="22"/>
                <w:szCs w:val="22"/>
              </w:rPr>
              <w:t xml:space="preserve"> </w:t>
            </w:r>
          </w:p>
          <w:p w14:paraId="06FA3335" w14:textId="6924245E" w:rsidR="0065354E" w:rsidRPr="00F32DEC" w:rsidRDefault="0065354E" w:rsidP="0065354E">
            <w:pPr>
              <w:jc w:val="center"/>
              <w:rPr>
                <w:rFonts w:ascii="Arial" w:hAnsi="Arial" w:cs="Arial"/>
                <w:color w:val="000000"/>
                <w:sz w:val="22"/>
                <w:szCs w:val="22"/>
              </w:rPr>
            </w:pPr>
            <w:r w:rsidRPr="008B732F">
              <w:rPr>
                <w:rFonts w:ascii="Arial" w:hAnsi="Arial" w:cs="Arial"/>
                <w:color w:val="000000"/>
                <w:sz w:val="22"/>
                <w:szCs w:val="22"/>
              </w:rPr>
              <w:t>(</w:t>
            </w:r>
            <w:r w:rsidRPr="00F32DEC">
              <w:rPr>
                <w:rFonts w:ascii="Arial" w:hAnsi="Arial" w:cs="Arial"/>
                <w:color w:val="000000"/>
                <w:sz w:val="22"/>
                <w:szCs w:val="22"/>
              </w:rPr>
              <w:t>97,1</w:t>
            </w:r>
            <w:r w:rsidR="008D0C26">
              <w:rPr>
                <w:rFonts w:ascii="Arial" w:hAnsi="Arial" w:cs="Arial"/>
                <w:color w:val="000000"/>
                <w:sz w:val="22"/>
                <w:szCs w:val="22"/>
              </w:rPr>
              <w:t xml:space="preserve"> </w:t>
            </w:r>
            <w:r w:rsidRPr="00F32DEC">
              <w:rPr>
                <w:rFonts w:ascii="Arial" w:hAnsi="Arial" w:cs="Arial"/>
                <w:color w:val="000000"/>
                <w:sz w:val="22"/>
                <w:szCs w:val="22"/>
              </w:rPr>
              <w:t>%</w:t>
            </w:r>
            <w:r w:rsidRPr="008B732F">
              <w:rPr>
                <w:rFonts w:ascii="Arial" w:hAnsi="Arial" w:cs="Arial"/>
                <w:color w:val="000000"/>
                <w:sz w:val="22"/>
                <w:szCs w:val="22"/>
              </w:rPr>
              <w:t>)</w:t>
            </w:r>
          </w:p>
        </w:tc>
        <w:tc>
          <w:tcPr>
            <w:tcW w:w="1356" w:type="dxa"/>
            <w:vMerge/>
            <w:tcBorders>
              <w:top w:val="nil"/>
              <w:left w:val="single" w:sz="4" w:space="0" w:color="auto"/>
              <w:bottom w:val="single" w:sz="4" w:space="0" w:color="000000"/>
              <w:right w:val="single" w:sz="4" w:space="0" w:color="auto"/>
            </w:tcBorders>
            <w:vAlign w:val="center"/>
            <w:hideMark/>
          </w:tcPr>
          <w:p w14:paraId="478B3432" w14:textId="77777777" w:rsidR="0065354E" w:rsidRPr="00F32DEC" w:rsidRDefault="0065354E" w:rsidP="00F32DEC">
            <w:pPr>
              <w:rPr>
                <w:rFonts w:ascii="Arial" w:hAnsi="Arial" w:cs="Arial"/>
                <w:color w:val="000000"/>
                <w:sz w:val="22"/>
                <w:szCs w:val="22"/>
              </w:rPr>
            </w:pPr>
          </w:p>
        </w:tc>
      </w:tr>
    </w:tbl>
    <w:p w14:paraId="7AB166C0" w14:textId="6BB6DED9" w:rsidR="006E31A5" w:rsidRDefault="006E31A5" w:rsidP="006E31A5">
      <w:pPr>
        <w:pStyle w:val="Popisobrzku"/>
        <w:sectPr w:rsidR="006E31A5" w:rsidSect="00D316D2">
          <w:pgSz w:w="16838" w:h="11906" w:orient="landscape" w:code="9"/>
          <w:pgMar w:top="1140" w:right="1980" w:bottom="1140" w:left="2380" w:header="1140" w:footer="1420" w:gutter="860"/>
          <w:cols w:space="708"/>
          <w:docGrid w:linePitch="360"/>
        </w:sectPr>
      </w:pPr>
      <w:r w:rsidRPr="00F32DEC">
        <w:t xml:space="preserve">Chí-kvadrát test (χ2), koeficient </w:t>
      </w:r>
      <w:proofErr w:type="spellStart"/>
      <w:r w:rsidRPr="00F32DEC">
        <w:t>asociance</w:t>
      </w:r>
      <w:proofErr w:type="spellEnd"/>
      <w:r w:rsidRPr="00F32DEC">
        <w:t xml:space="preserve"> Fí a </w:t>
      </w:r>
      <w:proofErr w:type="spellStart"/>
      <w:r w:rsidRPr="00F32DEC">
        <w:t>Cramerovo</w:t>
      </w:r>
      <w:proofErr w:type="spellEnd"/>
      <w:r w:rsidRPr="00F32DEC">
        <w:t xml:space="preserve"> V (CV) byly použity s hladinou významnosti &lt;0,05.</w:t>
      </w:r>
    </w:p>
    <w:p w14:paraId="175F1087" w14:textId="28AD7A4F" w:rsidR="00835693" w:rsidRDefault="00835693" w:rsidP="00835693">
      <w:pPr>
        <w:pStyle w:val="Nadpis3"/>
        <w:numPr>
          <w:ilvl w:val="2"/>
          <w:numId w:val="14"/>
        </w:numPr>
        <w:rPr>
          <w:lang w:eastAsia="sk-SK"/>
        </w:rPr>
      </w:pPr>
      <w:r>
        <w:rPr>
          <w:lang w:eastAsia="sk-SK"/>
        </w:rPr>
        <w:lastRenderedPageBreak/>
        <w:t xml:space="preserve">Cíl č. </w:t>
      </w:r>
      <w:r w:rsidR="003945AA">
        <w:rPr>
          <w:lang w:eastAsia="sk-SK"/>
        </w:rPr>
        <w:t>3</w:t>
      </w:r>
      <w:r>
        <w:rPr>
          <w:lang w:eastAsia="sk-SK"/>
        </w:rPr>
        <w:t>:</w:t>
      </w:r>
      <w:r w:rsidR="006A6F4D">
        <w:rPr>
          <w:lang w:eastAsia="sk-SK"/>
        </w:rPr>
        <w:t xml:space="preserve"> Zjistit, zda a jak</w:t>
      </w:r>
      <w:r w:rsidR="00315788">
        <w:rPr>
          <w:lang w:eastAsia="sk-SK"/>
        </w:rPr>
        <w:t>é</w:t>
      </w:r>
      <w:r w:rsidR="006A6F4D">
        <w:rPr>
          <w:lang w:eastAsia="sk-SK"/>
        </w:rPr>
        <w:t xml:space="preserve"> změn</w:t>
      </w:r>
      <w:r w:rsidR="00315788">
        <w:rPr>
          <w:lang w:eastAsia="sk-SK"/>
        </w:rPr>
        <w:t>y</w:t>
      </w:r>
      <w:r w:rsidR="00CB7917">
        <w:rPr>
          <w:lang w:eastAsia="sk-SK"/>
        </w:rPr>
        <w:t xml:space="preserve"> nastaly</w:t>
      </w:r>
      <w:r w:rsidR="004D1994">
        <w:rPr>
          <w:lang w:eastAsia="sk-SK"/>
        </w:rPr>
        <w:t xml:space="preserve"> na N</w:t>
      </w:r>
      <w:r w:rsidR="00191075">
        <w:rPr>
          <w:lang w:eastAsia="sk-SK"/>
        </w:rPr>
        <w:t>ízkoprahovém urgentním příjmu</w:t>
      </w:r>
      <w:r w:rsidR="004D1994">
        <w:rPr>
          <w:lang w:eastAsia="sk-SK"/>
        </w:rPr>
        <w:t xml:space="preserve"> F</w:t>
      </w:r>
      <w:r w:rsidR="00760FF0">
        <w:rPr>
          <w:lang w:eastAsia="sk-SK"/>
        </w:rPr>
        <w:t>akultní nemocnice</w:t>
      </w:r>
      <w:r w:rsidR="004D1994">
        <w:rPr>
          <w:lang w:eastAsia="sk-SK"/>
        </w:rPr>
        <w:t xml:space="preserve"> Brno </w:t>
      </w:r>
      <w:r w:rsidR="00BF719A">
        <w:rPr>
          <w:lang w:eastAsia="sk-SK"/>
        </w:rPr>
        <w:t xml:space="preserve">mezi </w:t>
      </w:r>
      <w:r w:rsidR="00760FF0">
        <w:rPr>
          <w:lang w:eastAsia="sk-SK"/>
        </w:rPr>
        <w:t>lety</w:t>
      </w:r>
      <w:r w:rsidR="00BF719A">
        <w:rPr>
          <w:lang w:eastAsia="sk-SK"/>
        </w:rPr>
        <w:t xml:space="preserve"> 2019 a 2023</w:t>
      </w:r>
      <w:r w:rsidR="003C4067">
        <w:rPr>
          <w:lang w:eastAsia="sk-SK"/>
        </w:rPr>
        <w:t xml:space="preserve"> u</w:t>
      </w:r>
      <w:r w:rsidR="00760FF0">
        <w:rPr>
          <w:lang w:eastAsia="sk-SK"/>
        </w:rPr>
        <w:t> </w:t>
      </w:r>
      <w:r w:rsidR="003C4067">
        <w:rPr>
          <w:lang w:eastAsia="sk-SK"/>
        </w:rPr>
        <w:t>pacientů ve věku 75</w:t>
      </w:r>
      <w:r w:rsidR="00891CC0">
        <w:rPr>
          <w:lang w:eastAsia="sk-SK"/>
        </w:rPr>
        <w:t xml:space="preserve"> a více let</w:t>
      </w:r>
      <w:r w:rsidR="001214CA">
        <w:rPr>
          <w:lang w:eastAsia="sk-SK"/>
        </w:rPr>
        <w:t>.</w:t>
      </w:r>
    </w:p>
    <w:p w14:paraId="5089C0FB" w14:textId="1DC5DB2E" w:rsidR="00297238" w:rsidRDefault="00EB759F" w:rsidP="00357538">
      <w:pPr>
        <w:pStyle w:val="Odstavec1"/>
        <w:rPr>
          <w:lang w:eastAsia="sk-SK"/>
        </w:rPr>
      </w:pPr>
      <w:r>
        <w:rPr>
          <w:lang w:eastAsia="sk-SK"/>
        </w:rPr>
        <w:t>K meziročnímu s</w:t>
      </w:r>
      <w:r w:rsidR="00357538">
        <w:rPr>
          <w:lang w:eastAsia="sk-SK"/>
        </w:rPr>
        <w:t xml:space="preserve">rovnání </w:t>
      </w:r>
      <w:r>
        <w:rPr>
          <w:lang w:eastAsia="sk-SK"/>
        </w:rPr>
        <w:t>byl využit</w:t>
      </w:r>
      <w:r w:rsidR="00F412B6">
        <w:rPr>
          <w:lang w:eastAsia="sk-SK"/>
        </w:rPr>
        <w:t xml:space="preserve"> datový soubor z roku 2019, který byl porovnáván se souborem z</w:t>
      </w:r>
      <w:r w:rsidR="00476F03">
        <w:rPr>
          <w:lang w:eastAsia="sk-SK"/>
        </w:rPr>
        <w:t> </w:t>
      </w:r>
      <w:r w:rsidR="00F412B6">
        <w:rPr>
          <w:lang w:eastAsia="sk-SK"/>
        </w:rPr>
        <w:t>roku</w:t>
      </w:r>
      <w:r w:rsidR="00476F03">
        <w:rPr>
          <w:lang w:eastAsia="sk-SK"/>
        </w:rPr>
        <w:t xml:space="preserve"> 2023.</w:t>
      </w:r>
      <w:r w:rsidR="00357538">
        <w:rPr>
          <w:lang w:eastAsia="sk-SK"/>
        </w:rPr>
        <w:t xml:space="preserve"> </w:t>
      </w:r>
      <w:r w:rsidR="005212D3">
        <w:rPr>
          <w:lang w:eastAsia="sk-SK"/>
        </w:rPr>
        <w:t>Dle porovnávání</w:t>
      </w:r>
      <w:r w:rsidR="00357538">
        <w:rPr>
          <w:lang w:eastAsia="sk-SK"/>
        </w:rPr>
        <w:t xml:space="preserve"> bodů a), b), c) </w:t>
      </w:r>
      <w:r w:rsidR="005212D3">
        <w:rPr>
          <w:lang w:eastAsia="sk-SK"/>
        </w:rPr>
        <w:t>(viz Cíl č. 2 v podkapitole 5.5.2)</w:t>
      </w:r>
      <w:r w:rsidR="00DB1C54">
        <w:rPr>
          <w:lang w:eastAsia="sk-SK"/>
        </w:rPr>
        <w:t xml:space="preserve"> bylo zjišťováno, zda</w:t>
      </w:r>
      <w:r w:rsidR="00357538">
        <w:rPr>
          <w:lang w:eastAsia="sk-SK"/>
        </w:rPr>
        <w:t xml:space="preserve"> došlo k nějakému posunu mezi </w:t>
      </w:r>
      <w:r w:rsidR="00DB1C54">
        <w:rPr>
          <w:lang w:eastAsia="sk-SK"/>
        </w:rPr>
        <w:t xml:space="preserve">kalendářními </w:t>
      </w:r>
      <w:r w:rsidR="00357538">
        <w:rPr>
          <w:lang w:eastAsia="sk-SK"/>
        </w:rPr>
        <w:t>roky 2019 a</w:t>
      </w:r>
      <w:r w:rsidR="00DB1C54">
        <w:rPr>
          <w:lang w:eastAsia="sk-SK"/>
        </w:rPr>
        <w:t> </w:t>
      </w:r>
      <w:r w:rsidR="00357538">
        <w:rPr>
          <w:lang w:eastAsia="sk-SK"/>
        </w:rPr>
        <w:t>202</w:t>
      </w:r>
      <w:r w:rsidR="0060597D">
        <w:rPr>
          <w:lang w:eastAsia="sk-SK"/>
        </w:rPr>
        <w:t>3</w:t>
      </w:r>
      <w:r w:rsidR="00060E63">
        <w:rPr>
          <w:lang w:eastAsia="sk-SK"/>
        </w:rPr>
        <w:t xml:space="preserve">. </w:t>
      </w:r>
      <w:r w:rsidR="00357538">
        <w:rPr>
          <w:lang w:eastAsia="sk-SK"/>
        </w:rPr>
        <w:t>Vše sledované pro rok 2023 b</w:t>
      </w:r>
      <w:r w:rsidR="00060E63">
        <w:rPr>
          <w:lang w:eastAsia="sk-SK"/>
        </w:rPr>
        <w:t>ylo</w:t>
      </w:r>
      <w:r w:rsidR="00357538">
        <w:rPr>
          <w:lang w:eastAsia="sk-SK"/>
        </w:rPr>
        <w:t xml:space="preserve"> s</w:t>
      </w:r>
      <w:r w:rsidR="00060E63">
        <w:rPr>
          <w:lang w:eastAsia="sk-SK"/>
        </w:rPr>
        <w:t>rovnáno</w:t>
      </w:r>
      <w:r w:rsidR="00357538">
        <w:rPr>
          <w:lang w:eastAsia="sk-SK"/>
        </w:rPr>
        <w:t xml:space="preserve"> se stejnými výsledky pro rok 2019</w:t>
      </w:r>
      <w:r w:rsidR="00CA740D">
        <w:rPr>
          <w:lang w:eastAsia="sk-SK"/>
        </w:rPr>
        <w:t>.</w:t>
      </w:r>
      <w:r w:rsidR="00357538">
        <w:rPr>
          <w:lang w:eastAsia="sk-SK"/>
        </w:rPr>
        <w:t xml:space="preserve"> </w:t>
      </w:r>
      <w:r w:rsidR="00060E63">
        <w:rPr>
          <w:lang w:eastAsia="sk-SK"/>
        </w:rPr>
        <w:t>Z</w:t>
      </w:r>
      <w:r w:rsidR="00357538">
        <w:rPr>
          <w:lang w:eastAsia="sk-SK"/>
        </w:rPr>
        <w:t>důrazněny b</w:t>
      </w:r>
      <w:r w:rsidR="00060E63">
        <w:rPr>
          <w:lang w:eastAsia="sk-SK"/>
        </w:rPr>
        <w:t>yly</w:t>
      </w:r>
      <w:r w:rsidR="00357538">
        <w:rPr>
          <w:lang w:eastAsia="sk-SK"/>
        </w:rPr>
        <w:t xml:space="preserve"> věcně významné a statisticky významné rozdíly.</w:t>
      </w:r>
    </w:p>
    <w:p w14:paraId="139F9642" w14:textId="77777777" w:rsidR="00EB2587" w:rsidRDefault="00EB2587" w:rsidP="00EB2587">
      <w:pPr>
        <w:pStyle w:val="Dalodstavce"/>
        <w:ind w:firstLine="0"/>
        <w:rPr>
          <w:lang w:eastAsia="sk-SK"/>
        </w:rPr>
      </w:pPr>
    </w:p>
    <w:p w14:paraId="7B2A144C" w14:textId="0DE7E566" w:rsidR="008D0C22" w:rsidRPr="00B67684" w:rsidRDefault="008D0C22" w:rsidP="008D0C22">
      <w:pPr>
        <w:pStyle w:val="Dalodstavce"/>
        <w:numPr>
          <w:ilvl w:val="0"/>
          <w:numId w:val="30"/>
        </w:numPr>
        <w:rPr>
          <w:b/>
          <w:bCs/>
          <w:lang w:eastAsia="sk-SK"/>
        </w:rPr>
      </w:pPr>
      <w:r w:rsidRPr="00D90DA7">
        <w:rPr>
          <w:b/>
          <w:bCs/>
          <w:lang w:eastAsia="sk-SK"/>
        </w:rPr>
        <w:t>Ovlivň</w:t>
      </w:r>
      <w:r>
        <w:rPr>
          <w:b/>
          <w:bCs/>
          <w:lang w:eastAsia="sk-SK"/>
        </w:rPr>
        <w:t>ovaly</w:t>
      </w:r>
      <w:r w:rsidRPr="00D90DA7">
        <w:rPr>
          <w:b/>
          <w:bCs/>
          <w:lang w:eastAsia="sk-SK"/>
        </w:rPr>
        <w:t xml:space="preserve"> pohlaví, věk a spádovost průchod pacienta </w:t>
      </w:r>
      <w:r>
        <w:rPr>
          <w:b/>
          <w:bCs/>
          <w:lang w:eastAsia="sk-SK"/>
        </w:rPr>
        <w:t xml:space="preserve">ve věku </w:t>
      </w:r>
      <w:r w:rsidRPr="00D90DA7">
        <w:rPr>
          <w:b/>
          <w:bCs/>
          <w:lang w:eastAsia="sk-SK"/>
        </w:rPr>
        <w:t>75+ nízkoprahovým urgentním příjmem?</w:t>
      </w:r>
    </w:p>
    <w:p w14:paraId="38F751A2" w14:textId="77777777" w:rsidR="00CF1A50" w:rsidRDefault="00CF1A50" w:rsidP="00CF1A50">
      <w:pPr>
        <w:pStyle w:val="Dalodstavce"/>
        <w:ind w:firstLine="0"/>
        <w:rPr>
          <w:lang w:eastAsia="sk-SK"/>
        </w:rPr>
      </w:pPr>
    </w:p>
    <w:p w14:paraId="6EB61C45" w14:textId="7A40AD57" w:rsidR="00CF1A50" w:rsidRPr="002E4250" w:rsidRDefault="00717853" w:rsidP="002E4250">
      <w:pPr>
        <w:pStyle w:val="Dalodstavce"/>
        <w:ind w:firstLine="0"/>
        <w:rPr>
          <w:b/>
          <w:bCs/>
          <w:lang w:eastAsia="sk-SK"/>
        </w:rPr>
      </w:pPr>
      <w:r>
        <w:rPr>
          <w:b/>
          <w:bCs/>
          <w:lang w:eastAsia="sk-SK"/>
        </w:rPr>
        <w:t xml:space="preserve">V </w:t>
      </w:r>
      <w:r w:rsidR="00CF1A50" w:rsidRPr="00D656B8">
        <w:rPr>
          <w:b/>
          <w:bCs/>
          <w:lang w:eastAsia="sk-SK"/>
        </w:rPr>
        <w:t>meziroční</w:t>
      </w:r>
      <w:r>
        <w:rPr>
          <w:b/>
          <w:bCs/>
          <w:lang w:eastAsia="sk-SK"/>
        </w:rPr>
        <w:t>m</w:t>
      </w:r>
      <w:r w:rsidR="00CF1A50" w:rsidRPr="00D656B8">
        <w:rPr>
          <w:b/>
          <w:bCs/>
          <w:lang w:eastAsia="sk-SK"/>
        </w:rPr>
        <w:t xml:space="preserve"> srovnání</w:t>
      </w:r>
      <w:r>
        <w:rPr>
          <w:b/>
          <w:bCs/>
          <w:lang w:eastAsia="sk-SK"/>
        </w:rPr>
        <w:t xml:space="preserve"> byl zjištěn</w:t>
      </w:r>
      <w:r w:rsidR="00CF1A50" w:rsidRPr="00D656B8">
        <w:rPr>
          <w:b/>
          <w:bCs/>
          <w:lang w:eastAsia="sk-SK"/>
        </w:rPr>
        <w:t xml:space="preserve"> statisticky významný vztah mezi pohlavím pacient</w:t>
      </w:r>
      <w:r w:rsidR="00052E64" w:rsidRPr="00D656B8">
        <w:rPr>
          <w:b/>
          <w:bCs/>
          <w:lang w:eastAsia="sk-SK"/>
        </w:rPr>
        <w:t>a</w:t>
      </w:r>
      <w:r w:rsidR="00CF1A50" w:rsidRPr="00D656B8">
        <w:rPr>
          <w:b/>
          <w:bCs/>
          <w:lang w:eastAsia="sk-SK"/>
        </w:rPr>
        <w:t xml:space="preserve"> ve věku 75 a více let a je</w:t>
      </w:r>
      <w:r w:rsidR="00052E64" w:rsidRPr="00D656B8">
        <w:rPr>
          <w:b/>
          <w:bCs/>
          <w:lang w:eastAsia="sk-SK"/>
        </w:rPr>
        <w:t>ho</w:t>
      </w:r>
      <w:r w:rsidR="00CF1A50" w:rsidRPr="00D656B8">
        <w:rPr>
          <w:b/>
          <w:bCs/>
          <w:lang w:eastAsia="sk-SK"/>
        </w:rPr>
        <w:t xml:space="preserve"> trajektorií na NUP FN Brno. </w:t>
      </w:r>
      <w:r w:rsidR="00052E64" w:rsidRPr="00D656B8">
        <w:rPr>
          <w:lang w:eastAsia="sk-SK"/>
        </w:rPr>
        <w:t>Statisticky významná asociace byla nalezena mezi pohlavím pacienta a využitím konzilií specialisty</w:t>
      </w:r>
      <w:r w:rsidR="009C7593" w:rsidRPr="00D656B8">
        <w:rPr>
          <w:lang w:eastAsia="sk-SK"/>
        </w:rPr>
        <w:t xml:space="preserve"> </w:t>
      </w:r>
      <w:r w:rsidR="00CF1A50" w:rsidRPr="00D656B8">
        <w:rPr>
          <w:lang w:eastAsia="sk-SK"/>
        </w:rPr>
        <w:t>(p=0,027; Fí=-0,066)</w:t>
      </w:r>
      <w:r w:rsidR="009C7593" w:rsidRPr="00D656B8">
        <w:rPr>
          <w:lang w:eastAsia="sk-SK"/>
        </w:rPr>
        <w:t>, n</w:t>
      </w:r>
      <w:r w:rsidR="00CF1A50" w:rsidRPr="00D656B8">
        <w:rPr>
          <w:lang w:eastAsia="sk-SK"/>
        </w:rPr>
        <w:t>icméně síla tohoto vztahu byla velmi nízká</w:t>
      </w:r>
      <w:r w:rsidR="007A492B">
        <w:rPr>
          <w:lang w:eastAsia="sk-SK"/>
        </w:rPr>
        <w:t xml:space="preserve"> (viz Tabulka 22)</w:t>
      </w:r>
      <w:r w:rsidR="00CF1A50" w:rsidRPr="00D656B8">
        <w:rPr>
          <w:lang w:eastAsia="sk-SK"/>
        </w:rPr>
        <w:t>.</w:t>
      </w:r>
    </w:p>
    <w:p w14:paraId="2877F59D" w14:textId="17F219D3" w:rsidR="00CF1A50" w:rsidRDefault="009B64CB" w:rsidP="007A341C">
      <w:pPr>
        <w:pStyle w:val="Dalodstavce"/>
        <w:rPr>
          <w:lang w:eastAsia="sk-SK"/>
        </w:rPr>
      </w:pPr>
      <w:r w:rsidRPr="009B64CB">
        <w:rPr>
          <w:lang w:eastAsia="sk-SK"/>
        </w:rPr>
        <w:t>V obou sledovaných letech, 2019 a 2023, ženy častěji vyžadovaly konzilia specialistů než muži. V roce 2023 však byl rozdíl mezi oběma pohlavími méně výrazný než v</w:t>
      </w:r>
      <w:r>
        <w:rPr>
          <w:lang w:eastAsia="sk-SK"/>
        </w:rPr>
        <w:t> </w:t>
      </w:r>
      <w:r w:rsidRPr="009B64CB">
        <w:rPr>
          <w:lang w:eastAsia="sk-SK"/>
        </w:rPr>
        <w:t>roce 2019.</w:t>
      </w:r>
    </w:p>
    <w:p w14:paraId="0533204E" w14:textId="77777777" w:rsidR="00F56518" w:rsidRDefault="00F56518" w:rsidP="00DF67FF">
      <w:pPr>
        <w:pStyle w:val="Dalodstavce"/>
        <w:ind w:firstLine="0"/>
        <w:rPr>
          <w:lang w:eastAsia="sk-SK"/>
        </w:rPr>
      </w:pPr>
    </w:p>
    <w:p w14:paraId="1F787296" w14:textId="01F52C26" w:rsidR="00A334DF" w:rsidRDefault="008A14CC" w:rsidP="00A334DF">
      <w:pPr>
        <w:pStyle w:val="Dalodstavce"/>
        <w:ind w:firstLine="0"/>
        <w:rPr>
          <w:lang w:eastAsia="sk-SK"/>
        </w:rPr>
      </w:pPr>
      <w:r>
        <w:rPr>
          <w:b/>
          <w:bCs/>
          <w:lang w:eastAsia="sk-SK"/>
        </w:rPr>
        <w:t>V meziročním srovnání b</w:t>
      </w:r>
      <w:r w:rsidR="00A334DF" w:rsidRPr="00414F67">
        <w:rPr>
          <w:b/>
          <w:bCs/>
          <w:lang w:eastAsia="sk-SK"/>
        </w:rPr>
        <w:t>yl zjištěn statisticky významný, ale velmi slabý vztah mezi věkem pacienta (75+) a</w:t>
      </w:r>
      <w:r w:rsidR="00414F67" w:rsidRPr="00414F67">
        <w:rPr>
          <w:b/>
          <w:bCs/>
          <w:lang w:eastAsia="sk-SK"/>
        </w:rPr>
        <w:t> </w:t>
      </w:r>
      <w:r w:rsidR="00A334DF" w:rsidRPr="00414F67">
        <w:rPr>
          <w:b/>
          <w:bCs/>
          <w:lang w:eastAsia="sk-SK"/>
        </w:rPr>
        <w:t>jeho trajektorií na NUP FN Brno.</w:t>
      </w:r>
      <w:r w:rsidR="00A334DF" w:rsidRPr="00A334DF">
        <w:rPr>
          <w:lang w:eastAsia="sk-SK"/>
        </w:rPr>
        <w:t xml:space="preserve"> Statisticky významné asociace byly nalezeny mezi věkem pacienta a následujícími faktory: způsobem dopravy k ošetření (p=0,005; CV=0,085), typem ošetřující ambulance (p=0,002; CV=0,097), využitím observačního lůžka (p</w:t>
      </w:r>
      <w:r w:rsidR="00414F67">
        <w:rPr>
          <w:lang w:eastAsia="sk-SK"/>
        </w:rPr>
        <w:t xml:space="preserve"> </w:t>
      </w:r>
      <w:r w:rsidR="00A334DF" w:rsidRPr="00A334DF">
        <w:rPr>
          <w:lang w:eastAsia="sk-SK"/>
        </w:rPr>
        <w:t>&lt;0,001; Fí=0,132) a</w:t>
      </w:r>
      <w:r w:rsidR="00414F67">
        <w:rPr>
          <w:lang w:eastAsia="sk-SK"/>
        </w:rPr>
        <w:t xml:space="preserve"> </w:t>
      </w:r>
      <w:r w:rsidR="00A334DF" w:rsidRPr="00A334DF">
        <w:rPr>
          <w:lang w:eastAsia="sk-SK"/>
        </w:rPr>
        <w:t>konzilií specialisty (p=0,010; Fí=-0,080). Všechny vztahy vykazovaly velmi slabou sílu, přičemž u vztahu mezi věkem pacienta a</w:t>
      </w:r>
      <w:r w:rsidR="00F73F1A">
        <w:rPr>
          <w:lang w:eastAsia="sk-SK"/>
        </w:rPr>
        <w:t> </w:t>
      </w:r>
      <w:r w:rsidR="00A334DF" w:rsidRPr="00A334DF">
        <w:rPr>
          <w:lang w:eastAsia="sk-SK"/>
        </w:rPr>
        <w:t>využitím observačního lůžka byla síla vztahu slabá</w:t>
      </w:r>
      <w:r w:rsidR="007E5220">
        <w:rPr>
          <w:lang w:eastAsia="sk-SK"/>
        </w:rPr>
        <w:t>. Zmíněné</w:t>
      </w:r>
      <w:r w:rsidR="007E5220" w:rsidRPr="00F21758">
        <w:rPr>
          <w:lang w:eastAsia="sk-SK"/>
        </w:rPr>
        <w:t xml:space="preserve"> výsledky jsou uvedeny v</w:t>
      </w:r>
      <w:r w:rsidR="007E5220">
        <w:rPr>
          <w:lang w:eastAsia="sk-SK"/>
        </w:rPr>
        <w:t> </w:t>
      </w:r>
      <w:r w:rsidR="007E5220" w:rsidRPr="00F21758">
        <w:rPr>
          <w:lang w:eastAsia="sk-SK"/>
        </w:rPr>
        <w:t>Tabulce</w:t>
      </w:r>
      <w:r w:rsidR="007E5220">
        <w:rPr>
          <w:lang w:eastAsia="sk-SK"/>
        </w:rPr>
        <w:t xml:space="preserve"> </w:t>
      </w:r>
      <w:r w:rsidR="00930D5F">
        <w:rPr>
          <w:lang w:eastAsia="sk-SK"/>
        </w:rPr>
        <w:t>23</w:t>
      </w:r>
      <w:r w:rsidR="00A334DF" w:rsidRPr="00A334DF">
        <w:rPr>
          <w:lang w:eastAsia="sk-SK"/>
        </w:rPr>
        <w:t>.</w:t>
      </w:r>
    </w:p>
    <w:p w14:paraId="76E6F09D" w14:textId="6D76545E" w:rsidR="008A72DA" w:rsidRPr="009E2EFE" w:rsidRDefault="008A72DA" w:rsidP="008D1423">
      <w:pPr>
        <w:pStyle w:val="Dalodstavce"/>
        <w:rPr>
          <w:lang w:eastAsia="sk-SK"/>
        </w:rPr>
      </w:pPr>
      <w:r w:rsidRPr="00611AFF">
        <w:rPr>
          <w:lang w:eastAsia="sk-SK"/>
        </w:rPr>
        <w:t>Z</w:t>
      </w:r>
      <w:r w:rsidR="0095360D" w:rsidRPr="00611AFF">
        <w:rPr>
          <w:lang w:eastAsia="sk-SK"/>
        </w:rPr>
        <w:t>ZS</w:t>
      </w:r>
      <w:r w:rsidRPr="009E2EFE">
        <w:rPr>
          <w:lang w:eastAsia="sk-SK"/>
        </w:rPr>
        <w:t xml:space="preserve"> byli v roce 2019 častěji přivezeni pacienti ve věku 90 a více let, zatímco </w:t>
      </w:r>
      <w:r w:rsidR="00A45204">
        <w:rPr>
          <w:lang w:eastAsia="sk-SK"/>
        </w:rPr>
        <w:t xml:space="preserve">méně často </w:t>
      </w:r>
      <w:r w:rsidRPr="009E2EFE">
        <w:rPr>
          <w:lang w:eastAsia="sk-SK"/>
        </w:rPr>
        <w:t xml:space="preserve">pacienti ve věku 80–84 let. V roce 2023 </w:t>
      </w:r>
      <w:r w:rsidR="00BA7AE5" w:rsidRPr="009E2EFE">
        <w:rPr>
          <w:lang w:eastAsia="sk-SK"/>
        </w:rPr>
        <w:t>byla</w:t>
      </w:r>
      <w:r w:rsidRPr="009E2EFE">
        <w:rPr>
          <w:lang w:eastAsia="sk-SK"/>
        </w:rPr>
        <w:t xml:space="preserve"> frekvence převozů </w:t>
      </w:r>
      <w:r w:rsidR="00BA7AE5" w:rsidRPr="009E2EFE">
        <w:rPr>
          <w:lang w:eastAsia="sk-SK"/>
        </w:rPr>
        <w:t>častější</w:t>
      </w:r>
      <w:r w:rsidRPr="009E2EFE">
        <w:rPr>
          <w:lang w:eastAsia="sk-SK"/>
        </w:rPr>
        <w:t xml:space="preserve"> u skupiny 85–89 let. </w:t>
      </w:r>
      <w:r w:rsidR="0095360D" w:rsidRPr="009E2EFE">
        <w:rPr>
          <w:lang w:eastAsia="sk-SK"/>
        </w:rPr>
        <w:t>Z</w:t>
      </w:r>
      <w:r w:rsidR="00A02319">
        <w:rPr>
          <w:lang w:eastAsia="sk-SK"/>
        </w:rPr>
        <w:t>D</w:t>
      </w:r>
      <w:r w:rsidR="0095360D" w:rsidRPr="009E2EFE">
        <w:rPr>
          <w:lang w:eastAsia="sk-SK"/>
        </w:rPr>
        <w:t>S</w:t>
      </w:r>
      <w:r w:rsidRPr="009E2EFE">
        <w:rPr>
          <w:lang w:eastAsia="sk-SK"/>
        </w:rPr>
        <w:t xml:space="preserve"> </w:t>
      </w:r>
      <w:r w:rsidR="00AC5288" w:rsidRPr="009E2EFE">
        <w:rPr>
          <w:lang w:eastAsia="sk-SK"/>
        </w:rPr>
        <w:t xml:space="preserve">k transportu na NUP </w:t>
      </w:r>
      <w:r w:rsidRPr="009E2EFE">
        <w:rPr>
          <w:lang w:eastAsia="sk-SK"/>
        </w:rPr>
        <w:t>v roce 2019 nejčastěji využívali pacienti ve věku 80–84 let</w:t>
      </w:r>
      <w:r w:rsidR="00014EAD" w:rsidRPr="009E2EFE">
        <w:rPr>
          <w:lang w:eastAsia="sk-SK"/>
        </w:rPr>
        <w:t>. U</w:t>
      </w:r>
      <w:r w:rsidRPr="009E2EFE">
        <w:rPr>
          <w:lang w:eastAsia="sk-SK"/>
        </w:rPr>
        <w:t xml:space="preserve"> věkové skupiny 75–79 let byla tato forma příjezdu méně častá, přičemž tento trend zůstal meziročně stabilní. V roce 2023 </w:t>
      </w:r>
      <w:r w:rsidR="00E5572D" w:rsidRPr="009E2EFE">
        <w:rPr>
          <w:lang w:eastAsia="sk-SK"/>
        </w:rPr>
        <w:t>byl však způsob dopravy</w:t>
      </w:r>
      <w:r w:rsidR="004F6B02" w:rsidRPr="009E2EFE">
        <w:rPr>
          <w:lang w:eastAsia="sk-SK"/>
        </w:rPr>
        <w:t xml:space="preserve"> na NUP</w:t>
      </w:r>
      <w:r w:rsidR="00E5572D" w:rsidRPr="009E2EFE">
        <w:rPr>
          <w:lang w:eastAsia="sk-SK"/>
        </w:rPr>
        <w:t xml:space="preserve"> </w:t>
      </w:r>
      <w:r w:rsidR="00B56A8F" w:rsidRPr="009E2EFE">
        <w:rPr>
          <w:lang w:eastAsia="sk-SK"/>
        </w:rPr>
        <w:t>sanitním vozem Z</w:t>
      </w:r>
      <w:r w:rsidR="00A02319">
        <w:rPr>
          <w:lang w:eastAsia="sk-SK"/>
        </w:rPr>
        <w:t>D</w:t>
      </w:r>
      <w:r w:rsidR="00B56A8F" w:rsidRPr="009E2EFE">
        <w:rPr>
          <w:lang w:eastAsia="sk-SK"/>
        </w:rPr>
        <w:t xml:space="preserve">S </w:t>
      </w:r>
      <w:r w:rsidR="004F6B02" w:rsidRPr="009E2EFE">
        <w:rPr>
          <w:lang w:eastAsia="sk-SK"/>
        </w:rPr>
        <w:t xml:space="preserve">častější u </w:t>
      </w:r>
      <w:r w:rsidRPr="009E2EFE">
        <w:rPr>
          <w:lang w:eastAsia="sk-SK"/>
        </w:rPr>
        <w:t>pacientů ve věku 90 a více let</w:t>
      </w:r>
      <w:r w:rsidR="004F6B02" w:rsidRPr="009E2EFE">
        <w:rPr>
          <w:lang w:eastAsia="sk-SK"/>
        </w:rPr>
        <w:t>.</w:t>
      </w:r>
      <w:r w:rsidR="009F2FD5" w:rsidRPr="009E2EFE">
        <w:rPr>
          <w:lang w:eastAsia="sk-SK"/>
        </w:rPr>
        <w:t xml:space="preserve"> </w:t>
      </w:r>
      <w:r w:rsidRPr="009E2EFE">
        <w:rPr>
          <w:lang w:eastAsia="sk-SK"/>
        </w:rPr>
        <w:t xml:space="preserve">Pacienti, kteří na </w:t>
      </w:r>
      <w:r w:rsidR="00084FC2" w:rsidRPr="009E2EFE">
        <w:rPr>
          <w:lang w:eastAsia="sk-SK"/>
        </w:rPr>
        <w:t>NUP</w:t>
      </w:r>
      <w:r w:rsidRPr="009E2EFE">
        <w:rPr>
          <w:lang w:eastAsia="sk-SK"/>
        </w:rPr>
        <w:t xml:space="preserve"> dorazili sami nebo v doprovodu blízké osoby, nejčastěji spadali do věkové </w:t>
      </w:r>
      <w:r w:rsidR="00084FC2" w:rsidRPr="009E2EFE">
        <w:rPr>
          <w:lang w:eastAsia="sk-SK"/>
        </w:rPr>
        <w:t>kategorie</w:t>
      </w:r>
      <w:r w:rsidRPr="009E2EFE">
        <w:rPr>
          <w:lang w:eastAsia="sk-SK"/>
        </w:rPr>
        <w:t xml:space="preserve"> 75–79 let, přičemž tento trend se meziročně výrazně nezměnil. Naopak </w:t>
      </w:r>
      <w:r w:rsidR="00744D7E" w:rsidRPr="009E2EFE">
        <w:rPr>
          <w:lang w:eastAsia="sk-SK"/>
        </w:rPr>
        <w:t xml:space="preserve">méně často takto přicházeli pacienti </w:t>
      </w:r>
      <w:r w:rsidR="00E804A5" w:rsidRPr="009E2EFE">
        <w:rPr>
          <w:lang w:eastAsia="sk-SK"/>
        </w:rPr>
        <w:t>ve věku 90 a více let</w:t>
      </w:r>
      <w:r w:rsidR="00162067" w:rsidRPr="009E2EFE">
        <w:rPr>
          <w:lang w:eastAsia="sk-SK"/>
        </w:rPr>
        <w:t xml:space="preserve">, </w:t>
      </w:r>
      <w:r w:rsidR="00CF70C4" w:rsidRPr="009E2EFE">
        <w:rPr>
          <w:lang w:eastAsia="sk-SK"/>
        </w:rPr>
        <w:t xml:space="preserve">avšak </w:t>
      </w:r>
      <w:r w:rsidR="00162067" w:rsidRPr="009E2EFE">
        <w:rPr>
          <w:lang w:eastAsia="sk-SK"/>
        </w:rPr>
        <w:t>mezi sledovanými roky</w:t>
      </w:r>
      <w:r w:rsidR="00BB54ED" w:rsidRPr="009E2EFE">
        <w:rPr>
          <w:lang w:eastAsia="sk-SK"/>
        </w:rPr>
        <w:t xml:space="preserve"> </w:t>
      </w:r>
      <w:r w:rsidR="00CF70C4" w:rsidRPr="009E2EFE">
        <w:rPr>
          <w:lang w:eastAsia="sk-SK"/>
        </w:rPr>
        <w:t xml:space="preserve">se </w:t>
      </w:r>
      <w:r w:rsidR="004F282E" w:rsidRPr="009E2EFE">
        <w:rPr>
          <w:lang w:eastAsia="sk-SK"/>
        </w:rPr>
        <w:t xml:space="preserve">rozdíl </w:t>
      </w:r>
      <w:r w:rsidR="00BB54ED" w:rsidRPr="009E2EFE">
        <w:rPr>
          <w:lang w:eastAsia="sk-SK"/>
        </w:rPr>
        <w:t>snížil</w:t>
      </w:r>
      <w:r w:rsidRPr="009E2EFE">
        <w:rPr>
          <w:lang w:eastAsia="sk-SK"/>
        </w:rPr>
        <w:t xml:space="preserve">. V roce 2023 </w:t>
      </w:r>
      <w:r w:rsidR="005D6C80" w:rsidRPr="009E2EFE">
        <w:rPr>
          <w:lang w:eastAsia="sk-SK"/>
        </w:rPr>
        <w:t xml:space="preserve">se </w:t>
      </w:r>
      <w:r w:rsidR="00667D36">
        <w:rPr>
          <w:lang w:eastAsia="sk-SK"/>
        </w:rPr>
        <w:t xml:space="preserve">po </w:t>
      </w:r>
      <w:r w:rsidR="005D6C80" w:rsidRPr="009E2EFE">
        <w:rPr>
          <w:lang w:eastAsia="sk-SK"/>
        </w:rPr>
        <w:t xml:space="preserve">vlastní </w:t>
      </w:r>
      <w:r w:rsidR="00667D36">
        <w:rPr>
          <w:lang w:eastAsia="sk-SK"/>
        </w:rPr>
        <w:t xml:space="preserve">ose </w:t>
      </w:r>
      <w:r w:rsidR="005D6C80" w:rsidRPr="009E2EFE">
        <w:rPr>
          <w:lang w:eastAsia="sk-SK"/>
        </w:rPr>
        <w:t xml:space="preserve">dopravili </w:t>
      </w:r>
      <w:r w:rsidR="009F2FD5" w:rsidRPr="009E2EFE">
        <w:rPr>
          <w:lang w:eastAsia="sk-SK"/>
        </w:rPr>
        <w:t xml:space="preserve">méně často </w:t>
      </w:r>
      <w:r w:rsidR="005D6C80" w:rsidRPr="009E2EFE">
        <w:rPr>
          <w:lang w:eastAsia="sk-SK"/>
        </w:rPr>
        <w:t>pac</w:t>
      </w:r>
      <w:r w:rsidR="009F2FD5" w:rsidRPr="009E2EFE">
        <w:rPr>
          <w:lang w:eastAsia="sk-SK"/>
        </w:rPr>
        <w:t>ienti</w:t>
      </w:r>
      <w:r w:rsidR="005D6C80" w:rsidRPr="009E2EFE">
        <w:rPr>
          <w:lang w:eastAsia="sk-SK"/>
        </w:rPr>
        <w:t xml:space="preserve"> ve věkové kategorii</w:t>
      </w:r>
      <w:r w:rsidRPr="009E2EFE">
        <w:rPr>
          <w:lang w:eastAsia="sk-SK"/>
        </w:rPr>
        <w:t xml:space="preserve"> 85–89 let.</w:t>
      </w:r>
      <w:r w:rsidR="008D1423" w:rsidRPr="009E2EFE">
        <w:rPr>
          <w:lang w:eastAsia="sk-SK"/>
        </w:rPr>
        <w:t xml:space="preserve"> </w:t>
      </w:r>
      <w:r w:rsidRPr="009E2EFE">
        <w:rPr>
          <w:lang w:eastAsia="sk-SK"/>
        </w:rPr>
        <w:t>Jako</w:t>
      </w:r>
      <w:r w:rsidR="00672B56" w:rsidRPr="009E2EFE">
        <w:rPr>
          <w:lang w:eastAsia="sk-SK"/>
        </w:rPr>
        <w:t xml:space="preserve"> </w:t>
      </w:r>
      <w:r w:rsidRPr="009E2EFE">
        <w:rPr>
          <w:lang w:eastAsia="sk-SK"/>
        </w:rPr>
        <w:t xml:space="preserve">konziliární </w:t>
      </w:r>
      <w:r w:rsidR="00672B56" w:rsidRPr="009E2EFE">
        <w:rPr>
          <w:lang w:eastAsia="sk-SK"/>
        </w:rPr>
        <w:t xml:space="preserve">nebo </w:t>
      </w:r>
      <w:r w:rsidRPr="009E2EFE">
        <w:rPr>
          <w:lang w:eastAsia="sk-SK"/>
        </w:rPr>
        <w:t>před</w:t>
      </w:r>
      <w:r w:rsidR="00672B56" w:rsidRPr="009E2EFE">
        <w:rPr>
          <w:lang w:eastAsia="sk-SK"/>
        </w:rPr>
        <w:t>a</w:t>
      </w:r>
      <w:r w:rsidRPr="009E2EFE">
        <w:rPr>
          <w:lang w:eastAsia="sk-SK"/>
        </w:rPr>
        <w:t>ní z jiné ambulance F</w:t>
      </w:r>
      <w:r w:rsidR="00975C7C" w:rsidRPr="009E2EFE">
        <w:rPr>
          <w:lang w:eastAsia="sk-SK"/>
        </w:rPr>
        <w:t>N</w:t>
      </w:r>
      <w:r w:rsidRPr="009E2EFE">
        <w:rPr>
          <w:lang w:eastAsia="sk-SK"/>
        </w:rPr>
        <w:t xml:space="preserve"> Brno přicházeli v roce 2019 méně často pacienti ve věku 90 a více let</w:t>
      </w:r>
      <w:r w:rsidR="00802FB1" w:rsidRPr="009E2EFE">
        <w:rPr>
          <w:lang w:eastAsia="sk-SK"/>
        </w:rPr>
        <w:t>. N</w:t>
      </w:r>
      <w:r w:rsidRPr="009E2EFE">
        <w:rPr>
          <w:lang w:eastAsia="sk-SK"/>
        </w:rPr>
        <w:t xml:space="preserve">ejčastěji </w:t>
      </w:r>
      <w:r w:rsidR="00802FB1" w:rsidRPr="009E2EFE">
        <w:rPr>
          <w:lang w:eastAsia="sk-SK"/>
        </w:rPr>
        <w:t xml:space="preserve">se tímto způsobem na NUP </w:t>
      </w:r>
      <w:r w:rsidR="00802FB1" w:rsidRPr="009E2EFE">
        <w:rPr>
          <w:lang w:eastAsia="sk-SK"/>
        </w:rPr>
        <w:lastRenderedPageBreak/>
        <w:t xml:space="preserve">dostali pacienti </w:t>
      </w:r>
      <w:r w:rsidRPr="009E2EFE">
        <w:rPr>
          <w:lang w:eastAsia="sk-SK"/>
        </w:rPr>
        <w:t xml:space="preserve">ve věku 80–84 let, kde nedošlo k významné meziroční změně. V roce 2023 </w:t>
      </w:r>
      <w:r w:rsidR="00182D24" w:rsidRPr="009E2EFE">
        <w:rPr>
          <w:lang w:eastAsia="sk-SK"/>
        </w:rPr>
        <w:t xml:space="preserve">bylo konzilium/předání </w:t>
      </w:r>
      <w:r w:rsidR="00327FB6" w:rsidRPr="009E2EFE">
        <w:rPr>
          <w:lang w:eastAsia="sk-SK"/>
        </w:rPr>
        <w:t xml:space="preserve">na NUP </w:t>
      </w:r>
      <w:r w:rsidR="00182D24" w:rsidRPr="009E2EFE">
        <w:rPr>
          <w:lang w:eastAsia="sk-SK"/>
        </w:rPr>
        <w:t xml:space="preserve">z jiné ambulance FN Brno méně časté u </w:t>
      </w:r>
      <w:r w:rsidR="008D1423" w:rsidRPr="009E2EFE">
        <w:rPr>
          <w:lang w:eastAsia="sk-SK"/>
        </w:rPr>
        <w:t xml:space="preserve">pacientů </w:t>
      </w:r>
      <w:r w:rsidR="00182D24" w:rsidRPr="009E2EFE">
        <w:rPr>
          <w:lang w:eastAsia="sk-SK"/>
        </w:rPr>
        <w:t>věkové skupiny</w:t>
      </w:r>
      <w:r w:rsidRPr="009E2EFE">
        <w:rPr>
          <w:lang w:eastAsia="sk-SK"/>
        </w:rPr>
        <w:t xml:space="preserve"> 85–</w:t>
      </w:r>
      <w:r w:rsidRPr="00611AFF">
        <w:rPr>
          <w:lang w:eastAsia="sk-SK"/>
        </w:rPr>
        <w:t>89 let.</w:t>
      </w:r>
    </w:p>
    <w:p w14:paraId="4094740C" w14:textId="7A68986B" w:rsidR="00647D2C" w:rsidRPr="00D37270" w:rsidRDefault="00647D2C" w:rsidP="00860459">
      <w:pPr>
        <w:pStyle w:val="Dalodstavce"/>
        <w:rPr>
          <w:lang w:eastAsia="sk-SK"/>
        </w:rPr>
      </w:pPr>
      <w:r w:rsidRPr="004D2D61">
        <w:rPr>
          <w:lang w:eastAsia="sk-SK"/>
        </w:rPr>
        <w:t>Péči</w:t>
      </w:r>
      <w:r w:rsidRPr="00D37270">
        <w:rPr>
          <w:lang w:eastAsia="sk-SK"/>
        </w:rPr>
        <w:t xml:space="preserve"> </w:t>
      </w:r>
      <w:r w:rsidR="00E44E15" w:rsidRPr="00D37270">
        <w:rPr>
          <w:lang w:eastAsia="sk-SK"/>
        </w:rPr>
        <w:t xml:space="preserve">pouze </w:t>
      </w:r>
      <w:r w:rsidRPr="00D37270">
        <w:rPr>
          <w:lang w:eastAsia="sk-SK"/>
        </w:rPr>
        <w:t xml:space="preserve">internisty méně často potřebovali pacienti ve věku 80–84 let, přičemž tento rozdíl se meziročně mírně zvýšil. Naopak pacienti ve věku 90 a více let ji vyžadovali častěji, i když zde došlo k mírnému poklesu oproti předchozímu období. V roce 2023 </w:t>
      </w:r>
      <w:r w:rsidR="00FC4A27" w:rsidRPr="00D37270">
        <w:rPr>
          <w:lang w:eastAsia="sk-SK"/>
        </w:rPr>
        <w:t>vyžadova</w:t>
      </w:r>
      <w:r w:rsidR="006E129F" w:rsidRPr="00D37270">
        <w:rPr>
          <w:lang w:eastAsia="sk-SK"/>
        </w:rPr>
        <w:t>li péči internisty častěji p</w:t>
      </w:r>
      <w:r w:rsidRPr="00D37270">
        <w:rPr>
          <w:lang w:eastAsia="sk-SK"/>
        </w:rPr>
        <w:t>acient</w:t>
      </w:r>
      <w:r w:rsidR="006E129F" w:rsidRPr="00D37270">
        <w:rPr>
          <w:lang w:eastAsia="sk-SK"/>
        </w:rPr>
        <w:t xml:space="preserve">i </w:t>
      </w:r>
      <w:r w:rsidRPr="00D37270">
        <w:rPr>
          <w:lang w:eastAsia="sk-SK"/>
        </w:rPr>
        <w:t>ve věku 85–89 let.</w:t>
      </w:r>
      <w:r w:rsidR="003D6D2E" w:rsidRPr="00D37270">
        <w:rPr>
          <w:lang w:eastAsia="sk-SK"/>
        </w:rPr>
        <w:t xml:space="preserve"> </w:t>
      </w:r>
      <w:r w:rsidRPr="00D37270">
        <w:rPr>
          <w:lang w:eastAsia="sk-SK"/>
        </w:rPr>
        <w:t>P</w:t>
      </w:r>
      <w:r w:rsidR="00E44E15" w:rsidRPr="00D37270">
        <w:rPr>
          <w:lang w:eastAsia="sk-SK"/>
        </w:rPr>
        <w:t xml:space="preserve">ouze </w:t>
      </w:r>
      <w:r w:rsidRPr="00D37270">
        <w:rPr>
          <w:lang w:eastAsia="sk-SK"/>
        </w:rPr>
        <w:t>neurologa v</w:t>
      </w:r>
      <w:r w:rsidR="00C76393">
        <w:rPr>
          <w:lang w:eastAsia="sk-SK"/>
        </w:rPr>
        <w:t> </w:t>
      </w:r>
      <w:r w:rsidRPr="00D37270">
        <w:rPr>
          <w:lang w:eastAsia="sk-SK"/>
        </w:rPr>
        <w:t xml:space="preserve">roce 2019 častěji potřebovali pacienti ve věku 75–79 let, zatímco méně často ji vyžadovali pacienti ve věku 85–89 let. </w:t>
      </w:r>
      <w:r w:rsidR="00B32ED0" w:rsidRPr="00D37270">
        <w:rPr>
          <w:lang w:eastAsia="sk-SK"/>
        </w:rPr>
        <w:t xml:space="preserve">V meziročním srovnání vyžadovali </w:t>
      </w:r>
      <w:r w:rsidR="00192E07" w:rsidRPr="00D37270">
        <w:rPr>
          <w:lang w:eastAsia="sk-SK"/>
        </w:rPr>
        <w:t>neurologickou péči častěji pacienti ve věku 80</w:t>
      </w:r>
      <w:r w:rsidR="00CE01B3" w:rsidRPr="00D37270">
        <w:rPr>
          <w:lang w:eastAsia="sk-SK"/>
        </w:rPr>
        <w:t>–</w:t>
      </w:r>
      <w:r w:rsidR="00192E07" w:rsidRPr="00D37270">
        <w:rPr>
          <w:lang w:eastAsia="sk-SK"/>
        </w:rPr>
        <w:t>84 let</w:t>
      </w:r>
      <w:r w:rsidR="007A685F" w:rsidRPr="00D37270">
        <w:rPr>
          <w:lang w:eastAsia="sk-SK"/>
        </w:rPr>
        <w:t>, kde došlo k nárůstu rozdílu.</w:t>
      </w:r>
      <w:r w:rsidR="00223877" w:rsidRPr="00D37270">
        <w:rPr>
          <w:lang w:eastAsia="sk-SK"/>
        </w:rPr>
        <w:t xml:space="preserve"> Méně často byl neurolog zapotřebí u 90let</w:t>
      </w:r>
      <w:r w:rsidR="00DE0361" w:rsidRPr="00D37270">
        <w:rPr>
          <w:lang w:eastAsia="sk-SK"/>
        </w:rPr>
        <w:t xml:space="preserve">ých </w:t>
      </w:r>
      <w:r w:rsidR="0081112E">
        <w:rPr>
          <w:lang w:eastAsia="sk-SK"/>
        </w:rPr>
        <w:t xml:space="preserve">a starších </w:t>
      </w:r>
      <w:r w:rsidR="00DE0361" w:rsidRPr="00D37270">
        <w:rPr>
          <w:lang w:eastAsia="sk-SK"/>
        </w:rPr>
        <w:t>pacientů</w:t>
      </w:r>
      <w:r w:rsidR="00CE01B3" w:rsidRPr="00D37270">
        <w:rPr>
          <w:lang w:eastAsia="sk-SK"/>
        </w:rPr>
        <w:t>, přičemž došlo k mírnému nár</w:t>
      </w:r>
      <w:r w:rsidR="00C25AD8">
        <w:rPr>
          <w:lang w:eastAsia="sk-SK"/>
        </w:rPr>
        <w:t>ů</w:t>
      </w:r>
      <w:r w:rsidR="00CE01B3" w:rsidRPr="00D37270">
        <w:rPr>
          <w:lang w:eastAsia="sk-SK"/>
        </w:rPr>
        <w:t>stu meziročního rozdílu</w:t>
      </w:r>
      <w:r w:rsidRPr="00D37270">
        <w:rPr>
          <w:lang w:eastAsia="sk-SK"/>
        </w:rPr>
        <w:t>.</w:t>
      </w:r>
      <w:r w:rsidR="00860459" w:rsidRPr="00D37270">
        <w:rPr>
          <w:lang w:eastAsia="sk-SK"/>
        </w:rPr>
        <w:t xml:space="preserve"> </w:t>
      </w:r>
      <w:r w:rsidRPr="00D37270">
        <w:rPr>
          <w:lang w:eastAsia="sk-SK"/>
        </w:rPr>
        <w:t>Současn</w:t>
      </w:r>
      <w:r w:rsidR="003D6D2E" w:rsidRPr="00D37270">
        <w:rPr>
          <w:lang w:eastAsia="sk-SK"/>
        </w:rPr>
        <w:t>é vyšetření</w:t>
      </w:r>
      <w:r w:rsidRPr="00D37270">
        <w:rPr>
          <w:lang w:eastAsia="sk-SK"/>
        </w:rPr>
        <w:t xml:space="preserve"> internisty i neurologa v roce 2019 méně často vyžadovali pacienti ve věku 75–79 let. V roce 2023 </w:t>
      </w:r>
      <w:r w:rsidR="00AA2CEA" w:rsidRPr="00D37270">
        <w:rPr>
          <w:lang w:eastAsia="sk-SK"/>
        </w:rPr>
        <w:t>tuto</w:t>
      </w:r>
      <w:r w:rsidRPr="00D37270">
        <w:rPr>
          <w:lang w:eastAsia="sk-SK"/>
        </w:rPr>
        <w:t xml:space="preserve"> kombinovan</w:t>
      </w:r>
      <w:r w:rsidR="00AA2CEA" w:rsidRPr="00D37270">
        <w:rPr>
          <w:lang w:eastAsia="sk-SK"/>
        </w:rPr>
        <w:t xml:space="preserve">ou </w:t>
      </w:r>
      <w:r w:rsidRPr="00D37270">
        <w:rPr>
          <w:lang w:eastAsia="sk-SK"/>
        </w:rPr>
        <w:t>péč</w:t>
      </w:r>
      <w:r w:rsidR="00AA2CEA" w:rsidRPr="00D37270">
        <w:rPr>
          <w:lang w:eastAsia="sk-SK"/>
        </w:rPr>
        <w:t>i</w:t>
      </w:r>
      <w:r w:rsidR="00616FF9" w:rsidRPr="00D37270">
        <w:rPr>
          <w:lang w:eastAsia="sk-SK"/>
        </w:rPr>
        <w:t xml:space="preserve"> méně často vyžadovali </w:t>
      </w:r>
      <w:r w:rsidRPr="00D37270">
        <w:rPr>
          <w:lang w:eastAsia="sk-SK"/>
        </w:rPr>
        <w:t>pacient</w:t>
      </w:r>
      <w:r w:rsidR="00616FF9" w:rsidRPr="00D37270">
        <w:rPr>
          <w:lang w:eastAsia="sk-SK"/>
        </w:rPr>
        <w:t>i</w:t>
      </w:r>
      <w:r w:rsidRPr="00D37270">
        <w:rPr>
          <w:lang w:eastAsia="sk-SK"/>
        </w:rPr>
        <w:t xml:space="preserve"> ve věku 85–89 let</w:t>
      </w:r>
      <w:r w:rsidR="00264581">
        <w:rPr>
          <w:lang w:eastAsia="sk-SK"/>
        </w:rPr>
        <w:t>,</w:t>
      </w:r>
      <w:r w:rsidR="00616FF9" w:rsidRPr="00D37270">
        <w:rPr>
          <w:lang w:eastAsia="sk-SK"/>
        </w:rPr>
        <w:t xml:space="preserve"> a </w:t>
      </w:r>
      <w:r w:rsidR="00D7687B" w:rsidRPr="00D37270">
        <w:rPr>
          <w:lang w:eastAsia="sk-SK"/>
        </w:rPr>
        <w:t xml:space="preserve">naopak častěji </w:t>
      </w:r>
      <w:r w:rsidRPr="00D37270">
        <w:rPr>
          <w:lang w:eastAsia="sk-SK"/>
        </w:rPr>
        <w:t>nejstarší věkov</w:t>
      </w:r>
      <w:r w:rsidR="00D7687B" w:rsidRPr="00D37270">
        <w:rPr>
          <w:lang w:eastAsia="sk-SK"/>
        </w:rPr>
        <w:t>á</w:t>
      </w:r>
      <w:r w:rsidRPr="00D37270">
        <w:rPr>
          <w:lang w:eastAsia="sk-SK"/>
        </w:rPr>
        <w:t xml:space="preserve"> skupin</w:t>
      </w:r>
      <w:r w:rsidR="00D7687B" w:rsidRPr="00D37270">
        <w:rPr>
          <w:lang w:eastAsia="sk-SK"/>
        </w:rPr>
        <w:t>a pacientů</w:t>
      </w:r>
      <w:r w:rsidRPr="00D37270">
        <w:rPr>
          <w:lang w:eastAsia="sk-SK"/>
        </w:rPr>
        <w:t xml:space="preserve"> </w:t>
      </w:r>
      <w:r w:rsidR="00891EB5">
        <w:rPr>
          <w:lang w:eastAsia="sk-SK"/>
        </w:rPr>
        <w:t xml:space="preserve">ve </w:t>
      </w:r>
      <w:r w:rsidR="00891EB5" w:rsidRPr="004D2D61">
        <w:rPr>
          <w:lang w:eastAsia="sk-SK"/>
        </w:rPr>
        <w:t xml:space="preserve">věku </w:t>
      </w:r>
      <w:r w:rsidRPr="004D2D61">
        <w:rPr>
          <w:lang w:eastAsia="sk-SK"/>
        </w:rPr>
        <w:t>90</w:t>
      </w:r>
      <w:r w:rsidR="00264581" w:rsidRPr="004D2D61">
        <w:rPr>
          <w:lang w:eastAsia="sk-SK"/>
        </w:rPr>
        <w:t xml:space="preserve"> a více let</w:t>
      </w:r>
      <w:r w:rsidR="00D7687B" w:rsidRPr="004D2D61">
        <w:rPr>
          <w:lang w:eastAsia="sk-SK"/>
        </w:rPr>
        <w:t>.</w:t>
      </w:r>
    </w:p>
    <w:p w14:paraId="6A7B7027" w14:textId="262BE28F" w:rsidR="006969BC" w:rsidRDefault="006969BC" w:rsidP="008A54C1">
      <w:pPr>
        <w:pStyle w:val="Dalodstavce"/>
        <w:rPr>
          <w:lang w:eastAsia="sk-SK"/>
        </w:rPr>
      </w:pPr>
      <w:r w:rsidRPr="00774B08">
        <w:rPr>
          <w:lang w:eastAsia="sk-SK"/>
        </w:rPr>
        <w:t>V roce 2019</w:t>
      </w:r>
      <w:r w:rsidRPr="0023671E">
        <w:rPr>
          <w:lang w:eastAsia="sk-SK"/>
        </w:rPr>
        <w:t xml:space="preserve"> vyžadovali umístění na observační lůžko </w:t>
      </w:r>
      <w:r w:rsidR="00B322BC" w:rsidRPr="0023671E">
        <w:rPr>
          <w:lang w:eastAsia="sk-SK"/>
        </w:rPr>
        <w:t xml:space="preserve">méně často </w:t>
      </w:r>
      <w:r w:rsidRPr="0023671E">
        <w:rPr>
          <w:lang w:eastAsia="sk-SK"/>
        </w:rPr>
        <w:t>pacienti</w:t>
      </w:r>
      <w:r w:rsidR="00B322BC" w:rsidRPr="0023671E">
        <w:rPr>
          <w:lang w:eastAsia="sk-SK"/>
        </w:rPr>
        <w:t xml:space="preserve"> ve věk</w:t>
      </w:r>
      <w:r w:rsidR="0023671E" w:rsidRPr="0023671E">
        <w:rPr>
          <w:lang w:eastAsia="sk-SK"/>
        </w:rPr>
        <w:t>u</w:t>
      </w:r>
      <w:r w:rsidR="00B322BC" w:rsidRPr="0023671E">
        <w:rPr>
          <w:lang w:eastAsia="sk-SK"/>
        </w:rPr>
        <w:t xml:space="preserve"> 80–84 let</w:t>
      </w:r>
      <w:r w:rsidR="00B46C2A" w:rsidRPr="0023671E">
        <w:rPr>
          <w:lang w:eastAsia="sk-SK"/>
        </w:rPr>
        <w:t xml:space="preserve">. </w:t>
      </w:r>
      <w:r w:rsidR="0055315B">
        <w:rPr>
          <w:lang w:eastAsia="sk-SK"/>
        </w:rPr>
        <w:t>Naopak č</w:t>
      </w:r>
      <w:r w:rsidR="00B46C2A" w:rsidRPr="0023671E">
        <w:rPr>
          <w:lang w:eastAsia="sk-SK"/>
        </w:rPr>
        <w:t xml:space="preserve">astěji </w:t>
      </w:r>
      <w:r w:rsidR="009E4EE5">
        <w:rPr>
          <w:lang w:eastAsia="sk-SK"/>
        </w:rPr>
        <w:t xml:space="preserve">byla </w:t>
      </w:r>
      <w:r w:rsidR="00B46C2A" w:rsidRPr="0023671E">
        <w:rPr>
          <w:lang w:eastAsia="sk-SK"/>
        </w:rPr>
        <w:t>observac</w:t>
      </w:r>
      <w:r w:rsidR="009E4EE5">
        <w:rPr>
          <w:lang w:eastAsia="sk-SK"/>
        </w:rPr>
        <w:t>e</w:t>
      </w:r>
      <w:r w:rsidR="00B46C2A" w:rsidRPr="0023671E">
        <w:rPr>
          <w:lang w:eastAsia="sk-SK"/>
        </w:rPr>
        <w:t xml:space="preserve"> </w:t>
      </w:r>
      <w:r w:rsidR="009E4EE5">
        <w:rPr>
          <w:lang w:eastAsia="sk-SK"/>
        </w:rPr>
        <w:t>zapotřebí u</w:t>
      </w:r>
      <w:r w:rsidR="00B46C2A" w:rsidRPr="0023671E">
        <w:rPr>
          <w:lang w:eastAsia="sk-SK"/>
        </w:rPr>
        <w:t xml:space="preserve"> </w:t>
      </w:r>
      <w:r w:rsidR="004C1144" w:rsidRPr="0023671E">
        <w:rPr>
          <w:lang w:eastAsia="sk-SK"/>
        </w:rPr>
        <w:t xml:space="preserve">nejstarší věkové skupiny </w:t>
      </w:r>
      <w:r w:rsidR="00B46C2A" w:rsidRPr="0023671E">
        <w:rPr>
          <w:lang w:eastAsia="sk-SK"/>
        </w:rPr>
        <w:t>pacient</w:t>
      </w:r>
      <w:r w:rsidR="004C1144" w:rsidRPr="0023671E">
        <w:rPr>
          <w:lang w:eastAsia="sk-SK"/>
        </w:rPr>
        <w:t>ů, tedy</w:t>
      </w:r>
      <w:r w:rsidR="00B83905" w:rsidRPr="0023671E">
        <w:rPr>
          <w:lang w:eastAsia="sk-SK"/>
        </w:rPr>
        <w:t xml:space="preserve"> 85</w:t>
      </w:r>
      <w:r w:rsidR="004F33EE" w:rsidRPr="0023671E">
        <w:rPr>
          <w:lang w:eastAsia="sk-SK"/>
        </w:rPr>
        <w:t>–</w:t>
      </w:r>
      <w:r w:rsidR="00B83905" w:rsidRPr="0023671E">
        <w:rPr>
          <w:lang w:eastAsia="sk-SK"/>
        </w:rPr>
        <w:t xml:space="preserve">89 let a 90 a více let, přičemž tyto trendy zůstaly v meziročním srovnání </w:t>
      </w:r>
      <w:r w:rsidR="00EB1C4A" w:rsidRPr="0023671E">
        <w:rPr>
          <w:lang w:eastAsia="sk-SK"/>
        </w:rPr>
        <w:t>stabilní</w:t>
      </w:r>
      <w:r w:rsidR="00AD224A" w:rsidRPr="0023671E">
        <w:rPr>
          <w:lang w:eastAsia="sk-SK"/>
        </w:rPr>
        <w:t xml:space="preserve">. V roce 2023 byli na observaci umístěni méně často pacienti ve </w:t>
      </w:r>
      <w:r w:rsidR="00AD224A" w:rsidRPr="00774B08">
        <w:rPr>
          <w:lang w:eastAsia="sk-SK"/>
        </w:rPr>
        <w:t>věku 75</w:t>
      </w:r>
      <w:r w:rsidR="0023671E" w:rsidRPr="00774B08">
        <w:rPr>
          <w:lang w:eastAsia="sk-SK"/>
        </w:rPr>
        <w:t>–</w:t>
      </w:r>
      <w:r w:rsidR="00AD224A" w:rsidRPr="00774B08">
        <w:rPr>
          <w:lang w:eastAsia="sk-SK"/>
        </w:rPr>
        <w:t>79 let.</w:t>
      </w:r>
    </w:p>
    <w:p w14:paraId="2C2D6858" w14:textId="0979DBFC" w:rsidR="0056782C" w:rsidRDefault="00606461" w:rsidP="00B65D18">
      <w:pPr>
        <w:pStyle w:val="Dalodstavce"/>
        <w:rPr>
          <w:lang w:eastAsia="sk-SK"/>
        </w:rPr>
      </w:pPr>
      <w:r w:rsidRPr="00606461">
        <w:rPr>
          <w:lang w:eastAsia="sk-SK"/>
        </w:rPr>
        <w:t>V roce 2019 pacienti ve věkové skupině 85</w:t>
      </w:r>
      <w:r>
        <w:rPr>
          <w:lang w:eastAsia="sk-SK"/>
        </w:rPr>
        <w:t xml:space="preserve"> a více let</w:t>
      </w:r>
      <w:r w:rsidRPr="00606461">
        <w:rPr>
          <w:lang w:eastAsia="sk-SK"/>
        </w:rPr>
        <w:t xml:space="preserve"> častěji vyžadovali konzilium specialisty než pacienti ve věkové skupině 75</w:t>
      </w:r>
      <w:r w:rsidR="00731B79">
        <w:rPr>
          <w:lang w:eastAsia="sk-SK"/>
        </w:rPr>
        <w:t>–</w:t>
      </w:r>
      <w:r w:rsidRPr="00606461">
        <w:rPr>
          <w:lang w:eastAsia="sk-SK"/>
        </w:rPr>
        <w:t>84 let. V roce 2023 tento trend pokračoval a mírně se zvýšil, přičemž pacienti 85+ vyžadovali konzilium specialisty ještě o něco častěji než pacienti ve skupině 75</w:t>
      </w:r>
      <w:r w:rsidR="00731B79">
        <w:rPr>
          <w:lang w:eastAsia="sk-SK"/>
        </w:rPr>
        <w:t>–</w:t>
      </w:r>
      <w:r w:rsidRPr="00606461">
        <w:rPr>
          <w:lang w:eastAsia="sk-SK"/>
        </w:rPr>
        <w:t>84 let.</w:t>
      </w:r>
    </w:p>
    <w:p w14:paraId="6FA67B7E" w14:textId="77777777" w:rsidR="008E3759" w:rsidRDefault="008E3759" w:rsidP="008E3759">
      <w:pPr>
        <w:pStyle w:val="Dalodstavce"/>
        <w:ind w:firstLine="0"/>
        <w:rPr>
          <w:lang w:eastAsia="sk-SK"/>
        </w:rPr>
      </w:pPr>
    </w:p>
    <w:p w14:paraId="4D393CAC" w14:textId="673F1DA7" w:rsidR="003C541E" w:rsidRDefault="00C56346" w:rsidP="003C541E">
      <w:pPr>
        <w:pStyle w:val="Dalodstavce"/>
        <w:ind w:firstLine="0"/>
      </w:pPr>
      <w:r>
        <w:rPr>
          <w:b/>
          <w:bCs/>
        </w:rPr>
        <w:t>V meziročním srovnání b</w:t>
      </w:r>
      <w:r w:rsidR="008A14CC" w:rsidRPr="00724EDB">
        <w:rPr>
          <w:b/>
          <w:bCs/>
        </w:rPr>
        <w:t>yl zjištěn statisticky významný</w:t>
      </w:r>
      <w:r w:rsidR="008A14CC">
        <w:rPr>
          <w:b/>
          <w:bCs/>
        </w:rPr>
        <w:t xml:space="preserve"> </w:t>
      </w:r>
      <w:r w:rsidR="008A14CC" w:rsidRPr="006B2727">
        <w:rPr>
          <w:b/>
          <w:bCs/>
        </w:rPr>
        <w:t xml:space="preserve">vztah mezi </w:t>
      </w:r>
      <w:r w:rsidR="008A14CC">
        <w:rPr>
          <w:b/>
          <w:bCs/>
        </w:rPr>
        <w:t xml:space="preserve">spádovostí </w:t>
      </w:r>
      <w:r w:rsidR="008A14CC" w:rsidRPr="006B2727">
        <w:rPr>
          <w:b/>
          <w:bCs/>
        </w:rPr>
        <w:t xml:space="preserve">pacienta </w:t>
      </w:r>
      <w:r w:rsidR="008A14CC">
        <w:rPr>
          <w:b/>
          <w:bCs/>
        </w:rPr>
        <w:t xml:space="preserve">ve věku </w:t>
      </w:r>
      <w:r w:rsidR="008A14CC" w:rsidRPr="006B2727">
        <w:rPr>
          <w:b/>
          <w:bCs/>
        </w:rPr>
        <w:t>75+ a</w:t>
      </w:r>
      <w:r w:rsidR="008A14CC">
        <w:rPr>
          <w:b/>
          <w:bCs/>
        </w:rPr>
        <w:t> </w:t>
      </w:r>
      <w:r w:rsidR="008A14CC" w:rsidRPr="006B2727">
        <w:rPr>
          <w:b/>
          <w:bCs/>
        </w:rPr>
        <w:t xml:space="preserve">jeho trajektorií na NUP FN Brno. </w:t>
      </w:r>
      <w:r w:rsidR="008A14CC" w:rsidRPr="00E437B1">
        <w:t>Statisticky významná asociace byla nalezena mezi spádovostí pacienta a způsobem dopravy k ošetření (p</w:t>
      </w:r>
      <w:r w:rsidR="0018339F">
        <w:t> </w:t>
      </w:r>
      <w:r w:rsidR="008A14CC" w:rsidRPr="00E437B1">
        <w:rPr>
          <w:rFonts w:ascii="Calibri" w:hAnsi="Calibri" w:cs="Calibri"/>
        </w:rPr>
        <w:t>&lt;</w:t>
      </w:r>
      <w:r w:rsidR="008A14CC" w:rsidRPr="00E437B1">
        <w:t>0,001; Fí=0,2</w:t>
      </w:r>
      <w:r w:rsidR="0000481C">
        <w:t>57</w:t>
      </w:r>
      <w:r w:rsidR="008A14CC" w:rsidRPr="00E437B1">
        <w:t xml:space="preserve">) a mezi využitím observačního lůžka (p </w:t>
      </w:r>
      <w:r w:rsidR="008A14CC" w:rsidRPr="00E437B1">
        <w:rPr>
          <w:rFonts w:ascii="Calibri" w:hAnsi="Calibri" w:cs="Calibri"/>
        </w:rPr>
        <w:t>&lt;</w:t>
      </w:r>
      <w:r w:rsidR="008A14CC" w:rsidRPr="00E437B1">
        <w:t>0,001; Fí=0,2</w:t>
      </w:r>
      <w:r w:rsidR="00B00C9E">
        <w:t>76</w:t>
      </w:r>
      <w:r w:rsidR="008A14CC" w:rsidRPr="00E437B1">
        <w:t>). Síla obou zjištěných vztahů byla středně vysoká</w:t>
      </w:r>
      <w:r w:rsidR="00016A04">
        <w:t>, viz Tabulka 24</w:t>
      </w:r>
      <w:r w:rsidR="008A14CC" w:rsidRPr="00E437B1">
        <w:t>.</w:t>
      </w:r>
    </w:p>
    <w:p w14:paraId="3FB7DE80" w14:textId="57BA4377" w:rsidR="003C541E" w:rsidRDefault="008A54C1" w:rsidP="00977E53">
      <w:pPr>
        <w:pStyle w:val="Dalodstavce"/>
        <w:rPr>
          <w:lang w:eastAsia="sk-SK"/>
        </w:rPr>
        <w:sectPr w:rsidR="003C541E" w:rsidSect="001C5D57">
          <w:pgSz w:w="11906" w:h="16838" w:code="9"/>
          <w:pgMar w:top="1980" w:right="1140" w:bottom="2380" w:left="1140" w:header="1140" w:footer="1420" w:gutter="860"/>
          <w:cols w:space="708"/>
          <w:docGrid w:linePitch="360"/>
        </w:sectPr>
      </w:pPr>
      <w:r w:rsidRPr="008A54C1">
        <w:rPr>
          <w:lang w:eastAsia="sk-SK"/>
        </w:rPr>
        <w:t>Spádoví pacienti byli častěji dopravováni na NUP vozem ZZS, zatímco nespádoví pacienti častěji využívali jinou formu dopravy</w:t>
      </w:r>
      <w:r w:rsidR="00977E53">
        <w:rPr>
          <w:lang w:eastAsia="sk-SK"/>
        </w:rPr>
        <w:t xml:space="preserve"> k ošetření</w:t>
      </w:r>
      <w:r w:rsidRPr="008A54C1">
        <w:rPr>
          <w:lang w:eastAsia="sk-SK"/>
        </w:rPr>
        <w:t>.</w:t>
      </w:r>
      <w:r w:rsidR="00040739">
        <w:rPr>
          <w:lang w:eastAsia="sk-SK"/>
        </w:rPr>
        <w:t xml:space="preserve"> </w:t>
      </w:r>
      <w:r w:rsidR="00040739" w:rsidRPr="00040739">
        <w:rPr>
          <w:lang w:eastAsia="sk-SK"/>
        </w:rPr>
        <w:t>V roce 2019 spádoví pacienti vyžadovali observační lůžko častěji než pacienti nespádoví</w:t>
      </w:r>
      <w:r w:rsidRPr="008A54C1">
        <w:rPr>
          <w:lang w:eastAsia="sk-SK"/>
        </w:rPr>
        <w:t>. V roce 2023 tento trend zůstal zachován, avšak rozdíly se mírně zúžily.</w:t>
      </w:r>
    </w:p>
    <w:p w14:paraId="6040FCDE" w14:textId="364DD81D" w:rsidR="00C46A44" w:rsidRDefault="00C46A44" w:rsidP="00C46A44">
      <w:pPr>
        <w:pStyle w:val="Titulektabulky"/>
      </w:pPr>
      <w:bookmarkStart w:id="57" w:name="_Toc195517147"/>
      <w:r w:rsidRPr="003656E6">
        <w:lastRenderedPageBreak/>
        <w:t xml:space="preserve">Tab. </w:t>
      </w:r>
      <w:fldSimple w:instr=" SEQ Tab. \* ARABIC ">
        <w:r w:rsidR="00040739">
          <w:rPr>
            <w:noProof/>
          </w:rPr>
          <w:t>22</w:t>
        </w:r>
      </w:fldSimple>
      <w:r w:rsidRPr="003656E6">
        <w:t>: Závislost mezi pohlavím pacienta ve věku 75 a více let a jeho trajektorií na NUP FN Brno – rok 2019 (řádková %; N=</w:t>
      </w:r>
      <w:r w:rsidR="00815FFA" w:rsidRPr="003656E6">
        <w:t>509</w:t>
      </w:r>
      <w:r w:rsidR="00747148" w:rsidRPr="003656E6">
        <w:t>; *N=508</w:t>
      </w:r>
      <w:r w:rsidR="00F35186">
        <w:t xml:space="preserve">; </w:t>
      </w:r>
      <w:r w:rsidR="00F35186" w:rsidRPr="004414BF">
        <w:t>*</w:t>
      </w:r>
      <w:r w:rsidR="004414BF" w:rsidRPr="004414BF">
        <w:t>*</w:t>
      </w:r>
      <w:r w:rsidR="00F35186">
        <w:t xml:space="preserve">N=1 107; </w:t>
      </w:r>
      <w:r w:rsidR="007568E2" w:rsidRPr="003B1C2D">
        <w:t>**</w:t>
      </w:r>
      <w:r w:rsidR="003B1C2D" w:rsidRPr="003B1C2D">
        <w:t>*</w:t>
      </w:r>
      <w:r w:rsidR="00F35186">
        <w:t>N=</w:t>
      </w:r>
      <w:r w:rsidR="007568E2">
        <w:t>1 100</w:t>
      </w:r>
      <w:r w:rsidRPr="003656E6">
        <w:t>)</w:t>
      </w:r>
      <w:bookmarkEnd w:id="57"/>
    </w:p>
    <w:tbl>
      <w:tblPr>
        <w:tblW w:w="12469" w:type="dxa"/>
        <w:tblCellMar>
          <w:left w:w="70" w:type="dxa"/>
          <w:right w:w="70" w:type="dxa"/>
        </w:tblCellMar>
        <w:tblLook w:val="04A0" w:firstRow="1" w:lastRow="0" w:firstColumn="1" w:lastColumn="0" w:noHBand="0" w:noVBand="1"/>
      </w:tblPr>
      <w:tblGrid>
        <w:gridCol w:w="2689"/>
        <w:gridCol w:w="2268"/>
        <w:gridCol w:w="1559"/>
        <w:gridCol w:w="1559"/>
        <w:gridCol w:w="1559"/>
        <w:gridCol w:w="1418"/>
        <w:gridCol w:w="1417"/>
      </w:tblGrid>
      <w:tr w:rsidR="000C2063" w:rsidRPr="00FB1BB5" w14:paraId="6404769D" w14:textId="745BEC66" w:rsidTr="000C2063">
        <w:trPr>
          <w:trHeight w:val="308"/>
        </w:trPr>
        <w:tc>
          <w:tcPr>
            <w:tcW w:w="2689"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86C5875" w14:textId="77777777" w:rsidR="00FA06B0" w:rsidRPr="00FB1BB5" w:rsidRDefault="00FA06B0" w:rsidP="00FB1BB5">
            <w:pPr>
              <w:jc w:val="center"/>
              <w:rPr>
                <w:rFonts w:ascii="Arial" w:hAnsi="Arial" w:cs="Arial"/>
                <w:b/>
                <w:bCs/>
                <w:color w:val="000000"/>
              </w:rPr>
            </w:pPr>
            <w:r w:rsidRPr="00FB1BB5">
              <w:rPr>
                <w:rFonts w:ascii="Arial" w:hAnsi="Arial" w:cs="Arial"/>
                <w:b/>
                <w:bCs/>
                <w:color w:val="000000"/>
              </w:rPr>
              <w:t>Proměnná</w:t>
            </w:r>
          </w:p>
        </w:tc>
        <w:tc>
          <w:tcPr>
            <w:tcW w:w="2268" w:type="dxa"/>
            <w:tcBorders>
              <w:top w:val="single" w:sz="4" w:space="0" w:color="auto"/>
              <w:left w:val="nil"/>
              <w:bottom w:val="single" w:sz="4" w:space="0" w:color="auto"/>
              <w:right w:val="single" w:sz="4" w:space="0" w:color="auto"/>
            </w:tcBorders>
            <w:shd w:val="clear" w:color="000000" w:fill="DDEBF7"/>
            <w:noWrap/>
            <w:vAlign w:val="center"/>
            <w:hideMark/>
          </w:tcPr>
          <w:p w14:paraId="5F8A3C98" w14:textId="77777777" w:rsidR="00FA06B0" w:rsidRPr="00FB1BB5" w:rsidRDefault="00FA06B0" w:rsidP="00FB1BB5">
            <w:pPr>
              <w:jc w:val="center"/>
              <w:rPr>
                <w:rFonts w:ascii="Arial" w:hAnsi="Arial" w:cs="Arial"/>
                <w:b/>
                <w:bCs/>
                <w:color w:val="000000"/>
              </w:rPr>
            </w:pPr>
            <w:r w:rsidRPr="00FB1BB5">
              <w:rPr>
                <w:rFonts w:ascii="Arial" w:hAnsi="Arial" w:cs="Arial"/>
                <w:b/>
                <w:bCs/>
                <w:color w:val="000000"/>
              </w:rPr>
              <w:t>Výsledek</w:t>
            </w:r>
          </w:p>
        </w:tc>
        <w:tc>
          <w:tcPr>
            <w:tcW w:w="1559" w:type="dxa"/>
            <w:tcBorders>
              <w:top w:val="single" w:sz="4" w:space="0" w:color="auto"/>
              <w:left w:val="nil"/>
              <w:bottom w:val="single" w:sz="4" w:space="0" w:color="auto"/>
              <w:right w:val="single" w:sz="4" w:space="0" w:color="000000"/>
            </w:tcBorders>
            <w:shd w:val="clear" w:color="000000" w:fill="DDEBF7"/>
            <w:noWrap/>
            <w:vAlign w:val="center"/>
            <w:hideMark/>
          </w:tcPr>
          <w:p w14:paraId="554386FB" w14:textId="77777777" w:rsidR="00FA06B0" w:rsidRPr="00FB1BB5" w:rsidRDefault="00FA06B0" w:rsidP="00FB1BB5">
            <w:pPr>
              <w:jc w:val="center"/>
              <w:rPr>
                <w:rFonts w:ascii="Arial" w:hAnsi="Arial" w:cs="Arial"/>
                <w:b/>
                <w:bCs/>
                <w:color w:val="000000"/>
              </w:rPr>
            </w:pPr>
            <w:r w:rsidRPr="00FB1BB5">
              <w:rPr>
                <w:rFonts w:ascii="Arial" w:hAnsi="Arial" w:cs="Arial"/>
                <w:b/>
                <w:bCs/>
                <w:color w:val="000000"/>
              </w:rPr>
              <w:t>Muži</w:t>
            </w:r>
          </w:p>
        </w:tc>
        <w:tc>
          <w:tcPr>
            <w:tcW w:w="1559" w:type="dxa"/>
            <w:tcBorders>
              <w:top w:val="single" w:sz="4" w:space="0" w:color="auto"/>
              <w:left w:val="nil"/>
              <w:bottom w:val="single" w:sz="4" w:space="0" w:color="auto"/>
              <w:right w:val="single" w:sz="4" w:space="0" w:color="000000"/>
            </w:tcBorders>
            <w:shd w:val="clear" w:color="000000" w:fill="DDEBF7"/>
            <w:noWrap/>
            <w:vAlign w:val="center"/>
            <w:hideMark/>
          </w:tcPr>
          <w:p w14:paraId="1A9E3D60" w14:textId="77777777" w:rsidR="00FA06B0" w:rsidRPr="00FB1BB5" w:rsidRDefault="00FA06B0" w:rsidP="00FB1BB5">
            <w:pPr>
              <w:jc w:val="center"/>
              <w:rPr>
                <w:rFonts w:ascii="Arial" w:hAnsi="Arial" w:cs="Arial"/>
                <w:b/>
                <w:bCs/>
                <w:color w:val="000000"/>
              </w:rPr>
            </w:pPr>
            <w:r w:rsidRPr="00FB1BB5">
              <w:rPr>
                <w:rFonts w:ascii="Arial" w:hAnsi="Arial" w:cs="Arial"/>
                <w:b/>
                <w:bCs/>
                <w:color w:val="000000"/>
              </w:rPr>
              <w:t>Ženy</w:t>
            </w:r>
          </w:p>
        </w:tc>
        <w:tc>
          <w:tcPr>
            <w:tcW w:w="1559" w:type="dxa"/>
            <w:tcBorders>
              <w:top w:val="single" w:sz="4" w:space="0" w:color="auto"/>
              <w:left w:val="nil"/>
              <w:bottom w:val="single" w:sz="4" w:space="0" w:color="auto"/>
              <w:right w:val="single" w:sz="4" w:space="0" w:color="000000"/>
            </w:tcBorders>
            <w:shd w:val="clear" w:color="000000" w:fill="DDEBF7"/>
            <w:noWrap/>
            <w:vAlign w:val="center"/>
            <w:hideMark/>
          </w:tcPr>
          <w:p w14:paraId="43A55ED2" w14:textId="77777777" w:rsidR="00FA06B0" w:rsidRPr="00FB1BB5" w:rsidRDefault="00FA06B0" w:rsidP="00FB1BB5">
            <w:pPr>
              <w:jc w:val="center"/>
              <w:rPr>
                <w:rFonts w:ascii="Arial" w:hAnsi="Arial" w:cs="Arial"/>
                <w:b/>
                <w:bCs/>
                <w:color w:val="000000"/>
              </w:rPr>
            </w:pPr>
            <w:r w:rsidRPr="00FB1BB5">
              <w:rPr>
                <w:rFonts w:ascii="Arial" w:hAnsi="Arial" w:cs="Arial"/>
                <w:b/>
                <w:bCs/>
                <w:color w:val="000000"/>
              </w:rPr>
              <w:t>Celkem</w:t>
            </w:r>
          </w:p>
        </w:tc>
        <w:tc>
          <w:tcPr>
            <w:tcW w:w="1418" w:type="dxa"/>
            <w:tcBorders>
              <w:top w:val="single" w:sz="4" w:space="0" w:color="auto"/>
              <w:left w:val="nil"/>
              <w:bottom w:val="single" w:sz="4" w:space="0" w:color="auto"/>
              <w:right w:val="single" w:sz="4" w:space="0" w:color="auto"/>
            </w:tcBorders>
            <w:shd w:val="clear" w:color="000000" w:fill="DDEBF7"/>
            <w:noWrap/>
            <w:vAlign w:val="center"/>
            <w:hideMark/>
          </w:tcPr>
          <w:p w14:paraId="3A337B0D" w14:textId="193F2D65" w:rsidR="00FA06B0" w:rsidRPr="00FB1BB5" w:rsidRDefault="00FA06B0" w:rsidP="00FB1BB5">
            <w:pPr>
              <w:jc w:val="center"/>
              <w:rPr>
                <w:rFonts w:ascii="Arial" w:hAnsi="Arial" w:cs="Arial"/>
                <w:b/>
                <w:bCs/>
                <w:color w:val="000000"/>
              </w:rPr>
            </w:pPr>
            <w:r>
              <w:rPr>
                <w:rFonts w:ascii="Arial" w:hAnsi="Arial" w:cs="Arial"/>
                <w:b/>
                <w:bCs/>
                <w:color w:val="000000"/>
              </w:rPr>
              <w:t>p</w:t>
            </w:r>
            <w:r w:rsidRPr="00FB1BB5">
              <w:rPr>
                <w:rFonts w:ascii="Arial" w:hAnsi="Arial" w:cs="Arial"/>
                <w:b/>
                <w:bCs/>
                <w:color w:val="000000"/>
              </w:rPr>
              <w:t>-hodnota</w:t>
            </w:r>
          </w:p>
        </w:tc>
        <w:tc>
          <w:tcPr>
            <w:tcW w:w="1417" w:type="dxa"/>
            <w:tcBorders>
              <w:top w:val="single" w:sz="4" w:space="0" w:color="auto"/>
              <w:left w:val="nil"/>
              <w:bottom w:val="single" w:sz="4" w:space="0" w:color="auto"/>
              <w:right w:val="single" w:sz="4" w:space="0" w:color="auto"/>
            </w:tcBorders>
            <w:shd w:val="clear" w:color="000000" w:fill="DDEBF7"/>
          </w:tcPr>
          <w:p w14:paraId="028DA332" w14:textId="5167A812" w:rsidR="009A58D4" w:rsidRDefault="00525C64" w:rsidP="00FB1BB5">
            <w:pPr>
              <w:jc w:val="center"/>
              <w:rPr>
                <w:rFonts w:ascii="Arial" w:hAnsi="Arial" w:cs="Arial"/>
                <w:b/>
                <w:bCs/>
                <w:color w:val="000000"/>
              </w:rPr>
            </w:pPr>
            <w:r>
              <w:rPr>
                <w:rFonts w:ascii="Arial" w:hAnsi="Arial" w:cs="Arial"/>
                <w:b/>
                <w:bCs/>
                <w:color w:val="000000"/>
              </w:rPr>
              <w:t>p-hodnota</w:t>
            </w:r>
          </w:p>
          <w:p w14:paraId="05890616" w14:textId="5DC92963" w:rsidR="00FA06B0" w:rsidRDefault="00525C64" w:rsidP="00FB1BB5">
            <w:pPr>
              <w:jc w:val="center"/>
              <w:rPr>
                <w:rFonts w:ascii="Arial" w:hAnsi="Arial" w:cs="Arial"/>
                <w:b/>
                <w:bCs/>
                <w:color w:val="000000"/>
              </w:rPr>
            </w:pPr>
            <w:r>
              <w:rPr>
                <w:rFonts w:ascii="Arial" w:hAnsi="Arial" w:cs="Arial"/>
                <w:b/>
                <w:bCs/>
                <w:color w:val="000000"/>
              </w:rPr>
              <w:t>rozdílu</w:t>
            </w:r>
          </w:p>
        </w:tc>
      </w:tr>
      <w:tr w:rsidR="000C2063" w:rsidRPr="00FB1BB5" w14:paraId="77EA4C4A" w14:textId="6C302C0C" w:rsidTr="000C2063">
        <w:trPr>
          <w:trHeight w:val="397"/>
        </w:trPr>
        <w:tc>
          <w:tcPr>
            <w:tcW w:w="2689" w:type="dxa"/>
            <w:vMerge w:val="restart"/>
            <w:tcBorders>
              <w:top w:val="nil"/>
              <w:left w:val="single" w:sz="4" w:space="0" w:color="auto"/>
              <w:right w:val="single" w:sz="4" w:space="0" w:color="auto"/>
            </w:tcBorders>
            <w:shd w:val="clear" w:color="auto" w:fill="auto"/>
            <w:vAlign w:val="center"/>
          </w:tcPr>
          <w:p w14:paraId="69204FE3" w14:textId="3B6EE4DB" w:rsidR="001A1302" w:rsidRDefault="001E534A" w:rsidP="000C2063">
            <w:pPr>
              <w:jc w:val="center"/>
              <w:rPr>
                <w:rFonts w:ascii="Arial" w:hAnsi="Arial" w:cs="Arial"/>
                <w:color w:val="000000"/>
              </w:rPr>
            </w:pPr>
            <w:r>
              <w:rPr>
                <w:rFonts w:ascii="Arial" w:hAnsi="Arial" w:cs="Arial"/>
                <w:color w:val="000000"/>
              </w:rPr>
              <w:t>Způsob</w:t>
            </w:r>
            <w:r w:rsidR="000C2063">
              <w:rPr>
                <w:rFonts w:ascii="Arial" w:hAnsi="Arial" w:cs="Arial"/>
                <w:color w:val="000000"/>
              </w:rPr>
              <w:t xml:space="preserve"> </w:t>
            </w:r>
            <w:r w:rsidR="001A1302">
              <w:rPr>
                <w:rFonts w:ascii="Arial" w:hAnsi="Arial" w:cs="Arial"/>
                <w:color w:val="000000"/>
              </w:rPr>
              <w:t>d</w:t>
            </w:r>
            <w:r>
              <w:rPr>
                <w:rFonts w:ascii="Arial" w:hAnsi="Arial" w:cs="Arial"/>
                <w:color w:val="000000"/>
              </w:rPr>
              <w:t>opravy</w:t>
            </w:r>
          </w:p>
          <w:p w14:paraId="465884D6" w14:textId="4E3BD9D3" w:rsidR="001E534A" w:rsidRPr="00FB1BB5" w:rsidRDefault="001E534A" w:rsidP="00FC2F59">
            <w:pPr>
              <w:jc w:val="center"/>
              <w:rPr>
                <w:rFonts w:ascii="Arial" w:hAnsi="Arial" w:cs="Arial"/>
                <w:color w:val="000000"/>
              </w:rPr>
            </w:pPr>
            <w:r>
              <w:rPr>
                <w:rFonts w:ascii="Arial" w:hAnsi="Arial" w:cs="Arial"/>
                <w:color w:val="000000"/>
              </w:rPr>
              <w:t>k ošetření</w:t>
            </w:r>
          </w:p>
        </w:tc>
        <w:tc>
          <w:tcPr>
            <w:tcW w:w="2268" w:type="dxa"/>
            <w:tcBorders>
              <w:top w:val="nil"/>
              <w:left w:val="nil"/>
              <w:bottom w:val="single" w:sz="4" w:space="0" w:color="auto"/>
              <w:right w:val="single" w:sz="4" w:space="0" w:color="auto"/>
            </w:tcBorders>
            <w:shd w:val="clear" w:color="auto" w:fill="auto"/>
            <w:noWrap/>
            <w:vAlign w:val="center"/>
          </w:tcPr>
          <w:p w14:paraId="4CECE19B" w14:textId="3B2BF572" w:rsidR="001E534A" w:rsidRPr="00FB1BB5" w:rsidRDefault="001E534A" w:rsidP="00FC2F59">
            <w:pPr>
              <w:jc w:val="center"/>
              <w:rPr>
                <w:rFonts w:ascii="Arial" w:hAnsi="Arial" w:cs="Arial"/>
                <w:color w:val="000000"/>
              </w:rPr>
            </w:pPr>
            <w:r w:rsidRPr="00556E50">
              <w:rPr>
                <w:rFonts w:ascii="Arial" w:hAnsi="Arial" w:cs="Arial"/>
                <w:color w:val="000000"/>
              </w:rPr>
              <w:t>ZZS</w:t>
            </w:r>
          </w:p>
        </w:tc>
        <w:tc>
          <w:tcPr>
            <w:tcW w:w="1559" w:type="dxa"/>
            <w:tcBorders>
              <w:top w:val="single" w:sz="4" w:space="0" w:color="333333"/>
              <w:left w:val="nil"/>
              <w:bottom w:val="single" w:sz="4" w:space="0" w:color="333333"/>
              <w:right w:val="single" w:sz="4" w:space="0" w:color="333399"/>
            </w:tcBorders>
            <w:shd w:val="clear" w:color="000000" w:fill="FFFFFF"/>
            <w:noWrap/>
            <w:vAlign w:val="center"/>
          </w:tcPr>
          <w:p w14:paraId="3697C54F" w14:textId="0532E25A" w:rsidR="001E534A" w:rsidRPr="00FB1BB5" w:rsidRDefault="001E534A" w:rsidP="00384B44">
            <w:pPr>
              <w:jc w:val="center"/>
              <w:rPr>
                <w:rFonts w:ascii="Arial" w:hAnsi="Arial" w:cs="Arial"/>
                <w:color w:val="000000"/>
              </w:rPr>
            </w:pPr>
            <w:r>
              <w:rPr>
                <w:rFonts w:ascii="Arial" w:hAnsi="Arial" w:cs="Arial"/>
                <w:color w:val="000000"/>
              </w:rPr>
              <w:t>77 (44,5 %)</w:t>
            </w:r>
          </w:p>
        </w:tc>
        <w:tc>
          <w:tcPr>
            <w:tcW w:w="1559" w:type="dxa"/>
            <w:tcBorders>
              <w:top w:val="single" w:sz="4" w:space="0" w:color="333333"/>
              <w:left w:val="nil"/>
              <w:bottom w:val="single" w:sz="4" w:space="0" w:color="333333"/>
              <w:right w:val="single" w:sz="4" w:space="0" w:color="333399"/>
            </w:tcBorders>
            <w:shd w:val="clear" w:color="000000" w:fill="FFFFFF"/>
            <w:noWrap/>
            <w:vAlign w:val="center"/>
          </w:tcPr>
          <w:p w14:paraId="777944E8" w14:textId="4D79A079" w:rsidR="001E534A" w:rsidRPr="00FB1BB5" w:rsidRDefault="001E534A" w:rsidP="003F7A4D">
            <w:pPr>
              <w:jc w:val="center"/>
              <w:rPr>
                <w:rFonts w:ascii="Arial" w:hAnsi="Arial" w:cs="Arial"/>
                <w:color w:val="000000"/>
              </w:rPr>
            </w:pPr>
            <w:r>
              <w:rPr>
                <w:rFonts w:ascii="Arial" w:hAnsi="Arial" w:cs="Arial"/>
                <w:color w:val="000000"/>
              </w:rPr>
              <w:t>111 (33,0 %)</w:t>
            </w:r>
          </w:p>
        </w:tc>
        <w:tc>
          <w:tcPr>
            <w:tcW w:w="1559" w:type="dxa"/>
            <w:tcBorders>
              <w:top w:val="single" w:sz="4" w:space="0" w:color="333333"/>
              <w:left w:val="nil"/>
              <w:bottom w:val="single" w:sz="4" w:space="0" w:color="333333"/>
              <w:right w:val="single" w:sz="4" w:space="0" w:color="333399"/>
            </w:tcBorders>
            <w:shd w:val="clear" w:color="000000" w:fill="FFFFFF"/>
            <w:noWrap/>
            <w:vAlign w:val="center"/>
          </w:tcPr>
          <w:p w14:paraId="025576FD" w14:textId="49AA6CA8" w:rsidR="001E534A" w:rsidRPr="00FB1BB5" w:rsidRDefault="001E534A" w:rsidP="00B77AFE">
            <w:pPr>
              <w:jc w:val="center"/>
              <w:rPr>
                <w:rFonts w:ascii="Arial" w:hAnsi="Arial" w:cs="Arial"/>
                <w:color w:val="000000"/>
              </w:rPr>
            </w:pPr>
            <w:r>
              <w:rPr>
                <w:rFonts w:ascii="Arial" w:hAnsi="Arial" w:cs="Arial"/>
                <w:color w:val="000000"/>
              </w:rPr>
              <w:t>188 (36,9 %)</w:t>
            </w:r>
          </w:p>
        </w:tc>
        <w:tc>
          <w:tcPr>
            <w:tcW w:w="1418" w:type="dxa"/>
            <w:vMerge w:val="restart"/>
            <w:tcBorders>
              <w:top w:val="nil"/>
              <w:left w:val="single" w:sz="4" w:space="0" w:color="auto"/>
              <w:right w:val="single" w:sz="4" w:space="0" w:color="auto"/>
            </w:tcBorders>
            <w:shd w:val="clear" w:color="auto" w:fill="auto"/>
            <w:noWrap/>
            <w:vAlign w:val="center"/>
          </w:tcPr>
          <w:p w14:paraId="23C28162" w14:textId="256763C2" w:rsidR="001E534A" w:rsidRPr="00FB1BB5" w:rsidRDefault="0047709E" w:rsidP="00FC2F59">
            <w:pPr>
              <w:jc w:val="center"/>
              <w:rPr>
                <w:rFonts w:ascii="Arial" w:hAnsi="Arial" w:cs="Arial"/>
                <w:color w:val="000000"/>
              </w:rPr>
            </w:pPr>
            <w:r>
              <w:rPr>
                <w:rFonts w:ascii="Arial" w:hAnsi="Arial" w:cs="Arial"/>
                <w:color w:val="000000"/>
              </w:rPr>
              <w:t xml:space="preserve">* </w:t>
            </w:r>
            <w:r w:rsidR="001E534A">
              <w:rPr>
                <w:rFonts w:ascii="Arial" w:hAnsi="Arial" w:cs="Arial"/>
                <w:color w:val="000000"/>
              </w:rPr>
              <w:t>0,547</w:t>
            </w:r>
          </w:p>
        </w:tc>
        <w:tc>
          <w:tcPr>
            <w:tcW w:w="1417" w:type="dxa"/>
            <w:vMerge w:val="restart"/>
            <w:tcBorders>
              <w:top w:val="nil"/>
              <w:left w:val="single" w:sz="4" w:space="0" w:color="auto"/>
              <w:right w:val="single" w:sz="4" w:space="0" w:color="auto"/>
            </w:tcBorders>
            <w:vAlign w:val="center"/>
          </w:tcPr>
          <w:p w14:paraId="0F16C8CA" w14:textId="1A851237" w:rsidR="001E534A" w:rsidRDefault="007568E2" w:rsidP="001E534A">
            <w:pPr>
              <w:jc w:val="center"/>
              <w:rPr>
                <w:rFonts w:ascii="Arial" w:hAnsi="Arial" w:cs="Arial"/>
                <w:color w:val="000000"/>
              </w:rPr>
            </w:pPr>
            <w:r w:rsidRPr="003B1C2D">
              <w:rPr>
                <w:rFonts w:ascii="Arial" w:hAnsi="Arial" w:cs="Arial"/>
              </w:rPr>
              <w:t>**</w:t>
            </w:r>
            <w:r w:rsidR="003B1C2D" w:rsidRPr="003B1C2D">
              <w:rPr>
                <w:rFonts w:ascii="Arial" w:hAnsi="Arial" w:cs="Arial"/>
              </w:rPr>
              <w:t>*</w:t>
            </w:r>
            <w:r>
              <w:rPr>
                <w:rFonts w:ascii="Arial" w:hAnsi="Arial" w:cs="Arial"/>
                <w:color w:val="000000"/>
              </w:rPr>
              <w:t xml:space="preserve"> </w:t>
            </w:r>
            <w:r w:rsidR="001E534A">
              <w:rPr>
                <w:rFonts w:ascii="Arial" w:hAnsi="Arial" w:cs="Arial"/>
                <w:color w:val="000000"/>
              </w:rPr>
              <w:t>0,568</w:t>
            </w:r>
          </w:p>
        </w:tc>
      </w:tr>
      <w:tr w:rsidR="000C2063" w:rsidRPr="00FB1BB5" w14:paraId="2DF035D8" w14:textId="63716AF3" w:rsidTr="000C2063">
        <w:trPr>
          <w:trHeight w:val="397"/>
        </w:trPr>
        <w:tc>
          <w:tcPr>
            <w:tcW w:w="2689" w:type="dxa"/>
            <w:vMerge/>
            <w:tcBorders>
              <w:left w:val="single" w:sz="4" w:space="0" w:color="auto"/>
              <w:right w:val="single" w:sz="4" w:space="0" w:color="auto"/>
            </w:tcBorders>
            <w:shd w:val="clear" w:color="auto" w:fill="auto"/>
            <w:vAlign w:val="center"/>
          </w:tcPr>
          <w:p w14:paraId="5CAB3CA0" w14:textId="77777777" w:rsidR="001E534A" w:rsidRPr="00FB1BB5" w:rsidRDefault="001E534A" w:rsidP="00FC2F59">
            <w:pPr>
              <w:jc w:val="center"/>
              <w:rPr>
                <w:rFonts w:ascii="Arial" w:hAnsi="Arial" w:cs="Arial"/>
                <w:color w:val="000000"/>
              </w:rPr>
            </w:pPr>
          </w:p>
        </w:tc>
        <w:tc>
          <w:tcPr>
            <w:tcW w:w="2268" w:type="dxa"/>
            <w:tcBorders>
              <w:top w:val="nil"/>
              <w:left w:val="nil"/>
              <w:bottom w:val="single" w:sz="4" w:space="0" w:color="auto"/>
              <w:right w:val="single" w:sz="4" w:space="0" w:color="auto"/>
            </w:tcBorders>
            <w:shd w:val="clear" w:color="auto" w:fill="auto"/>
            <w:noWrap/>
            <w:vAlign w:val="center"/>
          </w:tcPr>
          <w:p w14:paraId="2073F08E" w14:textId="77777777" w:rsidR="001E534A" w:rsidRDefault="001E534A" w:rsidP="00FC2F59">
            <w:pPr>
              <w:jc w:val="center"/>
              <w:rPr>
                <w:rFonts w:ascii="Arial" w:hAnsi="Arial" w:cs="Arial"/>
                <w:color w:val="000000"/>
              </w:rPr>
            </w:pPr>
            <w:r w:rsidRPr="00556E50">
              <w:rPr>
                <w:rFonts w:ascii="Arial" w:hAnsi="Arial" w:cs="Arial"/>
                <w:color w:val="000000"/>
              </w:rPr>
              <w:t>Sám(a)/</w:t>
            </w:r>
          </w:p>
          <w:p w14:paraId="3041B23F" w14:textId="1AE03EC5" w:rsidR="001E534A" w:rsidRPr="00FB1BB5" w:rsidRDefault="001E534A" w:rsidP="00FC2F59">
            <w:pPr>
              <w:jc w:val="center"/>
              <w:rPr>
                <w:rFonts w:ascii="Arial" w:hAnsi="Arial" w:cs="Arial"/>
                <w:color w:val="000000"/>
              </w:rPr>
            </w:pPr>
            <w:r w:rsidRPr="00556E50">
              <w:rPr>
                <w:rFonts w:ascii="Arial" w:hAnsi="Arial" w:cs="Arial"/>
                <w:color w:val="000000"/>
              </w:rPr>
              <w:t>doprovod</w:t>
            </w:r>
          </w:p>
        </w:tc>
        <w:tc>
          <w:tcPr>
            <w:tcW w:w="1559" w:type="dxa"/>
            <w:tcBorders>
              <w:top w:val="single" w:sz="4" w:space="0" w:color="333333"/>
              <w:left w:val="nil"/>
              <w:bottom w:val="single" w:sz="4" w:space="0" w:color="333333"/>
              <w:right w:val="single" w:sz="4" w:space="0" w:color="333399"/>
            </w:tcBorders>
            <w:shd w:val="clear" w:color="000000" w:fill="FFFFFF"/>
            <w:noWrap/>
            <w:vAlign w:val="center"/>
          </w:tcPr>
          <w:p w14:paraId="635FF8D8" w14:textId="0D5759A6" w:rsidR="001E534A" w:rsidRPr="00FB1BB5" w:rsidRDefault="001E534A" w:rsidP="009952D1">
            <w:pPr>
              <w:jc w:val="center"/>
              <w:rPr>
                <w:rFonts w:ascii="Arial" w:hAnsi="Arial" w:cs="Arial"/>
                <w:color w:val="000000"/>
              </w:rPr>
            </w:pPr>
            <w:r>
              <w:rPr>
                <w:rFonts w:ascii="Arial" w:hAnsi="Arial" w:cs="Arial"/>
                <w:color w:val="000000"/>
              </w:rPr>
              <w:t>37 (21,4 %)</w:t>
            </w:r>
          </w:p>
        </w:tc>
        <w:tc>
          <w:tcPr>
            <w:tcW w:w="1559" w:type="dxa"/>
            <w:tcBorders>
              <w:top w:val="single" w:sz="4" w:space="0" w:color="333333"/>
              <w:left w:val="nil"/>
              <w:bottom w:val="single" w:sz="4" w:space="0" w:color="333333"/>
              <w:right w:val="single" w:sz="4" w:space="0" w:color="333399"/>
            </w:tcBorders>
            <w:shd w:val="clear" w:color="000000" w:fill="FFFFFF"/>
            <w:noWrap/>
            <w:vAlign w:val="center"/>
          </w:tcPr>
          <w:p w14:paraId="73DA6E20" w14:textId="77573B9C" w:rsidR="001E534A" w:rsidRPr="00FB1BB5" w:rsidRDefault="001E534A" w:rsidP="003F7A4D">
            <w:pPr>
              <w:jc w:val="center"/>
              <w:rPr>
                <w:rFonts w:ascii="Arial" w:hAnsi="Arial" w:cs="Arial"/>
                <w:color w:val="000000"/>
              </w:rPr>
            </w:pPr>
            <w:r>
              <w:rPr>
                <w:rFonts w:ascii="Arial" w:hAnsi="Arial" w:cs="Arial"/>
                <w:color w:val="000000"/>
              </w:rPr>
              <w:t>92 (27,4 %)</w:t>
            </w:r>
          </w:p>
        </w:tc>
        <w:tc>
          <w:tcPr>
            <w:tcW w:w="1559" w:type="dxa"/>
            <w:tcBorders>
              <w:top w:val="single" w:sz="4" w:space="0" w:color="333333"/>
              <w:left w:val="nil"/>
              <w:bottom w:val="single" w:sz="4" w:space="0" w:color="333333"/>
              <w:right w:val="single" w:sz="4" w:space="0" w:color="333399"/>
            </w:tcBorders>
            <w:shd w:val="clear" w:color="000000" w:fill="FFFFFF"/>
            <w:noWrap/>
            <w:vAlign w:val="center"/>
          </w:tcPr>
          <w:p w14:paraId="1DBFC4E7" w14:textId="33C97BEA" w:rsidR="001E534A" w:rsidRPr="00FB1BB5" w:rsidRDefault="001E534A" w:rsidP="00B77AFE">
            <w:pPr>
              <w:jc w:val="center"/>
              <w:rPr>
                <w:rFonts w:ascii="Arial" w:hAnsi="Arial" w:cs="Arial"/>
                <w:color w:val="000000"/>
              </w:rPr>
            </w:pPr>
            <w:r>
              <w:rPr>
                <w:rFonts w:ascii="Arial" w:hAnsi="Arial" w:cs="Arial"/>
                <w:color w:val="000000"/>
              </w:rPr>
              <w:t>129 (25,3 %)</w:t>
            </w:r>
          </w:p>
        </w:tc>
        <w:tc>
          <w:tcPr>
            <w:tcW w:w="1418" w:type="dxa"/>
            <w:vMerge/>
            <w:tcBorders>
              <w:left w:val="single" w:sz="4" w:space="0" w:color="auto"/>
              <w:right w:val="single" w:sz="4" w:space="0" w:color="auto"/>
            </w:tcBorders>
            <w:shd w:val="clear" w:color="auto" w:fill="auto"/>
            <w:noWrap/>
            <w:vAlign w:val="center"/>
          </w:tcPr>
          <w:p w14:paraId="60F18E62" w14:textId="77777777" w:rsidR="001E534A" w:rsidRPr="00FB1BB5" w:rsidRDefault="001E534A" w:rsidP="00FC2F59">
            <w:pPr>
              <w:jc w:val="center"/>
              <w:rPr>
                <w:rFonts w:ascii="Arial" w:hAnsi="Arial" w:cs="Arial"/>
                <w:color w:val="000000"/>
              </w:rPr>
            </w:pPr>
          </w:p>
        </w:tc>
        <w:tc>
          <w:tcPr>
            <w:tcW w:w="1417" w:type="dxa"/>
            <w:vMerge/>
            <w:tcBorders>
              <w:left w:val="single" w:sz="4" w:space="0" w:color="auto"/>
              <w:right w:val="single" w:sz="4" w:space="0" w:color="auto"/>
            </w:tcBorders>
            <w:vAlign w:val="center"/>
          </w:tcPr>
          <w:p w14:paraId="1120E284" w14:textId="1321BEA3" w:rsidR="001E534A" w:rsidRPr="00FB1BB5" w:rsidRDefault="001E534A" w:rsidP="001E534A">
            <w:pPr>
              <w:jc w:val="center"/>
              <w:rPr>
                <w:rFonts w:ascii="Arial" w:hAnsi="Arial" w:cs="Arial"/>
                <w:color w:val="000000"/>
              </w:rPr>
            </w:pPr>
          </w:p>
        </w:tc>
      </w:tr>
      <w:tr w:rsidR="000C2063" w:rsidRPr="00FB1BB5" w14:paraId="3ADC1CB0" w14:textId="5B4D4709" w:rsidTr="000C2063">
        <w:trPr>
          <w:trHeight w:val="397"/>
        </w:trPr>
        <w:tc>
          <w:tcPr>
            <w:tcW w:w="2689" w:type="dxa"/>
            <w:vMerge/>
            <w:tcBorders>
              <w:left w:val="single" w:sz="4" w:space="0" w:color="auto"/>
              <w:right w:val="single" w:sz="4" w:space="0" w:color="auto"/>
            </w:tcBorders>
            <w:shd w:val="clear" w:color="auto" w:fill="auto"/>
            <w:vAlign w:val="center"/>
          </w:tcPr>
          <w:p w14:paraId="729D870C" w14:textId="77777777" w:rsidR="001E534A" w:rsidRPr="00FB1BB5" w:rsidRDefault="001E534A" w:rsidP="00FC2F59">
            <w:pPr>
              <w:jc w:val="center"/>
              <w:rPr>
                <w:rFonts w:ascii="Arial" w:hAnsi="Arial" w:cs="Arial"/>
                <w:color w:val="000000"/>
              </w:rPr>
            </w:pPr>
          </w:p>
        </w:tc>
        <w:tc>
          <w:tcPr>
            <w:tcW w:w="2268" w:type="dxa"/>
            <w:tcBorders>
              <w:top w:val="nil"/>
              <w:left w:val="nil"/>
              <w:bottom w:val="single" w:sz="4" w:space="0" w:color="auto"/>
              <w:right w:val="single" w:sz="4" w:space="0" w:color="auto"/>
            </w:tcBorders>
            <w:shd w:val="clear" w:color="auto" w:fill="auto"/>
            <w:noWrap/>
            <w:vAlign w:val="center"/>
          </w:tcPr>
          <w:p w14:paraId="2052D790" w14:textId="27D4D479" w:rsidR="001E534A" w:rsidRPr="00FB1BB5" w:rsidRDefault="001E534A" w:rsidP="00FC2F59">
            <w:pPr>
              <w:jc w:val="center"/>
              <w:rPr>
                <w:rFonts w:ascii="Arial" w:hAnsi="Arial" w:cs="Arial"/>
                <w:color w:val="000000"/>
              </w:rPr>
            </w:pPr>
            <w:r w:rsidRPr="00556E50">
              <w:rPr>
                <w:rFonts w:ascii="Arial" w:hAnsi="Arial" w:cs="Arial"/>
                <w:color w:val="000000"/>
              </w:rPr>
              <w:t>ZDS</w:t>
            </w:r>
          </w:p>
        </w:tc>
        <w:tc>
          <w:tcPr>
            <w:tcW w:w="1559" w:type="dxa"/>
            <w:tcBorders>
              <w:top w:val="single" w:sz="4" w:space="0" w:color="333333"/>
              <w:left w:val="nil"/>
              <w:bottom w:val="single" w:sz="4" w:space="0" w:color="333333"/>
              <w:right w:val="single" w:sz="4" w:space="0" w:color="333399"/>
            </w:tcBorders>
            <w:shd w:val="clear" w:color="000000" w:fill="FFFFFF"/>
            <w:noWrap/>
            <w:vAlign w:val="center"/>
          </w:tcPr>
          <w:p w14:paraId="25248110" w14:textId="0AE63883" w:rsidR="001E534A" w:rsidRPr="00FB1BB5" w:rsidRDefault="001E534A" w:rsidP="009952D1">
            <w:pPr>
              <w:jc w:val="center"/>
              <w:rPr>
                <w:rFonts w:ascii="Arial" w:hAnsi="Arial" w:cs="Arial"/>
                <w:color w:val="000000"/>
              </w:rPr>
            </w:pPr>
            <w:r>
              <w:rPr>
                <w:rFonts w:ascii="Arial" w:hAnsi="Arial" w:cs="Arial"/>
                <w:color w:val="000000"/>
              </w:rPr>
              <w:t>36 (20,8 %)</w:t>
            </w:r>
          </w:p>
        </w:tc>
        <w:tc>
          <w:tcPr>
            <w:tcW w:w="1559" w:type="dxa"/>
            <w:tcBorders>
              <w:top w:val="single" w:sz="4" w:space="0" w:color="333333"/>
              <w:left w:val="nil"/>
              <w:bottom w:val="single" w:sz="4" w:space="0" w:color="333333"/>
              <w:right w:val="single" w:sz="4" w:space="0" w:color="333399"/>
            </w:tcBorders>
            <w:shd w:val="clear" w:color="000000" w:fill="FFFFFF"/>
            <w:noWrap/>
            <w:vAlign w:val="center"/>
          </w:tcPr>
          <w:p w14:paraId="0477FCD0" w14:textId="779C7D94" w:rsidR="001E534A" w:rsidRPr="00FB1BB5" w:rsidRDefault="001E534A" w:rsidP="003F7A4D">
            <w:pPr>
              <w:jc w:val="center"/>
              <w:rPr>
                <w:rFonts w:ascii="Arial" w:hAnsi="Arial" w:cs="Arial"/>
                <w:color w:val="000000"/>
              </w:rPr>
            </w:pPr>
            <w:r>
              <w:rPr>
                <w:rFonts w:ascii="Arial" w:hAnsi="Arial" w:cs="Arial"/>
                <w:color w:val="000000"/>
              </w:rPr>
              <w:t>73 (21,7 %)</w:t>
            </w:r>
          </w:p>
        </w:tc>
        <w:tc>
          <w:tcPr>
            <w:tcW w:w="1559" w:type="dxa"/>
            <w:tcBorders>
              <w:top w:val="single" w:sz="4" w:space="0" w:color="333333"/>
              <w:left w:val="nil"/>
              <w:bottom w:val="single" w:sz="4" w:space="0" w:color="333333"/>
              <w:right w:val="single" w:sz="4" w:space="0" w:color="333399"/>
            </w:tcBorders>
            <w:shd w:val="clear" w:color="000000" w:fill="FFFFFF"/>
            <w:noWrap/>
            <w:vAlign w:val="center"/>
          </w:tcPr>
          <w:p w14:paraId="0A2A5B4F" w14:textId="31E70CCC" w:rsidR="001E534A" w:rsidRPr="00FB1BB5" w:rsidRDefault="001E534A" w:rsidP="00C961C0">
            <w:pPr>
              <w:jc w:val="center"/>
              <w:rPr>
                <w:rFonts w:ascii="Arial" w:hAnsi="Arial" w:cs="Arial"/>
                <w:color w:val="000000"/>
              </w:rPr>
            </w:pPr>
            <w:r>
              <w:rPr>
                <w:rFonts w:ascii="Arial" w:hAnsi="Arial" w:cs="Arial"/>
                <w:color w:val="000000"/>
              </w:rPr>
              <w:t>109 (21,4 %)</w:t>
            </w:r>
          </w:p>
        </w:tc>
        <w:tc>
          <w:tcPr>
            <w:tcW w:w="1418" w:type="dxa"/>
            <w:vMerge/>
            <w:tcBorders>
              <w:left w:val="single" w:sz="4" w:space="0" w:color="auto"/>
              <w:right w:val="single" w:sz="4" w:space="0" w:color="auto"/>
            </w:tcBorders>
            <w:shd w:val="clear" w:color="auto" w:fill="auto"/>
            <w:noWrap/>
            <w:vAlign w:val="center"/>
          </w:tcPr>
          <w:p w14:paraId="15FD8B77" w14:textId="77777777" w:rsidR="001E534A" w:rsidRPr="00FB1BB5" w:rsidRDefault="001E534A" w:rsidP="00FC2F59">
            <w:pPr>
              <w:jc w:val="center"/>
              <w:rPr>
                <w:rFonts w:ascii="Arial" w:hAnsi="Arial" w:cs="Arial"/>
                <w:color w:val="000000"/>
              </w:rPr>
            </w:pPr>
          </w:p>
        </w:tc>
        <w:tc>
          <w:tcPr>
            <w:tcW w:w="1417" w:type="dxa"/>
            <w:vMerge/>
            <w:tcBorders>
              <w:left w:val="single" w:sz="4" w:space="0" w:color="auto"/>
              <w:right w:val="single" w:sz="4" w:space="0" w:color="auto"/>
            </w:tcBorders>
            <w:vAlign w:val="center"/>
          </w:tcPr>
          <w:p w14:paraId="3EAAF80A" w14:textId="77777777" w:rsidR="001E534A" w:rsidRPr="00FB1BB5" w:rsidRDefault="001E534A" w:rsidP="001E534A">
            <w:pPr>
              <w:jc w:val="center"/>
              <w:rPr>
                <w:rFonts w:ascii="Arial" w:hAnsi="Arial" w:cs="Arial"/>
                <w:color w:val="000000"/>
              </w:rPr>
            </w:pPr>
          </w:p>
        </w:tc>
      </w:tr>
      <w:tr w:rsidR="000C2063" w:rsidRPr="00FB1BB5" w14:paraId="1BC468DB" w14:textId="5BF8B1B9" w:rsidTr="000C2063">
        <w:trPr>
          <w:trHeight w:val="397"/>
        </w:trPr>
        <w:tc>
          <w:tcPr>
            <w:tcW w:w="2689" w:type="dxa"/>
            <w:vMerge/>
            <w:tcBorders>
              <w:left w:val="single" w:sz="4" w:space="0" w:color="auto"/>
              <w:bottom w:val="single" w:sz="4" w:space="0" w:color="auto"/>
              <w:right w:val="single" w:sz="4" w:space="0" w:color="auto"/>
            </w:tcBorders>
            <w:shd w:val="clear" w:color="auto" w:fill="auto"/>
            <w:vAlign w:val="center"/>
          </w:tcPr>
          <w:p w14:paraId="1BA86968" w14:textId="77777777" w:rsidR="001E534A" w:rsidRPr="00FB1BB5" w:rsidRDefault="001E534A" w:rsidP="00FC2F59">
            <w:pPr>
              <w:jc w:val="center"/>
              <w:rPr>
                <w:rFonts w:ascii="Arial" w:hAnsi="Arial" w:cs="Arial"/>
                <w:color w:val="000000"/>
              </w:rPr>
            </w:pPr>
          </w:p>
        </w:tc>
        <w:tc>
          <w:tcPr>
            <w:tcW w:w="2268" w:type="dxa"/>
            <w:tcBorders>
              <w:top w:val="nil"/>
              <w:left w:val="nil"/>
              <w:bottom w:val="single" w:sz="4" w:space="0" w:color="auto"/>
              <w:right w:val="single" w:sz="4" w:space="0" w:color="auto"/>
            </w:tcBorders>
            <w:shd w:val="clear" w:color="auto" w:fill="auto"/>
            <w:noWrap/>
            <w:vAlign w:val="center"/>
          </w:tcPr>
          <w:p w14:paraId="2AE7F5AF" w14:textId="77777777" w:rsidR="001E534A" w:rsidRDefault="001E534A" w:rsidP="00FC2F59">
            <w:pPr>
              <w:jc w:val="center"/>
              <w:rPr>
                <w:rFonts w:ascii="Arial" w:hAnsi="Arial" w:cs="Arial"/>
                <w:color w:val="000000"/>
              </w:rPr>
            </w:pPr>
            <w:r w:rsidRPr="00556E50">
              <w:rPr>
                <w:rFonts w:ascii="Arial" w:hAnsi="Arial" w:cs="Arial"/>
                <w:color w:val="000000"/>
              </w:rPr>
              <w:t>Konzilium/</w:t>
            </w:r>
          </w:p>
          <w:p w14:paraId="26E06DA9" w14:textId="1FC8F83E" w:rsidR="001E534A" w:rsidRPr="00FB1BB5" w:rsidRDefault="001E534A" w:rsidP="00FC2F59">
            <w:pPr>
              <w:jc w:val="center"/>
              <w:rPr>
                <w:rFonts w:ascii="Arial" w:hAnsi="Arial" w:cs="Arial"/>
                <w:color w:val="000000"/>
              </w:rPr>
            </w:pPr>
            <w:r w:rsidRPr="00556E50">
              <w:rPr>
                <w:rFonts w:ascii="Arial" w:hAnsi="Arial" w:cs="Arial"/>
                <w:color w:val="000000"/>
              </w:rPr>
              <w:t>předání</w:t>
            </w:r>
          </w:p>
        </w:tc>
        <w:tc>
          <w:tcPr>
            <w:tcW w:w="1559" w:type="dxa"/>
            <w:tcBorders>
              <w:top w:val="single" w:sz="4" w:space="0" w:color="333333"/>
              <w:left w:val="nil"/>
              <w:bottom w:val="single" w:sz="4" w:space="0" w:color="333333"/>
              <w:right w:val="single" w:sz="4" w:space="0" w:color="333399"/>
            </w:tcBorders>
            <w:shd w:val="clear" w:color="000000" w:fill="FFFFFF"/>
            <w:noWrap/>
            <w:vAlign w:val="center"/>
          </w:tcPr>
          <w:p w14:paraId="0ADBACB0" w14:textId="3B4E5C9F" w:rsidR="001E534A" w:rsidRPr="00FB1BB5" w:rsidRDefault="001E534A" w:rsidP="009952D1">
            <w:pPr>
              <w:jc w:val="center"/>
              <w:rPr>
                <w:rFonts w:ascii="Arial" w:hAnsi="Arial" w:cs="Arial"/>
                <w:color w:val="000000"/>
              </w:rPr>
            </w:pPr>
            <w:r>
              <w:rPr>
                <w:rFonts w:ascii="Arial" w:hAnsi="Arial" w:cs="Arial"/>
                <w:color w:val="000000"/>
              </w:rPr>
              <w:t>23 (13,3 %)</w:t>
            </w:r>
          </w:p>
        </w:tc>
        <w:tc>
          <w:tcPr>
            <w:tcW w:w="1559" w:type="dxa"/>
            <w:tcBorders>
              <w:top w:val="single" w:sz="4" w:space="0" w:color="333333"/>
              <w:left w:val="nil"/>
              <w:bottom w:val="single" w:sz="4" w:space="0" w:color="333333"/>
              <w:right w:val="single" w:sz="4" w:space="0" w:color="333399"/>
            </w:tcBorders>
            <w:shd w:val="clear" w:color="000000" w:fill="FFFFFF"/>
            <w:noWrap/>
            <w:vAlign w:val="center"/>
          </w:tcPr>
          <w:p w14:paraId="287C8992" w14:textId="1AB1AD5E" w:rsidR="001E534A" w:rsidRPr="00FB1BB5" w:rsidRDefault="001E534A" w:rsidP="00B77AFE">
            <w:pPr>
              <w:jc w:val="center"/>
              <w:rPr>
                <w:rFonts w:ascii="Arial" w:hAnsi="Arial" w:cs="Arial"/>
                <w:color w:val="000000"/>
              </w:rPr>
            </w:pPr>
            <w:r>
              <w:rPr>
                <w:rFonts w:ascii="Arial" w:hAnsi="Arial" w:cs="Arial"/>
                <w:color w:val="000000"/>
              </w:rPr>
              <w:t>60 (17,9 %)</w:t>
            </w:r>
          </w:p>
        </w:tc>
        <w:tc>
          <w:tcPr>
            <w:tcW w:w="1559" w:type="dxa"/>
            <w:tcBorders>
              <w:top w:val="single" w:sz="4" w:space="0" w:color="333333"/>
              <w:left w:val="nil"/>
              <w:bottom w:val="single" w:sz="4" w:space="0" w:color="333333"/>
              <w:right w:val="single" w:sz="4" w:space="0" w:color="333399"/>
            </w:tcBorders>
            <w:shd w:val="clear" w:color="000000" w:fill="FFFFFF"/>
            <w:noWrap/>
            <w:vAlign w:val="center"/>
          </w:tcPr>
          <w:p w14:paraId="4CB67144" w14:textId="3C21A6C9" w:rsidR="001E534A" w:rsidRPr="00FB1BB5" w:rsidRDefault="001E534A" w:rsidP="00C961C0">
            <w:pPr>
              <w:jc w:val="center"/>
              <w:rPr>
                <w:rFonts w:ascii="Arial" w:hAnsi="Arial" w:cs="Arial"/>
                <w:color w:val="000000"/>
              </w:rPr>
            </w:pPr>
            <w:r>
              <w:rPr>
                <w:rFonts w:ascii="Arial" w:hAnsi="Arial" w:cs="Arial"/>
                <w:color w:val="000000"/>
              </w:rPr>
              <w:t>83 (16,3 %)</w:t>
            </w:r>
          </w:p>
        </w:tc>
        <w:tc>
          <w:tcPr>
            <w:tcW w:w="1418" w:type="dxa"/>
            <w:vMerge/>
            <w:tcBorders>
              <w:left w:val="single" w:sz="4" w:space="0" w:color="auto"/>
              <w:bottom w:val="single" w:sz="4" w:space="0" w:color="auto"/>
              <w:right w:val="single" w:sz="4" w:space="0" w:color="auto"/>
            </w:tcBorders>
            <w:shd w:val="clear" w:color="auto" w:fill="auto"/>
            <w:noWrap/>
            <w:vAlign w:val="center"/>
          </w:tcPr>
          <w:p w14:paraId="0E2425A2" w14:textId="77777777" w:rsidR="001E534A" w:rsidRPr="00FB1BB5" w:rsidRDefault="001E534A" w:rsidP="00FC2F59">
            <w:pPr>
              <w:jc w:val="center"/>
              <w:rPr>
                <w:rFonts w:ascii="Arial" w:hAnsi="Arial" w:cs="Arial"/>
                <w:color w:val="000000"/>
              </w:rPr>
            </w:pPr>
          </w:p>
        </w:tc>
        <w:tc>
          <w:tcPr>
            <w:tcW w:w="1417" w:type="dxa"/>
            <w:vMerge/>
            <w:tcBorders>
              <w:left w:val="single" w:sz="4" w:space="0" w:color="auto"/>
              <w:bottom w:val="single" w:sz="4" w:space="0" w:color="auto"/>
              <w:right w:val="single" w:sz="4" w:space="0" w:color="auto"/>
            </w:tcBorders>
            <w:vAlign w:val="center"/>
          </w:tcPr>
          <w:p w14:paraId="6EC6E2AA" w14:textId="77777777" w:rsidR="001E534A" w:rsidRPr="00FB1BB5" w:rsidRDefault="001E534A" w:rsidP="001E534A">
            <w:pPr>
              <w:jc w:val="center"/>
              <w:rPr>
                <w:rFonts w:ascii="Arial" w:hAnsi="Arial" w:cs="Arial"/>
                <w:color w:val="000000"/>
              </w:rPr>
            </w:pPr>
          </w:p>
        </w:tc>
      </w:tr>
      <w:tr w:rsidR="000C2063" w:rsidRPr="00FB1BB5" w14:paraId="5609965D" w14:textId="0C6ED2CE" w:rsidTr="000C2063">
        <w:trPr>
          <w:trHeight w:val="397"/>
        </w:trPr>
        <w:tc>
          <w:tcPr>
            <w:tcW w:w="2689" w:type="dxa"/>
            <w:vMerge w:val="restart"/>
            <w:tcBorders>
              <w:top w:val="nil"/>
              <w:left w:val="single" w:sz="4" w:space="0" w:color="auto"/>
              <w:bottom w:val="single" w:sz="4" w:space="0" w:color="auto"/>
              <w:right w:val="single" w:sz="4" w:space="0" w:color="auto"/>
            </w:tcBorders>
            <w:shd w:val="clear" w:color="auto" w:fill="auto"/>
            <w:vAlign w:val="center"/>
            <w:hideMark/>
          </w:tcPr>
          <w:p w14:paraId="1A475D86" w14:textId="327D95EC" w:rsidR="00DE10EC" w:rsidRPr="00FB1BB5" w:rsidRDefault="00DE10EC" w:rsidP="000C2063">
            <w:pPr>
              <w:jc w:val="center"/>
              <w:rPr>
                <w:rFonts w:ascii="Arial" w:hAnsi="Arial" w:cs="Arial"/>
                <w:color w:val="000000"/>
              </w:rPr>
            </w:pPr>
            <w:r w:rsidRPr="00FB1BB5">
              <w:rPr>
                <w:rFonts w:ascii="Arial" w:hAnsi="Arial" w:cs="Arial"/>
                <w:color w:val="000000"/>
              </w:rPr>
              <w:t>Ošetřující</w:t>
            </w:r>
            <w:r w:rsidR="000C2063">
              <w:rPr>
                <w:rFonts w:ascii="Arial" w:hAnsi="Arial" w:cs="Arial"/>
                <w:color w:val="000000"/>
              </w:rPr>
              <w:t xml:space="preserve"> </w:t>
            </w:r>
            <w:r w:rsidRPr="00FB1BB5">
              <w:rPr>
                <w:rFonts w:ascii="Arial" w:hAnsi="Arial" w:cs="Arial"/>
                <w:color w:val="000000"/>
              </w:rPr>
              <w:t>ambulance</w:t>
            </w:r>
          </w:p>
        </w:tc>
        <w:tc>
          <w:tcPr>
            <w:tcW w:w="2268" w:type="dxa"/>
            <w:tcBorders>
              <w:top w:val="nil"/>
              <w:left w:val="nil"/>
              <w:bottom w:val="single" w:sz="4" w:space="0" w:color="auto"/>
              <w:right w:val="single" w:sz="4" w:space="0" w:color="auto"/>
            </w:tcBorders>
            <w:shd w:val="clear" w:color="auto" w:fill="auto"/>
            <w:noWrap/>
            <w:vAlign w:val="center"/>
            <w:hideMark/>
          </w:tcPr>
          <w:p w14:paraId="3EDB9427" w14:textId="77777777" w:rsidR="00DE10EC" w:rsidRPr="00FB1BB5" w:rsidRDefault="00DE10EC" w:rsidP="00FC2F59">
            <w:pPr>
              <w:jc w:val="center"/>
              <w:rPr>
                <w:rFonts w:ascii="Arial" w:hAnsi="Arial" w:cs="Arial"/>
                <w:color w:val="000000"/>
              </w:rPr>
            </w:pPr>
            <w:r w:rsidRPr="00FB1BB5">
              <w:rPr>
                <w:rFonts w:ascii="Arial" w:hAnsi="Arial" w:cs="Arial"/>
                <w:color w:val="000000"/>
              </w:rPr>
              <w:t>Interní</w:t>
            </w:r>
          </w:p>
        </w:tc>
        <w:tc>
          <w:tcPr>
            <w:tcW w:w="1559" w:type="dxa"/>
            <w:tcBorders>
              <w:top w:val="single" w:sz="4" w:space="0" w:color="333333"/>
              <w:left w:val="nil"/>
              <w:bottom w:val="single" w:sz="4" w:space="0" w:color="333333"/>
              <w:right w:val="single" w:sz="4" w:space="0" w:color="333399"/>
            </w:tcBorders>
            <w:shd w:val="clear" w:color="000000" w:fill="FFFFFF"/>
            <w:noWrap/>
            <w:vAlign w:val="center"/>
            <w:hideMark/>
          </w:tcPr>
          <w:p w14:paraId="1A3C98E9" w14:textId="1130C6A8" w:rsidR="00DE10EC" w:rsidRPr="00FB1BB5" w:rsidRDefault="00DE10EC" w:rsidP="00FC2F59">
            <w:pPr>
              <w:jc w:val="center"/>
              <w:rPr>
                <w:rFonts w:ascii="Arial" w:hAnsi="Arial" w:cs="Arial"/>
                <w:color w:val="000000"/>
              </w:rPr>
            </w:pPr>
            <w:r w:rsidRPr="00FB1BB5">
              <w:rPr>
                <w:rFonts w:ascii="Arial" w:hAnsi="Arial" w:cs="Arial"/>
                <w:color w:val="000000"/>
              </w:rPr>
              <w:t>131</w:t>
            </w:r>
            <w:r>
              <w:rPr>
                <w:rFonts w:ascii="Arial" w:hAnsi="Arial" w:cs="Arial"/>
                <w:color w:val="000000"/>
              </w:rPr>
              <w:t xml:space="preserve"> (</w:t>
            </w:r>
            <w:r w:rsidRPr="00FB1BB5">
              <w:rPr>
                <w:rFonts w:ascii="Arial" w:hAnsi="Arial" w:cs="Arial"/>
                <w:color w:val="000000"/>
              </w:rPr>
              <w:t>75,7</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559" w:type="dxa"/>
            <w:tcBorders>
              <w:top w:val="single" w:sz="4" w:space="0" w:color="333333"/>
              <w:left w:val="nil"/>
              <w:bottom w:val="single" w:sz="4" w:space="0" w:color="333333"/>
              <w:right w:val="single" w:sz="4" w:space="0" w:color="333399"/>
            </w:tcBorders>
            <w:shd w:val="clear" w:color="000000" w:fill="FFFFFF"/>
            <w:noWrap/>
            <w:vAlign w:val="center"/>
            <w:hideMark/>
          </w:tcPr>
          <w:p w14:paraId="4B1E8F1D" w14:textId="3E4111EC" w:rsidR="00DE10EC" w:rsidRPr="00FB1BB5" w:rsidRDefault="00DE10EC" w:rsidP="00FC2F59">
            <w:pPr>
              <w:jc w:val="center"/>
              <w:rPr>
                <w:rFonts w:ascii="Arial" w:hAnsi="Arial" w:cs="Arial"/>
                <w:color w:val="000000"/>
              </w:rPr>
            </w:pPr>
            <w:r w:rsidRPr="00FB1BB5">
              <w:rPr>
                <w:rFonts w:ascii="Arial" w:hAnsi="Arial" w:cs="Arial"/>
                <w:color w:val="000000"/>
              </w:rPr>
              <w:t>256</w:t>
            </w:r>
            <w:r>
              <w:rPr>
                <w:rFonts w:ascii="Arial" w:hAnsi="Arial" w:cs="Arial"/>
                <w:color w:val="000000"/>
              </w:rPr>
              <w:t xml:space="preserve"> (</w:t>
            </w:r>
            <w:r w:rsidRPr="00FB1BB5">
              <w:rPr>
                <w:rFonts w:ascii="Arial" w:hAnsi="Arial" w:cs="Arial"/>
                <w:color w:val="000000"/>
              </w:rPr>
              <w:t>76,2</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559" w:type="dxa"/>
            <w:tcBorders>
              <w:top w:val="single" w:sz="4" w:space="0" w:color="333333"/>
              <w:left w:val="nil"/>
              <w:bottom w:val="single" w:sz="4" w:space="0" w:color="333333"/>
              <w:right w:val="single" w:sz="4" w:space="0" w:color="333399"/>
            </w:tcBorders>
            <w:shd w:val="clear" w:color="000000" w:fill="FFFFFF"/>
            <w:noWrap/>
            <w:vAlign w:val="center"/>
            <w:hideMark/>
          </w:tcPr>
          <w:p w14:paraId="3A3ABB55" w14:textId="421186FE" w:rsidR="00DE10EC" w:rsidRPr="00FB1BB5" w:rsidRDefault="00DE10EC" w:rsidP="00FC2F59">
            <w:pPr>
              <w:jc w:val="center"/>
              <w:rPr>
                <w:rFonts w:ascii="Arial" w:hAnsi="Arial" w:cs="Arial"/>
                <w:color w:val="000000"/>
              </w:rPr>
            </w:pPr>
            <w:r w:rsidRPr="00FB1BB5">
              <w:rPr>
                <w:rFonts w:ascii="Arial" w:hAnsi="Arial" w:cs="Arial"/>
                <w:color w:val="000000"/>
              </w:rPr>
              <w:t>387</w:t>
            </w:r>
            <w:r>
              <w:rPr>
                <w:rFonts w:ascii="Arial" w:hAnsi="Arial" w:cs="Arial"/>
                <w:color w:val="000000"/>
              </w:rPr>
              <w:t xml:space="preserve"> (</w:t>
            </w:r>
            <w:r w:rsidRPr="00FB1BB5">
              <w:rPr>
                <w:rFonts w:ascii="Arial" w:hAnsi="Arial" w:cs="Arial"/>
                <w:color w:val="000000"/>
              </w:rPr>
              <w:t>76,0</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41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3172AF" w14:textId="77777777" w:rsidR="00DE10EC" w:rsidRPr="003656E6" w:rsidRDefault="00DE10EC" w:rsidP="00FC2F59">
            <w:pPr>
              <w:jc w:val="center"/>
              <w:rPr>
                <w:rFonts w:ascii="Arial" w:hAnsi="Arial" w:cs="Arial"/>
                <w:color w:val="000000"/>
              </w:rPr>
            </w:pPr>
            <w:r w:rsidRPr="003656E6">
              <w:rPr>
                <w:rFonts w:ascii="Arial" w:hAnsi="Arial" w:cs="Arial"/>
                <w:color w:val="000000"/>
              </w:rPr>
              <w:t>0,677</w:t>
            </w:r>
          </w:p>
        </w:tc>
        <w:tc>
          <w:tcPr>
            <w:tcW w:w="1417" w:type="dxa"/>
            <w:vMerge w:val="restart"/>
            <w:tcBorders>
              <w:top w:val="nil"/>
              <w:left w:val="single" w:sz="4" w:space="0" w:color="auto"/>
              <w:right w:val="single" w:sz="4" w:space="0" w:color="auto"/>
            </w:tcBorders>
            <w:vAlign w:val="center"/>
          </w:tcPr>
          <w:p w14:paraId="1299E84E" w14:textId="23FCE415" w:rsidR="00DE10EC" w:rsidRPr="003656E6" w:rsidRDefault="007568E2" w:rsidP="001E534A">
            <w:pPr>
              <w:jc w:val="center"/>
              <w:rPr>
                <w:rFonts w:ascii="Arial" w:hAnsi="Arial" w:cs="Arial"/>
                <w:color w:val="000000"/>
              </w:rPr>
            </w:pPr>
            <w:r w:rsidRPr="003B1C2D">
              <w:rPr>
                <w:rFonts w:ascii="Arial" w:hAnsi="Arial" w:cs="Arial"/>
              </w:rPr>
              <w:t>*</w:t>
            </w:r>
            <w:r w:rsidR="003B1C2D" w:rsidRPr="003B1C2D">
              <w:rPr>
                <w:rFonts w:ascii="Arial" w:hAnsi="Arial" w:cs="Arial"/>
              </w:rPr>
              <w:t>*</w:t>
            </w:r>
            <w:r>
              <w:rPr>
                <w:rFonts w:ascii="Arial" w:hAnsi="Arial" w:cs="Arial"/>
                <w:color w:val="000000"/>
              </w:rPr>
              <w:t xml:space="preserve"> </w:t>
            </w:r>
            <w:r w:rsidR="00786F19">
              <w:rPr>
                <w:rFonts w:ascii="Arial" w:hAnsi="Arial" w:cs="Arial"/>
                <w:color w:val="000000"/>
              </w:rPr>
              <w:t>0,496</w:t>
            </w:r>
          </w:p>
        </w:tc>
      </w:tr>
      <w:tr w:rsidR="000C2063" w:rsidRPr="00FB1BB5" w14:paraId="3AEFB44B" w14:textId="4CEF299B" w:rsidTr="000C2063">
        <w:trPr>
          <w:trHeight w:val="397"/>
        </w:trPr>
        <w:tc>
          <w:tcPr>
            <w:tcW w:w="2689" w:type="dxa"/>
            <w:vMerge/>
            <w:tcBorders>
              <w:top w:val="nil"/>
              <w:left w:val="single" w:sz="4" w:space="0" w:color="auto"/>
              <w:bottom w:val="single" w:sz="4" w:space="0" w:color="auto"/>
              <w:right w:val="single" w:sz="4" w:space="0" w:color="auto"/>
            </w:tcBorders>
            <w:vAlign w:val="center"/>
            <w:hideMark/>
          </w:tcPr>
          <w:p w14:paraId="48DA521D" w14:textId="77777777" w:rsidR="00DE10EC" w:rsidRPr="00FB1BB5" w:rsidRDefault="00DE10EC" w:rsidP="00FC2F59">
            <w:pPr>
              <w:rPr>
                <w:rFonts w:ascii="Arial" w:hAnsi="Arial" w:cs="Arial"/>
                <w:color w:val="000000"/>
              </w:rPr>
            </w:pPr>
          </w:p>
        </w:tc>
        <w:tc>
          <w:tcPr>
            <w:tcW w:w="2268" w:type="dxa"/>
            <w:tcBorders>
              <w:top w:val="nil"/>
              <w:left w:val="nil"/>
              <w:bottom w:val="single" w:sz="4" w:space="0" w:color="auto"/>
              <w:right w:val="single" w:sz="4" w:space="0" w:color="auto"/>
            </w:tcBorders>
            <w:shd w:val="clear" w:color="auto" w:fill="auto"/>
            <w:noWrap/>
            <w:vAlign w:val="center"/>
            <w:hideMark/>
          </w:tcPr>
          <w:p w14:paraId="7A8D04B0" w14:textId="77777777" w:rsidR="00DE10EC" w:rsidRPr="00FB1BB5" w:rsidRDefault="00DE10EC" w:rsidP="00FC2F59">
            <w:pPr>
              <w:jc w:val="center"/>
              <w:rPr>
                <w:rFonts w:ascii="Arial" w:hAnsi="Arial" w:cs="Arial"/>
                <w:color w:val="000000"/>
              </w:rPr>
            </w:pPr>
            <w:r w:rsidRPr="00FB1BB5">
              <w:rPr>
                <w:rFonts w:ascii="Arial" w:hAnsi="Arial" w:cs="Arial"/>
                <w:color w:val="000000"/>
              </w:rPr>
              <w:t>Neurologická</w:t>
            </w:r>
          </w:p>
        </w:tc>
        <w:tc>
          <w:tcPr>
            <w:tcW w:w="1559" w:type="dxa"/>
            <w:tcBorders>
              <w:top w:val="nil"/>
              <w:left w:val="nil"/>
              <w:bottom w:val="single" w:sz="4" w:space="0" w:color="333333"/>
              <w:right w:val="single" w:sz="4" w:space="0" w:color="333399"/>
            </w:tcBorders>
            <w:shd w:val="clear" w:color="000000" w:fill="FFFFFF"/>
            <w:noWrap/>
            <w:vAlign w:val="center"/>
            <w:hideMark/>
          </w:tcPr>
          <w:p w14:paraId="21017E31" w14:textId="51CAFE80" w:rsidR="00DE10EC" w:rsidRPr="00FB1BB5" w:rsidRDefault="00DE10EC" w:rsidP="00FC2F59">
            <w:pPr>
              <w:jc w:val="center"/>
              <w:rPr>
                <w:rFonts w:ascii="Arial" w:hAnsi="Arial" w:cs="Arial"/>
                <w:color w:val="000000"/>
              </w:rPr>
            </w:pPr>
            <w:r w:rsidRPr="00FB1BB5">
              <w:rPr>
                <w:rFonts w:ascii="Arial" w:hAnsi="Arial" w:cs="Arial"/>
                <w:color w:val="000000"/>
              </w:rPr>
              <w:t>33</w:t>
            </w:r>
            <w:r>
              <w:rPr>
                <w:rFonts w:ascii="Arial" w:hAnsi="Arial" w:cs="Arial"/>
                <w:color w:val="000000"/>
              </w:rPr>
              <w:t xml:space="preserve"> (</w:t>
            </w:r>
            <w:r w:rsidRPr="00FB1BB5">
              <w:rPr>
                <w:rFonts w:ascii="Arial" w:hAnsi="Arial" w:cs="Arial"/>
                <w:color w:val="000000"/>
              </w:rPr>
              <w:t>19,1</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70FCC4EB" w14:textId="30B1CB6E" w:rsidR="00DE10EC" w:rsidRPr="00FB1BB5" w:rsidRDefault="00DE10EC" w:rsidP="00FC2F59">
            <w:pPr>
              <w:jc w:val="center"/>
              <w:rPr>
                <w:rFonts w:ascii="Arial" w:hAnsi="Arial" w:cs="Arial"/>
                <w:color w:val="000000"/>
              </w:rPr>
            </w:pPr>
            <w:r w:rsidRPr="00FB1BB5">
              <w:rPr>
                <w:rFonts w:ascii="Arial" w:hAnsi="Arial" w:cs="Arial"/>
                <w:color w:val="000000"/>
              </w:rPr>
              <w:t>57</w:t>
            </w:r>
            <w:r>
              <w:rPr>
                <w:rFonts w:ascii="Arial" w:hAnsi="Arial" w:cs="Arial"/>
                <w:color w:val="000000"/>
              </w:rPr>
              <w:t xml:space="preserve"> (</w:t>
            </w:r>
            <w:r w:rsidRPr="00FB1BB5">
              <w:rPr>
                <w:rFonts w:ascii="Arial" w:hAnsi="Arial" w:cs="Arial"/>
                <w:color w:val="000000"/>
              </w:rPr>
              <w:t>17,0</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3325D649" w14:textId="7EE85A71" w:rsidR="00DE10EC" w:rsidRPr="00FB1BB5" w:rsidRDefault="00DE10EC" w:rsidP="00FC2F59">
            <w:pPr>
              <w:jc w:val="center"/>
              <w:rPr>
                <w:rFonts w:ascii="Arial" w:hAnsi="Arial" w:cs="Arial"/>
                <w:color w:val="000000"/>
              </w:rPr>
            </w:pPr>
            <w:r w:rsidRPr="00FB1BB5">
              <w:rPr>
                <w:rFonts w:ascii="Arial" w:hAnsi="Arial" w:cs="Arial"/>
                <w:color w:val="000000"/>
              </w:rPr>
              <w:t>90</w:t>
            </w:r>
            <w:r>
              <w:rPr>
                <w:rFonts w:ascii="Arial" w:hAnsi="Arial" w:cs="Arial"/>
                <w:color w:val="000000"/>
              </w:rPr>
              <w:t xml:space="preserve"> (</w:t>
            </w:r>
            <w:r w:rsidRPr="00FB1BB5">
              <w:rPr>
                <w:rFonts w:ascii="Arial" w:hAnsi="Arial" w:cs="Arial"/>
                <w:color w:val="000000"/>
              </w:rPr>
              <w:t>17,7</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418" w:type="dxa"/>
            <w:vMerge/>
            <w:tcBorders>
              <w:top w:val="nil"/>
              <w:left w:val="single" w:sz="4" w:space="0" w:color="auto"/>
              <w:bottom w:val="single" w:sz="4" w:space="0" w:color="auto"/>
              <w:right w:val="single" w:sz="4" w:space="0" w:color="auto"/>
            </w:tcBorders>
            <w:vAlign w:val="center"/>
            <w:hideMark/>
          </w:tcPr>
          <w:p w14:paraId="4D9A7E65" w14:textId="77777777" w:rsidR="00DE10EC" w:rsidRPr="003656E6" w:rsidRDefault="00DE10EC" w:rsidP="00FC2F59">
            <w:pPr>
              <w:rPr>
                <w:rFonts w:ascii="Arial" w:hAnsi="Arial" w:cs="Arial"/>
                <w:color w:val="000000"/>
              </w:rPr>
            </w:pPr>
          </w:p>
        </w:tc>
        <w:tc>
          <w:tcPr>
            <w:tcW w:w="1417" w:type="dxa"/>
            <w:vMerge/>
            <w:tcBorders>
              <w:left w:val="single" w:sz="4" w:space="0" w:color="auto"/>
              <w:right w:val="single" w:sz="4" w:space="0" w:color="auto"/>
            </w:tcBorders>
            <w:vAlign w:val="center"/>
          </w:tcPr>
          <w:p w14:paraId="0E1BF70E" w14:textId="77777777" w:rsidR="00DE10EC" w:rsidRPr="003656E6" w:rsidRDefault="00DE10EC" w:rsidP="001E534A">
            <w:pPr>
              <w:jc w:val="center"/>
              <w:rPr>
                <w:rFonts w:ascii="Arial" w:hAnsi="Arial" w:cs="Arial"/>
                <w:color w:val="000000"/>
              </w:rPr>
            </w:pPr>
          </w:p>
        </w:tc>
      </w:tr>
      <w:tr w:rsidR="000C2063" w:rsidRPr="00FB1BB5" w14:paraId="3F453474" w14:textId="3D5803AA" w:rsidTr="000C2063">
        <w:trPr>
          <w:trHeight w:val="397"/>
        </w:trPr>
        <w:tc>
          <w:tcPr>
            <w:tcW w:w="2689" w:type="dxa"/>
            <w:vMerge/>
            <w:tcBorders>
              <w:top w:val="nil"/>
              <w:left w:val="single" w:sz="4" w:space="0" w:color="auto"/>
              <w:bottom w:val="single" w:sz="4" w:space="0" w:color="auto"/>
              <w:right w:val="single" w:sz="4" w:space="0" w:color="auto"/>
            </w:tcBorders>
            <w:vAlign w:val="center"/>
            <w:hideMark/>
          </w:tcPr>
          <w:p w14:paraId="18E485A7" w14:textId="77777777" w:rsidR="00DE10EC" w:rsidRPr="00FB1BB5" w:rsidRDefault="00DE10EC" w:rsidP="00FC2F59">
            <w:pPr>
              <w:rPr>
                <w:rFonts w:ascii="Arial" w:hAnsi="Arial" w:cs="Arial"/>
                <w:color w:val="000000"/>
              </w:rPr>
            </w:pPr>
          </w:p>
        </w:tc>
        <w:tc>
          <w:tcPr>
            <w:tcW w:w="2268" w:type="dxa"/>
            <w:tcBorders>
              <w:top w:val="nil"/>
              <w:left w:val="nil"/>
              <w:bottom w:val="single" w:sz="4" w:space="0" w:color="auto"/>
              <w:right w:val="single" w:sz="4" w:space="0" w:color="auto"/>
            </w:tcBorders>
            <w:shd w:val="clear" w:color="auto" w:fill="auto"/>
            <w:noWrap/>
            <w:vAlign w:val="center"/>
            <w:hideMark/>
          </w:tcPr>
          <w:p w14:paraId="172593FE" w14:textId="77777777" w:rsidR="009A58D4" w:rsidRDefault="00DE10EC" w:rsidP="00FC2F59">
            <w:pPr>
              <w:jc w:val="center"/>
              <w:rPr>
                <w:rFonts w:ascii="Arial" w:hAnsi="Arial" w:cs="Arial"/>
                <w:color w:val="000000"/>
              </w:rPr>
            </w:pPr>
            <w:r w:rsidRPr="00FB1BB5">
              <w:rPr>
                <w:rFonts w:ascii="Arial" w:hAnsi="Arial" w:cs="Arial"/>
                <w:color w:val="000000"/>
              </w:rPr>
              <w:t>Současně interní</w:t>
            </w:r>
          </w:p>
          <w:p w14:paraId="11E81A6F" w14:textId="0B1DF3FB" w:rsidR="00DE10EC" w:rsidRPr="00FB1BB5" w:rsidRDefault="00DE10EC" w:rsidP="00FC2F59">
            <w:pPr>
              <w:jc w:val="center"/>
              <w:rPr>
                <w:rFonts w:ascii="Arial" w:hAnsi="Arial" w:cs="Arial"/>
                <w:color w:val="000000"/>
              </w:rPr>
            </w:pPr>
            <w:r w:rsidRPr="00FB1BB5">
              <w:rPr>
                <w:rFonts w:ascii="Arial" w:hAnsi="Arial" w:cs="Arial"/>
                <w:color w:val="000000"/>
              </w:rPr>
              <w:t>a neurologická</w:t>
            </w:r>
          </w:p>
        </w:tc>
        <w:tc>
          <w:tcPr>
            <w:tcW w:w="1559" w:type="dxa"/>
            <w:tcBorders>
              <w:top w:val="nil"/>
              <w:left w:val="nil"/>
              <w:bottom w:val="single" w:sz="4" w:space="0" w:color="333333"/>
              <w:right w:val="single" w:sz="4" w:space="0" w:color="333399"/>
            </w:tcBorders>
            <w:shd w:val="clear" w:color="000000" w:fill="FFFFFF"/>
            <w:noWrap/>
            <w:vAlign w:val="center"/>
            <w:hideMark/>
          </w:tcPr>
          <w:p w14:paraId="1EF6FF9F" w14:textId="43C95822" w:rsidR="00DE10EC" w:rsidRPr="00FB1BB5" w:rsidRDefault="00DE10EC" w:rsidP="00FC2F59">
            <w:pPr>
              <w:jc w:val="center"/>
              <w:rPr>
                <w:rFonts w:ascii="Arial" w:hAnsi="Arial" w:cs="Arial"/>
                <w:color w:val="000000"/>
              </w:rPr>
            </w:pPr>
            <w:r w:rsidRPr="00FB1BB5">
              <w:rPr>
                <w:rFonts w:ascii="Arial" w:hAnsi="Arial" w:cs="Arial"/>
                <w:color w:val="000000"/>
              </w:rPr>
              <w:t>9</w:t>
            </w:r>
            <w:r>
              <w:rPr>
                <w:rFonts w:ascii="Arial" w:hAnsi="Arial" w:cs="Arial"/>
                <w:color w:val="000000"/>
              </w:rPr>
              <w:t xml:space="preserve"> (</w:t>
            </w:r>
            <w:r w:rsidRPr="00FB1BB5">
              <w:rPr>
                <w:rFonts w:ascii="Arial" w:hAnsi="Arial" w:cs="Arial"/>
                <w:color w:val="000000"/>
              </w:rPr>
              <w:t>5,2</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528CEA2E" w14:textId="36639B45" w:rsidR="00DE10EC" w:rsidRPr="00FB1BB5" w:rsidRDefault="00DE10EC" w:rsidP="00FC2F59">
            <w:pPr>
              <w:jc w:val="center"/>
              <w:rPr>
                <w:rFonts w:ascii="Arial" w:hAnsi="Arial" w:cs="Arial"/>
                <w:color w:val="000000"/>
              </w:rPr>
            </w:pPr>
            <w:r w:rsidRPr="00FB1BB5">
              <w:rPr>
                <w:rFonts w:ascii="Arial" w:hAnsi="Arial" w:cs="Arial"/>
                <w:color w:val="000000"/>
              </w:rPr>
              <w:t>23</w:t>
            </w:r>
            <w:r>
              <w:rPr>
                <w:rFonts w:ascii="Arial" w:hAnsi="Arial" w:cs="Arial"/>
                <w:color w:val="000000"/>
              </w:rPr>
              <w:t xml:space="preserve"> (</w:t>
            </w:r>
            <w:r w:rsidRPr="00FB1BB5">
              <w:rPr>
                <w:rFonts w:ascii="Arial" w:hAnsi="Arial" w:cs="Arial"/>
                <w:color w:val="000000"/>
              </w:rPr>
              <w:t>6,8</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4F4C4E5E" w14:textId="4EFB9808" w:rsidR="00DE10EC" w:rsidRPr="00FB1BB5" w:rsidRDefault="00DE10EC" w:rsidP="00FC2F59">
            <w:pPr>
              <w:jc w:val="center"/>
              <w:rPr>
                <w:rFonts w:ascii="Arial" w:hAnsi="Arial" w:cs="Arial"/>
                <w:color w:val="000000"/>
              </w:rPr>
            </w:pPr>
            <w:r w:rsidRPr="00FB1BB5">
              <w:rPr>
                <w:rFonts w:ascii="Arial" w:hAnsi="Arial" w:cs="Arial"/>
                <w:color w:val="000000"/>
              </w:rPr>
              <w:t>32</w:t>
            </w:r>
            <w:r>
              <w:rPr>
                <w:rFonts w:ascii="Arial" w:hAnsi="Arial" w:cs="Arial"/>
                <w:color w:val="000000"/>
              </w:rPr>
              <w:t xml:space="preserve"> (</w:t>
            </w:r>
            <w:r w:rsidRPr="00FB1BB5">
              <w:rPr>
                <w:rFonts w:ascii="Arial" w:hAnsi="Arial" w:cs="Arial"/>
                <w:color w:val="000000"/>
              </w:rPr>
              <w:t>6,3</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418" w:type="dxa"/>
            <w:vMerge/>
            <w:tcBorders>
              <w:top w:val="nil"/>
              <w:left w:val="single" w:sz="4" w:space="0" w:color="auto"/>
              <w:bottom w:val="single" w:sz="4" w:space="0" w:color="auto"/>
              <w:right w:val="single" w:sz="4" w:space="0" w:color="auto"/>
            </w:tcBorders>
            <w:vAlign w:val="center"/>
            <w:hideMark/>
          </w:tcPr>
          <w:p w14:paraId="3D674EC2" w14:textId="77777777" w:rsidR="00DE10EC" w:rsidRPr="003656E6" w:rsidRDefault="00DE10EC" w:rsidP="00FC2F59">
            <w:pPr>
              <w:rPr>
                <w:rFonts w:ascii="Arial" w:hAnsi="Arial" w:cs="Arial"/>
                <w:color w:val="000000"/>
              </w:rPr>
            </w:pPr>
          </w:p>
        </w:tc>
        <w:tc>
          <w:tcPr>
            <w:tcW w:w="1417" w:type="dxa"/>
            <w:vMerge/>
            <w:tcBorders>
              <w:left w:val="single" w:sz="4" w:space="0" w:color="auto"/>
              <w:bottom w:val="single" w:sz="4" w:space="0" w:color="auto"/>
              <w:right w:val="single" w:sz="4" w:space="0" w:color="auto"/>
            </w:tcBorders>
            <w:vAlign w:val="center"/>
          </w:tcPr>
          <w:p w14:paraId="74917263" w14:textId="77777777" w:rsidR="00DE10EC" w:rsidRPr="003656E6" w:rsidRDefault="00DE10EC" w:rsidP="001E534A">
            <w:pPr>
              <w:jc w:val="center"/>
              <w:rPr>
                <w:rFonts w:ascii="Arial" w:hAnsi="Arial" w:cs="Arial"/>
                <w:color w:val="000000"/>
              </w:rPr>
            </w:pPr>
          </w:p>
        </w:tc>
      </w:tr>
      <w:tr w:rsidR="000C2063" w:rsidRPr="00FB1BB5" w14:paraId="00FB0EED" w14:textId="176D2D6C" w:rsidTr="000C2063">
        <w:trPr>
          <w:trHeight w:val="397"/>
        </w:trPr>
        <w:tc>
          <w:tcPr>
            <w:tcW w:w="2689" w:type="dxa"/>
            <w:vMerge w:val="restart"/>
            <w:tcBorders>
              <w:top w:val="nil"/>
              <w:left w:val="single" w:sz="4" w:space="0" w:color="auto"/>
              <w:bottom w:val="single" w:sz="4" w:space="0" w:color="auto"/>
              <w:right w:val="single" w:sz="4" w:space="0" w:color="auto"/>
            </w:tcBorders>
            <w:shd w:val="clear" w:color="auto" w:fill="auto"/>
            <w:vAlign w:val="center"/>
            <w:hideMark/>
          </w:tcPr>
          <w:p w14:paraId="5CFA2705" w14:textId="77777777" w:rsidR="00DE10EC" w:rsidRPr="00FB1BB5" w:rsidRDefault="00DE10EC" w:rsidP="00FC2F59">
            <w:pPr>
              <w:jc w:val="center"/>
              <w:rPr>
                <w:rFonts w:ascii="Arial" w:hAnsi="Arial" w:cs="Arial"/>
                <w:color w:val="000000"/>
              </w:rPr>
            </w:pPr>
            <w:r w:rsidRPr="00FB1BB5">
              <w:rPr>
                <w:rFonts w:ascii="Arial" w:hAnsi="Arial" w:cs="Arial"/>
                <w:color w:val="000000"/>
              </w:rPr>
              <w:t>Využití observačního lůžka</w:t>
            </w:r>
          </w:p>
        </w:tc>
        <w:tc>
          <w:tcPr>
            <w:tcW w:w="2268" w:type="dxa"/>
            <w:tcBorders>
              <w:top w:val="nil"/>
              <w:left w:val="nil"/>
              <w:bottom w:val="single" w:sz="4" w:space="0" w:color="auto"/>
              <w:right w:val="single" w:sz="4" w:space="0" w:color="auto"/>
            </w:tcBorders>
            <w:shd w:val="clear" w:color="auto" w:fill="auto"/>
            <w:noWrap/>
            <w:vAlign w:val="center"/>
            <w:hideMark/>
          </w:tcPr>
          <w:p w14:paraId="03B7E5B4" w14:textId="77777777" w:rsidR="00DE10EC" w:rsidRPr="00FB1BB5" w:rsidRDefault="00DE10EC" w:rsidP="00FC2F59">
            <w:pPr>
              <w:jc w:val="center"/>
              <w:rPr>
                <w:rFonts w:ascii="Arial" w:hAnsi="Arial" w:cs="Arial"/>
                <w:color w:val="000000"/>
              </w:rPr>
            </w:pPr>
            <w:r w:rsidRPr="00FB1BB5">
              <w:rPr>
                <w:rFonts w:ascii="Arial" w:hAnsi="Arial" w:cs="Arial"/>
                <w:color w:val="000000"/>
              </w:rPr>
              <w:t>ANO</w:t>
            </w:r>
          </w:p>
        </w:tc>
        <w:tc>
          <w:tcPr>
            <w:tcW w:w="1559" w:type="dxa"/>
            <w:tcBorders>
              <w:top w:val="nil"/>
              <w:left w:val="nil"/>
              <w:bottom w:val="single" w:sz="4" w:space="0" w:color="333333"/>
              <w:right w:val="single" w:sz="4" w:space="0" w:color="333399"/>
            </w:tcBorders>
            <w:shd w:val="clear" w:color="000000" w:fill="FFFFFF"/>
            <w:noWrap/>
            <w:vAlign w:val="center"/>
            <w:hideMark/>
          </w:tcPr>
          <w:p w14:paraId="65F2668F" w14:textId="6B7C94D5" w:rsidR="00DE10EC" w:rsidRPr="00FB1BB5" w:rsidRDefault="00DE10EC" w:rsidP="00FC2F59">
            <w:pPr>
              <w:jc w:val="center"/>
              <w:rPr>
                <w:rFonts w:ascii="Arial" w:hAnsi="Arial" w:cs="Arial"/>
                <w:color w:val="000000"/>
              </w:rPr>
            </w:pPr>
            <w:r w:rsidRPr="00FB1BB5">
              <w:rPr>
                <w:rFonts w:ascii="Arial" w:hAnsi="Arial" w:cs="Arial"/>
                <w:color w:val="000000"/>
              </w:rPr>
              <w:t>129</w:t>
            </w:r>
            <w:r>
              <w:rPr>
                <w:rFonts w:ascii="Arial" w:hAnsi="Arial" w:cs="Arial"/>
                <w:color w:val="000000"/>
              </w:rPr>
              <w:t xml:space="preserve"> (</w:t>
            </w:r>
            <w:r w:rsidRPr="00FB1BB5">
              <w:rPr>
                <w:rFonts w:ascii="Arial" w:hAnsi="Arial" w:cs="Arial"/>
                <w:color w:val="000000"/>
              </w:rPr>
              <w:t>74,6</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2D8E7595" w14:textId="57939C83" w:rsidR="00DE10EC" w:rsidRPr="00FB1BB5" w:rsidRDefault="00DE10EC" w:rsidP="00FC2F59">
            <w:pPr>
              <w:jc w:val="center"/>
              <w:rPr>
                <w:rFonts w:ascii="Arial" w:hAnsi="Arial" w:cs="Arial"/>
                <w:color w:val="000000"/>
              </w:rPr>
            </w:pPr>
            <w:r w:rsidRPr="00FB1BB5">
              <w:rPr>
                <w:rFonts w:ascii="Arial" w:hAnsi="Arial" w:cs="Arial"/>
                <w:color w:val="000000"/>
              </w:rPr>
              <w:t>247</w:t>
            </w:r>
            <w:r>
              <w:rPr>
                <w:rFonts w:ascii="Arial" w:hAnsi="Arial" w:cs="Arial"/>
                <w:color w:val="000000"/>
              </w:rPr>
              <w:t xml:space="preserve"> (</w:t>
            </w:r>
            <w:r w:rsidRPr="00FB1BB5">
              <w:rPr>
                <w:rFonts w:ascii="Arial" w:hAnsi="Arial" w:cs="Arial"/>
                <w:color w:val="000000"/>
              </w:rPr>
              <w:t>73,5</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6A94C0C4" w14:textId="7F2FB1CB" w:rsidR="00DE10EC" w:rsidRPr="00FB1BB5" w:rsidRDefault="00DE10EC" w:rsidP="00FC2F59">
            <w:pPr>
              <w:jc w:val="center"/>
              <w:rPr>
                <w:rFonts w:ascii="Arial" w:hAnsi="Arial" w:cs="Arial"/>
                <w:color w:val="000000"/>
              </w:rPr>
            </w:pPr>
            <w:r w:rsidRPr="00FB1BB5">
              <w:rPr>
                <w:rFonts w:ascii="Arial" w:hAnsi="Arial" w:cs="Arial"/>
                <w:color w:val="000000"/>
              </w:rPr>
              <w:t>376</w:t>
            </w:r>
            <w:r>
              <w:rPr>
                <w:rFonts w:ascii="Arial" w:hAnsi="Arial" w:cs="Arial"/>
                <w:color w:val="000000"/>
              </w:rPr>
              <w:t xml:space="preserve"> (</w:t>
            </w:r>
            <w:r w:rsidRPr="00FB1BB5">
              <w:rPr>
                <w:rFonts w:ascii="Arial" w:hAnsi="Arial" w:cs="Arial"/>
                <w:color w:val="000000"/>
              </w:rPr>
              <w:t>73,9</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41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B40A46" w14:textId="77777777" w:rsidR="00DE10EC" w:rsidRPr="003656E6" w:rsidRDefault="00DE10EC" w:rsidP="00FC2F59">
            <w:pPr>
              <w:jc w:val="center"/>
              <w:rPr>
                <w:rFonts w:ascii="Arial" w:hAnsi="Arial" w:cs="Arial"/>
                <w:color w:val="000000"/>
              </w:rPr>
            </w:pPr>
            <w:r w:rsidRPr="003656E6">
              <w:rPr>
                <w:rFonts w:ascii="Arial" w:hAnsi="Arial" w:cs="Arial"/>
                <w:color w:val="000000"/>
              </w:rPr>
              <w:t>0,798</w:t>
            </w:r>
          </w:p>
        </w:tc>
        <w:tc>
          <w:tcPr>
            <w:tcW w:w="1417" w:type="dxa"/>
            <w:vMerge w:val="restart"/>
            <w:tcBorders>
              <w:top w:val="nil"/>
              <w:left w:val="single" w:sz="4" w:space="0" w:color="auto"/>
              <w:right w:val="single" w:sz="4" w:space="0" w:color="auto"/>
            </w:tcBorders>
            <w:vAlign w:val="center"/>
          </w:tcPr>
          <w:p w14:paraId="527436C4" w14:textId="59051C57" w:rsidR="00DE10EC" w:rsidRPr="003656E6" w:rsidRDefault="007568E2" w:rsidP="001E534A">
            <w:pPr>
              <w:jc w:val="center"/>
              <w:rPr>
                <w:rFonts w:ascii="Arial" w:hAnsi="Arial" w:cs="Arial"/>
                <w:color w:val="000000"/>
              </w:rPr>
            </w:pPr>
            <w:r w:rsidRPr="003B1C2D">
              <w:rPr>
                <w:rFonts w:ascii="Arial" w:hAnsi="Arial" w:cs="Arial"/>
              </w:rPr>
              <w:t>*</w:t>
            </w:r>
            <w:r w:rsidR="003B1C2D" w:rsidRPr="003B1C2D">
              <w:rPr>
                <w:rFonts w:ascii="Arial" w:hAnsi="Arial" w:cs="Arial"/>
              </w:rPr>
              <w:t>*</w:t>
            </w:r>
            <w:r>
              <w:rPr>
                <w:rFonts w:ascii="Arial" w:hAnsi="Arial" w:cs="Arial"/>
                <w:color w:val="000000"/>
              </w:rPr>
              <w:t xml:space="preserve"> </w:t>
            </w:r>
            <w:r w:rsidR="00786F19">
              <w:rPr>
                <w:rFonts w:ascii="Arial" w:hAnsi="Arial" w:cs="Arial"/>
                <w:color w:val="000000"/>
              </w:rPr>
              <w:t>0,443</w:t>
            </w:r>
          </w:p>
        </w:tc>
      </w:tr>
      <w:tr w:rsidR="000C2063" w:rsidRPr="00FB1BB5" w14:paraId="6F7DDB25" w14:textId="266DE8C6" w:rsidTr="000C2063">
        <w:trPr>
          <w:trHeight w:val="397"/>
        </w:trPr>
        <w:tc>
          <w:tcPr>
            <w:tcW w:w="2689" w:type="dxa"/>
            <w:vMerge/>
            <w:tcBorders>
              <w:top w:val="nil"/>
              <w:left w:val="single" w:sz="4" w:space="0" w:color="auto"/>
              <w:bottom w:val="single" w:sz="4" w:space="0" w:color="auto"/>
              <w:right w:val="single" w:sz="4" w:space="0" w:color="auto"/>
            </w:tcBorders>
            <w:vAlign w:val="center"/>
            <w:hideMark/>
          </w:tcPr>
          <w:p w14:paraId="3A78585D" w14:textId="77777777" w:rsidR="00DE10EC" w:rsidRPr="00FB1BB5" w:rsidRDefault="00DE10EC" w:rsidP="00FC2F59">
            <w:pPr>
              <w:rPr>
                <w:rFonts w:ascii="Arial" w:hAnsi="Arial" w:cs="Arial"/>
                <w:color w:val="000000"/>
              </w:rPr>
            </w:pPr>
          </w:p>
        </w:tc>
        <w:tc>
          <w:tcPr>
            <w:tcW w:w="2268" w:type="dxa"/>
            <w:tcBorders>
              <w:top w:val="nil"/>
              <w:left w:val="nil"/>
              <w:bottom w:val="single" w:sz="4" w:space="0" w:color="auto"/>
              <w:right w:val="single" w:sz="4" w:space="0" w:color="auto"/>
            </w:tcBorders>
            <w:shd w:val="clear" w:color="auto" w:fill="auto"/>
            <w:noWrap/>
            <w:vAlign w:val="center"/>
            <w:hideMark/>
          </w:tcPr>
          <w:p w14:paraId="35E2BF74" w14:textId="77777777" w:rsidR="00DE10EC" w:rsidRPr="00FB1BB5" w:rsidRDefault="00DE10EC" w:rsidP="00FC2F59">
            <w:pPr>
              <w:jc w:val="center"/>
              <w:rPr>
                <w:rFonts w:ascii="Arial" w:hAnsi="Arial" w:cs="Arial"/>
                <w:color w:val="000000"/>
              </w:rPr>
            </w:pPr>
            <w:r w:rsidRPr="00FB1BB5">
              <w:rPr>
                <w:rFonts w:ascii="Arial" w:hAnsi="Arial" w:cs="Arial"/>
                <w:color w:val="000000"/>
              </w:rPr>
              <w:t>NE</w:t>
            </w:r>
          </w:p>
        </w:tc>
        <w:tc>
          <w:tcPr>
            <w:tcW w:w="1559" w:type="dxa"/>
            <w:tcBorders>
              <w:top w:val="nil"/>
              <w:left w:val="nil"/>
              <w:bottom w:val="single" w:sz="4" w:space="0" w:color="333333"/>
              <w:right w:val="single" w:sz="4" w:space="0" w:color="333399"/>
            </w:tcBorders>
            <w:shd w:val="clear" w:color="000000" w:fill="FFFFFF"/>
            <w:noWrap/>
            <w:vAlign w:val="center"/>
            <w:hideMark/>
          </w:tcPr>
          <w:p w14:paraId="27EF80E2" w14:textId="16152736" w:rsidR="00DE10EC" w:rsidRPr="00FB1BB5" w:rsidRDefault="00DE10EC" w:rsidP="00FC2F59">
            <w:pPr>
              <w:jc w:val="center"/>
              <w:rPr>
                <w:rFonts w:ascii="Arial" w:hAnsi="Arial" w:cs="Arial"/>
                <w:color w:val="000000"/>
              </w:rPr>
            </w:pPr>
            <w:r w:rsidRPr="00FB1BB5">
              <w:rPr>
                <w:rFonts w:ascii="Arial" w:hAnsi="Arial" w:cs="Arial"/>
                <w:color w:val="000000"/>
              </w:rPr>
              <w:t>44</w:t>
            </w:r>
            <w:r>
              <w:rPr>
                <w:rFonts w:ascii="Arial" w:hAnsi="Arial" w:cs="Arial"/>
                <w:color w:val="000000"/>
              </w:rPr>
              <w:t xml:space="preserve"> (</w:t>
            </w:r>
            <w:r w:rsidRPr="00FB1BB5">
              <w:rPr>
                <w:rFonts w:ascii="Arial" w:hAnsi="Arial" w:cs="Arial"/>
                <w:color w:val="000000"/>
              </w:rPr>
              <w:t>25,4</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16BF4BA6" w14:textId="2822CF74" w:rsidR="00DE10EC" w:rsidRPr="00FB1BB5" w:rsidRDefault="00DE10EC" w:rsidP="00FC2F59">
            <w:pPr>
              <w:jc w:val="center"/>
              <w:rPr>
                <w:rFonts w:ascii="Arial" w:hAnsi="Arial" w:cs="Arial"/>
                <w:color w:val="000000"/>
              </w:rPr>
            </w:pPr>
            <w:r w:rsidRPr="00FB1BB5">
              <w:rPr>
                <w:rFonts w:ascii="Arial" w:hAnsi="Arial" w:cs="Arial"/>
                <w:color w:val="000000"/>
              </w:rPr>
              <w:t>89</w:t>
            </w:r>
            <w:r>
              <w:rPr>
                <w:rFonts w:ascii="Arial" w:hAnsi="Arial" w:cs="Arial"/>
                <w:color w:val="000000"/>
              </w:rPr>
              <w:t xml:space="preserve"> (</w:t>
            </w:r>
            <w:r w:rsidRPr="00FB1BB5">
              <w:rPr>
                <w:rFonts w:ascii="Arial" w:hAnsi="Arial" w:cs="Arial"/>
                <w:color w:val="000000"/>
              </w:rPr>
              <w:t>26,5</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182E2914" w14:textId="1B276EB4" w:rsidR="00DE10EC" w:rsidRPr="00FB1BB5" w:rsidRDefault="00DE10EC" w:rsidP="00FC2F59">
            <w:pPr>
              <w:jc w:val="center"/>
              <w:rPr>
                <w:rFonts w:ascii="Arial" w:hAnsi="Arial" w:cs="Arial"/>
                <w:color w:val="000000"/>
              </w:rPr>
            </w:pPr>
            <w:r w:rsidRPr="00FB1BB5">
              <w:rPr>
                <w:rFonts w:ascii="Arial" w:hAnsi="Arial" w:cs="Arial"/>
                <w:color w:val="000000"/>
              </w:rPr>
              <w:t>133</w:t>
            </w:r>
            <w:r>
              <w:rPr>
                <w:rFonts w:ascii="Arial" w:hAnsi="Arial" w:cs="Arial"/>
                <w:color w:val="000000"/>
              </w:rPr>
              <w:t xml:space="preserve"> (</w:t>
            </w:r>
            <w:r w:rsidRPr="00FB1BB5">
              <w:rPr>
                <w:rFonts w:ascii="Arial" w:hAnsi="Arial" w:cs="Arial"/>
                <w:color w:val="000000"/>
              </w:rPr>
              <w:t>26,1</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418" w:type="dxa"/>
            <w:vMerge/>
            <w:tcBorders>
              <w:top w:val="nil"/>
              <w:left w:val="single" w:sz="4" w:space="0" w:color="auto"/>
              <w:bottom w:val="single" w:sz="4" w:space="0" w:color="auto"/>
              <w:right w:val="single" w:sz="4" w:space="0" w:color="auto"/>
            </w:tcBorders>
            <w:vAlign w:val="center"/>
            <w:hideMark/>
          </w:tcPr>
          <w:p w14:paraId="3DEAB065" w14:textId="77777777" w:rsidR="00DE10EC" w:rsidRPr="003656E6" w:rsidRDefault="00DE10EC" w:rsidP="00FC2F59">
            <w:pPr>
              <w:rPr>
                <w:rFonts w:ascii="Arial" w:hAnsi="Arial" w:cs="Arial"/>
                <w:color w:val="000000"/>
              </w:rPr>
            </w:pPr>
          </w:p>
        </w:tc>
        <w:tc>
          <w:tcPr>
            <w:tcW w:w="1417" w:type="dxa"/>
            <w:vMerge/>
            <w:tcBorders>
              <w:left w:val="single" w:sz="4" w:space="0" w:color="auto"/>
              <w:bottom w:val="single" w:sz="4" w:space="0" w:color="auto"/>
              <w:right w:val="single" w:sz="4" w:space="0" w:color="auto"/>
            </w:tcBorders>
            <w:vAlign w:val="center"/>
          </w:tcPr>
          <w:p w14:paraId="6187C1EE" w14:textId="77777777" w:rsidR="00DE10EC" w:rsidRPr="003656E6" w:rsidRDefault="00DE10EC" w:rsidP="001E534A">
            <w:pPr>
              <w:jc w:val="center"/>
              <w:rPr>
                <w:rFonts w:ascii="Arial" w:hAnsi="Arial" w:cs="Arial"/>
                <w:color w:val="000000"/>
              </w:rPr>
            </w:pPr>
          </w:p>
        </w:tc>
      </w:tr>
      <w:tr w:rsidR="000C2063" w:rsidRPr="00FB1BB5" w14:paraId="71C268A8" w14:textId="22DBA86A" w:rsidTr="000C2063">
        <w:trPr>
          <w:trHeight w:val="397"/>
        </w:trPr>
        <w:tc>
          <w:tcPr>
            <w:tcW w:w="2689" w:type="dxa"/>
            <w:vMerge w:val="restart"/>
            <w:tcBorders>
              <w:top w:val="nil"/>
              <w:left w:val="single" w:sz="4" w:space="0" w:color="auto"/>
              <w:bottom w:val="single" w:sz="4" w:space="0" w:color="auto"/>
              <w:right w:val="single" w:sz="4" w:space="0" w:color="auto"/>
            </w:tcBorders>
            <w:shd w:val="clear" w:color="auto" w:fill="auto"/>
            <w:vAlign w:val="center"/>
            <w:hideMark/>
          </w:tcPr>
          <w:p w14:paraId="4A4D0D15" w14:textId="77777777" w:rsidR="00DE10EC" w:rsidRPr="00FB1BB5" w:rsidRDefault="00DE10EC" w:rsidP="00FC2F59">
            <w:pPr>
              <w:jc w:val="center"/>
              <w:rPr>
                <w:rFonts w:ascii="Arial" w:hAnsi="Arial" w:cs="Arial"/>
                <w:color w:val="000000"/>
              </w:rPr>
            </w:pPr>
            <w:r w:rsidRPr="00FB1BB5">
              <w:rPr>
                <w:rFonts w:ascii="Arial" w:hAnsi="Arial" w:cs="Arial"/>
                <w:color w:val="000000"/>
              </w:rPr>
              <w:t>Využití zobrazovacích metod</w:t>
            </w:r>
          </w:p>
        </w:tc>
        <w:tc>
          <w:tcPr>
            <w:tcW w:w="2268" w:type="dxa"/>
            <w:tcBorders>
              <w:top w:val="nil"/>
              <w:left w:val="nil"/>
              <w:bottom w:val="single" w:sz="4" w:space="0" w:color="auto"/>
              <w:right w:val="single" w:sz="4" w:space="0" w:color="auto"/>
            </w:tcBorders>
            <w:shd w:val="clear" w:color="auto" w:fill="auto"/>
            <w:noWrap/>
            <w:vAlign w:val="center"/>
            <w:hideMark/>
          </w:tcPr>
          <w:p w14:paraId="08FBB52D" w14:textId="77777777" w:rsidR="00DE10EC" w:rsidRPr="00FB1BB5" w:rsidRDefault="00DE10EC" w:rsidP="00FC2F59">
            <w:pPr>
              <w:jc w:val="center"/>
              <w:rPr>
                <w:rFonts w:ascii="Arial" w:hAnsi="Arial" w:cs="Arial"/>
                <w:color w:val="000000"/>
              </w:rPr>
            </w:pPr>
            <w:r w:rsidRPr="00FB1BB5">
              <w:rPr>
                <w:rFonts w:ascii="Arial" w:hAnsi="Arial" w:cs="Arial"/>
                <w:color w:val="000000"/>
              </w:rPr>
              <w:t>ANO</w:t>
            </w:r>
          </w:p>
        </w:tc>
        <w:tc>
          <w:tcPr>
            <w:tcW w:w="1559" w:type="dxa"/>
            <w:tcBorders>
              <w:top w:val="nil"/>
              <w:left w:val="nil"/>
              <w:bottom w:val="single" w:sz="4" w:space="0" w:color="333333"/>
              <w:right w:val="single" w:sz="4" w:space="0" w:color="333399"/>
            </w:tcBorders>
            <w:shd w:val="clear" w:color="000000" w:fill="FFFFFF"/>
            <w:noWrap/>
            <w:vAlign w:val="center"/>
            <w:hideMark/>
          </w:tcPr>
          <w:p w14:paraId="4016C7E7" w14:textId="70EE6010" w:rsidR="00DE10EC" w:rsidRPr="00FB1BB5" w:rsidRDefault="00DE10EC" w:rsidP="00FC2F59">
            <w:pPr>
              <w:jc w:val="center"/>
              <w:rPr>
                <w:rFonts w:ascii="Arial" w:hAnsi="Arial" w:cs="Arial"/>
                <w:color w:val="000000"/>
              </w:rPr>
            </w:pPr>
            <w:r w:rsidRPr="00FB1BB5">
              <w:rPr>
                <w:rFonts w:ascii="Arial" w:hAnsi="Arial" w:cs="Arial"/>
                <w:color w:val="000000"/>
              </w:rPr>
              <w:t>91</w:t>
            </w:r>
            <w:r>
              <w:rPr>
                <w:rFonts w:ascii="Arial" w:hAnsi="Arial" w:cs="Arial"/>
                <w:color w:val="000000"/>
              </w:rPr>
              <w:t xml:space="preserve"> (</w:t>
            </w:r>
            <w:r w:rsidRPr="00FB1BB5">
              <w:rPr>
                <w:rFonts w:ascii="Arial" w:hAnsi="Arial" w:cs="Arial"/>
                <w:color w:val="000000"/>
              </w:rPr>
              <w:t>52,6</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24692C6F" w14:textId="57A14A15" w:rsidR="00DE10EC" w:rsidRPr="00FB1BB5" w:rsidRDefault="00DE10EC" w:rsidP="00FC2F59">
            <w:pPr>
              <w:jc w:val="center"/>
              <w:rPr>
                <w:rFonts w:ascii="Arial" w:hAnsi="Arial" w:cs="Arial"/>
                <w:color w:val="000000"/>
              </w:rPr>
            </w:pPr>
            <w:r w:rsidRPr="00FB1BB5">
              <w:rPr>
                <w:rFonts w:ascii="Arial" w:hAnsi="Arial" w:cs="Arial"/>
                <w:color w:val="000000"/>
              </w:rPr>
              <w:t>165</w:t>
            </w:r>
            <w:r>
              <w:rPr>
                <w:rFonts w:ascii="Arial" w:hAnsi="Arial" w:cs="Arial"/>
                <w:color w:val="000000"/>
              </w:rPr>
              <w:t xml:space="preserve"> (</w:t>
            </w:r>
            <w:r w:rsidRPr="00FB1BB5">
              <w:rPr>
                <w:rFonts w:ascii="Arial" w:hAnsi="Arial" w:cs="Arial"/>
                <w:color w:val="000000"/>
              </w:rPr>
              <w:t>49,1</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6110852B" w14:textId="1C9F323D" w:rsidR="00DE10EC" w:rsidRPr="00FB1BB5" w:rsidRDefault="00DE10EC" w:rsidP="00FC2F59">
            <w:pPr>
              <w:jc w:val="center"/>
              <w:rPr>
                <w:rFonts w:ascii="Arial" w:hAnsi="Arial" w:cs="Arial"/>
                <w:color w:val="000000"/>
              </w:rPr>
            </w:pPr>
            <w:r w:rsidRPr="00FB1BB5">
              <w:rPr>
                <w:rFonts w:ascii="Arial" w:hAnsi="Arial" w:cs="Arial"/>
                <w:color w:val="000000"/>
              </w:rPr>
              <w:t>256</w:t>
            </w:r>
            <w:r>
              <w:rPr>
                <w:rFonts w:ascii="Arial" w:hAnsi="Arial" w:cs="Arial"/>
                <w:color w:val="000000"/>
              </w:rPr>
              <w:t xml:space="preserve"> (</w:t>
            </w:r>
            <w:r w:rsidRPr="00FB1BB5">
              <w:rPr>
                <w:rFonts w:ascii="Arial" w:hAnsi="Arial" w:cs="Arial"/>
                <w:color w:val="000000"/>
              </w:rPr>
              <w:t>50,3</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41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D19EB5" w14:textId="77777777" w:rsidR="00DE10EC" w:rsidRPr="003656E6" w:rsidRDefault="00DE10EC" w:rsidP="00FC2F59">
            <w:pPr>
              <w:jc w:val="center"/>
              <w:rPr>
                <w:rFonts w:ascii="Arial" w:hAnsi="Arial" w:cs="Arial"/>
                <w:color w:val="000000"/>
              </w:rPr>
            </w:pPr>
            <w:r w:rsidRPr="003656E6">
              <w:rPr>
                <w:rFonts w:ascii="Arial" w:hAnsi="Arial" w:cs="Arial"/>
                <w:color w:val="000000"/>
              </w:rPr>
              <w:t>0,455</w:t>
            </w:r>
          </w:p>
        </w:tc>
        <w:tc>
          <w:tcPr>
            <w:tcW w:w="1417" w:type="dxa"/>
            <w:vMerge w:val="restart"/>
            <w:tcBorders>
              <w:top w:val="nil"/>
              <w:left w:val="single" w:sz="4" w:space="0" w:color="auto"/>
              <w:right w:val="single" w:sz="4" w:space="0" w:color="auto"/>
            </w:tcBorders>
            <w:vAlign w:val="center"/>
          </w:tcPr>
          <w:p w14:paraId="5FD8A360" w14:textId="1612C7FA" w:rsidR="00DE10EC" w:rsidRPr="003656E6" w:rsidRDefault="0047709E" w:rsidP="001E534A">
            <w:pPr>
              <w:jc w:val="center"/>
              <w:rPr>
                <w:rFonts w:ascii="Arial" w:hAnsi="Arial" w:cs="Arial"/>
                <w:color w:val="000000"/>
              </w:rPr>
            </w:pPr>
            <w:r w:rsidRPr="003B1C2D">
              <w:rPr>
                <w:rFonts w:ascii="Arial" w:hAnsi="Arial" w:cs="Arial"/>
              </w:rPr>
              <w:t>*</w:t>
            </w:r>
            <w:r w:rsidR="003B1C2D" w:rsidRPr="003B1C2D">
              <w:rPr>
                <w:rFonts w:ascii="Arial" w:hAnsi="Arial" w:cs="Arial"/>
              </w:rPr>
              <w:t>*</w:t>
            </w:r>
            <w:r>
              <w:rPr>
                <w:rFonts w:ascii="Arial" w:hAnsi="Arial" w:cs="Arial"/>
                <w:color w:val="000000"/>
              </w:rPr>
              <w:t xml:space="preserve"> </w:t>
            </w:r>
            <w:r w:rsidR="00786F19">
              <w:rPr>
                <w:rFonts w:ascii="Arial" w:hAnsi="Arial" w:cs="Arial"/>
                <w:color w:val="000000"/>
              </w:rPr>
              <w:t>0,235</w:t>
            </w:r>
          </w:p>
        </w:tc>
      </w:tr>
      <w:tr w:rsidR="000C2063" w:rsidRPr="00FB1BB5" w14:paraId="0FFBBFB9" w14:textId="64FFC01F" w:rsidTr="000C2063">
        <w:trPr>
          <w:trHeight w:val="397"/>
        </w:trPr>
        <w:tc>
          <w:tcPr>
            <w:tcW w:w="2689" w:type="dxa"/>
            <w:vMerge/>
            <w:tcBorders>
              <w:top w:val="nil"/>
              <w:left w:val="single" w:sz="4" w:space="0" w:color="auto"/>
              <w:bottom w:val="single" w:sz="4" w:space="0" w:color="auto"/>
              <w:right w:val="single" w:sz="4" w:space="0" w:color="auto"/>
            </w:tcBorders>
            <w:vAlign w:val="center"/>
            <w:hideMark/>
          </w:tcPr>
          <w:p w14:paraId="4A35EC3E" w14:textId="77777777" w:rsidR="00DE10EC" w:rsidRPr="00FB1BB5" w:rsidRDefault="00DE10EC" w:rsidP="00FC2F59">
            <w:pPr>
              <w:rPr>
                <w:rFonts w:ascii="Arial" w:hAnsi="Arial" w:cs="Arial"/>
                <w:color w:val="000000"/>
              </w:rPr>
            </w:pPr>
          </w:p>
        </w:tc>
        <w:tc>
          <w:tcPr>
            <w:tcW w:w="2268" w:type="dxa"/>
            <w:tcBorders>
              <w:top w:val="nil"/>
              <w:left w:val="nil"/>
              <w:bottom w:val="single" w:sz="4" w:space="0" w:color="auto"/>
              <w:right w:val="single" w:sz="4" w:space="0" w:color="auto"/>
            </w:tcBorders>
            <w:shd w:val="clear" w:color="auto" w:fill="auto"/>
            <w:noWrap/>
            <w:vAlign w:val="center"/>
            <w:hideMark/>
          </w:tcPr>
          <w:p w14:paraId="11B4E011" w14:textId="77777777" w:rsidR="00DE10EC" w:rsidRPr="00FB1BB5" w:rsidRDefault="00DE10EC" w:rsidP="00FC2F59">
            <w:pPr>
              <w:jc w:val="center"/>
              <w:rPr>
                <w:rFonts w:ascii="Arial" w:hAnsi="Arial" w:cs="Arial"/>
                <w:color w:val="000000"/>
              </w:rPr>
            </w:pPr>
            <w:r w:rsidRPr="00FB1BB5">
              <w:rPr>
                <w:rFonts w:ascii="Arial" w:hAnsi="Arial" w:cs="Arial"/>
                <w:color w:val="000000"/>
              </w:rPr>
              <w:t>NE</w:t>
            </w:r>
          </w:p>
        </w:tc>
        <w:tc>
          <w:tcPr>
            <w:tcW w:w="1559" w:type="dxa"/>
            <w:tcBorders>
              <w:top w:val="nil"/>
              <w:left w:val="nil"/>
              <w:bottom w:val="single" w:sz="4" w:space="0" w:color="333333"/>
              <w:right w:val="single" w:sz="4" w:space="0" w:color="333399"/>
            </w:tcBorders>
            <w:shd w:val="clear" w:color="000000" w:fill="FFFFFF"/>
            <w:noWrap/>
            <w:vAlign w:val="center"/>
            <w:hideMark/>
          </w:tcPr>
          <w:p w14:paraId="43C6B755" w14:textId="68B86C89" w:rsidR="00DE10EC" w:rsidRPr="00FB1BB5" w:rsidRDefault="00DE10EC" w:rsidP="00FC2F59">
            <w:pPr>
              <w:jc w:val="center"/>
              <w:rPr>
                <w:rFonts w:ascii="Arial" w:hAnsi="Arial" w:cs="Arial"/>
                <w:color w:val="000000"/>
              </w:rPr>
            </w:pPr>
            <w:r w:rsidRPr="00FB1BB5">
              <w:rPr>
                <w:rFonts w:ascii="Arial" w:hAnsi="Arial" w:cs="Arial"/>
                <w:color w:val="000000"/>
              </w:rPr>
              <w:t>82</w:t>
            </w:r>
            <w:r>
              <w:rPr>
                <w:rFonts w:ascii="Arial" w:hAnsi="Arial" w:cs="Arial"/>
                <w:color w:val="000000"/>
              </w:rPr>
              <w:t xml:space="preserve"> (</w:t>
            </w:r>
            <w:r w:rsidRPr="00FB1BB5">
              <w:rPr>
                <w:rFonts w:ascii="Arial" w:hAnsi="Arial" w:cs="Arial"/>
                <w:color w:val="000000"/>
              </w:rPr>
              <w:t>47,4</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32E18826" w14:textId="69E1D648" w:rsidR="00DE10EC" w:rsidRPr="00FB1BB5" w:rsidRDefault="00DE10EC" w:rsidP="00FC2F59">
            <w:pPr>
              <w:jc w:val="center"/>
              <w:rPr>
                <w:rFonts w:ascii="Arial" w:hAnsi="Arial" w:cs="Arial"/>
                <w:color w:val="000000"/>
              </w:rPr>
            </w:pPr>
            <w:r w:rsidRPr="00FB1BB5">
              <w:rPr>
                <w:rFonts w:ascii="Arial" w:hAnsi="Arial" w:cs="Arial"/>
                <w:color w:val="000000"/>
              </w:rPr>
              <w:t>171</w:t>
            </w:r>
            <w:r>
              <w:rPr>
                <w:rFonts w:ascii="Arial" w:hAnsi="Arial" w:cs="Arial"/>
                <w:color w:val="000000"/>
              </w:rPr>
              <w:t xml:space="preserve"> (</w:t>
            </w:r>
            <w:r w:rsidRPr="00FB1BB5">
              <w:rPr>
                <w:rFonts w:ascii="Arial" w:hAnsi="Arial" w:cs="Arial"/>
                <w:color w:val="000000"/>
              </w:rPr>
              <w:t>50,9</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1CC680B6" w14:textId="0C87D6F7" w:rsidR="00DE10EC" w:rsidRPr="00FB1BB5" w:rsidRDefault="00DE10EC" w:rsidP="00FC2F59">
            <w:pPr>
              <w:jc w:val="center"/>
              <w:rPr>
                <w:rFonts w:ascii="Arial" w:hAnsi="Arial" w:cs="Arial"/>
                <w:color w:val="000000"/>
              </w:rPr>
            </w:pPr>
            <w:r w:rsidRPr="00FB1BB5">
              <w:rPr>
                <w:rFonts w:ascii="Arial" w:hAnsi="Arial" w:cs="Arial"/>
                <w:color w:val="000000"/>
              </w:rPr>
              <w:t>253</w:t>
            </w:r>
            <w:r>
              <w:rPr>
                <w:rFonts w:ascii="Arial" w:hAnsi="Arial" w:cs="Arial"/>
                <w:color w:val="000000"/>
              </w:rPr>
              <w:t xml:space="preserve"> (</w:t>
            </w:r>
            <w:r w:rsidRPr="00FB1BB5">
              <w:rPr>
                <w:rFonts w:ascii="Arial" w:hAnsi="Arial" w:cs="Arial"/>
                <w:color w:val="000000"/>
              </w:rPr>
              <w:t>49,7</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418" w:type="dxa"/>
            <w:vMerge/>
            <w:tcBorders>
              <w:top w:val="nil"/>
              <w:left w:val="single" w:sz="4" w:space="0" w:color="auto"/>
              <w:bottom w:val="single" w:sz="4" w:space="0" w:color="auto"/>
              <w:right w:val="single" w:sz="4" w:space="0" w:color="auto"/>
            </w:tcBorders>
            <w:vAlign w:val="center"/>
            <w:hideMark/>
          </w:tcPr>
          <w:p w14:paraId="06449459" w14:textId="77777777" w:rsidR="00DE10EC" w:rsidRPr="003656E6" w:rsidRDefault="00DE10EC" w:rsidP="00FC2F59">
            <w:pPr>
              <w:rPr>
                <w:rFonts w:ascii="Arial" w:hAnsi="Arial" w:cs="Arial"/>
                <w:color w:val="000000"/>
              </w:rPr>
            </w:pPr>
          </w:p>
        </w:tc>
        <w:tc>
          <w:tcPr>
            <w:tcW w:w="1417" w:type="dxa"/>
            <w:vMerge/>
            <w:tcBorders>
              <w:left w:val="single" w:sz="4" w:space="0" w:color="auto"/>
              <w:bottom w:val="single" w:sz="4" w:space="0" w:color="auto"/>
              <w:right w:val="single" w:sz="4" w:space="0" w:color="auto"/>
            </w:tcBorders>
            <w:vAlign w:val="center"/>
          </w:tcPr>
          <w:p w14:paraId="427A4000" w14:textId="77777777" w:rsidR="00DE10EC" w:rsidRPr="003656E6" w:rsidRDefault="00DE10EC" w:rsidP="001E534A">
            <w:pPr>
              <w:jc w:val="center"/>
              <w:rPr>
                <w:rFonts w:ascii="Arial" w:hAnsi="Arial" w:cs="Arial"/>
                <w:color w:val="000000"/>
              </w:rPr>
            </w:pPr>
          </w:p>
        </w:tc>
      </w:tr>
      <w:tr w:rsidR="000C2063" w:rsidRPr="00FB1BB5" w14:paraId="5178D495" w14:textId="05DE898C" w:rsidTr="000C2063">
        <w:trPr>
          <w:trHeight w:val="397"/>
        </w:trPr>
        <w:tc>
          <w:tcPr>
            <w:tcW w:w="2689" w:type="dxa"/>
            <w:vMerge w:val="restart"/>
            <w:tcBorders>
              <w:top w:val="nil"/>
              <w:left w:val="single" w:sz="4" w:space="0" w:color="auto"/>
              <w:bottom w:val="single" w:sz="4" w:space="0" w:color="auto"/>
              <w:right w:val="single" w:sz="4" w:space="0" w:color="auto"/>
            </w:tcBorders>
            <w:shd w:val="clear" w:color="auto" w:fill="auto"/>
            <w:vAlign w:val="center"/>
            <w:hideMark/>
          </w:tcPr>
          <w:p w14:paraId="47F6E82F" w14:textId="382C20CE" w:rsidR="00DE10EC" w:rsidRPr="00FB1BB5" w:rsidRDefault="00DE10EC" w:rsidP="000C2063">
            <w:pPr>
              <w:jc w:val="center"/>
              <w:rPr>
                <w:rFonts w:ascii="Arial" w:hAnsi="Arial" w:cs="Arial"/>
                <w:color w:val="000000"/>
              </w:rPr>
            </w:pPr>
            <w:r w:rsidRPr="00FB1BB5">
              <w:rPr>
                <w:rFonts w:ascii="Arial" w:hAnsi="Arial" w:cs="Arial"/>
                <w:color w:val="000000"/>
              </w:rPr>
              <w:t>Konzilium</w:t>
            </w:r>
            <w:r w:rsidR="000C2063">
              <w:rPr>
                <w:rFonts w:ascii="Arial" w:hAnsi="Arial" w:cs="Arial"/>
                <w:color w:val="000000"/>
              </w:rPr>
              <w:t xml:space="preserve"> </w:t>
            </w:r>
            <w:r w:rsidRPr="00FB1BB5">
              <w:rPr>
                <w:rFonts w:ascii="Arial" w:hAnsi="Arial" w:cs="Arial"/>
                <w:color w:val="000000"/>
              </w:rPr>
              <w:t>specialisty</w:t>
            </w:r>
          </w:p>
        </w:tc>
        <w:tc>
          <w:tcPr>
            <w:tcW w:w="2268" w:type="dxa"/>
            <w:tcBorders>
              <w:top w:val="nil"/>
              <w:left w:val="nil"/>
              <w:bottom w:val="single" w:sz="4" w:space="0" w:color="auto"/>
              <w:right w:val="single" w:sz="4" w:space="0" w:color="auto"/>
            </w:tcBorders>
            <w:shd w:val="clear" w:color="auto" w:fill="auto"/>
            <w:noWrap/>
            <w:vAlign w:val="center"/>
            <w:hideMark/>
          </w:tcPr>
          <w:p w14:paraId="663633F4" w14:textId="77777777" w:rsidR="00DE10EC" w:rsidRPr="00FB1BB5" w:rsidRDefault="00DE10EC" w:rsidP="00FC2F59">
            <w:pPr>
              <w:jc w:val="center"/>
              <w:rPr>
                <w:rFonts w:ascii="Arial" w:hAnsi="Arial" w:cs="Arial"/>
                <w:color w:val="000000"/>
              </w:rPr>
            </w:pPr>
            <w:r w:rsidRPr="00FB1BB5">
              <w:rPr>
                <w:rFonts w:ascii="Arial" w:hAnsi="Arial" w:cs="Arial"/>
                <w:color w:val="000000"/>
              </w:rPr>
              <w:t>ANO</w:t>
            </w:r>
          </w:p>
        </w:tc>
        <w:tc>
          <w:tcPr>
            <w:tcW w:w="1559" w:type="dxa"/>
            <w:tcBorders>
              <w:top w:val="nil"/>
              <w:left w:val="nil"/>
              <w:bottom w:val="single" w:sz="4" w:space="0" w:color="333333"/>
              <w:right w:val="single" w:sz="4" w:space="0" w:color="333399"/>
            </w:tcBorders>
            <w:shd w:val="clear" w:color="000000" w:fill="FFFFFF"/>
            <w:noWrap/>
            <w:vAlign w:val="center"/>
            <w:hideMark/>
          </w:tcPr>
          <w:p w14:paraId="27F77453" w14:textId="01A5AA3B" w:rsidR="00DE10EC" w:rsidRPr="00FB1BB5" w:rsidRDefault="00DE10EC" w:rsidP="00FC2F59">
            <w:pPr>
              <w:jc w:val="center"/>
              <w:rPr>
                <w:rFonts w:ascii="Arial" w:hAnsi="Arial" w:cs="Arial"/>
                <w:color w:val="000000"/>
              </w:rPr>
            </w:pPr>
            <w:r w:rsidRPr="00FB1BB5">
              <w:rPr>
                <w:rFonts w:ascii="Arial" w:hAnsi="Arial" w:cs="Arial"/>
                <w:color w:val="000000"/>
              </w:rPr>
              <w:t>4</w:t>
            </w:r>
            <w:r>
              <w:rPr>
                <w:rFonts w:ascii="Arial" w:hAnsi="Arial" w:cs="Arial"/>
                <w:color w:val="000000"/>
              </w:rPr>
              <w:t xml:space="preserve"> (</w:t>
            </w:r>
            <w:r w:rsidRPr="00FB1BB5">
              <w:rPr>
                <w:rFonts w:ascii="Arial" w:hAnsi="Arial" w:cs="Arial"/>
                <w:color w:val="000000"/>
              </w:rPr>
              <w:t>2,3</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4FF0346C" w14:textId="2273BE4A" w:rsidR="00DE10EC" w:rsidRPr="00FB1BB5" w:rsidRDefault="00DE10EC" w:rsidP="00FC2F59">
            <w:pPr>
              <w:jc w:val="center"/>
              <w:rPr>
                <w:rFonts w:ascii="Arial" w:hAnsi="Arial" w:cs="Arial"/>
                <w:color w:val="000000"/>
              </w:rPr>
            </w:pPr>
            <w:r w:rsidRPr="00FB1BB5">
              <w:rPr>
                <w:rFonts w:ascii="Arial" w:hAnsi="Arial" w:cs="Arial"/>
                <w:color w:val="000000"/>
              </w:rPr>
              <w:t>20</w:t>
            </w:r>
            <w:r>
              <w:rPr>
                <w:rFonts w:ascii="Arial" w:hAnsi="Arial" w:cs="Arial"/>
                <w:color w:val="000000"/>
              </w:rPr>
              <w:t xml:space="preserve"> (</w:t>
            </w:r>
            <w:r w:rsidRPr="00FB1BB5">
              <w:rPr>
                <w:rFonts w:ascii="Arial" w:hAnsi="Arial" w:cs="Arial"/>
                <w:color w:val="000000"/>
              </w:rPr>
              <w:t>6,0</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2ACC199E" w14:textId="5DF83575" w:rsidR="00DE10EC" w:rsidRPr="00FB1BB5" w:rsidRDefault="00DE10EC" w:rsidP="00FC2F59">
            <w:pPr>
              <w:jc w:val="center"/>
              <w:rPr>
                <w:rFonts w:ascii="Arial" w:hAnsi="Arial" w:cs="Arial"/>
                <w:color w:val="000000"/>
              </w:rPr>
            </w:pPr>
            <w:r w:rsidRPr="00FB1BB5">
              <w:rPr>
                <w:rFonts w:ascii="Arial" w:hAnsi="Arial" w:cs="Arial"/>
                <w:color w:val="000000"/>
              </w:rPr>
              <w:t>24</w:t>
            </w:r>
            <w:r>
              <w:rPr>
                <w:rFonts w:ascii="Arial" w:hAnsi="Arial" w:cs="Arial"/>
                <w:color w:val="000000"/>
              </w:rPr>
              <w:t xml:space="preserve"> (</w:t>
            </w:r>
            <w:r w:rsidRPr="00FB1BB5">
              <w:rPr>
                <w:rFonts w:ascii="Arial" w:hAnsi="Arial" w:cs="Arial"/>
                <w:color w:val="000000"/>
              </w:rPr>
              <w:t>4,7</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41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FF915F" w14:textId="64D9DAF9" w:rsidR="00DE10EC" w:rsidRPr="003656E6" w:rsidRDefault="00DE10EC" w:rsidP="00FC2F59">
            <w:pPr>
              <w:jc w:val="center"/>
              <w:rPr>
                <w:rFonts w:ascii="Arial" w:hAnsi="Arial" w:cs="Arial"/>
                <w:color w:val="000000"/>
              </w:rPr>
            </w:pPr>
            <w:r w:rsidRPr="003656E6">
              <w:rPr>
                <w:rFonts w:ascii="Arial" w:hAnsi="Arial" w:cs="Arial"/>
                <w:color w:val="000000"/>
              </w:rPr>
              <w:t>0,066</w:t>
            </w:r>
          </w:p>
        </w:tc>
        <w:tc>
          <w:tcPr>
            <w:tcW w:w="1417" w:type="dxa"/>
            <w:vMerge w:val="restart"/>
            <w:tcBorders>
              <w:top w:val="nil"/>
              <w:left w:val="single" w:sz="4" w:space="0" w:color="auto"/>
              <w:right w:val="single" w:sz="4" w:space="0" w:color="auto"/>
            </w:tcBorders>
            <w:vAlign w:val="center"/>
          </w:tcPr>
          <w:p w14:paraId="3B2A2088" w14:textId="3500258E" w:rsidR="00DE10EC" w:rsidRPr="00B84818" w:rsidRDefault="0047709E" w:rsidP="001E534A">
            <w:pPr>
              <w:jc w:val="center"/>
              <w:rPr>
                <w:rFonts w:ascii="Arial" w:hAnsi="Arial" w:cs="Arial"/>
                <w:b/>
                <w:bCs/>
                <w:color w:val="000000"/>
              </w:rPr>
            </w:pPr>
            <w:r w:rsidRPr="003B1C2D">
              <w:rPr>
                <w:rFonts w:ascii="Arial" w:hAnsi="Arial" w:cs="Arial"/>
              </w:rPr>
              <w:t>*</w:t>
            </w:r>
            <w:r w:rsidR="003B1C2D" w:rsidRPr="003B1C2D">
              <w:rPr>
                <w:rFonts w:ascii="Arial" w:hAnsi="Arial" w:cs="Arial"/>
              </w:rPr>
              <w:t>*</w:t>
            </w:r>
            <w:r>
              <w:rPr>
                <w:rFonts w:ascii="Arial" w:hAnsi="Arial" w:cs="Arial"/>
                <w:b/>
                <w:bCs/>
                <w:color w:val="000000"/>
              </w:rPr>
              <w:t xml:space="preserve"> </w:t>
            </w:r>
            <w:r w:rsidR="00D26D1D" w:rsidRPr="00B84818">
              <w:rPr>
                <w:rFonts w:ascii="Arial" w:hAnsi="Arial" w:cs="Arial"/>
                <w:b/>
                <w:bCs/>
                <w:color w:val="000000"/>
              </w:rPr>
              <w:t>0,027</w:t>
            </w:r>
          </w:p>
          <w:p w14:paraId="454F615A" w14:textId="18B68545" w:rsidR="00D26D1D" w:rsidRPr="003656E6" w:rsidRDefault="00D26D1D" w:rsidP="001E534A">
            <w:pPr>
              <w:jc w:val="center"/>
              <w:rPr>
                <w:rFonts w:ascii="Arial" w:hAnsi="Arial" w:cs="Arial"/>
                <w:color w:val="000000"/>
              </w:rPr>
            </w:pPr>
            <w:r w:rsidRPr="00B84818">
              <w:rPr>
                <w:rFonts w:ascii="Arial" w:hAnsi="Arial" w:cs="Arial"/>
                <w:b/>
                <w:bCs/>
                <w:color w:val="000000"/>
              </w:rPr>
              <w:t>Fí=-0,</w:t>
            </w:r>
            <w:r w:rsidR="001E534A" w:rsidRPr="00B84818">
              <w:rPr>
                <w:rFonts w:ascii="Arial" w:hAnsi="Arial" w:cs="Arial"/>
                <w:b/>
                <w:bCs/>
                <w:color w:val="000000"/>
              </w:rPr>
              <w:t>0</w:t>
            </w:r>
            <w:r w:rsidRPr="00B84818">
              <w:rPr>
                <w:rFonts w:ascii="Arial" w:hAnsi="Arial" w:cs="Arial"/>
                <w:b/>
                <w:bCs/>
                <w:color w:val="000000"/>
              </w:rPr>
              <w:t>66</w:t>
            </w:r>
          </w:p>
        </w:tc>
      </w:tr>
      <w:tr w:rsidR="000C2063" w:rsidRPr="00FB1BB5" w14:paraId="18079CA4" w14:textId="432C7B9E" w:rsidTr="000C2063">
        <w:trPr>
          <w:trHeight w:val="397"/>
        </w:trPr>
        <w:tc>
          <w:tcPr>
            <w:tcW w:w="2689" w:type="dxa"/>
            <w:vMerge/>
            <w:tcBorders>
              <w:top w:val="nil"/>
              <w:left w:val="single" w:sz="4" w:space="0" w:color="auto"/>
              <w:bottom w:val="single" w:sz="4" w:space="0" w:color="auto"/>
              <w:right w:val="single" w:sz="4" w:space="0" w:color="auto"/>
            </w:tcBorders>
            <w:vAlign w:val="center"/>
            <w:hideMark/>
          </w:tcPr>
          <w:p w14:paraId="238047B3" w14:textId="77777777" w:rsidR="00DE10EC" w:rsidRPr="00FB1BB5" w:rsidRDefault="00DE10EC" w:rsidP="00FC2F59">
            <w:pPr>
              <w:rPr>
                <w:rFonts w:ascii="Arial" w:hAnsi="Arial" w:cs="Arial"/>
                <w:color w:val="000000"/>
              </w:rPr>
            </w:pPr>
          </w:p>
        </w:tc>
        <w:tc>
          <w:tcPr>
            <w:tcW w:w="2268" w:type="dxa"/>
            <w:tcBorders>
              <w:top w:val="nil"/>
              <w:left w:val="nil"/>
              <w:bottom w:val="single" w:sz="4" w:space="0" w:color="auto"/>
              <w:right w:val="single" w:sz="4" w:space="0" w:color="auto"/>
            </w:tcBorders>
            <w:shd w:val="clear" w:color="auto" w:fill="auto"/>
            <w:noWrap/>
            <w:vAlign w:val="center"/>
            <w:hideMark/>
          </w:tcPr>
          <w:p w14:paraId="0B4B6344" w14:textId="77777777" w:rsidR="00DE10EC" w:rsidRPr="00FB1BB5" w:rsidRDefault="00DE10EC" w:rsidP="00FC2F59">
            <w:pPr>
              <w:jc w:val="center"/>
              <w:rPr>
                <w:rFonts w:ascii="Arial" w:hAnsi="Arial" w:cs="Arial"/>
                <w:color w:val="000000"/>
              </w:rPr>
            </w:pPr>
            <w:r w:rsidRPr="00FB1BB5">
              <w:rPr>
                <w:rFonts w:ascii="Arial" w:hAnsi="Arial" w:cs="Arial"/>
                <w:color w:val="000000"/>
              </w:rPr>
              <w:t>NE</w:t>
            </w:r>
          </w:p>
        </w:tc>
        <w:tc>
          <w:tcPr>
            <w:tcW w:w="1559" w:type="dxa"/>
            <w:tcBorders>
              <w:top w:val="nil"/>
              <w:left w:val="nil"/>
              <w:bottom w:val="single" w:sz="4" w:space="0" w:color="333333"/>
              <w:right w:val="single" w:sz="4" w:space="0" w:color="333399"/>
            </w:tcBorders>
            <w:shd w:val="clear" w:color="000000" w:fill="FFFFFF"/>
            <w:noWrap/>
            <w:vAlign w:val="center"/>
            <w:hideMark/>
          </w:tcPr>
          <w:p w14:paraId="3A92D03F" w14:textId="0FABAAC2" w:rsidR="00DE10EC" w:rsidRPr="00FB1BB5" w:rsidRDefault="00DE10EC" w:rsidP="00FC2F59">
            <w:pPr>
              <w:jc w:val="center"/>
              <w:rPr>
                <w:rFonts w:ascii="Arial" w:hAnsi="Arial" w:cs="Arial"/>
                <w:color w:val="000000"/>
              </w:rPr>
            </w:pPr>
            <w:r w:rsidRPr="00FB1BB5">
              <w:rPr>
                <w:rFonts w:ascii="Arial" w:hAnsi="Arial" w:cs="Arial"/>
                <w:color w:val="000000"/>
              </w:rPr>
              <w:t>169</w:t>
            </w:r>
            <w:r>
              <w:rPr>
                <w:rFonts w:ascii="Arial" w:hAnsi="Arial" w:cs="Arial"/>
                <w:color w:val="000000"/>
              </w:rPr>
              <w:t xml:space="preserve"> (</w:t>
            </w:r>
            <w:r w:rsidRPr="00FB1BB5">
              <w:rPr>
                <w:rFonts w:ascii="Arial" w:hAnsi="Arial" w:cs="Arial"/>
                <w:color w:val="000000"/>
              </w:rPr>
              <w:t>97,7</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52242277" w14:textId="0DD41E2E" w:rsidR="00DE10EC" w:rsidRPr="00FB1BB5" w:rsidRDefault="00DE10EC" w:rsidP="00FC2F59">
            <w:pPr>
              <w:jc w:val="center"/>
              <w:rPr>
                <w:rFonts w:ascii="Arial" w:hAnsi="Arial" w:cs="Arial"/>
                <w:color w:val="000000"/>
              </w:rPr>
            </w:pPr>
            <w:r w:rsidRPr="00FB1BB5">
              <w:rPr>
                <w:rFonts w:ascii="Arial" w:hAnsi="Arial" w:cs="Arial"/>
                <w:color w:val="000000"/>
              </w:rPr>
              <w:t>316</w:t>
            </w:r>
            <w:r>
              <w:rPr>
                <w:rFonts w:ascii="Arial" w:hAnsi="Arial" w:cs="Arial"/>
                <w:color w:val="000000"/>
              </w:rPr>
              <w:t xml:space="preserve"> (</w:t>
            </w:r>
            <w:r w:rsidRPr="00FB1BB5">
              <w:rPr>
                <w:rFonts w:ascii="Arial" w:hAnsi="Arial" w:cs="Arial"/>
                <w:color w:val="000000"/>
              </w:rPr>
              <w:t>94,0</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559" w:type="dxa"/>
            <w:tcBorders>
              <w:top w:val="nil"/>
              <w:left w:val="nil"/>
              <w:bottom w:val="single" w:sz="4" w:space="0" w:color="333333"/>
              <w:right w:val="single" w:sz="4" w:space="0" w:color="333399"/>
            </w:tcBorders>
            <w:shd w:val="clear" w:color="000000" w:fill="FFFFFF"/>
            <w:noWrap/>
            <w:vAlign w:val="center"/>
            <w:hideMark/>
          </w:tcPr>
          <w:p w14:paraId="0EA1B274" w14:textId="323502A7" w:rsidR="00DE10EC" w:rsidRPr="00FB1BB5" w:rsidRDefault="00DE10EC" w:rsidP="00FC2F59">
            <w:pPr>
              <w:jc w:val="center"/>
              <w:rPr>
                <w:rFonts w:ascii="Arial" w:hAnsi="Arial" w:cs="Arial"/>
                <w:color w:val="000000"/>
              </w:rPr>
            </w:pPr>
            <w:r w:rsidRPr="00FB1BB5">
              <w:rPr>
                <w:rFonts w:ascii="Arial" w:hAnsi="Arial" w:cs="Arial"/>
                <w:color w:val="000000"/>
              </w:rPr>
              <w:t>485</w:t>
            </w:r>
            <w:r>
              <w:rPr>
                <w:rFonts w:ascii="Arial" w:hAnsi="Arial" w:cs="Arial"/>
                <w:color w:val="000000"/>
              </w:rPr>
              <w:t xml:space="preserve"> (</w:t>
            </w:r>
            <w:r w:rsidRPr="00FB1BB5">
              <w:rPr>
                <w:rFonts w:ascii="Arial" w:hAnsi="Arial" w:cs="Arial"/>
                <w:color w:val="000000"/>
              </w:rPr>
              <w:t>95,3</w:t>
            </w:r>
            <w:r>
              <w:rPr>
                <w:rFonts w:ascii="Arial" w:hAnsi="Arial" w:cs="Arial"/>
                <w:color w:val="000000"/>
              </w:rPr>
              <w:t xml:space="preserve"> </w:t>
            </w:r>
            <w:r w:rsidRPr="00FB1BB5">
              <w:rPr>
                <w:rFonts w:ascii="Arial" w:hAnsi="Arial" w:cs="Arial"/>
                <w:color w:val="000000"/>
              </w:rPr>
              <w:t>%</w:t>
            </w:r>
            <w:r>
              <w:rPr>
                <w:rFonts w:ascii="Arial" w:hAnsi="Arial" w:cs="Arial"/>
                <w:color w:val="000000"/>
              </w:rPr>
              <w:t>)</w:t>
            </w:r>
          </w:p>
        </w:tc>
        <w:tc>
          <w:tcPr>
            <w:tcW w:w="1418" w:type="dxa"/>
            <w:vMerge/>
            <w:tcBorders>
              <w:top w:val="nil"/>
              <w:left w:val="single" w:sz="4" w:space="0" w:color="auto"/>
              <w:bottom w:val="single" w:sz="4" w:space="0" w:color="auto"/>
              <w:right w:val="single" w:sz="4" w:space="0" w:color="auto"/>
            </w:tcBorders>
            <w:vAlign w:val="center"/>
            <w:hideMark/>
          </w:tcPr>
          <w:p w14:paraId="6C47C2C3" w14:textId="77777777" w:rsidR="00DE10EC" w:rsidRPr="00FB1BB5" w:rsidRDefault="00DE10EC" w:rsidP="00FC2F59">
            <w:pPr>
              <w:rPr>
                <w:rFonts w:ascii="Arial" w:hAnsi="Arial" w:cs="Arial"/>
                <w:color w:val="000000"/>
              </w:rPr>
            </w:pPr>
          </w:p>
        </w:tc>
        <w:tc>
          <w:tcPr>
            <w:tcW w:w="1417" w:type="dxa"/>
            <w:vMerge/>
            <w:tcBorders>
              <w:left w:val="single" w:sz="4" w:space="0" w:color="auto"/>
              <w:bottom w:val="single" w:sz="4" w:space="0" w:color="auto"/>
              <w:right w:val="single" w:sz="4" w:space="0" w:color="auto"/>
            </w:tcBorders>
          </w:tcPr>
          <w:p w14:paraId="1C8F295A" w14:textId="77777777" w:rsidR="00DE10EC" w:rsidRPr="00FB1BB5" w:rsidRDefault="00DE10EC" w:rsidP="00FC2F59">
            <w:pPr>
              <w:rPr>
                <w:rFonts w:ascii="Arial" w:hAnsi="Arial" w:cs="Arial"/>
                <w:color w:val="000000"/>
              </w:rPr>
            </w:pPr>
          </w:p>
        </w:tc>
      </w:tr>
    </w:tbl>
    <w:p w14:paraId="1BBBE1DC" w14:textId="3EBD4D1D" w:rsidR="003C541E" w:rsidRDefault="006E31A5" w:rsidP="006E31A5">
      <w:pPr>
        <w:pStyle w:val="Popisobrzku"/>
      </w:pPr>
      <w:r w:rsidRPr="00FB1BB5">
        <w:t xml:space="preserve">Chí-kvadrát test (χ2), koeficient </w:t>
      </w:r>
      <w:proofErr w:type="spellStart"/>
      <w:r w:rsidRPr="00FB1BB5">
        <w:t>asociance</w:t>
      </w:r>
      <w:proofErr w:type="spellEnd"/>
      <w:r w:rsidRPr="00FB1BB5">
        <w:t xml:space="preserve"> Fí a </w:t>
      </w:r>
      <w:proofErr w:type="spellStart"/>
      <w:r w:rsidRPr="00FB1BB5">
        <w:t>Cramerovo</w:t>
      </w:r>
      <w:proofErr w:type="spellEnd"/>
      <w:r w:rsidRPr="00FB1BB5">
        <w:t xml:space="preserve"> V (CV) byly použity s hladinou významnosti &lt;0,05.</w:t>
      </w:r>
      <w:r w:rsidR="00013EA1">
        <w:t xml:space="preserve"> </w:t>
      </w:r>
      <w:r w:rsidR="00013EA1" w:rsidRPr="00013EA1">
        <w:t>P-hodnota rozdílu</w:t>
      </w:r>
      <w:r w:rsidR="00AC0575">
        <w:t xml:space="preserve"> mezi roky 2019 a 2023</w:t>
      </w:r>
      <w:r w:rsidR="00013EA1" w:rsidRPr="00013EA1">
        <w:t xml:space="preserve"> udává statistickou významnost rozdílu v rozložení četností mezi </w:t>
      </w:r>
      <w:r w:rsidR="00FA54A1">
        <w:t>oběma sledovanými ročníky</w:t>
      </w:r>
      <w:r w:rsidR="00013EA1" w:rsidRPr="00013EA1">
        <w:t>.</w:t>
      </w:r>
    </w:p>
    <w:p w14:paraId="622A2CF3" w14:textId="45D2CB04" w:rsidR="003F3C20" w:rsidRPr="00EE22D1" w:rsidRDefault="002C7B1A" w:rsidP="00C16865">
      <w:pPr>
        <w:pStyle w:val="Titulektabulky"/>
      </w:pPr>
      <w:bookmarkStart w:id="58" w:name="_Toc195517148"/>
      <w:r>
        <w:lastRenderedPageBreak/>
        <w:t xml:space="preserve">Tab. </w:t>
      </w:r>
      <w:fldSimple w:instr=" SEQ Tab. \* ARABIC ">
        <w:r w:rsidRPr="003656E6">
          <w:rPr>
            <w:noProof/>
          </w:rPr>
          <w:t>23</w:t>
        </w:r>
      </w:fldSimple>
      <w:r w:rsidRPr="003656E6">
        <w:t>: Závislost mezi věkem</w:t>
      </w:r>
      <w:r w:rsidRPr="003F274C">
        <w:t xml:space="preserve"> pacienta </w:t>
      </w:r>
      <w:r>
        <w:t xml:space="preserve">ve věku 75 a více let </w:t>
      </w:r>
      <w:r w:rsidRPr="003F274C">
        <w:t>a jeho trajektorií na NUP FN Brno – rok 20</w:t>
      </w:r>
      <w:r>
        <w:t>19</w:t>
      </w:r>
      <w:r w:rsidRPr="003F274C">
        <w:t xml:space="preserve"> (řádková %; N=</w:t>
      </w:r>
      <w:r w:rsidR="00ED2747">
        <w:t>509; *N=508</w:t>
      </w:r>
      <w:r w:rsidR="00354152">
        <w:t xml:space="preserve">; </w:t>
      </w:r>
      <w:r w:rsidR="00641748" w:rsidRPr="009E19DB">
        <w:t>*</w:t>
      </w:r>
      <w:r w:rsidR="009E19DB" w:rsidRPr="009E19DB">
        <w:t>*</w:t>
      </w:r>
      <w:r w:rsidR="00354152">
        <w:t>N</w:t>
      </w:r>
      <w:r w:rsidR="007E4439">
        <w:t xml:space="preserve">=1 107; </w:t>
      </w:r>
      <w:r w:rsidR="00641748" w:rsidRPr="009E19DB">
        <w:t>**</w:t>
      </w:r>
      <w:r w:rsidR="009E19DB" w:rsidRPr="009E19DB">
        <w:t>*</w:t>
      </w:r>
      <w:r w:rsidR="007E4439">
        <w:t>N=1 100</w:t>
      </w:r>
      <w:r w:rsidRPr="003F274C">
        <w:t>)</w:t>
      </w:r>
      <w:bookmarkEnd w:id="58"/>
    </w:p>
    <w:tbl>
      <w:tblPr>
        <w:tblW w:w="12469" w:type="dxa"/>
        <w:tblCellMar>
          <w:left w:w="70" w:type="dxa"/>
          <w:right w:w="70" w:type="dxa"/>
        </w:tblCellMar>
        <w:tblLook w:val="04A0" w:firstRow="1" w:lastRow="0" w:firstColumn="1" w:lastColumn="0" w:noHBand="0" w:noVBand="1"/>
      </w:tblPr>
      <w:tblGrid>
        <w:gridCol w:w="1271"/>
        <w:gridCol w:w="1418"/>
        <w:gridCol w:w="1417"/>
        <w:gridCol w:w="1418"/>
        <w:gridCol w:w="1417"/>
        <w:gridCol w:w="1418"/>
        <w:gridCol w:w="1417"/>
        <w:gridCol w:w="1276"/>
        <w:gridCol w:w="1417"/>
      </w:tblGrid>
      <w:tr w:rsidR="00E30BDC" w:rsidRPr="00574936" w14:paraId="00D47275" w14:textId="54FF9BAE" w:rsidTr="007E4439">
        <w:trPr>
          <w:trHeight w:val="515"/>
        </w:trPr>
        <w:tc>
          <w:tcPr>
            <w:tcW w:w="1271"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3AE4893" w14:textId="77777777" w:rsidR="00FA06B0" w:rsidRPr="009C0CFC" w:rsidRDefault="00FA06B0" w:rsidP="00FC71C2">
            <w:pPr>
              <w:jc w:val="center"/>
              <w:rPr>
                <w:rFonts w:ascii="Arial" w:hAnsi="Arial" w:cs="Arial"/>
                <w:b/>
                <w:bCs/>
                <w:color w:val="000000"/>
                <w:sz w:val="22"/>
                <w:szCs w:val="22"/>
              </w:rPr>
            </w:pPr>
            <w:r w:rsidRPr="009C0CFC">
              <w:rPr>
                <w:rFonts w:ascii="Arial" w:hAnsi="Arial" w:cs="Arial"/>
                <w:b/>
                <w:bCs/>
                <w:color w:val="000000"/>
                <w:sz w:val="22"/>
                <w:szCs w:val="22"/>
              </w:rPr>
              <w:t>Proměnná</w:t>
            </w:r>
          </w:p>
        </w:tc>
        <w:tc>
          <w:tcPr>
            <w:tcW w:w="1418" w:type="dxa"/>
            <w:tcBorders>
              <w:top w:val="single" w:sz="4" w:space="0" w:color="auto"/>
              <w:left w:val="nil"/>
              <w:bottom w:val="nil"/>
              <w:right w:val="single" w:sz="4" w:space="0" w:color="auto"/>
            </w:tcBorders>
            <w:shd w:val="clear" w:color="000000" w:fill="DDEBF7"/>
            <w:noWrap/>
            <w:vAlign w:val="center"/>
            <w:hideMark/>
          </w:tcPr>
          <w:p w14:paraId="70230258" w14:textId="77777777" w:rsidR="00FA06B0" w:rsidRPr="009C0CFC" w:rsidRDefault="00FA06B0" w:rsidP="00FC71C2">
            <w:pPr>
              <w:jc w:val="center"/>
              <w:rPr>
                <w:rFonts w:ascii="Arial" w:hAnsi="Arial" w:cs="Arial"/>
                <w:b/>
                <w:bCs/>
                <w:color w:val="000000"/>
                <w:sz w:val="22"/>
                <w:szCs w:val="22"/>
              </w:rPr>
            </w:pPr>
            <w:r w:rsidRPr="009C0CFC">
              <w:rPr>
                <w:rFonts w:ascii="Arial" w:hAnsi="Arial" w:cs="Arial"/>
                <w:b/>
                <w:bCs/>
                <w:color w:val="000000"/>
                <w:sz w:val="22"/>
                <w:szCs w:val="22"/>
              </w:rPr>
              <w:t>Výsledek</w:t>
            </w:r>
          </w:p>
        </w:tc>
        <w:tc>
          <w:tcPr>
            <w:tcW w:w="1417" w:type="dxa"/>
            <w:tcBorders>
              <w:top w:val="single" w:sz="4" w:space="0" w:color="auto"/>
              <w:left w:val="nil"/>
              <w:bottom w:val="single" w:sz="4" w:space="0" w:color="auto"/>
              <w:right w:val="single" w:sz="4" w:space="0" w:color="000000"/>
            </w:tcBorders>
            <w:shd w:val="clear" w:color="000000" w:fill="DDEBF7"/>
            <w:noWrap/>
            <w:vAlign w:val="center"/>
            <w:hideMark/>
          </w:tcPr>
          <w:p w14:paraId="0A1DED19" w14:textId="38E0BB78" w:rsidR="00FA06B0" w:rsidRPr="009C0CFC" w:rsidRDefault="00FA06B0" w:rsidP="00FC71C2">
            <w:pPr>
              <w:jc w:val="center"/>
              <w:rPr>
                <w:rFonts w:ascii="Arial" w:hAnsi="Arial" w:cs="Arial"/>
                <w:b/>
                <w:bCs/>
                <w:color w:val="000000"/>
                <w:sz w:val="22"/>
                <w:szCs w:val="22"/>
              </w:rPr>
            </w:pPr>
            <w:r w:rsidRPr="009C0CFC">
              <w:rPr>
                <w:rFonts w:ascii="Arial" w:hAnsi="Arial" w:cs="Arial"/>
                <w:b/>
                <w:bCs/>
                <w:color w:val="000000"/>
                <w:sz w:val="22"/>
                <w:szCs w:val="22"/>
              </w:rPr>
              <w:t>75</w:t>
            </w:r>
            <w:r w:rsidR="00586BAD" w:rsidRPr="00586BAD">
              <w:rPr>
                <w:b/>
                <w:bCs/>
              </w:rPr>
              <w:t>–</w:t>
            </w:r>
            <w:r w:rsidRPr="009C0CFC">
              <w:rPr>
                <w:rFonts w:ascii="Arial" w:hAnsi="Arial" w:cs="Arial"/>
                <w:b/>
                <w:bCs/>
                <w:color w:val="000000"/>
                <w:sz w:val="22"/>
                <w:szCs w:val="22"/>
              </w:rPr>
              <w:t>79 let</w:t>
            </w:r>
          </w:p>
        </w:tc>
        <w:tc>
          <w:tcPr>
            <w:tcW w:w="1418" w:type="dxa"/>
            <w:tcBorders>
              <w:top w:val="single" w:sz="4" w:space="0" w:color="auto"/>
              <w:left w:val="nil"/>
              <w:bottom w:val="single" w:sz="4" w:space="0" w:color="auto"/>
              <w:right w:val="single" w:sz="4" w:space="0" w:color="000000"/>
            </w:tcBorders>
            <w:shd w:val="clear" w:color="000000" w:fill="DDEBF7"/>
            <w:noWrap/>
            <w:vAlign w:val="center"/>
            <w:hideMark/>
          </w:tcPr>
          <w:p w14:paraId="391D86C3" w14:textId="3A0816C2" w:rsidR="00FA06B0" w:rsidRPr="009C0CFC" w:rsidRDefault="00FA06B0" w:rsidP="00FC71C2">
            <w:pPr>
              <w:jc w:val="center"/>
              <w:rPr>
                <w:rFonts w:ascii="Arial" w:hAnsi="Arial" w:cs="Arial"/>
                <w:b/>
                <w:bCs/>
                <w:color w:val="000000"/>
                <w:sz w:val="22"/>
                <w:szCs w:val="22"/>
              </w:rPr>
            </w:pPr>
            <w:r w:rsidRPr="009C0CFC">
              <w:rPr>
                <w:rFonts w:ascii="Arial" w:hAnsi="Arial" w:cs="Arial"/>
                <w:b/>
                <w:bCs/>
                <w:color w:val="000000"/>
                <w:sz w:val="22"/>
                <w:szCs w:val="22"/>
              </w:rPr>
              <w:t>80</w:t>
            </w:r>
            <w:r w:rsidR="00586BAD" w:rsidRPr="00586BAD">
              <w:rPr>
                <w:b/>
                <w:bCs/>
              </w:rPr>
              <w:t>–</w:t>
            </w:r>
            <w:r w:rsidRPr="009C0CFC">
              <w:rPr>
                <w:rFonts w:ascii="Arial" w:hAnsi="Arial" w:cs="Arial"/>
                <w:b/>
                <w:bCs/>
                <w:color w:val="000000"/>
                <w:sz w:val="22"/>
                <w:szCs w:val="22"/>
              </w:rPr>
              <w:t>84 let</w:t>
            </w:r>
          </w:p>
        </w:tc>
        <w:tc>
          <w:tcPr>
            <w:tcW w:w="1417" w:type="dxa"/>
            <w:tcBorders>
              <w:top w:val="single" w:sz="4" w:space="0" w:color="auto"/>
              <w:left w:val="nil"/>
              <w:bottom w:val="single" w:sz="4" w:space="0" w:color="auto"/>
              <w:right w:val="single" w:sz="4" w:space="0" w:color="000000"/>
            </w:tcBorders>
            <w:shd w:val="clear" w:color="000000" w:fill="DDEBF7"/>
            <w:noWrap/>
            <w:vAlign w:val="center"/>
            <w:hideMark/>
          </w:tcPr>
          <w:p w14:paraId="3CC7C6E6" w14:textId="759347D4" w:rsidR="00FA06B0" w:rsidRPr="009C0CFC" w:rsidRDefault="00FA06B0" w:rsidP="00FC71C2">
            <w:pPr>
              <w:jc w:val="center"/>
              <w:rPr>
                <w:rFonts w:ascii="Arial" w:hAnsi="Arial" w:cs="Arial"/>
                <w:b/>
                <w:bCs/>
                <w:color w:val="000000"/>
                <w:sz w:val="22"/>
                <w:szCs w:val="22"/>
              </w:rPr>
            </w:pPr>
            <w:r w:rsidRPr="009C0CFC">
              <w:rPr>
                <w:rFonts w:ascii="Arial" w:hAnsi="Arial" w:cs="Arial"/>
                <w:b/>
                <w:bCs/>
                <w:color w:val="000000"/>
                <w:sz w:val="22"/>
                <w:szCs w:val="22"/>
              </w:rPr>
              <w:t>85</w:t>
            </w:r>
            <w:r w:rsidR="00586BAD" w:rsidRPr="00586BAD">
              <w:rPr>
                <w:b/>
                <w:bCs/>
              </w:rPr>
              <w:t>–</w:t>
            </w:r>
            <w:r w:rsidRPr="009C0CFC">
              <w:rPr>
                <w:rFonts w:ascii="Arial" w:hAnsi="Arial" w:cs="Arial"/>
                <w:b/>
                <w:bCs/>
                <w:color w:val="000000"/>
                <w:sz w:val="22"/>
                <w:szCs w:val="22"/>
              </w:rPr>
              <w:t>89 let</w:t>
            </w:r>
          </w:p>
        </w:tc>
        <w:tc>
          <w:tcPr>
            <w:tcW w:w="1418" w:type="dxa"/>
            <w:tcBorders>
              <w:top w:val="single" w:sz="4" w:space="0" w:color="auto"/>
              <w:left w:val="nil"/>
              <w:bottom w:val="single" w:sz="4" w:space="0" w:color="auto"/>
              <w:right w:val="single" w:sz="4" w:space="0" w:color="000000"/>
            </w:tcBorders>
            <w:shd w:val="clear" w:color="000000" w:fill="DDEBF7"/>
            <w:noWrap/>
            <w:vAlign w:val="center"/>
            <w:hideMark/>
          </w:tcPr>
          <w:p w14:paraId="57263A26" w14:textId="77777777" w:rsidR="00FA06B0" w:rsidRPr="009C0CFC" w:rsidRDefault="00FA06B0" w:rsidP="00FC71C2">
            <w:pPr>
              <w:jc w:val="center"/>
              <w:rPr>
                <w:rFonts w:ascii="Arial" w:hAnsi="Arial" w:cs="Arial"/>
                <w:b/>
                <w:bCs/>
                <w:color w:val="000000"/>
                <w:sz w:val="22"/>
                <w:szCs w:val="22"/>
              </w:rPr>
            </w:pPr>
            <w:r w:rsidRPr="009C0CFC">
              <w:rPr>
                <w:rFonts w:ascii="Arial" w:hAnsi="Arial" w:cs="Arial"/>
                <w:b/>
                <w:bCs/>
                <w:color w:val="000000"/>
                <w:sz w:val="22"/>
                <w:szCs w:val="22"/>
              </w:rPr>
              <w:t>90 a více let</w:t>
            </w:r>
          </w:p>
        </w:tc>
        <w:tc>
          <w:tcPr>
            <w:tcW w:w="1417" w:type="dxa"/>
            <w:tcBorders>
              <w:top w:val="single" w:sz="4" w:space="0" w:color="auto"/>
              <w:left w:val="nil"/>
              <w:bottom w:val="single" w:sz="4" w:space="0" w:color="auto"/>
              <w:right w:val="single" w:sz="4" w:space="0" w:color="000000"/>
            </w:tcBorders>
            <w:shd w:val="clear" w:color="000000" w:fill="DDEBF7"/>
            <w:noWrap/>
            <w:vAlign w:val="center"/>
            <w:hideMark/>
          </w:tcPr>
          <w:p w14:paraId="7091A06A" w14:textId="77777777" w:rsidR="00FA06B0" w:rsidRPr="009C0CFC" w:rsidRDefault="00FA06B0" w:rsidP="00FC71C2">
            <w:pPr>
              <w:jc w:val="center"/>
              <w:rPr>
                <w:rFonts w:ascii="Arial" w:hAnsi="Arial" w:cs="Arial"/>
                <w:b/>
                <w:bCs/>
                <w:color w:val="000000"/>
                <w:sz w:val="22"/>
                <w:szCs w:val="22"/>
              </w:rPr>
            </w:pPr>
            <w:r w:rsidRPr="009C0CFC">
              <w:rPr>
                <w:rFonts w:ascii="Arial" w:hAnsi="Arial" w:cs="Arial"/>
                <w:b/>
                <w:bCs/>
                <w:color w:val="000000"/>
                <w:sz w:val="22"/>
                <w:szCs w:val="22"/>
              </w:rPr>
              <w:t>Celkem</w:t>
            </w:r>
          </w:p>
        </w:tc>
        <w:tc>
          <w:tcPr>
            <w:tcW w:w="1276" w:type="dxa"/>
            <w:tcBorders>
              <w:top w:val="single" w:sz="4" w:space="0" w:color="auto"/>
              <w:left w:val="nil"/>
              <w:bottom w:val="single" w:sz="4" w:space="0" w:color="auto"/>
              <w:right w:val="single" w:sz="4" w:space="0" w:color="auto"/>
            </w:tcBorders>
            <w:shd w:val="clear" w:color="000000" w:fill="DDEBF7"/>
            <w:noWrap/>
            <w:vAlign w:val="center"/>
            <w:hideMark/>
          </w:tcPr>
          <w:p w14:paraId="1DC3EFD5" w14:textId="26ADF783" w:rsidR="00FA06B0" w:rsidRPr="009C0CFC" w:rsidRDefault="00FA06B0" w:rsidP="00FC71C2">
            <w:pPr>
              <w:jc w:val="center"/>
              <w:rPr>
                <w:rFonts w:ascii="Arial" w:hAnsi="Arial" w:cs="Arial"/>
                <w:b/>
                <w:bCs/>
                <w:color w:val="000000"/>
                <w:sz w:val="22"/>
                <w:szCs w:val="22"/>
              </w:rPr>
            </w:pPr>
            <w:r w:rsidRPr="009C0CFC">
              <w:rPr>
                <w:rFonts w:ascii="Arial" w:hAnsi="Arial" w:cs="Arial"/>
                <w:b/>
                <w:bCs/>
                <w:color w:val="000000"/>
                <w:sz w:val="22"/>
                <w:szCs w:val="22"/>
              </w:rPr>
              <w:t>p-hodnota</w:t>
            </w:r>
          </w:p>
        </w:tc>
        <w:tc>
          <w:tcPr>
            <w:tcW w:w="1417" w:type="dxa"/>
            <w:tcBorders>
              <w:top w:val="single" w:sz="4" w:space="0" w:color="auto"/>
              <w:left w:val="nil"/>
              <w:bottom w:val="single" w:sz="4" w:space="0" w:color="auto"/>
              <w:right w:val="single" w:sz="4" w:space="0" w:color="auto"/>
            </w:tcBorders>
            <w:shd w:val="clear" w:color="000000" w:fill="DDEBF7"/>
            <w:vAlign w:val="center"/>
          </w:tcPr>
          <w:p w14:paraId="74E5696A" w14:textId="77777777" w:rsidR="00F72CAA" w:rsidRPr="009C0CFC" w:rsidRDefault="00FC71C2" w:rsidP="00FC71C2">
            <w:pPr>
              <w:jc w:val="center"/>
              <w:rPr>
                <w:rFonts w:ascii="Arial" w:hAnsi="Arial" w:cs="Arial"/>
                <w:b/>
                <w:bCs/>
                <w:color w:val="000000"/>
                <w:sz w:val="22"/>
                <w:szCs w:val="22"/>
              </w:rPr>
            </w:pPr>
            <w:r w:rsidRPr="009C0CFC">
              <w:rPr>
                <w:rFonts w:ascii="Arial" w:hAnsi="Arial" w:cs="Arial"/>
                <w:b/>
                <w:bCs/>
                <w:color w:val="000000"/>
                <w:sz w:val="22"/>
                <w:szCs w:val="22"/>
              </w:rPr>
              <w:t>p-hodnota</w:t>
            </w:r>
          </w:p>
          <w:p w14:paraId="6D0451DA" w14:textId="4215876E" w:rsidR="00FA06B0" w:rsidRPr="009C0CFC" w:rsidRDefault="00FC71C2" w:rsidP="00FC71C2">
            <w:pPr>
              <w:jc w:val="center"/>
              <w:rPr>
                <w:rFonts w:ascii="Arial" w:hAnsi="Arial" w:cs="Arial"/>
                <w:b/>
                <w:bCs/>
                <w:color w:val="000000"/>
                <w:sz w:val="22"/>
                <w:szCs w:val="22"/>
              </w:rPr>
            </w:pPr>
            <w:r w:rsidRPr="009C0CFC">
              <w:rPr>
                <w:rFonts w:ascii="Arial" w:hAnsi="Arial" w:cs="Arial"/>
                <w:b/>
                <w:bCs/>
                <w:color w:val="000000"/>
                <w:sz w:val="22"/>
                <w:szCs w:val="22"/>
              </w:rPr>
              <w:t>rozdílu</w:t>
            </w:r>
          </w:p>
        </w:tc>
      </w:tr>
      <w:tr w:rsidR="00E30BDC" w:rsidRPr="00574936" w14:paraId="2F452752" w14:textId="20A59ABB" w:rsidTr="004E31F3">
        <w:trPr>
          <w:trHeight w:val="397"/>
        </w:trPr>
        <w:tc>
          <w:tcPr>
            <w:tcW w:w="1271" w:type="dxa"/>
            <w:vMerge w:val="restart"/>
            <w:tcBorders>
              <w:top w:val="nil"/>
              <w:left w:val="single" w:sz="4" w:space="0" w:color="auto"/>
              <w:bottom w:val="single" w:sz="4" w:space="0" w:color="auto"/>
              <w:right w:val="nil"/>
            </w:tcBorders>
            <w:shd w:val="clear" w:color="auto" w:fill="auto"/>
            <w:vAlign w:val="center"/>
            <w:hideMark/>
          </w:tcPr>
          <w:p w14:paraId="2A27E8F5" w14:textId="0885309D"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Způsob</w:t>
            </w:r>
          </w:p>
          <w:p w14:paraId="087E6B1C" w14:textId="2BC0F72E"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dopravy</w:t>
            </w:r>
          </w:p>
          <w:p w14:paraId="7137AF31" w14:textId="37A322E5"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k ošetření</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8EFF4" w14:textId="77777777"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ZZS</w:t>
            </w:r>
          </w:p>
        </w:tc>
        <w:tc>
          <w:tcPr>
            <w:tcW w:w="1417" w:type="dxa"/>
            <w:tcBorders>
              <w:top w:val="single" w:sz="4" w:space="0" w:color="003366"/>
              <w:left w:val="nil"/>
              <w:bottom w:val="single" w:sz="4" w:space="0" w:color="333333"/>
              <w:right w:val="single" w:sz="4" w:space="0" w:color="333399"/>
            </w:tcBorders>
            <w:shd w:val="clear" w:color="auto" w:fill="auto"/>
            <w:noWrap/>
            <w:vAlign w:val="center"/>
            <w:hideMark/>
          </w:tcPr>
          <w:p w14:paraId="2F38A666" w14:textId="2D86CAA3" w:rsidR="00DE10EC" w:rsidRPr="009C0CFC" w:rsidRDefault="00DE10EC" w:rsidP="009C0CFC">
            <w:pPr>
              <w:jc w:val="center"/>
              <w:rPr>
                <w:rFonts w:ascii="Arial" w:hAnsi="Arial" w:cs="Arial"/>
                <w:color w:val="000000" w:themeColor="text1"/>
                <w:sz w:val="22"/>
                <w:szCs w:val="22"/>
              </w:rPr>
            </w:pPr>
            <w:r w:rsidRPr="009C0CFC">
              <w:rPr>
                <w:rFonts w:ascii="Arial" w:hAnsi="Arial" w:cs="Arial"/>
                <w:color w:val="000000" w:themeColor="text1"/>
                <w:sz w:val="22"/>
                <w:szCs w:val="22"/>
              </w:rPr>
              <w:t>110</w:t>
            </w:r>
            <w:r w:rsidR="009C0CFC" w:rsidRPr="009C0CFC">
              <w:rPr>
                <w:rFonts w:ascii="Arial" w:hAnsi="Arial" w:cs="Arial"/>
                <w:color w:val="000000" w:themeColor="text1"/>
                <w:sz w:val="22"/>
                <w:szCs w:val="22"/>
              </w:rPr>
              <w:t xml:space="preserve"> </w:t>
            </w:r>
            <w:r w:rsidRPr="009C0CFC">
              <w:rPr>
                <w:rFonts w:ascii="Arial" w:hAnsi="Arial" w:cs="Arial"/>
                <w:color w:val="000000" w:themeColor="text1"/>
                <w:sz w:val="22"/>
                <w:szCs w:val="22"/>
              </w:rPr>
              <w:t>(58,5 %)</w:t>
            </w:r>
          </w:p>
        </w:tc>
        <w:tc>
          <w:tcPr>
            <w:tcW w:w="1418" w:type="dxa"/>
            <w:tcBorders>
              <w:top w:val="single" w:sz="4" w:space="0" w:color="003366"/>
              <w:left w:val="nil"/>
              <w:bottom w:val="single" w:sz="4" w:space="0" w:color="333333"/>
              <w:right w:val="single" w:sz="4" w:space="0" w:color="333399"/>
            </w:tcBorders>
            <w:shd w:val="clear" w:color="auto" w:fill="auto"/>
            <w:noWrap/>
            <w:vAlign w:val="center"/>
            <w:hideMark/>
          </w:tcPr>
          <w:p w14:paraId="61DD327D" w14:textId="7FF40397"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66 (51,6 %)</w:t>
            </w:r>
          </w:p>
        </w:tc>
        <w:tc>
          <w:tcPr>
            <w:tcW w:w="1417" w:type="dxa"/>
            <w:tcBorders>
              <w:top w:val="single" w:sz="4" w:space="0" w:color="003366"/>
              <w:left w:val="nil"/>
              <w:bottom w:val="single" w:sz="4" w:space="0" w:color="333333"/>
              <w:right w:val="single" w:sz="4" w:space="0" w:color="333399"/>
            </w:tcBorders>
            <w:shd w:val="clear" w:color="auto" w:fill="auto"/>
            <w:noWrap/>
            <w:vAlign w:val="center"/>
            <w:hideMark/>
          </w:tcPr>
          <w:p w14:paraId="1D474225" w14:textId="1FD24CD1"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67 (61,5 %)</w:t>
            </w:r>
          </w:p>
        </w:tc>
        <w:tc>
          <w:tcPr>
            <w:tcW w:w="1418" w:type="dxa"/>
            <w:tcBorders>
              <w:top w:val="single" w:sz="4" w:space="0" w:color="003366"/>
              <w:left w:val="nil"/>
              <w:bottom w:val="single" w:sz="4" w:space="0" w:color="333333"/>
              <w:right w:val="single" w:sz="4" w:space="0" w:color="333399"/>
            </w:tcBorders>
            <w:shd w:val="clear" w:color="auto" w:fill="auto"/>
            <w:noWrap/>
            <w:vAlign w:val="center"/>
            <w:hideMark/>
          </w:tcPr>
          <w:p w14:paraId="7C55652E" w14:textId="3DA92C30"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62 (74,7 %)</w:t>
            </w:r>
          </w:p>
        </w:tc>
        <w:tc>
          <w:tcPr>
            <w:tcW w:w="1417" w:type="dxa"/>
            <w:tcBorders>
              <w:top w:val="single" w:sz="4" w:space="0" w:color="003366"/>
              <w:left w:val="nil"/>
              <w:bottom w:val="single" w:sz="4" w:space="0" w:color="333333"/>
              <w:right w:val="nil"/>
            </w:tcBorders>
            <w:shd w:val="clear" w:color="auto" w:fill="auto"/>
            <w:noWrap/>
            <w:vAlign w:val="center"/>
            <w:hideMark/>
          </w:tcPr>
          <w:p w14:paraId="6791E9C6" w14:textId="2284CE65"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305 (60,0 %)</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14:paraId="63C247B0" w14:textId="2AB56628" w:rsidR="00DE10EC" w:rsidRPr="009C0CFC" w:rsidRDefault="00032C82" w:rsidP="00656CC1">
            <w:pPr>
              <w:jc w:val="center"/>
              <w:rPr>
                <w:rFonts w:ascii="Arial" w:hAnsi="Arial" w:cs="Arial"/>
                <w:b/>
                <w:bCs/>
                <w:color w:val="000000"/>
                <w:sz w:val="22"/>
                <w:szCs w:val="22"/>
              </w:rPr>
            </w:pPr>
            <w:r w:rsidRPr="00032C82">
              <w:rPr>
                <w:rFonts w:ascii="Arial" w:hAnsi="Arial" w:cs="Arial"/>
                <w:color w:val="000000"/>
                <w:sz w:val="22"/>
                <w:szCs w:val="22"/>
              </w:rPr>
              <w:t>*</w:t>
            </w:r>
            <w:r>
              <w:rPr>
                <w:rFonts w:ascii="Arial" w:hAnsi="Arial" w:cs="Arial"/>
                <w:b/>
                <w:bCs/>
                <w:color w:val="000000"/>
                <w:sz w:val="22"/>
                <w:szCs w:val="22"/>
              </w:rPr>
              <w:t xml:space="preserve"> </w:t>
            </w:r>
            <w:r w:rsidR="00DE10EC" w:rsidRPr="009C0CFC">
              <w:rPr>
                <w:rFonts w:ascii="Arial" w:hAnsi="Arial" w:cs="Arial"/>
                <w:b/>
                <w:bCs/>
                <w:color w:val="000000"/>
                <w:sz w:val="22"/>
                <w:szCs w:val="22"/>
              </w:rPr>
              <w:t>0,010 CV=0,119</w:t>
            </w:r>
          </w:p>
        </w:tc>
        <w:tc>
          <w:tcPr>
            <w:tcW w:w="1417" w:type="dxa"/>
            <w:vMerge w:val="restart"/>
            <w:tcBorders>
              <w:top w:val="nil"/>
              <w:left w:val="single" w:sz="4" w:space="0" w:color="auto"/>
              <w:right w:val="single" w:sz="4" w:space="0" w:color="auto"/>
            </w:tcBorders>
            <w:vAlign w:val="center"/>
          </w:tcPr>
          <w:p w14:paraId="34A37B79" w14:textId="3F94F96A" w:rsidR="00DE10EC" w:rsidRPr="009C0CFC" w:rsidRDefault="00641748" w:rsidP="00205428">
            <w:pPr>
              <w:jc w:val="center"/>
              <w:rPr>
                <w:rFonts w:ascii="Arial" w:hAnsi="Arial" w:cs="Arial"/>
                <w:b/>
                <w:bCs/>
                <w:color w:val="000000"/>
                <w:sz w:val="22"/>
                <w:szCs w:val="22"/>
              </w:rPr>
            </w:pPr>
            <w:r w:rsidRPr="009E19DB">
              <w:rPr>
                <w:rFonts w:ascii="Arial" w:hAnsi="Arial" w:cs="Arial"/>
                <w:sz w:val="22"/>
                <w:szCs w:val="22"/>
              </w:rPr>
              <w:t>**</w:t>
            </w:r>
            <w:r w:rsidR="009E19DB" w:rsidRPr="009E19DB">
              <w:rPr>
                <w:rFonts w:ascii="Arial" w:hAnsi="Arial" w:cs="Arial"/>
                <w:sz w:val="22"/>
                <w:szCs w:val="22"/>
              </w:rPr>
              <w:t>*</w:t>
            </w:r>
            <w:r>
              <w:rPr>
                <w:rFonts w:ascii="Arial" w:hAnsi="Arial" w:cs="Arial"/>
                <w:b/>
                <w:bCs/>
                <w:color w:val="000000"/>
                <w:sz w:val="22"/>
                <w:szCs w:val="22"/>
              </w:rPr>
              <w:t xml:space="preserve"> </w:t>
            </w:r>
            <w:r w:rsidR="00205428" w:rsidRPr="009C0CFC">
              <w:rPr>
                <w:rFonts w:ascii="Arial" w:hAnsi="Arial" w:cs="Arial"/>
                <w:b/>
                <w:bCs/>
                <w:color w:val="000000"/>
                <w:sz w:val="22"/>
                <w:szCs w:val="22"/>
              </w:rPr>
              <w:t>0,005</w:t>
            </w:r>
          </w:p>
          <w:p w14:paraId="0C2DCA95" w14:textId="1A9F865E" w:rsidR="007863B9" w:rsidRPr="009C0CFC" w:rsidRDefault="007863B9" w:rsidP="00205428">
            <w:pPr>
              <w:jc w:val="center"/>
              <w:rPr>
                <w:rFonts w:ascii="Arial" w:hAnsi="Arial" w:cs="Arial"/>
                <w:b/>
                <w:bCs/>
                <w:color w:val="000000"/>
                <w:sz w:val="22"/>
                <w:szCs w:val="22"/>
              </w:rPr>
            </w:pPr>
            <w:r w:rsidRPr="009C0CFC">
              <w:rPr>
                <w:rFonts w:ascii="Arial" w:hAnsi="Arial" w:cs="Arial"/>
                <w:b/>
                <w:bCs/>
                <w:color w:val="000000"/>
                <w:sz w:val="22"/>
                <w:szCs w:val="22"/>
              </w:rPr>
              <w:t>CV=0,085</w:t>
            </w:r>
          </w:p>
        </w:tc>
      </w:tr>
      <w:tr w:rsidR="00E30BDC" w:rsidRPr="00574936" w14:paraId="09FED98F" w14:textId="5088F100" w:rsidTr="004E31F3">
        <w:trPr>
          <w:trHeight w:val="397"/>
        </w:trPr>
        <w:tc>
          <w:tcPr>
            <w:tcW w:w="1271" w:type="dxa"/>
            <w:vMerge/>
            <w:tcBorders>
              <w:top w:val="nil"/>
              <w:left w:val="single" w:sz="4" w:space="0" w:color="auto"/>
              <w:bottom w:val="single" w:sz="4" w:space="0" w:color="auto"/>
              <w:right w:val="nil"/>
            </w:tcBorders>
            <w:vAlign w:val="center"/>
            <w:hideMark/>
          </w:tcPr>
          <w:p w14:paraId="0B023C59" w14:textId="77777777" w:rsidR="00DE10EC" w:rsidRPr="009C0CFC" w:rsidRDefault="00DE10EC" w:rsidP="00656CC1">
            <w:pPr>
              <w:jc w:val="center"/>
              <w:rPr>
                <w:rFonts w:ascii="Arial" w:hAnsi="Arial" w:cs="Arial"/>
                <w:color w:val="000000"/>
                <w:sz w:val="22"/>
                <w:szCs w:val="22"/>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6CEDC00" w14:textId="77777777"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Sám(a)/</w:t>
            </w:r>
          </w:p>
          <w:p w14:paraId="6FD1E7B7" w14:textId="005EFAF9"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doprovod</w:t>
            </w:r>
          </w:p>
        </w:tc>
        <w:tc>
          <w:tcPr>
            <w:tcW w:w="1417" w:type="dxa"/>
            <w:tcBorders>
              <w:top w:val="nil"/>
              <w:left w:val="nil"/>
              <w:bottom w:val="single" w:sz="4" w:space="0" w:color="333333"/>
              <w:right w:val="single" w:sz="4" w:space="0" w:color="333399"/>
            </w:tcBorders>
            <w:shd w:val="clear" w:color="auto" w:fill="auto"/>
            <w:noWrap/>
            <w:vAlign w:val="center"/>
            <w:hideMark/>
          </w:tcPr>
          <w:p w14:paraId="68C8B708" w14:textId="77777777" w:rsidR="00841236"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45</w:t>
            </w:r>
          </w:p>
          <w:p w14:paraId="109D1B59" w14:textId="75376272"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(23,9 %)</w:t>
            </w:r>
          </w:p>
        </w:tc>
        <w:tc>
          <w:tcPr>
            <w:tcW w:w="1418" w:type="dxa"/>
            <w:tcBorders>
              <w:top w:val="nil"/>
              <w:left w:val="nil"/>
              <w:bottom w:val="single" w:sz="4" w:space="0" w:color="333333"/>
              <w:right w:val="single" w:sz="4" w:space="0" w:color="333399"/>
            </w:tcBorders>
            <w:shd w:val="clear" w:color="auto" w:fill="auto"/>
            <w:noWrap/>
            <w:vAlign w:val="center"/>
            <w:hideMark/>
          </w:tcPr>
          <w:p w14:paraId="7F79A0C5" w14:textId="79CE7B91"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24 (18,8 %)</w:t>
            </w:r>
          </w:p>
        </w:tc>
        <w:tc>
          <w:tcPr>
            <w:tcW w:w="1417" w:type="dxa"/>
            <w:tcBorders>
              <w:top w:val="nil"/>
              <w:left w:val="nil"/>
              <w:bottom w:val="single" w:sz="4" w:space="0" w:color="333333"/>
              <w:right w:val="single" w:sz="4" w:space="0" w:color="333399"/>
            </w:tcBorders>
            <w:shd w:val="clear" w:color="auto" w:fill="auto"/>
            <w:noWrap/>
            <w:vAlign w:val="center"/>
            <w:hideMark/>
          </w:tcPr>
          <w:p w14:paraId="0C9735B2" w14:textId="59B4FD12"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24 (22,0 %)</w:t>
            </w:r>
          </w:p>
        </w:tc>
        <w:tc>
          <w:tcPr>
            <w:tcW w:w="1418" w:type="dxa"/>
            <w:tcBorders>
              <w:top w:val="nil"/>
              <w:left w:val="nil"/>
              <w:bottom w:val="single" w:sz="4" w:space="0" w:color="333333"/>
              <w:right w:val="single" w:sz="4" w:space="0" w:color="333399"/>
            </w:tcBorders>
            <w:shd w:val="clear" w:color="auto" w:fill="auto"/>
            <w:noWrap/>
            <w:vAlign w:val="center"/>
            <w:hideMark/>
          </w:tcPr>
          <w:p w14:paraId="5EC4C768" w14:textId="49F04585"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7 (8,4 %)</w:t>
            </w:r>
          </w:p>
        </w:tc>
        <w:tc>
          <w:tcPr>
            <w:tcW w:w="1417" w:type="dxa"/>
            <w:tcBorders>
              <w:top w:val="nil"/>
              <w:left w:val="nil"/>
              <w:bottom w:val="single" w:sz="4" w:space="0" w:color="333333"/>
              <w:right w:val="nil"/>
            </w:tcBorders>
            <w:shd w:val="clear" w:color="auto" w:fill="auto"/>
            <w:noWrap/>
            <w:vAlign w:val="center"/>
            <w:hideMark/>
          </w:tcPr>
          <w:p w14:paraId="572FE27B" w14:textId="1ED93009"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100 (19,7 %)</w:t>
            </w:r>
          </w:p>
        </w:tc>
        <w:tc>
          <w:tcPr>
            <w:tcW w:w="1276" w:type="dxa"/>
            <w:vMerge/>
            <w:tcBorders>
              <w:top w:val="nil"/>
              <w:left w:val="single" w:sz="4" w:space="0" w:color="auto"/>
              <w:bottom w:val="single" w:sz="4" w:space="0" w:color="000000"/>
              <w:right w:val="single" w:sz="4" w:space="0" w:color="auto"/>
            </w:tcBorders>
            <w:vAlign w:val="center"/>
            <w:hideMark/>
          </w:tcPr>
          <w:p w14:paraId="63107900" w14:textId="77777777" w:rsidR="00DE10EC" w:rsidRPr="009C0CFC" w:rsidRDefault="00DE10EC" w:rsidP="00656CC1">
            <w:pPr>
              <w:jc w:val="center"/>
              <w:rPr>
                <w:rFonts w:ascii="Arial" w:hAnsi="Arial" w:cs="Arial"/>
                <w:b/>
                <w:bCs/>
                <w:color w:val="000000"/>
                <w:sz w:val="22"/>
                <w:szCs w:val="22"/>
              </w:rPr>
            </w:pPr>
          </w:p>
        </w:tc>
        <w:tc>
          <w:tcPr>
            <w:tcW w:w="1417" w:type="dxa"/>
            <w:vMerge/>
            <w:tcBorders>
              <w:left w:val="single" w:sz="4" w:space="0" w:color="auto"/>
              <w:right w:val="single" w:sz="4" w:space="0" w:color="auto"/>
            </w:tcBorders>
            <w:vAlign w:val="center"/>
          </w:tcPr>
          <w:p w14:paraId="309277ED" w14:textId="77777777" w:rsidR="00DE10EC" w:rsidRPr="009C0CFC" w:rsidRDefault="00DE10EC" w:rsidP="00205428">
            <w:pPr>
              <w:jc w:val="center"/>
              <w:rPr>
                <w:rFonts w:ascii="Arial" w:hAnsi="Arial" w:cs="Arial"/>
                <w:b/>
                <w:bCs/>
                <w:color w:val="000000"/>
                <w:sz w:val="22"/>
                <w:szCs w:val="22"/>
              </w:rPr>
            </w:pPr>
          </w:p>
        </w:tc>
      </w:tr>
      <w:tr w:rsidR="00E30BDC" w:rsidRPr="00574936" w14:paraId="60314BD2" w14:textId="708DA41A" w:rsidTr="004E31F3">
        <w:trPr>
          <w:trHeight w:val="397"/>
        </w:trPr>
        <w:tc>
          <w:tcPr>
            <w:tcW w:w="1271" w:type="dxa"/>
            <w:vMerge/>
            <w:tcBorders>
              <w:top w:val="nil"/>
              <w:left w:val="single" w:sz="4" w:space="0" w:color="auto"/>
              <w:bottom w:val="single" w:sz="4" w:space="0" w:color="auto"/>
              <w:right w:val="nil"/>
            </w:tcBorders>
            <w:vAlign w:val="center"/>
            <w:hideMark/>
          </w:tcPr>
          <w:p w14:paraId="10ECED49" w14:textId="77777777" w:rsidR="00DE10EC" w:rsidRPr="009C0CFC" w:rsidRDefault="00DE10EC" w:rsidP="00656CC1">
            <w:pPr>
              <w:jc w:val="center"/>
              <w:rPr>
                <w:rFonts w:ascii="Arial" w:hAnsi="Arial" w:cs="Arial"/>
                <w:color w:val="000000"/>
                <w:sz w:val="22"/>
                <w:szCs w:val="22"/>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C57D50B" w14:textId="77777777"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ZDS</w:t>
            </w:r>
          </w:p>
        </w:tc>
        <w:tc>
          <w:tcPr>
            <w:tcW w:w="1417" w:type="dxa"/>
            <w:tcBorders>
              <w:top w:val="nil"/>
              <w:left w:val="nil"/>
              <w:bottom w:val="single" w:sz="4" w:space="0" w:color="333333"/>
              <w:right w:val="single" w:sz="4" w:space="0" w:color="333399"/>
            </w:tcBorders>
            <w:shd w:val="clear" w:color="auto" w:fill="auto"/>
            <w:noWrap/>
            <w:vAlign w:val="center"/>
            <w:hideMark/>
          </w:tcPr>
          <w:p w14:paraId="70CBFB10" w14:textId="109EBF27"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17 (9,0 %)</w:t>
            </w:r>
          </w:p>
        </w:tc>
        <w:tc>
          <w:tcPr>
            <w:tcW w:w="1418" w:type="dxa"/>
            <w:tcBorders>
              <w:top w:val="nil"/>
              <w:left w:val="nil"/>
              <w:bottom w:val="single" w:sz="4" w:space="0" w:color="333333"/>
              <w:right w:val="single" w:sz="4" w:space="0" w:color="333399"/>
            </w:tcBorders>
            <w:shd w:val="clear" w:color="auto" w:fill="auto"/>
            <w:noWrap/>
            <w:vAlign w:val="center"/>
            <w:hideMark/>
          </w:tcPr>
          <w:p w14:paraId="2654B6C3" w14:textId="58DDF17E"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25 (19,5 %)</w:t>
            </w:r>
          </w:p>
        </w:tc>
        <w:tc>
          <w:tcPr>
            <w:tcW w:w="1417" w:type="dxa"/>
            <w:tcBorders>
              <w:top w:val="nil"/>
              <w:left w:val="nil"/>
              <w:bottom w:val="single" w:sz="4" w:space="0" w:color="333333"/>
              <w:right w:val="single" w:sz="4" w:space="0" w:color="333399"/>
            </w:tcBorders>
            <w:shd w:val="clear" w:color="auto" w:fill="auto"/>
            <w:noWrap/>
            <w:vAlign w:val="center"/>
            <w:hideMark/>
          </w:tcPr>
          <w:p w14:paraId="20702943" w14:textId="093A6D80"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11 (10,1 %)</w:t>
            </w:r>
          </w:p>
        </w:tc>
        <w:tc>
          <w:tcPr>
            <w:tcW w:w="1418" w:type="dxa"/>
            <w:tcBorders>
              <w:top w:val="nil"/>
              <w:left w:val="nil"/>
              <w:bottom w:val="single" w:sz="4" w:space="0" w:color="333333"/>
              <w:right w:val="single" w:sz="4" w:space="0" w:color="333399"/>
            </w:tcBorders>
            <w:shd w:val="clear" w:color="auto" w:fill="auto"/>
            <w:noWrap/>
            <w:vAlign w:val="center"/>
            <w:hideMark/>
          </w:tcPr>
          <w:p w14:paraId="32A93CE1" w14:textId="1C11ECF5"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10 (12,0 %)</w:t>
            </w:r>
          </w:p>
        </w:tc>
        <w:tc>
          <w:tcPr>
            <w:tcW w:w="1417" w:type="dxa"/>
            <w:tcBorders>
              <w:top w:val="nil"/>
              <w:left w:val="nil"/>
              <w:bottom w:val="single" w:sz="4" w:space="0" w:color="333333"/>
              <w:right w:val="nil"/>
            </w:tcBorders>
            <w:shd w:val="clear" w:color="auto" w:fill="auto"/>
            <w:noWrap/>
            <w:vAlign w:val="center"/>
            <w:hideMark/>
          </w:tcPr>
          <w:p w14:paraId="5FA8F4FB" w14:textId="2434B09C"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63 (12,4 %)</w:t>
            </w:r>
          </w:p>
        </w:tc>
        <w:tc>
          <w:tcPr>
            <w:tcW w:w="1276" w:type="dxa"/>
            <w:vMerge/>
            <w:tcBorders>
              <w:top w:val="nil"/>
              <w:left w:val="single" w:sz="4" w:space="0" w:color="auto"/>
              <w:bottom w:val="single" w:sz="4" w:space="0" w:color="000000"/>
              <w:right w:val="single" w:sz="4" w:space="0" w:color="auto"/>
            </w:tcBorders>
            <w:vAlign w:val="center"/>
            <w:hideMark/>
          </w:tcPr>
          <w:p w14:paraId="6FCB2AAE" w14:textId="77777777" w:rsidR="00DE10EC" w:rsidRPr="009C0CFC" w:rsidRDefault="00DE10EC" w:rsidP="00656CC1">
            <w:pPr>
              <w:jc w:val="center"/>
              <w:rPr>
                <w:rFonts w:ascii="Arial" w:hAnsi="Arial" w:cs="Arial"/>
                <w:b/>
                <w:bCs/>
                <w:color w:val="000000"/>
                <w:sz w:val="22"/>
                <w:szCs w:val="22"/>
              </w:rPr>
            </w:pPr>
          </w:p>
        </w:tc>
        <w:tc>
          <w:tcPr>
            <w:tcW w:w="1417" w:type="dxa"/>
            <w:vMerge/>
            <w:tcBorders>
              <w:left w:val="single" w:sz="4" w:space="0" w:color="auto"/>
              <w:right w:val="single" w:sz="4" w:space="0" w:color="auto"/>
            </w:tcBorders>
            <w:vAlign w:val="center"/>
          </w:tcPr>
          <w:p w14:paraId="04DD753B" w14:textId="77777777" w:rsidR="00DE10EC" w:rsidRPr="009C0CFC" w:rsidRDefault="00DE10EC" w:rsidP="00205428">
            <w:pPr>
              <w:jc w:val="center"/>
              <w:rPr>
                <w:rFonts w:ascii="Arial" w:hAnsi="Arial" w:cs="Arial"/>
                <w:b/>
                <w:bCs/>
                <w:color w:val="000000"/>
                <w:sz w:val="22"/>
                <w:szCs w:val="22"/>
              </w:rPr>
            </w:pPr>
          </w:p>
        </w:tc>
      </w:tr>
      <w:tr w:rsidR="00E30BDC" w:rsidRPr="00574936" w14:paraId="69ED6695" w14:textId="3EC5CFE1" w:rsidTr="004E31F3">
        <w:trPr>
          <w:trHeight w:val="397"/>
        </w:trPr>
        <w:tc>
          <w:tcPr>
            <w:tcW w:w="1271" w:type="dxa"/>
            <w:vMerge/>
            <w:tcBorders>
              <w:top w:val="nil"/>
              <w:left w:val="single" w:sz="4" w:space="0" w:color="auto"/>
              <w:bottom w:val="single" w:sz="4" w:space="0" w:color="auto"/>
              <w:right w:val="nil"/>
            </w:tcBorders>
            <w:vAlign w:val="center"/>
            <w:hideMark/>
          </w:tcPr>
          <w:p w14:paraId="5E36A5CF" w14:textId="77777777" w:rsidR="00DE10EC" w:rsidRPr="009C0CFC" w:rsidRDefault="00DE10EC" w:rsidP="00656CC1">
            <w:pPr>
              <w:jc w:val="center"/>
              <w:rPr>
                <w:rFonts w:ascii="Arial" w:hAnsi="Arial" w:cs="Arial"/>
                <w:color w:val="000000"/>
                <w:sz w:val="22"/>
                <w:szCs w:val="22"/>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0248E3B" w14:textId="77777777"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Konzilium/</w:t>
            </w:r>
          </w:p>
          <w:p w14:paraId="7183CCF7" w14:textId="48109B59"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předání</w:t>
            </w:r>
          </w:p>
        </w:tc>
        <w:tc>
          <w:tcPr>
            <w:tcW w:w="1417" w:type="dxa"/>
            <w:tcBorders>
              <w:top w:val="nil"/>
              <w:left w:val="nil"/>
              <w:bottom w:val="single" w:sz="4" w:space="0" w:color="333333"/>
              <w:right w:val="single" w:sz="4" w:space="0" w:color="333399"/>
            </w:tcBorders>
            <w:shd w:val="clear" w:color="auto" w:fill="auto"/>
            <w:noWrap/>
            <w:vAlign w:val="center"/>
            <w:hideMark/>
          </w:tcPr>
          <w:p w14:paraId="07195149" w14:textId="69C9F0D7"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16 (8,5 %)</w:t>
            </w:r>
          </w:p>
        </w:tc>
        <w:tc>
          <w:tcPr>
            <w:tcW w:w="1418" w:type="dxa"/>
            <w:tcBorders>
              <w:top w:val="nil"/>
              <w:left w:val="nil"/>
              <w:bottom w:val="single" w:sz="4" w:space="0" w:color="333333"/>
              <w:right w:val="single" w:sz="4" w:space="0" w:color="333399"/>
            </w:tcBorders>
            <w:shd w:val="clear" w:color="auto" w:fill="auto"/>
            <w:noWrap/>
            <w:vAlign w:val="center"/>
            <w:hideMark/>
          </w:tcPr>
          <w:p w14:paraId="2A6918A0" w14:textId="36192387"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13 (10,2 %)</w:t>
            </w:r>
          </w:p>
        </w:tc>
        <w:tc>
          <w:tcPr>
            <w:tcW w:w="1417" w:type="dxa"/>
            <w:tcBorders>
              <w:top w:val="nil"/>
              <w:left w:val="nil"/>
              <w:bottom w:val="single" w:sz="4" w:space="0" w:color="333333"/>
              <w:right w:val="single" w:sz="4" w:space="0" w:color="333399"/>
            </w:tcBorders>
            <w:shd w:val="clear" w:color="auto" w:fill="auto"/>
            <w:noWrap/>
            <w:vAlign w:val="center"/>
            <w:hideMark/>
          </w:tcPr>
          <w:p w14:paraId="383D6A21" w14:textId="5FFECD61"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7 (6,4 %)</w:t>
            </w:r>
          </w:p>
        </w:tc>
        <w:tc>
          <w:tcPr>
            <w:tcW w:w="1418" w:type="dxa"/>
            <w:tcBorders>
              <w:top w:val="nil"/>
              <w:left w:val="nil"/>
              <w:bottom w:val="single" w:sz="4" w:space="0" w:color="333333"/>
              <w:right w:val="single" w:sz="4" w:space="0" w:color="333399"/>
            </w:tcBorders>
            <w:shd w:val="clear" w:color="auto" w:fill="auto"/>
            <w:noWrap/>
            <w:vAlign w:val="center"/>
            <w:hideMark/>
          </w:tcPr>
          <w:p w14:paraId="2A734D5C" w14:textId="483F5853"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4 (4,8 %)</w:t>
            </w:r>
          </w:p>
        </w:tc>
        <w:tc>
          <w:tcPr>
            <w:tcW w:w="1417" w:type="dxa"/>
            <w:tcBorders>
              <w:top w:val="nil"/>
              <w:left w:val="nil"/>
              <w:bottom w:val="single" w:sz="4" w:space="0" w:color="333333"/>
              <w:right w:val="nil"/>
            </w:tcBorders>
            <w:shd w:val="clear" w:color="auto" w:fill="auto"/>
            <w:noWrap/>
            <w:vAlign w:val="center"/>
            <w:hideMark/>
          </w:tcPr>
          <w:p w14:paraId="4FA70464" w14:textId="7A6ECAA7"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40 (7,9 %)</w:t>
            </w:r>
          </w:p>
        </w:tc>
        <w:tc>
          <w:tcPr>
            <w:tcW w:w="1276" w:type="dxa"/>
            <w:vMerge/>
            <w:tcBorders>
              <w:top w:val="nil"/>
              <w:left w:val="single" w:sz="4" w:space="0" w:color="auto"/>
              <w:bottom w:val="single" w:sz="4" w:space="0" w:color="000000"/>
              <w:right w:val="single" w:sz="4" w:space="0" w:color="auto"/>
            </w:tcBorders>
            <w:vAlign w:val="center"/>
            <w:hideMark/>
          </w:tcPr>
          <w:p w14:paraId="5560496B" w14:textId="77777777" w:rsidR="00DE10EC" w:rsidRPr="009C0CFC" w:rsidRDefault="00DE10EC" w:rsidP="00656CC1">
            <w:pPr>
              <w:jc w:val="center"/>
              <w:rPr>
                <w:rFonts w:ascii="Arial" w:hAnsi="Arial" w:cs="Arial"/>
                <w:b/>
                <w:bCs/>
                <w:color w:val="000000"/>
                <w:sz w:val="22"/>
                <w:szCs w:val="22"/>
              </w:rPr>
            </w:pPr>
          </w:p>
        </w:tc>
        <w:tc>
          <w:tcPr>
            <w:tcW w:w="1417" w:type="dxa"/>
            <w:vMerge/>
            <w:tcBorders>
              <w:left w:val="single" w:sz="4" w:space="0" w:color="auto"/>
              <w:bottom w:val="single" w:sz="4" w:space="0" w:color="000000"/>
              <w:right w:val="single" w:sz="4" w:space="0" w:color="auto"/>
            </w:tcBorders>
            <w:vAlign w:val="center"/>
          </w:tcPr>
          <w:p w14:paraId="45C4C673" w14:textId="77777777" w:rsidR="00DE10EC" w:rsidRPr="009C0CFC" w:rsidRDefault="00DE10EC" w:rsidP="00205428">
            <w:pPr>
              <w:jc w:val="center"/>
              <w:rPr>
                <w:rFonts w:ascii="Arial" w:hAnsi="Arial" w:cs="Arial"/>
                <w:b/>
                <w:bCs/>
                <w:color w:val="000000"/>
                <w:sz w:val="22"/>
                <w:szCs w:val="22"/>
              </w:rPr>
            </w:pPr>
          </w:p>
        </w:tc>
      </w:tr>
      <w:tr w:rsidR="00E30BDC" w:rsidRPr="00574936" w14:paraId="4B966C51" w14:textId="35088790" w:rsidTr="004E31F3">
        <w:trPr>
          <w:trHeight w:val="397"/>
        </w:trPr>
        <w:tc>
          <w:tcPr>
            <w:tcW w:w="1271" w:type="dxa"/>
            <w:vMerge w:val="restart"/>
            <w:tcBorders>
              <w:top w:val="nil"/>
              <w:left w:val="single" w:sz="4" w:space="0" w:color="auto"/>
              <w:bottom w:val="single" w:sz="4" w:space="0" w:color="auto"/>
              <w:right w:val="single" w:sz="4" w:space="0" w:color="auto"/>
            </w:tcBorders>
            <w:shd w:val="clear" w:color="auto" w:fill="auto"/>
            <w:vAlign w:val="center"/>
            <w:hideMark/>
          </w:tcPr>
          <w:p w14:paraId="20FBE201" w14:textId="77777777"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Ošetřující</w:t>
            </w:r>
          </w:p>
          <w:p w14:paraId="538564BA" w14:textId="776CB8D6"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ambulance</w:t>
            </w:r>
          </w:p>
        </w:tc>
        <w:tc>
          <w:tcPr>
            <w:tcW w:w="1418" w:type="dxa"/>
            <w:tcBorders>
              <w:top w:val="nil"/>
              <w:left w:val="nil"/>
              <w:bottom w:val="single" w:sz="4" w:space="0" w:color="auto"/>
              <w:right w:val="single" w:sz="4" w:space="0" w:color="auto"/>
            </w:tcBorders>
            <w:shd w:val="clear" w:color="auto" w:fill="auto"/>
            <w:noWrap/>
            <w:vAlign w:val="center"/>
            <w:hideMark/>
          </w:tcPr>
          <w:p w14:paraId="3F76246A" w14:textId="77777777"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Interní</w:t>
            </w:r>
          </w:p>
        </w:tc>
        <w:tc>
          <w:tcPr>
            <w:tcW w:w="1417" w:type="dxa"/>
            <w:tcBorders>
              <w:top w:val="nil"/>
              <w:left w:val="nil"/>
              <w:bottom w:val="single" w:sz="4" w:space="0" w:color="333333"/>
              <w:right w:val="single" w:sz="4" w:space="0" w:color="333399"/>
            </w:tcBorders>
            <w:shd w:val="clear" w:color="000000" w:fill="FFFFFF"/>
            <w:noWrap/>
            <w:vAlign w:val="center"/>
            <w:hideMark/>
          </w:tcPr>
          <w:p w14:paraId="1E3395C0" w14:textId="26077D0F"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141 (75,0 %)</w:t>
            </w:r>
          </w:p>
        </w:tc>
        <w:tc>
          <w:tcPr>
            <w:tcW w:w="1418" w:type="dxa"/>
            <w:tcBorders>
              <w:top w:val="nil"/>
              <w:left w:val="nil"/>
              <w:bottom w:val="single" w:sz="4" w:space="0" w:color="333333"/>
              <w:right w:val="single" w:sz="4" w:space="0" w:color="333399"/>
            </w:tcBorders>
            <w:shd w:val="clear" w:color="000000" w:fill="FFFFFF"/>
            <w:noWrap/>
            <w:vAlign w:val="center"/>
            <w:hideMark/>
          </w:tcPr>
          <w:p w14:paraId="1B9CC6B4" w14:textId="30C6F122"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91 (70,5 %)</w:t>
            </w:r>
          </w:p>
        </w:tc>
        <w:tc>
          <w:tcPr>
            <w:tcW w:w="1417" w:type="dxa"/>
            <w:tcBorders>
              <w:top w:val="nil"/>
              <w:left w:val="nil"/>
              <w:bottom w:val="single" w:sz="4" w:space="0" w:color="333333"/>
              <w:right w:val="single" w:sz="4" w:space="0" w:color="333399"/>
            </w:tcBorders>
            <w:shd w:val="clear" w:color="000000" w:fill="FFFFFF"/>
            <w:noWrap/>
            <w:vAlign w:val="center"/>
            <w:hideMark/>
          </w:tcPr>
          <w:p w14:paraId="06AF16EC" w14:textId="3F614A56"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86 (78,9 %)</w:t>
            </w:r>
          </w:p>
        </w:tc>
        <w:tc>
          <w:tcPr>
            <w:tcW w:w="1418" w:type="dxa"/>
            <w:tcBorders>
              <w:top w:val="nil"/>
              <w:left w:val="nil"/>
              <w:bottom w:val="single" w:sz="4" w:space="0" w:color="333333"/>
              <w:right w:val="single" w:sz="4" w:space="0" w:color="333399"/>
            </w:tcBorders>
            <w:shd w:val="clear" w:color="000000" w:fill="FFFFFF"/>
            <w:noWrap/>
            <w:vAlign w:val="center"/>
            <w:hideMark/>
          </w:tcPr>
          <w:p w14:paraId="0A825F65" w14:textId="705156A3"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69 (83,1 %)</w:t>
            </w:r>
          </w:p>
        </w:tc>
        <w:tc>
          <w:tcPr>
            <w:tcW w:w="1417" w:type="dxa"/>
            <w:tcBorders>
              <w:top w:val="nil"/>
              <w:left w:val="nil"/>
              <w:bottom w:val="single" w:sz="4" w:space="0" w:color="333333"/>
              <w:right w:val="single" w:sz="4" w:space="0" w:color="333399"/>
            </w:tcBorders>
            <w:shd w:val="clear" w:color="000000" w:fill="FFFFFF"/>
            <w:noWrap/>
            <w:vAlign w:val="center"/>
            <w:hideMark/>
          </w:tcPr>
          <w:p w14:paraId="7AB532C9" w14:textId="38A1C966" w:rsidR="00DE10EC" w:rsidRPr="009C0CFC" w:rsidRDefault="00DE10EC" w:rsidP="00656CC1">
            <w:pPr>
              <w:jc w:val="center"/>
              <w:rPr>
                <w:rFonts w:ascii="Arial" w:hAnsi="Arial" w:cs="Arial"/>
                <w:color w:val="000000" w:themeColor="text1"/>
                <w:sz w:val="22"/>
                <w:szCs w:val="22"/>
              </w:rPr>
            </w:pPr>
            <w:r w:rsidRPr="009C0CFC">
              <w:rPr>
                <w:rFonts w:ascii="Arial" w:hAnsi="Arial" w:cs="Arial"/>
                <w:color w:val="000000" w:themeColor="text1"/>
                <w:sz w:val="22"/>
                <w:szCs w:val="22"/>
              </w:rPr>
              <w:t>387 (76,0 %)</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14:paraId="146A42EE" w14:textId="77777777"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0,155</w:t>
            </w:r>
          </w:p>
        </w:tc>
        <w:tc>
          <w:tcPr>
            <w:tcW w:w="1417" w:type="dxa"/>
            <w:vMerge w:val="restart"/>
            <w:tcBorders>
              <w:top w:val="nil"/>
              <w:left w:val="single" w:sz="4" w:space="0" w:color="auto"/>
              <w:right w:val="single" w:sz="4" w:space="0" w:color="auto"/>
            </w:tcBorders>
            <w:vAlign w:val="center"/>
          </w:tcPr>
          <w:p w14:paraId="44ADD251" w14:textId="635401B7" w:rsidR="00DE10EC" w:rsidRPr="009C0CFC" w:rsidRDefault="00641748" w:rsidP="00205428">
            <w:pPr>
              <w:jc w:val="center"/>
              <w:rPr>
                <w:rFonts w:ascii="Arial" w:hAnsi="Arial" w:cs="Arial"/>
                <w:b/>
                <w:bCs/>
                <w:color w:val="000000"/>
                <w:sz w:val="22"/>
                <w:szCs w:val="22"/>
              </w:rPr>
            </w:pPr>
            <w:r w:rsidRPr="009E19DB">
              <w:rPr>
                <w:rFonts w:ascii="Arial" w:hAnsi="Arial" w:cs="Arial"/>
                <w:sz w:val="22"/>
                <w:szCs w:val="22"/>
              </w:rPr>
              <w:t>*</w:t>
            </w:r>
            <w:r w:rsidR="009E19DB" w:rsidRPr="009E19DB">
              <w:rPr>
                <w:rFonts w:ascii="Arial" w:hAnsi="Arial" w:cs="Arial"/>
                <w:sz w:val="22"/>
                <w:szCs w:val="22"/>
              </w:rPr>
              <w:t>*</w:t>
            </w:r>
            <w:r>
              <w:rPr>
                <w:rFonts w:ascii="Arial" w:hAnsi="Arial" w:cs="Arial"/>
                <w:b/>
                <w:bCs/>
                <w:color w:val="000000"/>
                <w:sz w:val="22"/>
                <w:szCs w:val="22"/>
              </w:rPr>
              <w:t xml:space="preserve"> </w:t>
            </w:r>
            <w:r w:rsidR="007863B9" w:rsidRPr="009C0CFC">
              <w:rPr>
                <w:rFonts w:ascii="Arial" w:hAnsi="Arial" w:cs="Arial"/>
                <w:b/>
                <w:bCs/>
                <w:color w:val="000000"/>
                <w:sz w:val="22"/>
                <w:szCs w:val="22"/>
              </w:rPr>
              <w:t>0,002</w:t>
            </w:r>
          </w:p>
          <w:p w14:paraId="23455FC1" w14:textId="76598D8A" w:rsidR="007863B9" w:rsidRPr="009C0CFC" w:rsidRDefault="007863B9" w:rsidP="00205428">
            <w:pPr>
              <w:jc w:val="center"/>
              <w:rPr>
                <w:rFonts w:ascii="Arial" w:hAnsi="Arial" w:cs="Arial"/>
                <w:color w:val="000000"/>
                <w:sz w:val="22"/>
                <w:szCs w:val="22"/>
              </w:rPr>
            </w:pPr>
            <w:r w:rsidRPr="009C0CFC">
              <w:rPr>
                <w:rFonts w:ascii="Arial" w:hAnsi="Arial" w:cs="Arial"/>
                <w:b/>
                <w:bCs/>
                <w:color w:val="000000"/>
                <w:sz w:val="22"/>
                <w:szCs w:val="22"/>
              </w:rPr>
              <w:t>CV=0,097</w:t>
            </w:r>
          </w:p>
        </w:tc>
      </w:tr>
      <w:tr w:rsidR="00E30BDC" w:rsidRPr="00574936" w14:paraId="1B76A242" w14:textId="1E45DCA0" w:rsidTr="004E31F3">
        <w:trPr>
          <w:trHeight w:val="397"/>
        </w:trPr>
        <w:tc>
          <w:tcPr>
            <w:tcW w:w="1271" w:type="dxa"/>
            <w:vMerge/>
            <w:tcBorders>
              <w:top w:val="nil"/>
              <w:left w:val="single" w:sz="4" w:space="0" w:color="auto"/>
              <w:bottom w:val="single" w:sz="4" w:space="0" w:color="auto"/>
              <w:right w:val="single" w:sz="4" w:space="0" w:color="auto"/>
            </w:tcBorders>
            <w:vAlign w:val="center"/>
            <w:hideMark/>
          </w:tcPr>
          <w:p w14:paraId="64C640AE" w14:textId="77777777" w:rsidR="00DE10EC" w:rsidRPr="009C0CFC" w:rsidRDefault="00DE10EC" w:rsidP="00656CC1">
            <w:pPr>
              <w:jc w:val="center"/>
              <w:rPr>
                <w:rFonts w:ascii="Arial" w:hAnsi="Arial" w:cs="Arial"/>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hideMark/>
          </w:tcPr>
          <w:p w14:paraId="24AC4A93" w14:textId="77777777"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Neurologická</w:t>
            </w:r>
          </w:p>
        </w:tc>
        <w:tc>
          <w:tcPr>
            <w:tcW w:w="1417" w:type="dxa"/>
            <w:tcBorders>
              <w:top w:val="nil"/>
              <w:left w:val="nil"/>
              <w:bottom w:val="single" w:sz="4" w:space="0" w:color="333333"/>
              <w:right w:val="single" w:sz="4" w:space="0" w:color="333399"/>
            </w:tcBorders>
            <w:shd w:val="clear" w:color="000000" w:fill="FFFFFF"/>
            <w:noWrap/>
            <w:vAlign w:val="center"/>
            <w:hideMark/>
          </w:tcPr>
          <w:p w14:paraId="54587E00" w14:textId="720B4BA2"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39 (20,7 %)</w:t>
            </w:r>
          </w:p>
        </w:tc>
        <w:tc>
          <w:tcPr>
            <w:tcW w:w="1418" w:type="dxa"/>
            <w:tcBorders>
              <w:top w:val="nil"/>
              <w:left w:val="nil"/>
              <w:bottom w:val="single" w:sz="4" w:space="0" w:color="333333"/>
              <w:right w:val="single" w:sz="4" w:space="0" w:color="333399"/>
            </w:tcBorders>
            <w:shd w:val="clear" w:color="000000" w:fill="FFFFFF"/>
            <w:noWrap/>
            <w:vAlign w:val="center"/>
            <w:hideMark/>
          </w:tcPr>
          <w:p w14:paraId="6AB0D428" w14:textId="46F86DE5"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28 (21,7 %)</w:t>
            </w:r>
          </w:p>
        </w:tc>
        <w:tc>
          <w:tcPr>
            <w:tcW w:w="1417" w:type="dxa"/>
            <w:tcBorders>
              <w:top w:val="nil"/>
              <w:left w:val="nil"/>
              <w:bottom w:val="single" w:sz="4" w:space="0" w:color="333333"/>
              <w:right w:val="single" w:sz="4" w:space="0" w:color="333399"/>
            </w:tcBorders>
            <w:shd w:val="clear" w:color="000000" w:fill="FFFFFF"/>
            <w:noWrap/>
            <w:vAlign w:val="center"/>
            <w:hideMark/>
          </w:tcPr>
          <w:p w14:paraId="3F0404A5" w14:textId="719F05F9"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15 (13,8 %)</w:t>
            </w:r>
          </w:p>
        </w:tc>
        <w:tc>
          <w:tcPr>
            <w:tcW w:w="1418" w:type="dxa"/>
            <w:tcBorders>
              <w:top w:val="nil"/>
              <w:left w:val="nil"/>
              <w:bottom w:val="single" w:sz="4" w:space="0" w:color="333333"/>
              <w:right w:val="single" w:sz="4" w:space="0" w:color="333399"/>
            </w:tcBorders>
            <w:shd w:val="clear" w:color="000000" w:fill="FFFFFF"/>
            <w:noWrap/>
            <w:vAlign w:val="center"/>
            <w:hideMark/>
          </w:tcPr>
          <w:p w14:paraId="75F57566" w14:textId="0EC986C3"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8 (9,6 %)</w:t>
            </w:r>
          </w:p>
        </w:tc>
        <w:tc>
          <w:tcPr>
            <w:tcW w:w="1417" w:type="dxa"/>
            <w:tcBorders>
              <w:top w:val="nil"/>
              <w:left w:val="nil"/>
              <w:bottom w:val="single" w:sz="4" w:space="0" w:color="333333"/>
              <w:right w:val="single" w:sz="4" w:space="0" w:color="333399"/>
            </w:tcBorders>
            <w:shd w:val="clear" w:color="000000" w:fill="FFFFFF"/>
            <w:noWrap/>
            <w:vAlign w:val="center"/>
            <w:hideMark/>
          </w:tcPr>
          <w:p w14:paraId="452AF04C" w14:textId="2DF409CD"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90 (17,7 %)</w:t>
            </w:r>
          </w:p>
        </w:tc>
        <w:tc>
          <w:tcPr>
            <w:tcW w:w="1276" w:type="dxa"/>
            <w:vMerge/>
            <w:tcBorders>
              <w:top w:val="nil"/>
              <w:left w:val="single" w:sz="4" w:space="0" w:color="auto"/>
              <w:bottom w:val="single" w:sz="4" w:space="0" w:color="000000"/>
              <w:right w:val="single" w:sz="4" w:space="0" w:color="auto"/>
            </w:tcBorders>
            <w:vAlign w:val="center"/>
            <w:hideMark/>
          </w:tcPr>
          <w:p w14:paraId="1B515D57" w14:textId="77777777" w:rsidR="00DE10EC" w:rsidRPr="009C0CFC" w:rsidRDefault="00DE10EC" w:rsidP="00656CC1">
            <w:pPr>
              <w:jc w:val="center"/>
              <w:rPr>
                <w:rFonts w:ascii="Arial" w:hAnsi="Arial" w:cs="Arial"/>
                <w:color w:val="000000"/>
                <w:sz w:val="22"/>
                <w:szCs w:val="22"/>
              </w:rPr>
            </w:pPr>
          </w:p>
        </w:tc>
        <w:tc>
          <w:tcPr>
            <w:tcW w:w="1417" w:type="dxa"/>
            <w:vMerge/>
            <w:tcBorders>
              <w:left w:val="single" w:sz="4" w:space="0" w:color="auto"/>
              <w:right w:val="single" w:sz="4" w:space="0" w:color="auto"/>
            </w:tcBorders>
            <w:vAlign w:val="center"/>
          </w:tcPr>
          <w:p w14:paraId="792DB685" w14:textId="77777777" w:rsidR="00DE10EC" w:rsidRPr="009C0CFC" w:rsidRDefault="00DE10EC" w:rsidP="00205428">
            <w:pPr>
              <w:jc w:val="center"/>
              <w:rPr>
                <w:rFonts w:ascii="Arial" w:hAnsi="Arial" w:cs="Arial"/>
                <w:color w:val="000000"/>
                <w:sz w:val="22"/>
                <w:szCs w:val="22"/>
              </w:rPr>
            </w:pPr>
          </w:p>
        </w:tc>
      </w:tr>
      <w:tr w:rsidR="00E30BDC" w:rsidRPr="00574936" w14:paraId="349C64A4" w14:textId="1F1079E1" w:rsidTr="004E31F3">
        <w:trPr>
          <w:trHeight w:val="397"/>
        </w:trPr>
        <w:tc>
          <w:tcPr>
            <w:tcW w:w="1271" w:type="dxa"/>
            <w:vMerge/>
            <w:tcBorders>
              <w:top w:val="nil"/>
              <w:left w:val="single" w:sz="4" w:space="0" w:color="auto"/>
              <w:bottom w:val="single" w:sz="4" w:space="0" w:color="auto"/>
              <w:right w:val="single" w:sz="4" w:space="0" w:color="auto"/>
            </w:tcBorders>
            <w:vAlign w:val="center"/>
            <w:hideMark/>
          </w:tcPr>
          <w:p w14:paraId="313B74AD" w14:textId="77777777" w:rsidR="00DE10EC" w:rsidRPr="009C0CFC" w:rsidRDefault="00DE10EC" w:rsidP="00656CC1">
            <w:pPr>
              <w:jc w:val="center"/>
              <w:rPr>
                <w:rFonts w:ascii="Arial" w:hAnsi="Arial" w:cs="Arial"/>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hideMark/>
          </w:tcPr>
          <w:p w14:paraId="09B0D51D" w14:textId="77777777"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 xml:space="preserve">Současně </w:t>
            </w:r>
          </w:p>
          <w:p w14:paraId="73127DD8" w14:textId="77777777" w:rsidR="00225A91" w:rsidRPr="009C0CFC" w:rsidRDefault="00225A91" w:rsidP="00225A91">
            <w:pPr>
              <w:jc w:val="center"/>
              <w:rPr>
                <w:rFonts w:ascii="Arial" w:hAnsi="Arial" w:cs="Arial"/>
                <w:color w:val="000000"/>
                <w:sz w:val="22"/>
                <w:szCs w:val="22"/>
              </w:rPr>
            </w:pPr>
            <w:r w:rsidRPr="009C0CFC">
              <w:rPr>
                <w:rFonts w:ascii="Arial" w:hAnsi="Arial" w:cs="Arial"/>
                <w:color w:val="000000"/>
                <w:sz w:val="22"/>
                <w:szCs w:val="22"/>
              </w:rPr>
              <w:t>I</w:t>
            </w:r>
            <w:r w:rsidR="00DE10EC" w:rsidRPr="009C0CFC">
              <w:rPr>
                <w:rFonts w:ascii="Arial" w:hAnsi="Arial" w:cs="Arial"/>
                <w:color w:val="000000"/>
                <w:sz w:val="22"/>
                <w:szCs w:val="22"/>
              </w:rPr>
              <w:t>nterní</w:t>
            </w:r>
          </w:p>
          <w:p w14:paraId="50F7DB40" w14:textId="6507B0B2" w:rsidR="00DE10EC" w:rsidRPr="009C0CFC" w:rsidRDefault="00DE10EC" w:rsidP="00225A91">
            <w:pPr>
              <w:jc w:val="center"/>
              <w:rPr>
                <w:rFonts w:ascii="Arial" w:hAnsi="Arial" w:cs="Arial"/>
                <w:color w:val="000000"/>
                <w:sz w:val="22"/>
                <w:szCs w:val="22"/>
              </w:rPr>
            </w:pPr>
            <w:r w:rsidRPr="009C0CFC">
              <w:rPr>
                <w:rFonts w:ascii="Arial" w:hAnsi="Arial" w:cs="Arial"/>
                <w:color w:val="000000"/>
                <w:sz w:val="22"/>
                <w:szCs w:val="22"/>
              </w:rPr>
              <w:t>a neurologická</w:t>
            </w:r>
          </w:p>
        </w:tc>
        <w:tc>
          <w:tcPr>
            <w:tcW w:w="1417" w:type="dxa"/>
            <w:tcBorders>
              <w:top w:val="nil"/>
              <w:left w:val="nil"/>
              <w:bottom w:val="single" w:sz="4" w:space="0" w:color="333333"/>
              <w:right w:val="single" w:sz="4" w:space="0" w:color="333399"/>
            </w:tcBorders>
            <w:shd w:val="clear" w:color="000000" w:fill="FFFFFF"/>
            <w:noWrap/>
            <w:vAlign w:val="center"/>
            <w:hideMark/>
          </w:tcPr>
          <w:p w14:paraId="3D668B96" w14:textId="6D399FBE"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8 (4,3 %)</w:t>
            </w:r>
          </w:p>
        </w:tc>
        <w:tc>
          <w:tcPr>
            <w:tcW w:w="1418" w:type="dxa"/>
            <w:tcBorders>
              <w:top w:val="nil"/>
              <w:left w:val="nil"/>
              <w:bottom w:val="single" w:sz="4" w:space="0" w:color="333333"/>
              <w:right w:val="single" w:sz="4" w:space="0" w:color="333399"/>
            </w:tcBorders>
            <w:shd w:val="clear" w:color="000000" w:fill="FFFFFF"/>
            <w:noWrap/>
            <w:vAlign w:val="center"/>
            <w:hideMark/>
          </w:tcPr>
          <w:p w14:paraId="52BA6A5F" w14:textId="237446A0"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10 (7,8 %)</w:t>
            </w:r>
          </w:p>
        </w:tc>
        <w:tc>
          <w:tcPr>
            <w:tcW w:w="1417" w:type="dxa"/>
            <w:tcBorders>
              <w:top w:val="nil"/>
              <w:left w:val="nil"/>
              <w:bottom w:val="single" w:sz="4" w:space="0" w:color="333333"/>
              <w:right w:val="single" w:sz="4" w:space="0" w:color="333399"/>
            </w:tcBorders>
            <w:shd w:val="clear" w:color="000000" w:fill="FFFFFF"/>
            <w:noWrap/>
            <w:vAlign w:val="center"/>
            <w:hideMark/>
          </w:tcPr>
          <w:p w14:paraId="2575539E" w14:textId="4D92E63B"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8 (7,3 %)</w:t>
            </w:r>
          </w:p>
        </w:tc>
        <w:tc>
          <w:tcPr>
            <w:tcW w:w="1418" w:type="dxa"/>
            <w:tcBorders>
              <w:top w:val="nil"/>
              <w:left w:val="nil"/>
              <w:bottom w:val="single" w:sz="4" w:space="0" w:color="333333"/>
              <w:right w:val="single" w:sz="4" w:space="0" w:color="333399"/>
            </w:tcBorders>
            <w:shd w:val="clear" w:color="000000" w:fill="FFFFFF"/>
            <w:noWrap/>
            <w:vAlign w:val="center"/>
            <w:hideMark/>
          </w:tcPr>
          <w:p w14:paraId="5468F2C2" w14:textId="4DE53533"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6 (7,2 %)</w:t>
            </w:r>
          </w:p>
        </w:tc>
        <w:tc>
          <w:tcPr>
            <w:tcW w:w="1417" w:type="dxa"/>
            <w:tcBorders>
              <w:top w:val="nil"/>
              <w:left w:val="nil"/>
              <w:bottom w:val="single" w:sz="4" w:space="0" w:color="333333"/>
              <w:right w:val="single" w:sz="4" w:space="0" w:color="333399"/>
            </w:tcBorders>
            <w:shd w:val="clear" w:color="000000" w:fill="FFFFFF"/>
            <w:noWrap/>
            <w:vAlign w:val="center"/>
            <w:hideMark/>
          </w:tcPr>
          <w:p w14:paraId="0345FDC3" w14:textId="6E30CF28"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32 (6,3 %)</w:t>
            </w:r>
          </w:p>
        </w:tc>
        <w:tc>
          <w:tcPr>
            <w:tcW w:w="1276" w:type="dxa"/>
            <w:vMerge/>
            <w:tcBorders>
              <w:top w:val="nil"/>
              <w:left w:val="single" w:sz="4" w:space="0" w:color="auto"/>
              <w:bottom w:val="single" w:sz="4" w:space="0" w:color="000000"/>
              <w:right w:val="single" w:sz="4" w:space="0" w:color="auto"/>
            </w:tcBorders>
            <w:vAlign w:val="center"/>
            <w:hideMark/>
          </w:tcPr>
          <w:p w14:paraId="2F24DF6F" w14:textId="77777777" w:rsidR="00DE10EC" w:rsidRPr="009C0CFC" w:rsidRDefault="00DE10EC" w:rsidP="00656CC1">
            <w:pPr>
              <w:jc w:val="center"/>
              <w:rPr>
                <w:rFonts w:ascii="Arial" w:hAnsi="Arial" w:cs="Arial"/>
                <w:color w:val="000000"/>
                <w:sz w:val="22"/>
                <w:szCs w:val="22"/>
              </w:rPr>
            </w:pPr>
          </w:p>
        </w:tc>
        <w:tc>
          <w:tcPr>
            <w:tcW w:w="1417" w:type="dxa"/>
            <w:vMerge/>
            <w:tcBorders>
              <w:left w:val="single" w:sz="4" w:space="0" w:color="auto"/>
              <w:bottom w:val="single" w:sz="4" w:space="0" w:color="000000"/>
              <w:right w:val="single" w:sz="4" w:space="0" w:color="auto"/>
            </w:tcBorders>
            <w:vAlign w:val="center"/>
          </w:tcPr>
          <w:p w14:paraId="562067DB" w14:textId="77777777" w:rsidR="00DE10EC" w:rsidRPr="009C0CFC" w:rsidRDefault="00DE10EC" w:rsidP="00205428">
            <w:pPr>
              <w:jc w:val="center"/>
              <w:rPr>
                <w:rFonts w:ascii="Arial" w:hAnsi="Arial" w:cs="Arial"/>
                <w:color w:val="000000"/>
                <w:sz w:val="22"/>
                <w:szCs w:val="22"/>
              </w:rPr>
            </w:pPr>
          </w:p>
        </w:tc>
      </w:tr>
      <w:tr w:rsidR="00E30BDC" w:rsidRPr="00574936" w14:paraId="22493CCD" w14:textId="01B7095C" w:rsidTr="004E31F3">
        <w:trPr>
          <w:trHeight w:val="397"/>
        </w:trPr>
        <w:tc>
          <w:tcPr>
            <w:tcW w:w="1271" w:type="dxa"/>
            <w:vMerge w:val="restart"/>
            <w:tcBorders>
              <w:top w:val="nil"/>
              <w:left w:val="single" w:sz="4" w:space="0" w:color="auto"/>
              <w:bottom w:val="single" w:sz="4" w:space="0" w:color="auto"/>
              <w:right w:val="single" w:sz="4" w:space="0" w:color="auto"/>
            </w:tcBorders>
            <w:shd w:val="clear" w:color="auto" w:fill="auto"/>
            <w:vAlign w:val="center"/>
            <w:hideMark/>
          </w:tcPr>
          <w:p w14:paraId="15A0320B" w14:textId="5E45183C"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Využití</w:t>
            </w:r>
          </w:p>
          <w:p w14:paraId="6ECDC4B6" w14:textId="08D60591"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observačního lůžka</w:t>
            </w:r>
          </w:p>
        </w:tc>
        <w:tc>
          <w:tcPr>
            <w:tcW w:w="1418" w:type="dxa"/>
            <w:tcBorders>
              <w:top w:val="nil"/>
              <w:left w:val="nil"/>
              <w:bottom w:val="single" w:sz="4" w:space="0" w:color="auto"/>
              <w:right w:val="single" w:sz="4" w:space="0" w:color="auto"/>
            </w:tcBorders>
            <w:shd w:val="clear" w:color="auto" w:fill="auto"/>
            <w:noWrap/>
            <w:vAlign w:val="center"/>
            <w:hideMark/>
          </w:tcPr>
          <w:p w14:paraId="670071DA" w14:textId="77777777"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ANO</w:t>
            </w:r>
          </w:p>
        </w:tc>
        <w:tc>
          <w:tcPr>
            <w:tcW w:w="1417" w:type="dxa"/>
            <w:tcBorders>
              <w:top w:val="nil"/>
              <w:left w:val="nil"/>
              <w:bottom w:val="single" w:sz="4" w:space="0" w:color="333333"/>
              <w:right w:val="single" w:sz="4" w:space="0" w:color="333399"/>
            </w:tcBorders>
            <w:shd w:val="clear" w:color="000000" w:fill="FFFFFF"/>
            <w:noWrap/>
            <w:vAlign w:val="center"/>
            <w:hideMark/>
          </w:tcPr>
          <w:p w14:paraId="3FA2235A" w14:textId="4191E463"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135 (71,8 %)</w:t>
            </w:r>
          </w:p>
        </w:tc>
        <w:tc>
          <w:tcPr>
            <w:tcW w:w="1418" w:type="dxa"/>
            <w:tcBorders>
              <w:top w:val="nil"/>
              <w:left w:val="nil"/>
              <w:bottom w:val="single" w:sz="4" w:space="0" w:color="333333"/>
              <w:right w:val="single" w:sz="4" w:space="0" w:color="333399"/>
            </w:tcBorders>
            <w:shd w:val="clear" w:color="000000" w:fill="FFFFFF"/>
            <w:noWrap/>
            <w:vAlign w:val="center"/>
            <w:hideMark/>
          </w:tcPr>
          <w:p w14:paraId="25C8B95B" w14:textId="4BA06FE5"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84 (65,1 %)</w:t>
            </w:r>
          </w:p>
        </w:tc>
        <w:tc>
          <w:tcPr>
            <w:tcW w:w="1417" w:type="dxa"/>
            <w:tcBorders>
              <w:top w:val="nil"/>
              <w:left w:val="nil"/>
              <w:bottom w:val="single" w:sz="4" w:space="0" w:color="333333"/>
              <w:right w:val="single" w:sz="4" w:space="0" w:color="333399"/>
            </w:tcBorders>
            <w:shd w:val="clear" w:color="000000" w:fill="FFFFFF"/>
            <w:noWrap/>
            <w:vAlign w:val="center"/>
            <w:hideMark/>
          </w:tcPr>
          <w:p w14:paraId="3F7F4E9D" w14:textId="76F23EE9"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87 (79,8 %)</w:t>
            </w:r>
          </w:p>
        </w:tc>
        <w:tc>
          <w:tcPr>
            <w:tcW w:w="1418" w:type="dxa"/>
            <w:tcBorders>
              <w:top w:val="nil"/>
              <w:left w:val="nil"/>
              <w:bottom w:val="single" w:sz="4" w:space="0" w:color="333333"/>
              <w:right w:val="single" w:sz="4" w:space="0" w:color="333399"/>
            </w:tcBorders>
            <w:shd w:val="clear" w:color="000000" w:fill="FFFFFF"/>
            <w:noWrap/>
            <w:vAlign w:val="center"/>
            <w:hideMark/>
          </w:tcPr>
          <w:p w14:paraId="662CCCAF" w14:textId="45058E18"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70 (84,3 %)</w:t>
            </w:r>
          </w:p>
        </w:tc>
        <w:tc>
          <w:tcPr>
            <w:tcW w:w="1417" w:type="dxa"/>
            <w:tcBorders>
              <w:top w:val="nil"/>
              <w:left w:val="nil"/>
              <w:bottom w:val="single" w:sz="4" w:space="0" w:color="333333"/>
              <w:right w:val="single" w:sz="4" w:space="0" w:color="333399"/>
            </w:tcBorders>
            <w:shd w:val="clear" w:color="000000" w:fill="FFFFFF"/>
            <w:noWrap/>
            <w:vAlign w:val="center"/>
            <w:hideMark/>
          </w:tcPr>
          <w:p w14:paraId="48AE9BBA" w14:textId="140A47E9"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376 (73,9 %)</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14:paraId="6D99045C" w14:textId="77777777" w:rsidR="00DE10EC" w:rsidRPr="009C0CFC" w:rsidRDefault="00DE10EC" w:rsidP="00656CC1">
            <w:pPr>
              <w:jc w:val="center"/>
              <w:rPr>
                <w:rFonts w:ascii="Arial" w:hAnsi="Arial" w:cs="Arial"/>
                <w:b/>
                <w:bCs/>
                <w:color w:val="000000"/>
                <w:sz w:val="22"/>
                <w:szCs w:val="22"/>
              </w:rPr>
            </w:pPr>
            <w:r w:rsidRPr="009C0CFC">
              <w:rPr>
                <w:rFonts w:ascii="Arial" w:hAnsi="Arial" w:cs="Arial"/>
                <w:b/>
                <w:bCs/>
                <w:color w:val="000000"/>
                <w:sz w:val="22"/>
                <w:szCs w:val="22"/>
              </w:rPr>
              <w:t>0,007 CV=0,155</w:t>
            </w:r>
          </w:p>
        </w:tc>
        <w:tc>
          <w:tcPr>
            <w:tcW w:w="1417" w:type="dxa"/>
            <w:vMerge w:val="restart"/>
            <w:tcBorders>
              <w:top w:val="nil"/>
              <w:left w:val="single" w:sz="4" w:space="0" w:color="auto"/>
              <w:right w:val="single" w:sz="4" w:space="0" w:color="auto"/>
            </w:tcBorders>
            <w:vAlign w:val="center"/>
          </w:tcPr>
          <w:p w14:paraId="0EC6ADAE" w14:textId="6A993B6F" w:rsidR="00DE10EC" w:rsidRPr="009C0CFC" w:rsidRDefault="00032C82" w:rsidP="00205428">
            <w:pPr>
              <w:jc w:val="center"/>
              <w:rPr>
                <w:rFonts w:ascii="Arial" w:hAnsi="Arial" w:cs="Arial"/>
                <w:b/>
                <w:bCs/>
                <w:color w:val="000000"/>
                <w:sz w:val="22"/>
                <w:szCs w:val="22"/>
              </w:rPr>
            </w:pPr>
            <w:r w:rsidRPr="009E19DB">
              <w:rPr>
                <w:rFonts w:ascii="Arial" w:hAnsi="Arial" w:cs="Arial"/>
                <w:sz w:val="22"/>
                <w:szCs w:val="22"/>
              </w:rPr>
              <w:t>*</w:t>
            </w:r>
            <w:r w:rsidR="009E19DB" w:rsidRPr="009E19DB">
              <w:rPr>
                <w:rFonts w:ascii="Arial" w:hAnsi="Arial" w:cs="Arial"/>
                <w:sz w:val="22"/>
                <w:szCs w:val="22"/>
              </w:rPr>
              <w:t>*</w:t>
            </w:r>
            <w:r w:rsidR="00641748">
              <w:rPr>
                <w:rFonts w:ascii="Arial" w:hAnsi="Arial" w:cs="Arial"/>
                <w:b/>
                <w:bCs/>
                <w:color w:val="000000"/>
                <w:sz w:val="22"/>
                <w:szCs w:val="22"/>
              </w:rPr>
              <w:t xml:space="preserve"> </w:t>
            </w:r>
            <w:r w:rsidR="008E258C" w:rsidRPr="009C0CFC">
              <w:rPr>
                <w:rFonts w:ascii="Arial" w:hAnsi="Arial" w:cs="Arial"/>
                <w:b/>
                <w:bCs/>
                <w:color w:val="000000"/>
                <w:sz w:val="22"/>
                <w:szCs w:val="22"/>
              </w:rPr>
              <w:t>&lt;0,001</w:t>
            </w:r>
          </w:p>
          <w:p w14:paraId="65EECC3C" w14:textId="4D66B6F2" w:rsidR="008E258C" w:rsidRPr="009C0CFC" w:rsidRDefault="008E258C" w:rsidP="00205428">
            <w:pPr>
              <w:jc w:val="center"/>
              <w:rPr>
                <w:rFonts w:ascii="Arial" w:hAnsi="Arial" w:cs="Arial"/>
                <w:b/>
                <w:bCs/>
                <w:color w:val="000000"/>
                <w:sz w:val="22"/>
                <w:szCs w:val="22"/>
              </w:rPr>
            </w:pPr>
            <w:r w:rsidRPr="009C0CFC">
              <w:rPr>
                <w:rFonts w:ascii="Arial" w:hAnsi="Arial" w:cs="Arial"/>
                <w:b/>
                <w:bCs/>
                <w:color w:val="000000"/>
                <w:sz w:val="22"/>
                <w:szCs w:val="22"/>
              </w:rPr>
              <w:t>Fí=</w:t>
            </w:r>
            <w:r w:rsidR="00AC0AE1" w:rsidRPr="009C0CFC">
              <w:rPr>
                <w:rFonts w:ascii="Arial" w:hAnsi="Arial" w:cs="Arial"/>
                <w:b/>
                <w:bCs/>
                <w:color w:val="000000"/>
                <w:sz w:val="22"/>
                <w:szCs w:val="22"/>
              </w:rPr>
              <w:t>0,132</w:t>
            </w:r>
          </w:p>
        </w:tc>
      </w:tr>
      <w:tr w:rsidR="00E30BDC" w:rsidRPr="00574936" w14:paraId="38815BE3" w14:textId="3E7A695F" w:rsidTr="004E31F3">
        <w:trPr>
          <w:trHeight w:val="397"/>
        </w:trPr>
        <w:tc>
          <w:tcPr>
            <w:tcW w:w="1271" w:type="dxa"/>
            <w:vMerge/>
            <w:tcBorders>
              <w:top w:val="nil"/>
              <w:left w:val="single" w:sz="4" w:space="0" w:color="auto"/>
              <w:bottom w:val="single" w:sz="4" w:space="0" w:color="auto"/>
              <w:right w:val="single" w:sz="4" w:space="0" w:color="auto"/>
            </w:tcBorders>
            <w:vAlign w:val="center"/>
            <w:hideMark/>
          </w:tcPr>
          <w:p w14:paraId="6EAE5638" w14:textId="77777777" w:rsidR="00DE10EC" w:rsidRPr="009C0CFC" w:rsidRDefault="00DE10EC" w:rsidP="00656CC1">
            <w:pPr>
              <w:jc w:val="center"/>
              <w:rPr>
                <w:rFonts w:ascii="Arial" w:hAnsi="Arial" w:cs="Arial"/>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hideMark/>
          </w:tcPr>
          <w:p w14:paraId="312E82B4" w14:textId="77777777"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NE</w:t>
            </w:r>
          </w:p>
        </w:tc>
        <w:tc>
          <w:tcPr>
            <w:tcW w:w="1417" w:type="dxa"/>
            <w:tcBorders>
              <w:top w:val="nil"/>
              <w:left w:val="nil"/>
              <w:bottom w:val="single" w:sz="4" w:space="0" w:color="333333"/>
              <w:right w:val="single" w:sz="4" w:space="0" w:color="333399"/>
            </w:tcBorders>
            <w:shd w:val="clear" w:color="000000" w:fill="FFFFFF"/>
            <w:noWrap/>
            <w:vAlign w:val="center"/>
            <w:hideMark/>
          </w:tcPr>
          <w:p w14:paraId="51077D01" w14:textId="0A047D91"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53 (28,2 %)</w:t>
            </w:r>
          </w:p>
        </w:tc>
        <w:tc>
          <w:tcPr>
            <w:tcW w:w="1418" w:type="dxa"/>
            <w:tcBorders>
              <w:top w:val="nil"/>
              <w:left w:val="nil"/>
              <w:bottom w:val="single" w:sz="4" w:space="0" w:color="333333"/>
              <w:right w:val="single" w:sz="4" w:space="0" w:color="333399"/>
            </w:tcBorders>
            <w:shd w:val="clear" w:color="000000" w:fill="FFFFFF"/>
            <w:noWrap/>
            <w:vAlign w:val="center"/>
            <w:hideMark/>
          </w:tcPr>
          <w:p w14:paraId="47E06B94" w14:textId="198FA818"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45 (34,9 %)</w:t>
            </w:r>
          </w:p>
        </w:tc>
        <w:tc>
          <w:tcPr>
            <w:tcW w:w="1417" w:type="dxa"/>
            <w:tcBorders>
              <w:top w:val="nil"/>
              <w:left w:val="nil"/>
              <w:bottom w:val="single" w:sz="4" w:space="0" w:color="333333"/>
              <w:right w:val="single" w:sz="4" w:space="0" w:color="333399"/>
            </w:tcBorders>
            <w:shd w:val="clear" w:color="000000" w:fill="FFFFFF"/>
            <w:noWrap/>
            <w:vAlign w:val="center"/>
            <w:hideMark/>
          </w:tcPr>
          <w:p w14:paraId="1B882C17" w14:textId="1D6744C0"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22 (20,2 %)</w:t>
            </w:r>
          </w:p>
        </w:tc>
        <w:tc>
          <w:tcPr>
            <w:tcW w:w="1418" w:type="dxa"/>
            <w:tcBorders>
              <w:top w:val="nil"/>
              <w:left w:val="nil"/>
              <w:bottom w:val="single" w:sz="4" w:space="0" w:color="333333"/>
              <w:right w:val="single" w:sz="4" w:space="0" w:color="333399"/>
            </w:tcBorders>
            <w:shd w:val="clear" w:color="000000" w:fill="FFFFFF"/>
            <w:noWrap/>
            <w:vAlign w:val="center"/>
            <w:hideMark/>
          </w:tcPr>
          <w:p w14:paraId="5016F83D" w14:textId="5336378A"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13 (15,7 %)</w:t>
            </w:r>
          </w:p>
        </w:tc>
        <w:tc>
          <w:tcPr>
            <w:tcW w:w="1417" w:type="dxa"/>
            <w:tcBorders>
              <w:top w:val="nil"/>
              <w:left w:val="nil"/>
              <w:bottom w:val="single" w:sz="4" w:space="0" w:color="333333"/>
              <w:right w:val="single" w:sz="4" w:space="0" w:color="333399"/>
            </w:tcBorders>
            <w:shd w:val="clear" w:color="000000" w:fill="FFFFFF"/>
            <w:noWrap/>
            <w:vAlign w:val="center"/>
            <w:hideMark/>
          </w:tcPr>
          <w:p w14:paraId="17A7AF9A" w14:textId="1E157C22"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133 (26,1 %)</w:t>
            </w:r>
          </w:p>
        </w:tc>
        <w:tc>
          <w:tcPr>
            <w:tcW w:w="1276" w:type="dxa"/>
            <w:vMerge/>
            <w:tcBorders>
              <w:top w:val="nil"/>
              <w:left w:val="single" w:sz="4" w:space="0" w:color="auto"/>
              <w:bottom w:val="single" w:sz="4" w:space="0" w:color="000000"/>
              <w:right w:val="single" w:sz="4" w:space="0" w:color="auto"/>
            </w:tcBorders>
            <w:vAlign w:val="center"/>
            <w:hideMark/>
          </w:tcPr>
          <w:p w14:paraId="170867C3" w14:textId="77777777" w:rsidR="00DE10EC" w:rsidRPr="009C0CFC" w:rsidRDefault="00DE10EC" w:rsidP="00656CC1">
            <w:pPr>
              <w:jc w:val="center"/>
              <w:rPr>
                <w:rFonts w:ascii="Arial" w:hAnsi="Arial" w:cs="Arial"/>
                <w:b/>
                <w:bCs/>
                <w:color w:val="000000"/>
                <w:sz w:val="22"/>
                <w:szCs w:val="22"/>
              </w:rPr>
            </w:pPr>
          </w:p>
        </w:tc>
        <w:tc>
          <w:tcPr>
            <w:tcW w:w="1417" w:type="dxa"/>
            <w:vMerge/>
            <w:tcBorders>
              <w:left w:val="single" w:sz="4" w:space="0" w:color="auto"/>
              <w:bottom w:val="single" w:sz="4" w:space="0" w:color="000000"/>
              <w:right w:val="single" w:sz="4" w:space="0" w:color="auto"/>
            </w:tcBorders>
            <w:vAlign w:val="center"/>
          </w:tcPr>
          <w:p w14:paraId="79293AD3" w14:textId="77777777" w:rsidR="00DE10EC" w:rsidRPr="009C0CFC" w:rsidRDefault="00DE10EC" w:rsidP="00205428">
            <w:pPr>
              <w:jc w:val="center"/>
              <w:rPr>
                <w:rFonts w:ascii="Arial" w:hAnsi="Arial" w:cs="Arial"/>
                <w:b/>
                <w:bCs/>
                <w:color w:val="000000"/>
                <w:sz w:val="22"/>
                <w:szCs w:val="22"/>
              </w:rPr>
            </w:pPr>
          </w:p>
        </w:tc>
      </w:tr>
      <w:tr w:rsidR="00E30BDC" w:rsidRPr="00574936" w14:paraId="47C58181" w14:textId="767462CE" w:rsidTr="004E31F3">
        <w:trPr>
          <w:trHeight w:val="397"/>
        </w:trPr>
        <w:tc>
          <w:tcPr>
            <w:tcW w:w="1271" w:type="dxa"/>
            <w:vMerge w:val="restart"/>
            <w:tcBorders>
              <w:top w:val="nil"/>
              <w:left w:val="single" w:sz="4" w:space="0" w:color="auto"/>
              <w:bottom w:val="single" w:sz="4" w:space="0" w:color="auto"/>
              <w:right w:val="single" w:sz="4" w:space="0" w:color="auto"/>
            </w:tcBorders>
            <w:shd w:val="clear" w:color="auto" w:fill="auto"/>
            <w:vAlign w:val="center"/>
            <w:hideMark/>
          </w:tcPr>
          <w:p w14:paraId="42B039D5" w14:textId="1BBF9C9A"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Využití</w:t>
            </w:r>
          </w:p>
          <w:p w14:paraId="55AEE835" w14:textId="345BD968"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zobrazovacích metod</w:t>
            </w:r>
          </w:p>
        </w:tc>
        <w:tc>
          <w:tcPr>
            <w:tcW w:w="1418" w:type="dxa"/>
            <w:tcBorders>
              <w:top w:val="nil"/>
              <w:left w:val="nil"/>
              <w:bottom w:val="single" w:sz="4" w:space="0" w:color="auto"/>
              <w:right w:val="single" w:sz="4" w:space="0" w:color="auto"/>
            </w:tcBorders>
            <w:shd w:val="clear" w:color="auto" w:fill="auto"/>
            <w:noWrap/>
            <w:vAlign w:val="center"/>
            <w:hideMark/>
          </w:tcPr>
          <w:p w14:paraId="320F23CE" w14:textId="77777777"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ANO</w:t>
            </w:r>
          </w:p>
        </w:tc>
        <w:tc>
          <w:tcPr>
            <w:tcW w:w="1417" w:type="dxa"/>
            <w:tcBorders>
              <w:top w:val="nil"/>
              <w:left w:val="nil"/>
              <w:bottom w:val="single" w:sz="4" w:space="0" w:color="333333"/>
              <w:right w:val="single" w:sz="4" w:space="0" w:color="333399"/>
            </w:tcBorders>
            <w:shd w:val="clear" w:color="000000" w:fill="FFFFFF"/>
            <w:noWrap/>
            <w:vAlign w:val="center"/>
            <w:hideMark/>
          </w:tcPr>
          <w:p w14:paraId="0B018057" w14:textId="116A324B"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90 (47,9 %)</w:t>
            </w:r>
          </w:p>
        </w:tc>
        <w:tc>
          <w:tcPr>
            <w:tcW w:w="1418" w:type="dxa"/>
            <w:tcBorders>
              <w:top w:val="nil"/>
              <w:left w:val="nil"/>
              <w:bottom w:val="single" w:sz="4" w:space="0" w:color="333333"/>
              <w:right w:val="single" w:sz="4" w:space="0" w:color="333399"/>
            </w:tcBorders>
            <w:shd w:val="clear" w:color="000000" w:fill="FFFFFF"/>
            <w:noWrap/>
            <w:vAlign w:val="center"/>
            <w:hideMark/>
          </w:tcPr>
          <w:p w14:paraId="046D2895" w14:textId="668CA34B"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58 (45,0 %)</w:t>
            </w:r>
          </w:p>
        </w:tc>
        <w:tc>
          <w:tcPr>
            <w:tcW w:w="1417" w:type="dxa"/>
            <w:tcBorders>
              <w:top w:val="nil"/>
              <w:left w:val="nil"/>
              <w:bottom w:val="single" w:sz="4" w:space="0" w:color="333333"/>
              <w:right w:val="single" w:sz="4" w:space="0" w:color="333399"/>
            </w:tcBorders>
            <w:shd w:val="clear" w:color="000000" w:fill="FFFFFF"/>
            <w:noWrap/>
            <w:vAlign w:val="center"/>
            <w:hideMark/>
          </w:tcPr>
          <w:p w14:paraId="115AC809" w14:textId="5C5C2373"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60 (55,0 %)</w:t>
            </w:r>
          </w:p>
        </w:tc>
        <w:tc>
          <w:tcPr>
            <w:tcW w:w="1418" w:type="dxa"/>
            <w:tcBorders>
              <w:top w:val="nil"/>
              <w:left w:val="nil"/>
              <w:bottom w:val="single" w:sz="4" w:space="0" w:color="333333"/>
              <w:right w:val="single" w:sz="4" w:space="0" w:color="333399"/>
            </w:tcBorders>
            <w:shd w:val="clear" w:color="000000" w:fill="FFFFFF"/>
            <w:noWrap/>
            <w:vAlign w:val="center"/>
            <w:hideMark/>
          </w:tcPr>
          <w:p w14:paraId="65E6336F" w14:textId="44DFC748"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48 (57,8 %)</w:t>
            </w:r>
          </w:p>
        </w:tc>
        <w:tc>
          <w:tcPr>
            <w:tcW w:w="1417" w:type="dxa"/>
            <w:tcBorders>
              <w:top w:val="nil"/>
              <w:left w:val="nil"/>
              <w:bottom w:val="single" w:sz="4" w:space="0" w:color="333333"/>
              <w:right w:val="single" w:sz="4" w:space="0" w:color="333399"/>
            </w:tcBorders>
            <w:shd w:val="clear" w:color="000000" w:fill="FFFFFF"/>
            <w:noWrap/>
            <w:vAlign w:val="center"/>
            <w:hideMark/>
          </w:tcPr>
          <w:p w14:paraId="57EC700C" w14:textId="4E009F51"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256 (50,3 %)</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14:paraId="24937393" w14:textId="77777777"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0,189</w:t>
            </w:r>
          </w:p>
        </w:tc>
        <w:tc>
          <w:tcPr>
            <w:tcW w:w="1417" w:type="dxa"/>
            <w:vMerge w:val="restart"/>
            <w:tcBorders>
              <w:top w:val="nil"/>
              <w:left w:val="single" w:sz="4" w:space="0" w:color="auto"/>
              <w:right w:val="single" w:sz="4" w:space="0" w:color="auto"/>
            </w:tcBorders>
            <w:vAlign w:val="center"/>
          </w:tcPr>
          <w:p w14:paraId="69FF7FA1" w14:textId="79F59AA9" w:rsidR="00DE10EC" w:rsidRPr="009C0CFC" w:rsidRDefault="00032C82" w:rsidP="00205428">
            <w:pPr>
              <w:jc w:val="center"/>
              <w:rPr>
                <w:rFonts w:ascii="Arial" w:hAnsi="Arial" w:cs="Arial"/>
                <w:color w:val="000000"/>
                <w:sz w:val="22"/>
                <w:szCs w:val="22"/>
              </w:rPr>
            </w:pPr>
            <w:r w:rsidRPr="009E19DB">
              <w:rPr>
                <w:rFonts w:ascii="Arial" w:hAnsi="Arial" w:cs="Arial"/>
                <w:sz w:val="22"/>
                <w:szCs w:val="22"/>
              </w:rPr>
              <w:t>*</w:t>
            </w:r>
            <w:r w:rsidR="009E19DB" w:rsidRPr="009E19DB">
              <w:rPr>
                <w:rFonts w:ascii="Arial" w:hAnsi="Arial" w:cs="Arial"/>
                <w:sz w:val="22"/>
                <w:szCs w:val="22"/>
              </w:rPr>
              <w:t>*</w:t>
            </w:r>
            <w:r>
              <w:rPr>
                <w:rFonts w:ascii="Arial" w:hAnsi="Arial" w:cs="Arial"/>
                <w:color w:val="000000"/>
                <w:sz w:val="22"/>
                <w:szCs w:val="22"/>
              </w:rPr>
              <w:t xml:space="preserve"> </w:t>
            </w:r>
            <w:r w:rsidR="00AC0AE1" w:rsidRPr="009C0CFC">
              <w:rPr>
                <w:rFonts w:ascii="Arial" w:hAnsi="Arial" w:cs="Arial"/>
                <w:color w:val="000000"/>
                <w:sz w:val="22"/>
                <w:szCs w:val="22"/>
              </w:rPr>
              <w:t>0,087</w:t>
            </w:r>
          </w:p>
        </w:tc>
      </w:tr>
      <w:tr w:rsidR="00E30BDC" w:rsidRPr="00574936" w14:paraId="1492D67B" w14:textId="4A7A6487" w:rsidTr="004E31F3">
        <w:trPr>
          <w:trHeight w:val="397"/>
        </w:trPr>
        <w:tc>
          <w:tcPr>
            <w:tcW w:w="1271" w:type="dxa"/>
            <w:vMerge/>
            <w:tcBorders>
              <w:top w:val="nil"/>
              <w:left w:val="single" w:sz="4" w:space="0" w:color="auto"/>
              <w:bottom w:val="single" w:sz="4" w:space="0" w:color="auto"/>
              <w:right w:val="single" w:sz="4" w:space="0" w:color="auto"/>
            </w:tcBorders>
            <w:vAlign w:val="center"/>
            <w:hideMark/>
          </w:tcPr>
          <w:p w14:paraId="7F06070E" w14:textId="77777777" w:rsidR="00DE10EC" w:rsidRPr="009C0CFC" w:rsidRDefault="00DE10EC" w:rsidP="00656CC1">
            <w:pPr>
              <w:jc w:val="center"/>
              <w:rPr>
                <w:rFonts w:ascii="Arial" w:hAnsi="Arial" w:cs="Arial"/>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hideMark/>
          </w:tcPr>
          <w:p w14:paraId="25499215" w14:textId="77777777"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NE</w:t>
            </w:r>
          </w:p>
        </w:tc>
        <w:tc>
          <w:tcPr>
            <w:tcW w:w="1417" w:type="dxa"/>
            <w:tcBorders>
              <w:top w:val="nil"/>
              <w:left w:val="nil"/>
              <w:bottom w:val="single" w:sz="4" w:space="0" w:color="auto"/>
              <w:right w:val="single" w:sz="4" w:space="0" w:color="333399"/>
            </w:tcBorders>
            <w:shd w:val="clear" w:color="000000" w:fill="FFFFFF"/>
            <w:noWrap/>
            <w:vAlign w:val="center"/>
            <w:hideMark/>
          </w:tcPr>
          <w:p w14:paraId="5350A98B" w14:textId="4999BC2D"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98 (52,1 %)</w:t>
            </w:r>
          </w:p>
        </w:tc>
        <w:tc>
          <w:tcPr>
            <w:tcW w:w="1418" w:type="dxa"/>
            <w:tcBorders>
              <w:top w:val="nil"/>
              <w:left w:val="nil"/>
              <w:bottom w:val="single" w:sz="4" w:space="0" w:color="auto"/>
              <w:right w:val="single" w:sz="4" w:space="0" w:color="333399"/>
            </w:tcBorders>
            <w:shd w:val="clear" w:color="000000" w:fill="FFFFFF"/>
            <w:noWrap/>
            <w:vAlign w:val="center"/>
            <w:hideMark/>
          </w:tcPr>
          <w:p w14:paraId="0620C673" w14:textId="32F4A00F"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71 (55,0 %)</w:t>
            </w:r>
          </w:p>
        </w:tc>
        <w:tc>
          <w:tcPr>
            <w:tcW w:w="1417" w:type="dxa"/>
            <w:tcBorders>
              <w:top w:val="nil"/>
              <w:left w:val="nil"/>
              <w:bottom w:val="single" w:sz="4" w:space="0" w:color="auto"/>
              <w:right w:val="single" w:sz="4" w:space="0" w:color="333399"/>
            </w:tcBorders>
            <w:shd w:val="clear" w:color="000000" w:fill="FFFFFF"/>
            <w:noWrap/>
            <w:vAlign w:val="center"/>
            <w:hideMark/>
          </w:tcPr>
          <w:p w14:paraId="233FCDF1" w14:textId="6ECB4625"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49 (45,0 %)</w:t>
            </w:r>
          </w:p>
        </w:tc>
        <w:tc>
          <w:tcPr>
            <w:tcW w:w="1418" w:type="dxa"/>
            <w:tcBorders>
              <w:top w:val="nil"/>
              <w:left w:val="nil"/>
              <w:bottom w:val="single" w:sz="4" w:space="0" w:color="auto"/>
              <w:right w:val="single" w:sz="4" w:space="0" w:color="333399"/>
            </w:tcBorders>
            <w:shd w:val="clear" w:color="000000" w:fill="FFFFFF"/>
            <w:noWrap/>
            <w:vAlign w:val="center"/>
            <w:hideMark/>
          </w:tcPr>
          <w:p w14:paraId="77856617" w14:textId="75E7BD0C"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35 (42,2 %)</w:t>
            </w:r>
          </w:p>
        </w:tc>
        <w:tc>
          <w:tcPr>
            <w:tcW w:w="1417" w:type="dxa"/>
            <w:tcBorders>
              <w:top w:val="nil"/>
              <w:left w:val="nil"/>
              <w:bottom w:val="single" w:sz="4" w:space="0" w:color="auto"/>
              <w:right w:val="single" w:sz="4" w:space="0" w:color="333399"/>
            </w:tcBorders>
            <w:shd w:val="clear" w:color="000000" w:fill="FFFFFF"/>
            <w:noWrap/>
            <w:vAlign w:val="center"/>
            <w:hideMark/>
          </w:tcPr>
          <w:p w14:paraId="4AFC6EC5" w14:textId="4CEEDDC0"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253 (49,7 %)</w:t>
            </w:r>
          </w:p>
        </w:tc>
        <w:tc>
          <w:tcPr>
            <w:tcW w:w="1276" w:type="dxa"/>
            <w:vMerge/>
            <w:tcBorders>
              <w:top w:val="nil"/>
              <w:left w:val="single" w:sz="4" w:space="0" w:color="auto"/>
              <w:bottom w:val="single" w:sz="4" w:space="0" w:color="auto"/>
              <w:right w:val="single" w:sz="4" w:space="0" w:color="auto"/>
            </w:tcBorders>
            <w:vAlign w:val="center"/>
            <w:hideMark/>
          </w:tcPr>
          <w:p w14:paraId="51325FD2" w14:textId="77777777" w:rsidR="00DE10EC" w:rsidRPr="009C0CFC" w:rsidRDefault="00DE10EC" w:rsidP="00656CC1">
            <w:pPr>
              <w:jc w:val="center"/>
              <w:rPr>
                <w:rFonts w:ascii="Arial" w:hAnsi="Arial" w:cs="Arial"/>
                <w:color w:val="000000"/>
                <w:sz w:val="22"/>
                <w:szCs w:val="22"/>
              </w:rPr>
            </w:pPr>
          </w:p>
        </w:tc>
        <w:tc>
          <w:tcPr>
            <w:tcW w:w="1417" w:type="dxa"/>
            <w:vMerge/>
            <w:tcBorders>
              <w:left w:val="single" w:sz="4" w:space="0" w:color="auto"/>
              <w:bottom w:val="single" w:sz="4" w:space="0" w:color="auto"/>
              <w:right w:val="single" w:sz="4" w:space="0" w:color="auto"/>
            </w:tcBorders>
            <w:vAlign w:val="center"/>
          </w:tcPr>
          <w:p w14:paraId="546F7E89" w14:textId="77777777" w:rsidR="00DE10EC" w:rsidRPr="009C0CFC" w:rsidRDefault="00DE10EC" w:rsidP="00205428">
            <w:pPr>
              <w:jc w:val="center"/>
              <w:rPr>
                <w:rFonts w:ascii="Arial" w:hAnsi="Arial" w:cs="Arial"/>
                <w:color w:val="000000"/>
                <w:sz w:val="22"/>
                <w:szCs w:val="22"/>
              </w:rPr>
            </w:pPr>
          </w:p>
        </w:tc>
      </w:tr>
      <w:tr w:rsidR="00E30BDC" w:rsidRPr="00574936" w14:paraId="64BE21B4" w14:textId="49B7629D" w:rsidTr="004E31F3">
        <w:trPr>
          <w:trHeight w:val="397"/>
        </w:trPr>
        <w:tc>
          <w:tcPr>
            <w:tcW w:w="12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AA1E99" w14:textId="20E77B84"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Konzilium</w:t>
            </w:r>
          </w:p>
          <w:p w14:paraId="603AE255" w14:textId="61F8A3A0"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specialisty</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9B2D1" w14:textId="77777777"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ANO</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E3BA48" w14:textId="35194DBA"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7 (3,7 %)</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EF2B40" w14:textId="4BB7D29B"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4 (3,1 %)</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37CE8B" w14:textId="0021F7C3"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8 (7,3 %)</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622A5B" w14:textId="0C06C41D"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5 (6,0 %)</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857AAE" w14:textId="3A8C8974"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24 (4,7 %)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C04259" w14:textId="77777777"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0,369</w:t>
            </w:r>
          </w:p>
        </w:tc>
        <w:tc>
          <w:tcPr>
            <w:tcW w:w="1417" w:type="dxa"/>
            <w:vMerge w:val="restart"/>
            <w:tcBorders>
              <w:top w:val="single" w:sz="4" w:space="0" w:color="auto"/>
              <w:left w:val="single" w:sz="4" w:space="0" w:color="auto"/>
              <w:right w:val="single" w:sz="4" w:space="0" w:color="auto"/>
            </w:tcBorders>
            <w:vAlign w:val="center"/>
          </w:tcPr>
          <w:p w14:paraId="21570BB9" w14:textId="444CB285" w:rsidR="00DE10EC" w:rsidRPr="009C0CFC" w:rsidRDefault="00032C82" w:rsidP="00205428">
            <w:pPr>
              <w:jc w:val="center"/>
              <w:rPr>
                <w:rFonts w:ascii="Arial" w:hAnsi="Arial" w:cs="Arial"/>
                <w:b/>
                <w:bCs/>
                <w:color w:val="000000"/>
                <w:sz w:val="22"/>
                <w:szCs w:val="22"/>
              </w:rPr>
            </w:pPr>
            <w:r w:rsidRPr="009E19DB">
              <w:rPr>
                <w:rFonts w:ascii="Arial" w:hAnsi="Arial" w:cs="Arial"/>
                <w:sz w:val="22"/>
                <w:szCs w:val="22"/>
              </w:rPr>
              <w:t>*</w:t>
            </w:r>
            <w:r w:rsidR="009E19DB" w:rsidRPr="009E19DB">
              <w:rPr>
                <w:rFonts w:ascii="Arial" w:hAnsi="Arial" w:cs="Arial"/>
                <w:sz w:val="22"/>
                <w:szCs w:val="22"/>
              </w:rPr>
              <w:t>*</w:t>
            </w:r>
            <w:r>
              <w:rPr>
                <w:rFonts w:ascii="Arial" w:hAnsi="Arial" w:cs="Arial"/>
                <w:b/>
                <w:bCs/>
                <w:color w:val="000000"/>
                <w:sz w:val="22"/>
                <w:szCs w:val="22"/>
              </w:rPr>
              <w:t xml:space="preserve"> </w:t>
            </w:r>
            <w:r w:rsidR="00244760" w:rsidRPr="009C0CFC">
              <w:rPr>
                <w:rFonts w:ascii="Arial" w:hAnsi="Arial" w:cs="Arial"/>
                <w:b/>
                <w:bCs/>
                <w:color w:val="000000"/>
                <w:sz w:val="22"/>
                <w:szCs w:val="22"/>
              </w:rPr>
              <w:t>0,010</w:t>
            </w:r>
          </w:p>
          <w:p w14:paraId="1B4EFED9" w14:textId="0183D311" w:rsidR="00244760" w:rsidRPr="009C0CFC" w:rsidRDefault="00244760" w:rsidP="00205428">
            <w:pPr>
              <w:jc w:val="center"/>
              <w:rPr>
                <w:rFonts w:ascii="Arial" w:hAnsi="Arial" w:cs="Arial"/>
                <w:color w:val="000000"/>
                <w:sz w:val="22"/>
                <w:szCs w:val="22"/>
              </w:rPr>
            </w:pPr>
            <w:r w:rsidRPr="009C0CFC">
              <w:rPr>
                <w:rFonts w:ascii="Arial" w:hAnsi="Arial" w:cs="Arial"/>
                <w:b/>
                <w:bCs/>
                <w:color w:val="000000"/>
                <w:sz w:val="22"/>
                <w:szCs w:val="22"/>
              </w:rPr>
              <w:t>Fí=-0,080</w:t>
            </w:r>
          </w:p>
        </w:tc>
      </w:tr>
      <w:tr w:rsidR="00E30BDC" w:rsidRPr="00574936" w14:paraId="05120B16" w14:textId="0823BCBA" w:rsidTr="004E31F3">
        <w:trPr>
          <w:trHeight w:val="397"/>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6D1FDA45" w14:textId="77777777" w:rsidR="00DE10EC" w:rsidRPr="00574936" w:rsidRDefault="00DE10EC" w:rsidP="00656CC1">
            <w:pPr>
              <w:jc w:val="center"/>
              <w:rPr>
                <w:rFonts w:ascii="Arial" w:hAnsi="Arial" w:cs="Arial"/>
                <w:color w:val="000000"/>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567C6" w14:textId="77777777"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NE</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0D5FFF" w14:textId="1ECA17A9"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181 (96,3 %)</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3FF79D" w14:textId="77777777"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 xml:space="preserve">125 </w:t>
            </w:r>
          </w:p>
          <w:p w14:paraId="17A27F22" w14:textId="2C705A2B"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(96,9 %)</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B0A617" w14:textId="128DC159"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101 (92,7 %)</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768014" w14:textId="4A6D5A5A"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78 (94,0 %)</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0DF35F" w14:textId="51A4D4C2" w:rsidR="00DE10EC" w:rsidRPr="009C0CFC" w:rsidRDefault="00DE10EC" w:rsidP="00656CC1">
            <w:pPr>
              <w:jc w:val="center"/>
              <w:rPr>
                <w:rFonts w:ascii="Arial" w:hAnsi="Arial" w:cs="Arial"/>
                <w:color w:val="000000"/>
                <w:sz w:val="22"/>
                <w:szCs w:val="22"/>
              </w:rPr>
            </w:pPr>
            <w:r w:rsidRPr="009C0CFC">
              <w:rPr>
                <w:rFonts w:ascii="Arial" w:hAnsi="Arial" w:cs="Arial"/>
                <w:color w:val="000000"/>
                <w:sz w:val="22"/>
                <w:szCs w:val="22"/>
              </w:rPr>
              <w:t>485 (95,3 %)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43E4CB9" w14:textId="77777777" w:rsidR="00DE10EC" w:rsidRPr="00574936" w:rsidRDefault="00DE10EC" w:rsidP="00656CC1">
            <w:pPr>
              <w:jc w:val="center"/>
              <w:rPr>
                <w:rFonts w:ascii="Arial" w:hAnsi="Arial" w:cs="Arial"/>
                <w:color w:val="000000"/>
              </w:rPr>
            </w:pPr>
          </w:p>
        </w:tc>
        <w:tc>
          <w:tcPr>
            <w:tcW w:w="1417" w:type="dxa"/>
            <w:vMerge/>
            <w:tcBorders>
              <w:left w:val="single" w:sz="4" w:space="0" w:color="auto"/>
              <w:bottom w:val="single" w:sz="4" w:space="0" w:color="auto"/>
              <w:right w:val="single" w:sz="4" w:space="0" w:color="auto"/>
            </w:tcBorders>
          </w:tcPr>
          <w:p w14:paraId="5E0BD634" w14:textId="77777777" w:rsidR="00DE10EC" w:rsidRPr="00574936" w:rsidRDefault="00DE10EC" w:rsidP="00656CC1">
            <w:pPr>
              <w:jc w:val="center"/>
              <w:rPr>
                <w:rFonts w:ascii="Arial" w:hAnsi="Arial" w:cs="Arial"/>
                <w:color w:val="000000"/>
              </w:rPr>
            </w:pPr>
          </w:p>
        </w:tc>
      </w:tr>
    </w:tbl>
    <w:p w14:paraId="441383FD" w14:textId="743A009A" w:rsidR="00574936" w:rsidRDefault="006E31A5" w:rsidP="006E31A5">
      <w:pPr>
        <w:pStyle w:val="Popisobrzku"/>
      </w:pPr>
      <w:r w:rsidRPr="00656CC1">
        <w:t xml:space="preserve">Chí-kvadrát test (χ2), koeficient </w:t>
      </w:r>
      <w:proofErr w:type="spellStart"/>
      <w:r w:rsidRPr="00656CC1">
        <w:t>asociance</w:t>
      </w:r>
      <w:proofErr w:type="spellEnd"/>
      <w:r w:rsidRPr="00656CC1">
        <w:t xml:space="preserve"> Fí a </w:t>
      </w:r>
      <w:proofErr w:type="spellStart"/>
      <w:r w:rsidRPr="00656CC1">
        <w:t>Cramerovo</w:t>
      </w:r>
      <w:proofErr w:type="spellEnd"/>
      <w:r w:rsidRPr="00656CC1">
        <w:t xml:space="preserve"> V (CV) byly použity s hladinou významnosti &lt;0,05.</w:t>
      </w:r>
      <w:r w:rsidR="00013EA1">
        <w:t xml:space="preserve"> </w:t>
      </w:r>
      <w:r w:rsidR="00013EA1" w:rsidRPr="00013EA1">
        <w:t xml:space="preserve">P-hodnota rozdílu </w:t>
      </w:r>
      <w:r w:rsidR="004A1FCC">
        <w:t>mezi roky 2019 a 2023</w:t>
      </w:r>
      <w:r w:rsidR="00013EA1" w:rsidRPr="00013EA1">
        <w:t xml:space="preserve"> udává statistickou významnost rozdílu v rozložení četností mezi </w:t>
      </w:r>
      <w:r w:rsidR="00FA54A1">
        <w:t>oběma sledovanými ročníky</w:t>
      </w:r>
      <w:r w:rsidR="00013EA1" w:rsidRPr="00013EA1">
        <w:t>.</w:t>
      </w:r>
    </w:p>
    <w:p w14:paraId="5A84D354" w14:textId="03321A21" w:rsidR="002C7B1A" w:rsidRDefault="002C7B1A" w:rsidP="00F70311">
      <w:pPr>
        <w:pStyle w:val="Titulektabulky"/>
      </w:pPr>
      <w:bookmarkStart w:id="59" w:name="_Toc195517149"/>
      <w:r>
        <w:lastRenderedPageBreak/>
        <w:t xml:space="preserve">Tab. </w:t>
      </w:r>
      <w:fldSimple w:instr=" SEQ Tab. \* ARABIC ">
        <w:r w:rsidR="00C67F4C">
          <w:rPr>
            <w:noProof/>
          </w:rPr>
          <w:t>24</w:t>
        </w:r>
      </w:fldSimple>
      <w:r w:rsidRPr="003656E6">
        <w:t>: Závislost mezi spádovostí pacienta ve věku</w:t>
      </w:r>
      <w:r>
        <w:t xml:space="preserve"> 75 a více let a jeho </w:t>
      </w:r>
      <w:r w:rsidRPr="00E83CA1">
        <w:t>trajektori</w:t>
      </w:r>
      <w:r>
        <w:t>í</w:t>
      </w:r>
      <w:r w:rsidRPr="00E83CA1">
        <w:t xml:space="preserve"> na NUP</w:t>
      </w:r>
      <w:r>
        <w:t xml:space="preserve"> FN Brno</w:t>
      </w:r>
      <w:r w:rsidRPr="00E83CA1">
        <w:t xml:space="preserve"> </w:t>
      </w:r>
      <w:r>
        <w:t>–</w:t>
      </w:r>
      <w:r w:rsidRPr="00E83CA1">
        <w:t xml:space="preserve"> rok 20</w:t>
      </w:r>
      <w:r>
        <w:t>19</w:t>
      </w:r>
      <w:r w:rsidRPr="00E83CA1">
        <w:t xml:space="preserve"> (</w:t>
      </w:r>
      <w:r>
        <w:t xml:space="preserve">řádková %; </w:t>
      </w:r>
      <w:r w:rsidRPr="00E83CA1">
        <w:t>N=</w:t>
      </w:r>
      <w:r w:rsidR="00150999">
        <w:t>509</w:t>
      </w:r>
      <w:r w:rsidR="00C96378">
        <w:t>;</w:t>
      </w:r>
      <w:r w:rsidR="00455B36">
        <w:t xml:space="preserve"> *N=1 107</w:t>
      </w:r>
      <w:r w:rsidRPr="00E83CA1">
        <w:t>)</w:t>
      </w:r>
      <w:bookmarkEnd w:id="59"/>
    </w:p>
    <w:tbl>
      <w:tblPr>
        <w:tblW w:w="12469" w:type="dxa"/>
        <w:tblCellMar>
          <w:left w:w="70" w:type="dxa"/>
          <w:right w:w="70" w:type="dxa"/>
        </w:tblCellMar>
        <w:tblLook w:val="04A0" w:firstRow="1" w:lastRow="0" w:firstColumn="1" w:lastColumn="0" w:noHBand="0" w:noVBand="1"/>
      </w:tblPr>
      <w:tblGrid>
        <w:gridCol w:w="2830"/>
        <w:gridCol w:w="2127"/>
        <w:gridCol w:w="1559"/>
        <w:gridCol w:w="1417"/>
        <w:gridCol w:w="1560"/>
        <w:gridCol w:w="1439"/>
        <w:gridCol w:w="1537"/>
      </w:tblGrid>
      <w:tr w:rsidR="003663E7" w:rsidRPr="00F70311" w14:paraId="239DDB60" w14:textId="02693513" w:rsidTr="00D540CF">
        <w:trPr>
          <w:trHeight w:val="300"/>
        </w:trPr>
        <w:tc>
          <w:tcPr>
            <w:tcW w:w="283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0D9A3CB2" w14:textId="77777777" w:rsidR="00FA06B0" w:rsidRPr="00F70311" w:rsidRDefault="00FA06B0" w:rsidP="00FC71C2">
            <w:pPr>
              <w:jc w:val="center"/>
              <w:rPr>
                <w:rFonts w:ascii="Arial" w:hAnsi="Arial" w:cs="Arial"/>
                <w:b/>
                <w:bCs/>
                <w:color w:val="000000"/>
              </w:rPr>
            </w:pPr>
            <w:r w:rsidRPr="00F70311">
              <w:rPr>
                <w:rFonts w:ascii="Arial" w:hAnsi="Arial" w:cs="Arial"/>
                <w:b/>
                <w:bCs/>
                <w:color w:val="000000"/>
              </w:rPr>
              <w:t>Proměnná</w:t>
            </w:r>
          </w:p>
        </w:tc>
        <w:tc>
          <w:tcPr>
            <w:tcW w:w="2127" w:type="dxa"/>
            <w:tcBorders>
              <w:top w:val="single" w:sz="4" w:space="0" w:color="auto"/>
              <w:left w:val="nil"/>
              <w:bottom w:val="single" w:sz="4" w:space="0" w:color="auto"/>
              <w:right w:val="single" w:sz="4" w:space="0" w:color="auto"/>
            </w:tcBorders>
            <w:shd w:val="clear" w:color="000000" w:fill="DDEBF7"/>
            <w:noWrap/>
            <w:vAlign w:val="center"/>
            <w:hideMark/>
          </w:tcPr>
          <w:p w14:paraId="71172911" w14:textId="77777777" w:rsidR="00FA06B0" w:rsidRPr="00F70311" w:rsidRDefault="00FA06B0" w:rsidP="00FC71C2">
            <w:pPr>
              <w:jc w:val="center"/>
              <w:rPr>
                <w:rFonts w:ascii="Arial" w:hAnsi="Arial" w:cs="Arial"/>
                <w:b/>
                <w:bCs/>
                <w:color w:val="000000"/>
              </w:rPr>
            </w:pPr>
            <w:r w:rsidRPr="00F70311">
              <w:rPr>
                <w:rFonts w:ascii="Arial" w:hAnsi="Arial" w:cs="Arial"/>
                <w:b/>
                <w:bCs/>
                <w:color w:val="000000"/>
              </w:rPr>
              <w:t>Výsledek</w:t>
            </w:r>
          </w:p>
        </w:tc>
        <w:tc>
          <w:tcPr>
            <w:tcW w:w="1559" w:type="dxa"/>
            <w:tcBorders>
              <w:top w:val="single" w:sz="4" w:space="0" w:color="auto"/>
              <w:left w:val="nil"/>
              <w:bottom w:val="single" w:sz="4" w:space="0" w:color="auto"/>
              <w:right w:val="single" w:sz="4" w:space="0" w:color="auto"/>
            </w:tcBorders>
            <w:shd w:val="clear" w:color="000000" w:fill="DDEBF7"/>
            <w:noWrap/>
            <w:vAlign w:val="center"/>
            <w:hideMark/>
          </w:tcPr>
          <w:p w14:paraId="208F580E" w14:textId="77777777" w:rsidR="00FA06B0" w:rsidRPr="00F70311" w:rsidRDefault="00FA06B0" w:rsidP="00FC71C2">
            <w:pPr>
              <w:jc w:val="center"/>
              <w:rPr>
                <w:rFonts w:ascii="Arial" w:hAnsi="Arial" w:cs="Arial"/>
                <w:b/>
                <w:bCs/>
                <w:color w:val="000000"/>
              </w:rPr>
            </w:pPr>
            <w:r w:rsidRPr="00F70311">
              <w:rPr>
                <w:rFonts w:ascii="Arial" w:hAnsi="Arial" w:cs="Arial"/>
                <w:b/>
                <w:bCs/>
                <w:color w:val="000000"/>
              </w:rPr>
              <w:t>Spádoví</w:t>
            </w:r>
          </w:p>
        </w:tc>
        <w:tc>
          <w:tcPr>
            <w:tcW w:w="1417" w:type="dxa"/>
            <w:tcBorders>
              <w:top w:val="single" w:sz="4" w:space="0" w:color="auto"/>
              <w:left w:val="nil"/>
              <w:bottom w:val="single" w:sz="4" w:space="0" w:color="auto"/>
              <w:right w:val="single" w:sz="4" w:space="0" w:color="auto"/>
            </w:tcBorders>
            <w:shd w:val="clear" w:color="000000" w:fill="DDEBF7"/>
            <w:noWrap/>
            <w:vAlign w:val="center"/>
            <w:hideMark/>
          </w:tcPr>
          <w:p w14:paraId="3631D3B3" w14:textId="77777777" w:rsidR="00FA06B0" w:rsidRPr="00F70311" w:rsidRDefault="00FA06B0" w:rsidP="00FC71C2">
            <w:pPr>
              <w:jc w:val="center"/>
              <w:rPr>
                <w:rFonts w:ascii="Arial" w:hAnsi="Arial" w:cs="Arial"/>
                <w:b/>
                <w:bCs/>
                <w:color w:val="000000"/>
              </w:rPr>
            </w:pPr>
            <w:r w:rsidRPr="00F70311">
              <w:rPr>
                <w:rFonts w:ascii="Arial" w:hAnsi="Arial" w:cs="Arial"/>
                <w:b/>
                <w:bCs/>
                <w:color w:val="000000"/>
              </w:rPr>
              <w:t>Nespádoví</w:t>
            </w:r>
          </w:p>
        </w:tc>
        <w:tc>
          <w:tcPr>
            <w:tcW w:w="1560" w:type="dxa"/>
            <w:tcBorders>
              <w:top w:val="single" w:sz="4" w:space="0" w:color="auto"/>
              <w:left w:val="nil"/>
              <w:bottom w:val="single" w:sz="4" w:space="0" w:color="auto"/>
              <w:right w:val="single" w:sz="4" w:space="0" w:color="000000"/>
            </w:tcBorders>
            <w:shd w:val="clear" w:color="000000" w:fill="DDEBF7"/>
            <w:noWrap/>
            <w:vAlign w:val="center"/>
            <w:hideMark/>
          </w:tcPr>
          <w:p w14:paraId="30933FDD" w14:textId="77777777" w:rsidR="00FA06B0" w:rsidRPr="00F70311" w:rsidRDefault="00FA06B0" w:rsidP="00FC71C2">
            <w:pPr>
              <w:jc w:val="center"/>
              <w:rPr>
                <w:rFonts w:ascii="Arial" w:hAnsi="Arial" w:cs="Arial"/>
                <w:b/>
                <w:bCs/>
                <w:color w:val="000000"/>
              </w:rPr>
            </w:pPr>
            <w:r w:rsidRPr="00F70311">
              <w:rPr>
                <w:rFonts w:ascii="Arial" w:hAnsi="Arial" w:cs="Arial"/>
                <w:b/>
                <w:bCs/>
                <w:color w:val="000000"/>
              </w:rPr>
              <w:t>Celkem</w:t>
            </w:r>
          </w:p>
        </w:tc>
        <w:tc>
          <w:tcPr>
            <w:tcW w:w="1439" w:type="dxa"/>
            <w:tcBorders>
              <w:top w:val="single" w:sz="4" w:space="0" w:color="auto"/>
              <w:left w:val="nil"/>
              <w:bottom w:val="single" w:sz="4" w:space="0" w:color="auto"/>
              <w:right w:val="single" w:sz="4" w:space="0" w:color="auto"/>
            </w:tcBorders>
            <w:shd w:val="clear" w:color="000000" w:fill="DDEBF7"/>
            <w:noWrap/>
            <w:vAlign w:val="center"/>
            <w:hideMark/>
          </w:tcPr>
          <w:p w14:paraId="1C05BFDA" w14:textId="2D548C87" w:rsidR="00FA06B0" w:rsidRPr="00F70311" w:rsidRDefault="00FA06B0" w:rsidP="00FC71C2">
            <w:pPr>
              <w:jc w:val="center"/>
              <w:rPr>
                <w:rFonts w:ascii="Arial" w:hAnsi="Arial" w:cs="Arial"/>
                <w:b/>
                <w:bCs/>
                <w:color w:val="000000"/>
              </w:rPr>
            </w:pPr>
            <w:r>
              <w:rPr>
                <w:rFonts w:ascii="Arial" w:hAnsi="Arial" w:cs="Arial"/>
                <w:b/>
                <w:bCs/>
                <w:color w:val="000000"/>
              </w:rPr>
              <w:t>p</w:t>
            </w:r>
            <w:r w:rsidRPr="00F70311">
              <w:rPr>
                <w:rFonts w:ascii="Arial" w:hAnsi="Arial" w:cs="Arial"/>
                <w:b/>
                <w:bCs/>
                <w:color w:val="000000"/>
              </w:rPr>
              <w:t>-hodnota</w:t>
            </w:r>
          </w:p>
        </w:tc>
        <w:tc>
          <w:tcPr>
            <w:tcW w:w="1537" w:type="dxa"/>
            <w:tcBorders>
              <w:top w:val="single" w:sz="4" w:space="0" w:color="auto"/>
              <w:left w:val="nil"/>
              <w:bottom w:val="single" w:sz="4" w:space="0" w:color="auto"/>
              <w:right w:val="single" w:sz="4" w:space="0" w:color="auto"/>
            </w:tcBorders>
            <w:shd w:val="clear" w:color="000000" w:fill="DDEBF7"/>
            <w:vAlign w:val="center"/>
          </w:tcPr>
          <w:p w14:paraId="2D284349" w14:textId="77777777" w:rsidR="003663E7" w:rsidRDefault="00FC71C2" w:rsidP="00531441">
            <w:pPr>
              <w:jc w:val="center"/>
              <w:rPr>
                <w:rFonts w:ascii="Arial" w:hAnsi="Arial" w:cs="Arial"/>
                <w:b/>
                <w:bCs/>
                <w:color w:val="000000"/>
              </w:rPr>
            </w:pPr>
            <w:r>
              <w:rPr>
                <w:rFonts w:ascii="Arial" w:hAnsi="Arial" w:cs="Arial"/>
                <w:b/>
                <w:bCs/>
                <w:color w:val="000000"/>
              </w:rPr>
              <w:t>p-hodnota</w:t>
            </w:r>
          </w:p>
          <w:p w14:paraId="1925D8EB" w14:textId="2FCCD43B" w:rsidR="00FA06B0" w:rsidRDefault="00FC71C2" w:rsidP="00531441">
            <w:pPr>
              <w:jc w:val="center"/>
              <w:rPr>
                <w:rFonts w:ascii="Arial" w:hAnsi="Arial" w:cs="Arial"/>
                <w:b/>
                <w:bCs/>
                <w:color w:val="000000"/>
              </w:rPr>
            </w:pPr>
            <w:r>
              <w:rPr>
                <w:rFonts w:ascii="Arial" w:hAnsi="Arial" w:cs="Arial"/>
                <w:b/>
                <w:bCs/>
                <w:color w:val="000000"/>
              </w:rPr>
              <w:t>rozdílu</w:t>
            </w:r>
          </w:p>
        </w:tc>
      </w:tr>
      <w:tr w:rsidR="003663E7" w:rsidRPr="00F70311" w14:paraId="60CB04E5" w14:textId="2EABBE05" w:rsidTr="00D540CF">
        <w:trPr>
          <w:trHeight w:val="397"/>
        </w:trPr>
        <w:tc>
          <w:tcPr>
            <w:tcW w:w="2830" w:type="dxa"/>
            <w:vMerge w:val="restart"/>
            <w:tcBorders>
              <w:top w:val="nil"/>
              <w:left w:val="single" w:sz="4" w:space="0" w:color="auto"/>
              <w:right w:val="single" w:sz="4" w:space="0" w:color="auto"/>
            </w:tcBorders>
            <w:shd w:val="clear" w:color="auto" w:fill="auto"/>
            <w:vAlign w:val="center"/>
          </w:tcPr>
          <w:p w14:paraId="63470A45" w14:textId="48D1D0F7" w:rsidR="006C0B92" w:rsidRDefault="006C0B92" w:rsidP="00D540CF">
            <w:pPr>
              <w:jc w:val="center"/>
              <w:rPr>
                <w:rFonts w:ascii="Arial" w:hAnsi="Arial" w:cs="Arial"/>
                <w:color w:val="000000"/>
              </w:rPr>
            </w:pPr>
            <w:r>
              <w:rPr>
                <w:rFonts w:ascii="Arial" w:hAnsi="Arial" w:cs="Arial"/>
                <w:color w:val="000000"/>
              </w:rPr>
              <w:t>Způsob</w:t>
            </w:r>
            <w:r w:rsidR="00D540CF">
              <w:rPr>
                <w:rFonts w:ascii="Arial" w:hAnsi="Arial" w:cs="Arial"/>
                <w:color w:val="000000"/>
              </w:rPr>
              <w:t xml:space="preserve"> </w:t>
            </w:r>
            <w:r>
              <w:rPr>
                <w:rFonts w:ascii="Arial" w:hAnsi="Arial" w:cs="Arial"/>
                <w:color w:val="000000"/>
              </w:rPr>
              <w:t>dopravy</w:t>
            </w:r>
          </w:p>
          <w:p w14:paraId="4926C6A4" w14:textId="079E69A1" w:rsidR="006C0B92" w:rsidRPr="00F70311" w:rsidRDefault="006C0B92" w:rsidP="00E90CC5">
            <w:pPr>
              <w:jc w:val="center"/>
              <w:rPr>
                <w:rFonts w:ascii="Arial" w:hAnsi="Arial" w:cs="Arial"/>
                <w:color w:val="000000"/>
              </w:rPr>
            </w:pPr>
            <w:r>
              <w:rPr>
                <w:rFonts w:ascii="Arial" w:hAnsi="Arial" w:cs="Arial"/>
                <w:color w:val="000000"/>
              </w:rPr>
              <w:t>k ošetření</w:t>
            </w:r>
          </w:p>
        </w:tc>
        <w:tc>
          <w:tcPr>
            <w:tcW w:w="2127" w:type="dxa"/>
            <w:tcBorders>
              <w:top w:val="nil"/>
              <w:left w:val="nil"/>
              <w:bottom w:val="single" w:sz="4" w:space="0" w:color="auto"/>
              <w:right w:val="single" w:sz="4" w:space="0" w:color="auto"/>
            </w:tcBorders>
            <w:shd w:val="clear" w:color="auto" w:fill="auto"/>
            <w:noWrap/>
            <w:vAlign w:val="center"/>
          </w:tcPr>
          <w:p w14:paraId="6F9F70B2" w14:textId="38ECDC2F" w:rsidR="006C0B92" w:rsidRPr="00F70311" w:rsidRDefault="006C0B92" w:rsidP="00E90CC5">
            <w:pPr>
              <w:jc w:val="center"/>
              <w:rPr>
                <w:rFonts w:ascii="Arial" w:hAnsi="Arial" w:cs="Arial"/>
                <w:color w:val="000000"/>
              </w:rPr>
            </w:pPr>
            <w:r w:rsidRPr="00556E50">
              <w:rPr>
                <w:rFonts w:ascii="Arial" w:hAnsi="Arial" w:cs="Arial"/>
                <w:color w:val="000000"/>
              </w:rPr>
              <w:t>ZZS</w:t>
            </w:r>
          </w:p>
        </w:tc>
        <w:tc>
          <w:tcPr>
            <w:tcW w:w="1559" w:type="dxa"/>
            <w:tcBorders>
              <w:top w:val="single" w:sz="4" w:space="0" w:color="333333"/>
              <w:left w:val="nil"/>
              <w:bottom w:val="single" w:sz="4" w:space="0" w:color="333333"/>
              <w:right w:val="single" w:sz="4" w:space="0" w:color="333399"/>
            </w:tcBorders>
            <w:shd w:val="clear" w:color="000000" w:fill="FFFFFF"/>
            <w:noWrap/>
          </w:tcPr>
          <w:p w14:paraId="52B344D0" w14:textId="54DC5733" w:rsidR="006C0B92" w:rsidRPr="00F70311" w:rsidRDefault="006C0B92" w:rsidP="00E90CC5">
            <w:pPr>
              <w:jc w:val="center"/>
              <w:rPr>
                <w:rFonts w:ascii="Arial" w:hAnsi="Arial" w:cs="Arial"/>
                <w:color w:val="000000"/>
              </w:rPr>
            </w:pPr>
            <w:r w:rsidRPr="00982A96">
              <w:rPr>
                <w:rFonts w:ascii="Arial" w:hAnsi="Arial" w:cs="Arial"/>
                <w:color w:val="000000" w:themeColor="text1"/>
              </w:rPr>
              <w:t>297</w:t>
            </w:r>
            <w:r>
              <w:rPr>
                <w:rFonts w:ascii="Arial" w:hAnsi="Arial" w:cs="Arial"/>
                <w:color w:val="000000" w:themeColor="text1"/>
              </w:rPr>
              <w:t xml:space="preserve"> (</w:t>
            </w:r>
            <w:r w:rsidRPr="00982A96">
              <w:rPr>
                <w:rFonts w:ascii="Arial" w:hAnsi="Arial" w:cs="Arial"/>
                <w:color w:val="000000" w:themeColor="text1"/>
              </w:rPr>
              <w:t>63,3</w:t>
            </w:r>
            <w:r>
              <w:rPr>
                <w:rFonts w:ascii="Arial" w:hAnsi="Arial" w:cs="Arial"/>
                <w:color w:val="000000" w:themeColor="text1"/>
              </w:rPr>
              <w:t xml:space="preserve"> </w:t>
            </w:r>
            <w:r w:rsidRPr="00982A96">
              <w:rPr>
                <w:rFonts w:ascii="Arial" w:hAnsi="Arial" w:cs="Arial"/>
                <w:color w:val="000000" w:themeColor="text1"/>
              </w:rPr>
              <w:t>%</w:t>
            </w:r>
            <w:r>
              <w:rPr>
                <w:rFonts w:ascii="Arial" w:hAnsi="Arial" w:cs="Arial"/>
                <w:color w:val="000000" w:themeColor="text1"/>
              </w:rPr>
              <w:t>)</w:t>
            </w:r>
          </w:p>
        </w:tc>
        <w:tc>
          <w:tcPr>
            <w:tcW w:w="1417" w:type="dxa"/>
            <w:tcBorders>
              <w:top w:val="single" w:sz="4" w:space="0" w:color="333333"/>
              <w:left w:val="nil"/>
              <w:bottom w:val="single" w:sz="4" w:space="0" w:color="333333"/>
              <w:right w:val="single" w:sz="4" w:space="0" w:color="333399"/>
            </w:tcBorders>
            <w:shd w:val="clear" w:color="000000" w:fill="FFFFFF"/>
            <w:noWrap/>
          </w:tcPr>
          <w:p w14:paraId="4263CBFC" w14:textId="240A13AD" w:rsidR="006C0B92" w:rsidRPr="00F70311" w:rsidRDefault="006C0B92" w:rsidP="00E90CC5">
            <w:pPr>
              <w:jc w:val="center"/>
              <w:rPr>
                <w:rFonts w:ascii="Arial" w:hAnsi="Arial" w:cs="Arial"/>
                <w:color w:val="000000"/>
              </w:rPr>
            </w:pPr>
            <w:r w:rsidRPr="00982A96">
              <w:rPr>
                <w:rFonts w:ascii="Arial" w:hAnsi="Arial" w:cs="Arial"/>
                <w:color w:val="000000" w:themeColor="text1"/>
              </w:rPr>
              <w:t>8</w:t>
            </w:r>
            <w:r>
              <w:rPr>
                <w:rFonts w:ascii="Arial" w:hAnsi="Arial" w:cs="Arial"/>
                <w:color w:val="000000" w:themeColor="text1"/>
              </w:rPr>
              <w:t xml:space="preserve"> (</w:t>
            </w:r>
            <w:r w:rsidRPr="00982A96">
              <w:rPr>
                <w:rFonts w:ascii="Arial" w:hAnsi="Arial" w:cs="Arial"/>
                <w:color w:val="000000" w:themeColor="text1"/>
              </w:rPr>
              <w:t>20,5</w:t>
            </w:r>
            <w:r>
              <w:rPr>
                <w:rFonts w:ascii="Arial" w:hAnsi="Arial" w:cs="Arial"/>
                <w:color w:val="000000" w:themeColor="text1"/>
              </w:rPr>
              <w:t xml:space="preserve"> </w:t>
            </w:r>
            <w:r w:rsidRPr="00982A96">
              <w:rPr>
                <w:rFonts w:ascii="Arial" w:hAnsi="Arial" w:cs="Arial"/>
                <w:color w:val="000000" w:themeColor="text1"/>
              </w:rPr>
              <w:t>%</w:t>
            </w:r>
            <w:r>
              <w:rPr>
                <w:rFonts w:ascii="Arial" w:hAnsi="Arial" w:cs="Arial"/>
                <w:color w:val="000000" w:themeColor="text1"/>
              </w:rPr>
              <w:t>)</w:t>
            </w:r>
          </w:p>
        </w:tc>
        <w:tc>
          <w:tcPr>
            <w:tcW w:w="1560" w:type="dxa"/>
            <w:tcBorders>
              <w:top w:val="single" w:sz="4" w:space="0" w:color="333333"/>
              <w:left w:val="nil"/>
              <w:bottom w:val="single" w:sz="4" w:space="0" w:color="333333"/>
              <w:right w:val="single" w:sz="4" w:space="0" w:color="333399"/>
            </w:tcBorders>
            <w:shd w:val="clear" w:color="000000" w:fill="FFFFFF"/>
            <w:noWrap/>
          </w:tcPr>
          <w:p w14:paraId="09955605" w14:textId="31A186A6" w:rsidR="006C0B92" w:rsidRPr="00F70311" w:rsidRDefault="006C0B92" w:rsidP="00E90CC5">
            <w:pPr>
              <w:jc w:val="center"/>
              <w:rPr>
                <w:rFonts w:ascii="Arial" w:hAnsi="Arial" w:cs="Arial"/>
                <w:color w:val="000000"/>
              </w:rPr>
            </w:pPr>
            <w:r w:rsidRPr="00982A96">
              <w:rPr>
                <w:rFonts w:ascii="Arial" w:hAnsi="Arial" w:cs="Arial"/>
                <w:color w:val="000000" w:themeColor="text1"/>
              </w:rPr>
              <w:t>305</w:t>
            </w:r>
            <w:r>
              <w:rPr>
                <w:rFonts w:ascii="Arial" w:hAnsi="Arial" w:cs="Arial"/>
                <w:color w:val="000000" w:themeColor="text1"/>
              </w:rPr>
              <w:t xml:space="preserve"> (</w:t>
            </w:r>
            <w:r w:rsidRPr="00982A96">
              <w:rPr>
                <w:rFonts w:ascii="Arial" w:hAnsi="Arial" w:cs="Arial"/>
                <w:color w:val="000000" w:themeColor="text1"/>
              </w:rPr>
              <w:t>60,0</w:t>
            </w:r>
            <w:r>
              <w:rPr>
                <w:rFonts w:ascii="Arial" w:hAnsi="Arial" w:cs="Arial"/>
                <w:color w:val="000000" w:themeColor="text1"/>
              </w:rPr>
              <w:t xml:space="preserve"> </w:t>
            </w:r>
            <w:r w:rsidRPr="00982A96">
              <w:rPr>
                <w:rFonts w:ascii="Arial" w:hAnsi="Arial" w:cs="Arial"/>
                <w:color w:val="000000" w:themeColor="text1"/>
              </w:rPr>
              <w:t>%</w:t>
            </w:r>
            <w:r>
              <w:rPr>
                <w:rFonts w:ascii="Arial" w:hAnsi="Arial" w:cs="Arial"/>
                <w:color w:val="000000" w:themeColor="text1"/>
              </w:rPr>
              <w:t>)</w:t>
            </w:r>
          </w:p>
        </w:tc>
        <w:tc>
          <w:tcPr>
            <w:tcW w:w="1439" w:type="dxa"/>
            <w:vMerge w:val="restart"/>
            <w:tcBorders>
              <w:top w:val="nil"/>
              <w:left w:val="single" w:sz="4" w:space="0" w:color="auto"/>
              <w:right w:val="single" w:sz="4" w:space="0" w:color="auto"/>
            </w:tcBorders>
            <w:shd w:val="clear" w:color="auto" w:fill="auto"/>
            <w:noWrap/>
            <w:vAlign w:val="center"/>
          </w:tcPr>
          <w:p w14:paraId="4111BEA1" w14:textId="6D75EFC2" w:rsidR="006C0B92" w:rsidRPr="00F70311" w:rsidRDefault="006C0B92" w:rsidP="00E90CC5">
            <w:pPr>
              <w:jc w:val="center"/>
              <w:rPr>
                <w:rFonts w:ascii="Arial" w:hAnsi="Arial" w:cs="Arial"/>
                <w:color w:val="000000"/>
              </w:rPr>
            </w:pPr>
            <w:r w:rsidRPr="00F70311">
              <w:rPr>
                <w:rFonts w:ascii="Arial" w:hAnsi="Arial" w:cs="Arial"/>
                <w:b/>
                <w:bCs/>
                <w:color w:val="000000"/>
              </w:rPr>
              <w:t>&lt;0,001 Fí=0,</w:t>
            </w:r>
            <w:r>
              <w:rPr>
                <w:rFonts w:ascii="Arial" w:hAnsi="Arial" w:cs="Arial"/>
                <w:b/>
                <w:bCs/>
                <w:color w:val="000000"/>
              </w:rPr>
              <w:t>232</w:t>
            </w:r>
          </w:p>
        </w:tc>
        <w:tc>
          <w:tcPr>
            <w:tcW w:w="1537" w:type="dxa"/>
            <w:vMerge w:val="restart"/>
            <w:tcBorders>
              <w:top w:val="nil"/>
              <w:left w:val="single" w:sz="4" w:space="0" w:color="auto"/>
              <w:right w:val="single" w:sz="4" w:space="0" w:color="auto"/>
            </w:tcBorders>
            <w:vAlign w:val="center"/>
          </w:tcPr>
          <w:p w14:paraId="214FA907" w14:textId="3D5486DC" w:rsidR="006C0B92" w:rsidRDefault="00455B36" w:rsidP="006C0B92">
            <w:pPr>
              <w:jc w:val="center"/>
              <w:rPr>
                <w:rFonts w:ascii="Arial" w:hAnsi="Arial" w:cs="Arial"/>
                <w:b/>
                <w:bCs/>
                <w:color w:val="000000"/>
              </w:rPr>
            </w:pPr>
            <w:r w:rsidRPr="00455B36">
              <w:rPr>
                <w:rFonts w:ascii="Arial" w:hAnsi="Arial" w:cs="Arial"/>
                <w:color w:val="000000"/>
              </w:rPr>
              <w:t>*</w:t>
            </w:r>
            <w:r>
              <w:rPr>
                <w:rFonts w:ascii="Arial" w:hAnsi="Arial" w:cs="Arial"/>
                <w:b/>
                <w:bCs/>
                <w:color w:val="000000"/>
              </w:rPr>
              <w:t xml:space="preserve"> </w:t>
            </w:r>
            <w:r w:rsidR="007C35CB" w:rsidRPr="00F70311">
              <w:rPr>
                <w:rFonts w:ascii="Arial" w:hAnsi="Arial" w:cs="Arial"/>
                <w:b/>
                <w:bCs/>
                <w:color w:val="000000"/>
              </w:rPr>
              <w:t>&lt;0,001</w:t>
            </w:r>
          </w:p>
          <w:p w14:paraId="0DA58D3A" w14:textId="226E2A18" w:rsidR="007C35CB" w:rsidRPr="00F70311" w:rsidRDefault="007C35CB" w:rsidP="006C0B92">
            <w:pPr>
              <w:jc w:val="center"/>
              <w:rPr>
                <w:rFonts w:ascii="Arial" w:hAnsi="Arial" w:cs="Arial"/>
                <w:b/>
                <w:bCs/>
                <w:color w:val="000000"/>
              </w:rPr>
            </w:pPr>
            <w:r>
              <w:rPr>
                <w:rFonts w:ascii="Arial" w:hAnsi="Arial" w:cs="Arial"/>
                <w:b/>
                <w:bCs/>
                <w:color w:val="000000"/>
              </w:rPr>
              <w:t>Fí=0</w:t>
            </w:r>
            <w:r w:rsidR="00361470">
              <w:rPr>
                <w:rFonts w:ascii="Arial" w:hAnsi="Arial" w:cs="Arial"/>
                <w:b/>
                <w:bCs/>
                <w:color w:val="000000"/>
              </w:rPr>
              <w:t>,</w:t>
            </w:r>
            <w:r w:rsidR="00312080">
              <w:rPr>
                <w:rFonts w:ascii="Arial" w:hAnsi="Arial" w:cs="Arial"/>
                <w:b/>
                <w:bCs/>
                <w:color w:val="000000"/>
              </w:rPr>
              <w:t>257</w:t>
            </w:r>
          </w:p>
        </w:tc>
      </w:tr>
      <w:tr w:rsidR="003663E7" w:rsidRPr="00F70311" w14:paraId="144D9CC7" w14:textId="4B478800" w:rsidTr="00D540CF">
        <w:trPr>
          <w:trHeight w:val="397"/>
        </w:trPr>
        <w:tc>
          <w:tcPr>
            <w:tcW w:w="2830" w:type="dxa"/>
            <w:vMerge/>
            <w:tcBorders>
              <w:left w:val="single" w:sz="4" w:space="0" w:color="auto"/>
              <w:right w:val="single" w:sz="4" w:space="0" w:color="auto"/>
            </w:tcBorders>
            <w:shd w:val="clear" w:color="auto" w:fill="auto"/>
            <w:vAlign w:val="center"/>
          </w:tcPr>
          <w:p w14:paraId="7889E600" w14:textId="77777777" w:rsidR="006C0B92" w:rsidRPr="00F70311" w:rsidRDefault="006C0B92" w:rsidP="00E90CC5">
            <w:pPr>
              <w:jc w:val="center"/>
              <w:rPr>
                <w:rFonts w:ascii="Arial" w:hAnsi="Arial" w:cs="Arial"/>
                <w:color w:val="000000"/>
              </w:rPr>
            </w:pPr>
          </w:p>
        </w:tc>
        <w:tc>
          <w:tcPr>
            <w:tcW w:w="2127" w:type="dxa"/>
            <w:tcBorders>
              <w:top w:val="nil"/>
              <w:left w:val="nil"/>
              <w:bottom w:val="single" w:sz="4" w:space="0" w:color="auto"/>
              <w:right w:val="single" w:sz="4" w:space="0" w:color="auto"/>
            </w:tcBorders>
            <w:shd w:val="clear" w:color="auto" w:fill="auto"/>
            <w:noWrap/>
            <w:vAlign w:val="center"/>
          </w:tcPr>
          <w:p w14:paraId="71C7CCF0" w14:textId="77777777" w:rsidR="006C0B92" w:rsidRDefault="006C0B92" w:rsidP="00E90CC5">
            <w:pPr>
              <w:jc w:val="center"/>
              <w:rPr>
                <w:rFonts w:ascii="Arial" w:hAnsi="Arial" w:cs="Arial"/>
                <w:color w:val="000000"/>
              </w:rPr>
            </w:pPr>
            <w:r w:rsidRPr="00556E50">
              <w:rPr>
                <w:rFonts w:ascii="Arial" w:hAnsi="Arial" w:cs="Arial"/>
                <w:color w:val="000000"/>
              </w:rPr>
              <w:t>Sám(a)/</w:t>
            </w:r>
          </w:p>
          <w:p w14:paraId="5D498596" w14:textId="190E1989" w:rsidR="006C0B92" w:rsidRPr="00F70311" w:rsidRDefault="006C0B92" w:rsidP="00E90CC5">
            <w:pPr>
              <w:jc w:val="center"/>
              <w:rPr>
                <w:rFonts w:ascii="Arial" w:hAnsi="Arial" w:cs="Arial"/>
                <w:color w:val="000000"/>
              </w:rPr>
            </w:pPr>
            <w:r w:rsidRPr="00556E50">
              <w:rPr>
                <w:rFonts w:ascii="Arial" w:hAnsi="Arial" w:cs="Arial"/>
                <w:color w:val="000000"/>
              </w:rPr>
              <w:t>doprovod</w:t>
            </w:r>
          </w:p>
        </w:tc>
        <w:tc>
          <w:tcPr>
            <w:tcW w:w="1559" w:type="dxa"/>
            <w:tcBorders>
              <w:top w:val="single" w:sz="4" w:space="0" w:color="333333"/>
              <w:left w:val="nil"/>
              <w:bottom w:val="single" w:sz="4" w:space="0" w:color="333333"/>
              <w:right w:val="single" w:sz="4" w:space="0" w:color="333399"/>
            </w:tcBorders>
            <w:shd w:val="clear" w:color="000000" w:fill="FFFFFF"/>
            <w:noWrap/>
          </w:tcPr>
          <w:p w14:paraId="6896A16F" w14:textId="1CB76DFE" w:rsidR="006C0B92" w:rsidRPr="00F70311" w:rsidRDefault="006C0B92" w:rsidP="00E90CC5">
            <w:pPr>
              <w:jc w:val="center"/>
              <w:rPr>
                <w:rFonts w:ascii="Arial" w:hAnsi="Arial" w:cs="Arial"/>
                <w:color w:val="000000"/>
              </w:rPr>
            </w:pPr>
            <w:r w:rsidRPr="00982A96">
              <w:rPr>
                <w:rFonts w:ascii="Arial" w:hAnsi="Arial" w:cs="Arial"/>
                <w:color w:val="000000" w:themeColor="text1"/>
              </w:rPr>
              <w:t>82</w:t>
            </w:r>
            <w:r>
              <w:rPr>
                <w:rFonts w:ascii="Arial" w:hAnsi="Arial" w:cs="Arial"/>
                <w:color w:val="000000" w:themeColor="text1"/>
              </w:rPr>
              <w:t xml:space="preserve"> (</w:t>
            </w:r>
            <w:r w:rsidRPr="00982A96">
              <w:rPr>
                <w:rFonts w:ascii="Arial" w:hAnsi="Arial" w:cs="Arial"/>
                <w:color w:val="000000" w:themeColor="text1"/>
              </w:rPr>
              <w:t>17,5</w:t>
            </w:r>
            <w:r>
              <w:rPr>
                <w:rFonts w:ascii="Arial" w:hAnsi="Arial" w:cs="Arial"/>
                <w:color w:val="000000" w:themeColor="text1"/>
              </w:rPr>
              <w:t xml:space="preserve"> </w:t>
            </w:r>
            <w:r w:rsidRPr="00982A96">
              <w:rPr>
                <w:rFonts w:ascii="Arial" w:hAnsi="Arial" w:cs="Arial"/>
                <w:color w:val="000000" w:themeColor="text1"/>
              </w:rPr>
              <w:t>%</w:t>
            </w:r>
            <w:r>
              <w:rPr>
                <w:rFonts w:ascii="Arial" w:hAnsi="Arial" w:cs="Arial"/>
                <w:color w:val="000000" w:themeColor="text1"/>
              </w:rPr>
              <w:t>)</w:t>
            </w:r>
          </w:p>
        </w:tc>
        <w:tc>
          <w:tcPr>
            <w:tcW w:w="1417" w:type="dxa"/>
            <w:tcBorders>
              <w:top w:val="single" w:sz="4" w:space="0" w:color="333333"/>
              <w:left w:val="nil"/>
              <w:bottom w:val="single" w:sz="4" w:space="0" w:color="333333"/>
              <w:right w:val="single" w:sz="4" w:space="0" w:color="333399"/>
            </w:tcBorders>
            <w:shd w:val="clear" w:color="000000" w:fill="FFFFFF"/>
            <w:noWrap/>
          </w:tcPr>
          <w:p w14:paraId="75BC0646" w14:textId="44035B07" w:rsidR="006C0B92" w:rsidRPr="00F70311" w:rsidRDefault="006C0B92" w:rsidP="00E90CC5">
            <w:pPr>
              <w:jc w:val="center"/>
              <w:rPr>
                <w:rFonts w:ascii="Arial" w:hAnsi="Arial" w:cs="Arial"/>
                <w:color w:val="000000"/>
              </w:rPr>
            </w:pPr>
            <w:r w:rsidRPr="00982A96">
              <w:rPr>
                <w:rFonts w:ascii="Arial" w:hAnsi="Arial" w:cs="Arial"/>
                <w:color w:val="000000" w:themeColor="text1"/>
              </w:rPr>
              <w:t>18</w:t>
            </w:r>
            <w:r>
              <w:rPr>
                <w:rFonts w:ascii="Arial" w:hAnsi="Arial" w:cs="Arial"/>
                <w:color w:val="000000" w:themeColor="text1"/>
              </w:rPr>
              <w:t xml:space="preserve"> (</w:t>
            </w:r>
            <w:r w:rsidRPr="00982A96">
              <w:rPr>
                <w:rFonts w:ascii="Arial" w:hAnsi="Arial" w:cs="Arial"/>
                <w:color w:val="000000" w:themeColor="text1"/>
              </w:rPr>
              <w:t>46,2</w:t>
            </w:r>
            <w:r>
              <w:rPr>
                <w:rFonts w:ascii="Arial" w:hAnsi="Arial" w:cs="Arial"/>
                <w:color w:val="000000" w:themeColor="text1"/>
              </w:rPr>
              <w:t xml:space="preserve"> </w:t>
            </w:r>
            <w:r w:rsidRPr="00982A96">
              <w:rPr>
                <w:rFonts w:ascii="Arial" w:hAnsi="Arial" w:cs="Arial"/>
                <w:color w:val="000000" w:themeColor="text1"/>
              </w:rPr>
              <w:t>%</w:t>
            </w:r>
            <w:r>
              <w:rPr>
                <w:rFonts w:ascii="Arial" w:hAnsi="Arial" w:cs="Arial"/>
                <w:color w:val="000000" w:themeColor="text1"/>
              </w:rPr>
              <w:t>)</w:t>
            </w:r>
          </w:p>
        </w:tc>
        <w:tc>
          <w:tcPr>
            <w:tcW w:w="1560" w:type="dxa"/>
            <w:tcBorders>
              <w:top w:val="single" w:sz="4" w:space="0" w:color="333333"/>
              <w:left w:val="nil"/>
              <w:bottom w:val="single" w:sz="4" w:space="0" w:color="333333"/>
              <w:right w:val="single" w:sz="4" w:space="0" w:color="333399"/>
            </w:tcBorders>
            <w:shd w:val="clear" w:color="000000" w:fill="FFFFFF"/>
            <w:noWrap/>
          </w:tcPr>
          <w:p w14:paraId="49499B4C" w14:textId="4FC7E665" w:rsidR="006C0B92" w:rsidRPr="00F70311" w:rsidRDefault="006C0B92" w:rsidP="00E90CC5">
            <w:pPr>
              <w:jc w:val="center"/>
              <w:rPr>
                <w:rFonts w:ascii="Arial" w:hAnsi="Arial" w:cs="Arial"/>
                <w:color w:val="000000"/>
              </w:rPr>
            </w:pPr>
            <w:r w:rsidRPr="00982A96">
              <w:rPr>
                <w:rFonts w:ascii="Arial" w:hAnsi="Arial" w:cs="Arial"/>
                <w:color w:val="000000" w:themeColor="text1"/>
              </w:rPr>
              <w:t>100</w:t>
            </w:r>
            <w:r>
              <w:rPr>
                <w:rFonts w:ascii="Arial" w:hAnsi="Arial" w:cs="Arial"/>
                <w:color w:val="000000" w:themeColor="text1"/>
              </w:rPr>
              <w:t xml:space="preserve"> (</w:t>
            </w:r>
            <w:r w:rsidRPr="00982A96">
              <w:rPr>
                <w:rFonts w:ascii="Arial" w:hAnsi="Arial" w:cs="Arial"/>
                <w:color w:val="000000" w:themeColor="text1"/>
              </w:rPr>
              <w:t>19,7</w:t>
            </w:r>
            <w:r>
              <w:rPr>
                <w:rFonts w:ascii="Arial" w:hAnsi="Arial" w:cs="Arial"/>
                <w:color w:val="000000" w:themeColor="text1"/>
              </w:rPr>
              <w:t xml:space="preserve"> </w:t>
            </w:r>
            <w:r w:rsidRPr="00982A96">
              <w:rPr>
                <w:rFonts w:ascii="Arial" w:hAnsi="Arial" w:cs="Arial"/>
                <w:color w:val="000000" w:themeColor="text1"/>
              </w:rPr>
              <w:t>%</w:t>
            </w:r>
            <w:r>
              <w:rPr>
                <w:rFonts w:ascii="Arial" w:hAnsi="Arial" w:cs="Arial"/>
                <w:color w:val="000000" w:themeColor="text1"/>
              </w:rPr>
              <w:t>)</w:t>
            </w:r>
          </w:p>
        </w:tc>
        <w:tc>
          <w:tcPr>
            <w:tcW w:w="1439" w:type="dxa"/>
            <w:vMerge/>
            <w:tcBorders>
              <w:left w:val="single" w:sz="4" w:space="0" w:color="auto"/>
              <w:right w:val="single" w:sz="4" w:space="0" w:color="auto"/>
            </w:tcBorders>
            <w:shd w:val="clear" w:color="auto" w:fill="auto"/>
            <w:noWrap/>
            <w:vAlign w:val="center"/>
          </w:tcPr>
          <w:p w14:paraId="27D793CB" w14:textId="77777777" w:rsidR="006C0B92" w:rsidRPr="00F70311" w:rsidRDefault="006C0B92" w:rsidP="00E90CC5">
            <w:pPr>
              <w:jc w:val="center"/>
              <w:rPr>
                <w:rFonts w:ascii="Arial" w:hAnsi="Arial" w:cs="Arial"/>
                <w:color w:val="000000"/>
              </w:rPr>
            </w:pPr>
          </w:p>
        </w:tc>
        <w:tc>
          <w:tcPr>
            <w:tcW w:w="1537" w:type="dxa"/>
            <w:vMerge/>
            <w:tcBorders>
              <w:left w:val="single" w:sz="4" w:space="0" w:color="auto"/>
              <w:right w:val="single" w:sz="4" w:space="0" w:color="auto"/>
            </w:tcBorders>
            <w:vAlign w:val="center"/>
          </w:tcPr>
          <w:p w14:paraId="12394A16" w14:textId="77777777" w:rsidR="006C0B92" w:rsidRPr="00F70311" w:rsidRDefault="006C0B92" w:rsidP="006C0B92">
            <w:pPr>
              <w:jc w:val="center"/>
              <w:rPr>
                <w:rFonts w:ascii="Arial" w:hAnsi="Arial" w:cs="Arial"/>
                <w:color w:val="000000"/>
              </w:rPr>
            </w:pPr>
          </w:p>
        </w:tc>
      </w:tr>
      <w:tr w:rsidR="003663E7" w:rsidRPr="00F70311" w14:paraId="374129FE" w14:textId="2FBAF31B" w:rsidTr="00D540CF">
        <w:trPr>
          <w:trHeight w:val="397"/>
        </w:trPr>
        <w:tc>
          <w:tcPr>
            <w:tcW w:w="2830" w:type="dxa"/>
            <w:vMerge/>
            <w:tcBorders>
              <w:left w:val="single" w:sz="4" w:space="0" w:color="auto"/>
              <w:right w:val="single" w:sz="4" w:space="0" w:color="auto"/>
            </w:tcBorders>
            <w:shd w:val="clear" w:color="auto" w:fill="auto"/>
            <w:vAlign w:val="center"/>
          </w:tcPr>
          <w:p w14:paraId="4918CEB3" w14:textId="77777777" w:rsidR="006C0B92" w:rsidRPr="00F70311" w:rsidRDefault="006C0B92" w:rsidP="00E90CC5">
            <w:pPr>
              <w:jc w:val="center"/>
              <w:rPr>
                <w:rFonts w:ascii="Arial" w:hAnsi="Arial" w:cs="Arial"/>
                <w:color w:val="000000"/>
              </w:rPr>
            </w:pPr>
          </w:p>
        </w:tc>
        <w:tc>
          <w:tcPr>
            <w:tcW w:w="2127" w:type="dxa"/>
            <w:tcBorders>
              <w:top w:val="nil"/>
              <w:left w:val="nil"/>
              <w:bottom w:val="single" w:sz="4" w:space="0" w:color="auto"/>
              <w:right w:val="single" w:sz="4" w:space="0" w:color="auto"/>
            </w:tcBorders>
            <w:shd w:val="clear" w:color="auto" w:fill="auto"/>
            <w:noWrap/>
            <w:vAlign w:val="center"/>
          </w:tcPr>
          <w:p w14:paraId="57BE8CE8" w14:textId="4CF66A78" w:rsidR="006C0B92" w:rsidRPr="00F70311" w:rsidRDefault="006C0B92" w:rsidP="00E90CC5">
            <w:pPr>
              <w:jc w:val="center"/>
              <w:rPr>
                <w:rFonts w:ascii="Arial" w:hAnsi="Arial" w:cs="Arial"/>
                <w:color w:val="000000"/>
              </w:rPr>
            </w:pPr>
            <w:r w:rsidRPr="00556E50">
              <w:rPr>
                <w:rFonts w:ascii="Arial" w:hAnsi="Arial" w:cs="Arial"/>
                <w:color w:val="000000"/>
              </w:rPr>
              <w:t>ZDS</w:t>
            </w:r>
          </w:p>
        </w:tc>
        <w:tc>
          <w:tcPr>
            <w:tcW w:w="1559" w:type="dxa"/>
            <w:tcBorders>
              <w:top w:val="single" w:sz="4" w:space="0" w:color="333333"/>
              <w:left w:val="nil"/>
              <w:bottom w:val="single" w:sz="4" w:space="0" w:color="333333"/>
              <w:right w:val="single" w:sz="4" w:space="0" w:color="333399"/>
            </w:tcBorders>
            <w:shd w:val="clear" w:color="000000" w:fill="FFFFFF"/>
            <w:noWrap/>
          </w:tcPr>
          <w:p w14:paraId="44307EFE" w14:textId="42DE9C24" w:rsidR="006C0B92" w:rsidRPr="00F70311" w:rsidRDefault="006C0B92" w:rsidP="00E90CC5">
            <w:pPr>
              <w:jc w:val="center"/>
              <w:rPr>
                <w:rFonts w:ascii="Arial" w:hAnsi="Arial" w:cs="Arial"/>
                <w:color w:val="000000"/>
              </w:rPr>
            </w:pPr>
            <w:r w:rsidRPr="00982A96">
              <w:rPr>
                <w:rFonts w:ascii="Arial" w:hAnsi="Arial" w:cs="Arial"/>
                <w:color w:val="000000" w:themeColor="text1"/>
              </w:rPr>
              <w:t>59</w:t>
            </w:r>
            <w:r>
              <w:rPr>
                <w:rFonts w:ascii="Arial" w:hAnsi="Arial" w:cs="Arial"/>
                <w:color w:val="000000" w:themeColor="text1"/>
              </w:rPr>
              <w:t xml:space="preserve"> (</w:t>
            </w:r>
            <w:r w:rsidRPr="00982A96">
              <w:rPr>
                <w:rFonts w:ascii="Arial" w:hAnsi="Arial" w:cs="Arial"/>
                <w:color w:val="000000" w:themeColor="text1"/>
              </w:rPr>
              <w:t>12,6</w:t>
            </w:r>
            <w:r>
              <w:rPr>
                <w:rFonts w:ascii="Arial" w:hAnsi="Arial" w:cs="Arial"/>
                <w:color w:val="000000" w:themeColor="text1"/>
              </w:rPr>
              <w:t xml:space="preserve"> </w:t>
            </w:r>
            <w:r w:rsidRPr="00982A96">
              <w:rPr>
                <w:rFonts w:ascii="Arial" w:hAnsi="Arial" w:cs="Arial"/>
                <w:color w:val="000000" w:themeColor="text1"/>
              </w:rPr>
              <w:t>%</w:t>
            </w:r>
            <w:r>
              <w:rPr>
                <w:rFonts w:ascii="Arial" w:hAnsi="Arial" w:cs="Arial"/>
                <w:color w:val="000000" w:themeColor="text1"/>
              </w:rPr>
              <w:t>)</w:t>
            </w:r>
          </w:p>
        </w:tc>
        <w:tc>
          <w:tcPr>
            <w:tcW w:w="1417" w:type="dxa"/>
            <w:tcBorders>
              <w:top w:val="single" w:sz="4" w:space="0" w:color="333333"/>
              <w:left w:val="nil"/>
              <w:bottom w:val="single" w:sz="4" w:space="0" w:color="333333"/>
              <w:right w:val="single" w:sz="4" w:space="0" w:color="333399"/>
            </w:tcBorders>
            <w:shd w:val="clear" w:color="000000" w:fill="FFFFFF"/>
            <w:noWrap/>
          </w:tcPr>
          <w:p w14:paraId="1384A088" w14:textId="7118D6AF" w:rsidR="006C0B92" w:rsidRPr="00F70311" w:rsidRDefault="006C0B92" w:rsidP="00E90CC5">
            <w:pPr>
              <w:jc w:val="center"/>
              <w:rPr>
                <w:rFonts w:ascii="Arial" w:hAnsi="Arial" w:cs="Arial"/>
                <w:color w:val="000000"/>
              </w:rPr>
            </w:pPr>
            <w:r w:rsidRPr="00982A96">
              <w:rPr>
                <w:rFonts w:ascii="Arial" w:hAnsi="Arial" w:cs="Arial"/>
                <w:color w:val="000000" w:themeColor="text1"/>
              </w:rPr>
              <w:t>4</w:t>
            </w:r>
            <w:r>
              <w:rPr>
                <w:rFonts w:ascii="Arial" w:hAnsi="Arial" w:cs="Arial"/>
                <w:color w:val="000000" w:themeColor="text1"/>
              </w:rPr>
              <w:t xml:space="preserve"> (</w:t>
            </w:r>
            <w:r w:rsidRPr="00982A96">
              <w:rPr>
                <w:rFonts w:ascii="Arial" w:hAnsi="Arial" w:cs="Arial"/>
                <w:color w:val="000000" w:themeColor="text1"/>
              </w:rPr>
              <w:t>10,3</w:t>
            </w:r>
            <w:r>
              <w:rPr>
                <w:rFonts w:ascii="Arial" w:hAnsi="Arial" w:cs="Arial"/>
                <w:color w:val="000000" w:themeColor="text1"/>
              </w:rPr>
              <w:t xml:space="preserve"> </w:t>
            </w:r>
            <w:r w:rsidRPr="00982A96">
              <w:rPr>
                <w:rFonts w:ascii="Arial" w:hAnsi="Arial" w:cs="Arial"/>
                <w:color w:val="000000" w:themeColor="text1"/>
              </w:rPr>
              <w:t>%</w:t>
            </w:r>
            <w:r>
              <w:rPr>
                <w:rFonts w:ascii="Arial" w:hAnsi="Arial" w:cs="Arial"/>
                <w:color w:val="000000" w:themeColor="text1"/>
              </w:rPr>
              <w:t>)</w:t>
            </w:r>
          </w:p>
        </w:tc>
        <w:tc>
          <w:tcPr>
            <w:tcW w:w="1560" w:type="dxa"/>
            <w:tcBorders>
              <w:top w:val="single" w:sz="4" w:space="0" w:color="333333"/>
              <w:left w:val="nil"/>
              <w:bottom w:val="single" w:sz="4" w:space="0" w:color="333333"/>
              <w:right w:val="single" w:sz="4" w:space="0" w:color="333399"/>
            </w:tcBorders>
            <w:shd w:val="clear" w:color="000000" w:fill="FFFFFF"/>
            <w:noWrap/>
          </w:tcPr>
          <w:p w14:paraId="620F351B" w14:textId="60F0EDF6" w:rsidR="006C0B92" w:rsidRPr="00F70311" w:rsidRDefault="006C0B92" w:rsidP="00E90CC5">
            <w:pPr>
              <w:jc w:val="center"/>
              <w:rPr>
                <w:rFonts w:ascii="Arial" w:hAnsi="Arial" w:cs="Arial"/>
                <w:color w:val="000000"/>
              </w:rPr>
            </w:pPr>
            <w:r w:rsidRPr="00982A96">
              <w:rPr>
                <w:rFonts w:ascii="Arial" w:hAnsi="Arial" w:cs="Arial"/>
                <w:color w:val="000000" w:themeColor="text1"/>
              </w:rPr>
              <w:t>63</w:t>
            </w:r>
            <w:r>
              <w:rPr>
                <w:rFonts w:ascii="Arial" w:hAnsi="Arial" w:cs="Arial"/>
                <w:color w:val="000000" w:themeColor="text1"/>
              </w:rPr>
              <w:t xml:space="preserve"> (</w:t>
            </w:r>
            <w:r w:rsidRPr="00982A96">
              <w:rPr>
                <w:rFonts w:ascii="Arial" w:hAnsi="Arial" w:cs="Arial"/>
                <w:color w:val="000000" w:themeColor="text1"/>
              </w:rPr>
              <w:t>12,4</w:t>
            </w:r>
            <w:r>
              <w:rPr>
                <w:rFonts w:ascii="Arial" w:hAnsi="Arial" w:cs="Arial"/>
                <w:color w:val="000000" w:themeColor="text1"/>
              </w:rPr>
              <w:t xml:space="preserve"> </w:t>
            </w:r>
            <w:r w:rsidRPr="00982A96">
              <w:rPr>
                <w:rFonts w:ascii="Arial" w:hAnsi="Arial" w:cs="Arial"/>
                <w:color w:val="000000" w:themeColor="text1"/>
              </w:rPr>
              <w:t>%</w:t>
            </w:r>
            <w:r>
              <w:rPr>
                <w:rFonts w:ascii="Arial" w:hAnsi="Arial" w:cs="Arial"/>
                <w:color w:val="000000" w:themeColor="text1"/>
              </w:rPr>
              <w:t>)</w:t>
            </w:r>
          </w:p>
        </w:tc>
        <w:tc>
          <w:tcPr>
            <w:tcW w:w="1439" w:type="dxa"/>
            <w:vMerge/>
            <w:tcBorders>
              <w:left w:val="single" w:sz="4" w:space="0" w:color="auto"/>
              <w:right w:val="single" w:sz="4" w:space="0" w:color="auto"/>
            </w:tcBorders>
            <w:shd w:val="clear" w:color="auto" w:fill="auto"/>
            <w:noWrap/>
            <w:vAlign w:val="center"/>
          </w:tcPr>
          <w:p w14:paraId="7C753362" w14:textId="77777777" w:rsidR="006C0B92" w:rsidRPr="00F70311" w:rsidRDefault="006C0B92" w:rsidP="00E90CC5">
            <w:pPr>
              <w:jc w:val="center"/>
              <w:rPr>
                <w:rFonts w:ascii="Arial" w:hAnsi="Arial" w:cs="Arial"/>
                <w:color w:val="000000"/>
              </w:rPr>
            </w:pPr>
          </w:p>
        </w:tc>
        <w:tc>
          <w:tcPr>
            <w:tcW w:w="1537" w:type="dxa"/>
            <w:vMerge/>
            <w:tcBorders>
              <w:left w:val="single" w:sz="4" w:space="0" w:color="auto"/>
              <w:right w:val="single" w:sz="4" w:space="0" w:color="auto"/>
            </w:tcBorders>
            <w:vAlign w:val="center"/>
          </w:tcPr>
          <w:p w14:paraId="320D1AD1" w14:textId="77777777" w:rsidR="006C0B92" w:rsidRPr="00F70311" w:rsidRDefault="006C0B92" w:rsidP="006C0B92">
            <w:pPr>
              <w:jc w:val="center"/>
              <w:rPr>
                <w:rFonts w:ascii="Arial" w:hAnsi="Arial" w:cs="Arial"/>
                <w:color w:val="000000"/>
              </w:rPr>
            </w:pPr>
          </w:p>
        </w:tc>
      </w:tr>
      <w:tr w:rsidR="003663E7" w:rsidRPr="00F70311" w14:paraId="0B94B294" w14:textId="1F303A96" w:rsidTr="00D540CF">
        <w:trPr>
          <w:trHeight w:val="397"/>
        </w:trPr>
        <w:tc>
          <w:tcPr>
            <w:tcW w:w="2830" w:type="dxa"/>
            <w:vMerge/>
            <w:tcBorders>
              <w:left w:val="single" w:sz="4" w:space="0" w:color="auto"/>
              <w:bottom w:val="single" w:sz="4" w:space="0" w:color="auto"/>
              <w:right w:val="single" w:sz="4" w:space="0" w:color="auto"/>
            </w:tcBorders>
            <w:shd w:val="clear" w:color="auto" w:fill="auto"/>
            <w:vAlign w:val="center"/>
          </w:tcPr>
          <w:p w14:paraId="7FFE70B3" w14:textId="77777777" w:rsidR="006C0B92" w:rsidRPr="00F70311" w:rsidRDefault="006C0B92" w:rsidP="00E90CC5">
            <w:pPr>
              <w:jc w:val="center"/>
              <w:rPr>
                <w:rFonts w:ascii="Arial" w:hAnsi="Arial" w:cs="Arial"/>
                <w:color w:val="000000"/>
              </w:rPr>
            </w:pPr>
          </w:p>
        </w:tc>
        <w:tc>
          <w:tcPr>
            <w:tcW w:w="2127" w:type="dxa"/>
            <w:tcBorders>
              <w:top w:val="nil"/>
              <w:left w:val="nil"/>
              <w:bottom w:val="single" w:sz="4" w:space="0" w:color="auto"/>
              <w:right w:val="single" w:sz="4" w:space="0" w:color="auto"/>
            </w:tcBorders>
            <w:shd w:val="clear" w:color="auto" w:fill="auto"/>
            <w:noWrap/>
            <w:vAlign w:val="center"/>
          </w:tcPr>
          <w:p w14:paraId="245F654C" w14:textId="77777777" w:rsidR="006C0B92" w:rsidRDefault="006C0B92" w:rsidP="00E90CC5">
            <w:pPr>
              <w:jc w:val="center"/>
              <w:rPr>
                <w:rFonts w:ascii="Arial" w:hAnsi="Arial" w:cs="Arial"/>
                <w:color w:val="000000"/>
              </w:rPr>
            </w:pPr>
            <w:r w:rsidRPr="00556E50">
              <w:rPr>
                <w:rFonts w:ascii="Arial" w:hAnsi="Arial" w:cs="Arial"/>
                <w:color w:val="000000"/>
              </w:rPr>
              <w:t>Konzilium/</w:t>
            </w:r>
          </w:p>
          <w:p w14:paraId="5F367FDB" w14:textId="7ABDD711" w:rsidR="006C0B92" w:rsidRPr="00F70311" w:rsidRDefault="006C0B92" w:rsidP="00E90CC5">
            <w:pPr>
              <w:jc w:val="center"/>
              <w:rPr>
                <w:rFonts w:ascii="Arial" w:hAnsi="Arial" w:cs="Arial"/>
                <w:color w:val="000000"/>
              </w:rPr>
            </w:pPr>
            <w:r w:rsidRPr="00556E50">
              <w:rPr>
                <w:rFonts w:ascii="Arial" w:hAnsi="Arial" w:cs="Arial"/>
                <w:color w:val="000000"/>
              </w:rPr>
              <w:t>předání</w:t>
            </w:r>
          </w:p>
        </w:tc>
        <w:tc>
          <w:tcPr>
            <w:tcW w:w="1559" w:type="dxa"/>
            <w:tcBorders>
              <w:top w:val="single" w:sz="4" w:space="0" w:color="333333"/>
              <w:left w:val="nil"/>
              <w:bottom w:val="single" w:sz="4" w:space="0" w:color="333333"/>
              <w:right w:val="single" w:sz="4" w:space="0" w:color="333399"/>
            </w:tcBorders>
            <w:shd w:val="clear" w:color="000000" w:fill="FFFFFF"/>
            <w:noWrap/>
          </w:tcPr>
          <w:p w14:paraId="48D3E613" w14:textId="15E5CFE9" w:rsidR="006C0B92" w:rsidRPr="00F70311" w:rsidRDefault="006C0B92" w:rsidP="00E90CC5">
            <w:pPr>
              <w:jc w:val="center"/>
              <w:rPr>
                <w:rFonts w:ascii="Arial" w:hAnsi="Arial" w:cs="Arial"/>
                <w:color w:val="000000"/>
              </w:rPr>
            </w:pPr>
            <w:r w:rsidRPr="00982A96">
              <w:rPr>
                <w:rFonts w:ascii="Arial" w:hAnsi="Arial" w:cs="Arial"/>
                <w:color w:val="000000" w:themeColor="text1"/>
              </w:rPr>
              <w:t>31</w:t>
            </w:r>
            <w:r>
              <w:rPr>
                <w:rFonts w:ascii="Arial" w:hAnsi="Arial" w:cs="Arial"/>
                <w:color w:val="000000" w:themeColor="text1"/>
              </w:rPr>
              <w:t xml:space="preserve"> (</w:t>
            </w:r>
            <w:r w:rsidRPr="00982A96">
              <w:rPr>
                <w:rFonts w:ascii="Arial" w:hAnsi="Arial" w:cs="Arial"/>
                <w:color w:val="000000" w:themeColor="text1"/>
              </w:rPr>
              <w:t>6,6</w:t>
            </w:r>
            <w:r>
              <w:rPr>
                <w:rFonts w:ascii="Arial" w:hAnsi="Arial" w:cs="Arial"/>
                <w:color w:val="000000" w:themeColor="text1"/>
              </w:rPr>
              <w:t xml:space="preserve"> </w:t>
            </w:r>
            <w:r w:rsidRPr="00982A96">
              <w:rPr>
                <w:rFonts w:ascii="Arial" w:hAnsi="Arial" w:cs="Arial"/>
                <w:color w:val="000000" w:themeColor="text1"/>
              </w:rPr>
              <w:t>%</w:t>
            </w:r>
            <w:r>
              <w:rPr>
                <w:rFonts w:ascii="Arial" w:hAnsi="Arial" w:cs="Arial"/>
                <w:color w:val="000000" w:themeColor="text1"/>
              </w:rPr>
              <w:t>)</w:t>
            </w:r>
          </w:p>
        </w:tc>
        <w:tc>
          <w:tcPr>
            <w:tcW w:w="1417" w:type="dxa"/>
            <w:tcBorders>
              <w:top w:val="single" w:sz="4" w:space="0" w:color="333333"/>
              <w:left w:val="nil"/>
              <w:bottom w:val="single" w:sz="4" w:space="0" w:color="333333"/>
              <w:right w:val="single" w:sz="4" w:space="0" w:color="333399"/>
            </w:tcBorders>
            <w:shd w:val="clear" w:color="000000" w:fill="FFFFFF"/>
            <w:noWrap/>
          </w:tcPr>
          <w:p w14:paraId="042E47DD" w14:textId="2C65D372" w:rsidR="006C0B92" w:rsidRPr="00F70311" w:rsidRDefault="006C0B92" w:rsidP="00E90CC5">
            <w:pPr>
              <w:jc w:val="center"/>
              <w:rPr>
                <w:rFonts w:ascii="Arial" w:hAnsi="Arial" w:cs="Arial"/>
                <w:color w:val="000000"/>
              </w:rPr>
            </w:pPr>
            <w:r w:rsidRPr="00982A96">
              <w:rPr>
                <w:rFonts w:ascii="Arial" w:hAnsi="Arial" w:cs="Arial"/>
                <w:color w:val="000000" w:themeColor="text1"/>
              </w:rPr>
              <w:t>9</w:t>
            </w:r>
            <w:r>
              <w:rPr>
                <w:rFonts w:ascii="Arial" w:hAnsi="Arial" w:cs="Arial"/>
                <w:color w:val="000000" w:themeColor="text1"/>
              </w:rPr>
              <w:t xml:space="preserve"> (</w:t>
            </w:r>
            <w:r w:rsidRPr="00982A96">
              <w:rPr>
                <w:rFonts w:ascii="Arial" w:hAnsi="Arial" w:cs="Arial"/>
                <w:color w:val="000000" w:themeColor="text1"/>
              </w:rPr>
              <w:t>23,1</w:t>
            </w:r>
            <w:r>
              <w:rPr>
                <w:rFonts w:ascii="Arial" w:hAnsi="Arial" w:cs="Arial"/>
                <w:color w:val="000000" w:themeColor="text1"/>
              </w:rPr>
              <w:t xml:space="preserve"> </w:t>
            </w:r>
            <w:r w:rsidRPr="00982A96">
              <w:rPr>
                <w:rFonts w:ascii="Arial" w:hAnsi="Arial" w:cs="Arial"/>
                <w:color w:val="000000" w:themeColor="text1"/>
              </w:rPr>
              <w:t>%</w:t>
            </w:r>
            <w:r>
              <w:rPr>
                <w:rFonts w:ascii="Arial" w:hAnsi="Arial" w:cs="Arial"/>
                <w:color w:val="000000" w:themeColor="text1"/>
              </w:rPr>
              <w:t>)</w:t>
            </w:r>
          </w:p>
        </w:tc>
        <w:tc>
          <w:tcPr>
            <w:tcW w:w="1560" w:type="dxa"/>
            <w:tcBorders>
              <w:top w:val="single" w:sz="4" w:space="0" w:color="333333"/>
              <w:left w:val="nil"/>
              <w:bottom w:val="single" w:sz="4" w:space="0" w:color="333333"/>
              <w:right w:val="single" w:sz="4" w:space="0" w:color="333399"/>
            </w:tcBorders>
            <w:shd w:val="clear" w:color="000000" w:fill="FFFFFF"/>
            <w:noWrap/>
          </w:tcPr>
          <w:p w14:paraId="7E879E68" w14:textId="596D7FEC" w:rsidR="006C0B92" w:rsidRPr="00F70311" w:rsidRDefault="006C0B92" w:rsidP="00E90CC5">
            <w:pPr>
              <w:jc w:val="center"/>
              <w:rPr>
                <w:rFonts w:ascii="Arial" w:hAnsi="Arial" w:cs="Arial"/>
                <w:color w:val="000000"/>
              </w:rPr>
            </w:pPr>
            <w:r w:rsidRPr="00982A96">
              <w:rPr>
                <w:rFonts w:ascii="Arial" w:hAnsi="Arial" w:cs="Arial"/>
                <w:color w:val="000000" w:themeColor="text1"/>
              </w:rPr>
              <w:t>40</w:t>
            </w:r>
            <w:r>
              <w:rPr>
                <w:rFonts w:ascii="Arial" w:hAnsi="Arial" w:cs="Arial"/>
                <w:color w:val="000000" w:themeColor="text1"/>
              </w:rPr>
              <w:t xml:space="preserve"> (</w:t>
            </w:r>
            <w:r w:rsidRPr="00982A96">
              <w:rPr>
                <w:rFonts w:ascii="Arial" w:hAnsi="Arial" w:cs="Arial"/>
                <w:color w:val="000000" w:themeColor="text1"/>
              </w:rPr>
              <w:t>7,9</w:t>
            </w:r>
            <w:r>
              <w:rPr>
                <w:rFonts w:ascii="Arial" w:hAnsi="Arial" w:cs="Arial"/>
                <w:color w:val="000000" w:themeColor="text1"/>
              </w:rPr>
              <w:t xml:space="preserve"> </w:t>
            </w:r>
            <w:r w:rsidRPr="00982A96">
              <w:rPr>
                <w:rFonts w:ascii="Arial" w:hAnsi="Arial" w:cs="Arial"/>
                <w:color w:val="000000" w:themeColor="text1"/>
              </w:rPr>
              <w:t>%</w:t>
            </w:r>
            <w:r>
              <w:rPr>
                <w:rFonts w:ascii="Arial" w:hAnsi="Arial" w:cs="Arial"/>
                <w:color w:val="000000" w:themeColor="text1"/>
              </w:rPr>
              <w:t>)</w:t>
            </w:r>
          </w:p>
        </w:tc>
        <w:tc>
          <w:tcPr>
            <w:tcW w:w="1439" w:type="dxa"/>
            <w:vMerge/>
            <w:tcBorders>
              <w:left w:val="single" w:sz="4" w:space="0" w:color="auto"/>
              <w:bottom w:val="single" w:sz="4" w:space="0" w:color="auto"/>
              <w:right w:val="single" w:sz="4" w:space="0" w:color="auto"/>
            </w:tcBorders>
            <w:shd w:val="clear" w:color="auto" w:fill="auto"/>
            <w:noWrap/>
            <w:vAlign w:val="center"/>
          </w:tcPr>
          <w:p w14:paraId="33D4F3AB" w14:textId="77777777" w:rsidR="006C0B92" w:rsidRPr="00F70311" w:rsidRDefault="006C0B92" w:rsidP="00E90CC5">
            <w:pPr>
              <w:jc w:val="center"/>
              <w:rPr>
                <w:rFonts w:ascii="Arial" w:hAnsi="Arial" w:cs="Arial"/>
                <w:color w:val="000000"/>
              </w:rPr>
            </w:pPr>
          </w:p>
        </w:tc>
        <w:tc>
          <w:tcPr>
            <w:tcW w:w="1537" w:type="dxa"/>
            <w:vMerge/>
            <w:tcBorders>
              <w:left w:val="single" w:sz="4" w:space="0" w:color="auto"/>
              <w:bottom w:val="single" w:sz="4" w:space="0" w:color="auto"/>
              <w:right w:val="single" w:sz="4" w:space="0" w:color="auto"/>
            </w:tcBorders>
            <w:vAlign w:val="center"/>
          </w:tcPr>
          <w:p w14:paraId="18445267" w14:textId="77777777" w:rsidR="006C0B92" w:rsidRPr="00F70311" w:rsidRDefault="006C0B92" w:rsidP="006C0B92">
            <w:pPr>
              <w:jc w:val="center"/>
              <w:rPr>
                <w:rFonts w:ascii="Arial" w:hAnsi="Arial" w:cs="Arial"/>
                <w:color w:val="000000"/>
              </w:rPr>
            </w:pPr>
          </w:p>
        </w:tc>
      </w:tr>
      <w:tr w:rsidR="003663E7" w:rsidRPr="00F70311" w14:paraId="172F88C4" w14:textId="26394D54" w:rsidTr="00D540CF">
        <w:trPr>
          <w:trHeight w:val="397"/>
        </w:trPr>
        <w:tc>
          <w:tcPr>
            <w:tcW w:w="2830" w:type="dxa"/>
            <w:vMerge w:val="restart"/>
            <w:tcBorders>
              <w:top w:val="nil"/>
              <w:left w:val="single" w:sz="4" w:space="0" w:color="auto"/>
              <w:bottom w:val="single" w:sz="4" w:space="0" w:color="auto"/>
              <w:right w:val="single" w:sz="4" w:space="0" w:color="auto"/>
            </w:tcBorders>
            <w:shd w:val="clear" w:color="auto" w:fill="auto"/>
            <w:vAlign w:val="center"/>
            <w:hideMark/>
          </w:tcPr>
          <w:p w14:paraId="79F5A8CB" w14:textId="63183D31" w:rsidR="00DE10EC" w:rsidRPr="00F70311" w:rsidRDefault="00DE10EC" w:rsidP="00D540CF">
            <w:pPr>
              <w:jc w:val="center"/>
              <w:rPr>
                <w:rFonts w:ascii="Arial" w:hAnsi="Arial" w:cs="Arial"/>
                <w:color w:val="000000"/>
              </w:rPr>
            </w:pPr>
            <w:r w:rsidRPr="00F70311">
              <w:rPr>
                <w:rFonts w:ascii="Arial" w:hAnsi="Arial" w:cs="Arial"/>
                <w:color w:val="000000"/>
              </w:rPr>
              <w:t>Ošetřující</w:t>
            </w:r>
            <w:r w:rsidR="00D540CF">
              <w:rPr>
                <w:rFonts w:ascii="Arial" w:hAnsi="Arial" w:cs="Arial"/>
                <w:color w:val="000000"/>
              </w:rPr>
              <w:t xml:space="preserve"> </w:t>
            </w:r>
            <w:r w:rsidRPr="00F70311">
              <w:rPr>
                <w:rFonts w:ascii="Arial" w:hAnsi="Arial" w:cs="Arial"/>
                <w:color w:val="000000"/>
              </w:rPr>
              <w:t>ambulance</w:t>
            </w:r>
          </w:p>
        </w:tc>
        <w:tc>
          <w:tcPr>
            <w:tcW w:w="2127" w:type="dxa"/>
            <w:tcBorders>
              <w:top w:val="nil"/>
              <w:left w:val="nil"/>
              <w:bottom w:val="single" w:sz="4" w:space="0" w:color="auto"/>
              <w:right w:val="single" w:sz="4" w:space="0" w:color="auto"/>
            </w:tcBorders>
            <w:shd w:val="clear" w:color="auto" w:fill="auto"/>
            <w:noWrap/>
            <w:vAlign w:val="center"/>
            <w:hideMark/>
          </w:tcPr>
          <w:p w14:paraId="6059796B" w14:textId="77777777" w:rsidR="00DE10EC" w:rsidRPr="00F70311" w:rsidRDefault="00DE10EC" w:rsidP="00E90CC5">
            <w:pPr>
              <w:jc w:val="center"/>
              <w:rPr>
                <w:rFonts w:ascii="Arial" w:hAnsi="Arial" w:cs="Arial"/>
                <w:color w:val="000000"/>
              </w:rPr>
            </w:pPr>
            <w:r w:rsidRPr="00F70311">
              <w:rPr>
                <w:rFonts w:ascii="Arial" w:hAnsi="Arial" w:cs="Arial"/>
                <w:color w:val="000000"/>
              </w:rPr>
              <w:t>Interní</w:t>
            </w:r>
          </w:p>
        </w:tc>
        <w:tc>
          <w:tcPr>
            <w:tcW w:w="1559" w:type="dxa"/>
            <w:tcBorders>
              <w:top w:val="single" w:sz="4" w:space="0" w:color="333333"/>
              <w:left w:val="nil"/>
              <w:bottom w:val="single" w:sz="4" w:space="0" w:color="333333"/>
              <w:right w:val="single" w:sz="4" w:space="0" w:color="333399"/>
            </w:tcBorders>
            <w:shd w:val="clear" w:color="000000" w:fill="FFFFFF"/>
            <w:noWrap/>
            <w:hideMark/>
          </w:tcPr>
          <w:p w14:paraId="3A0C2FB0" w14:textId="75A025A0" w:rsidR="00DE10EC" w:rsidRPr="00F70311" w:rsidRDefault="00DE10EC" w:rsidP="00E90CC5">
            <w:pPr>
              <w:jc w:val="center"/>
              <w:rPr>
                <w:rFonts w:ascii="Arial" w:hAnsi="Arial" w:cs="Arial"/>
                <w:color w:val="000000"/>
              </w:rPr>
            </w:pPr>
            <w:r w:rsidRPr="00F70311">
              <w:rPr>
                <w:rFonts w:ascii="Arial" w:hAnsi="Arial" w:cs="Arial"/>
                <w:color w:val="000000"/>
              </w:rPr>
              <w:t>357</w:t>
            </w:r>
            <w:r>
              <w:rPr>
                <w:rFonts w:ascii="Arial" w:hAnsi="Arial" w:cs="Arial"/>
                <w:color w:val="000000"/>
              </w:rPr>
              <w:t xml:space="preserve"> (</w:t>
            </w:r>
            <w:r w:rsidRPr="00F70311">
              <w:rPr>
                <w:rFonts w:ascii="Arial" w:hAnsi="Arial" w:cs="Arial"/>
                <w:color w:val="000000"/>
              </w:rPr>
              <w:t>76,0</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417" w:type="dxa"/>
            <w:tcBorders>
              <w:top w:val="single" w:sz="4" w:space="0" w:color="333333"/>
              <w:left w:val="nil"/>
              <w:bottom w:val="single" w:sz="4" w:space="0" w:color="333333"/>
              <w:right w:val="single" w:sz="4" w:space="0" w:color="333399"/>
            </w:tcBorders>
            <w:shd w:val="clear" w:color="000000" w:fill="FFFFFF"/>
            <w:noWrap/>
            <w:hideMark/>
          </w:tcPr>
          <w:p w14:paraId="6AC02705" w14:textId="52D44D86" w:rsidR="00DE10EC" w:rsidRPr="00F70311" w:rsidRDefault="00DE10EC" w:rsidP="00E90CC5">
            <w:pPr>
              <w:jc w:val="center"/>
              <w:rPr>
                <w:rFonts w:ascii="Arial" w:hAnsi="Arial" w:cs="Arial"/>
                <w:color w:val="000000"/>
              </w:rPr>
            </w:pPr>
            <w:r w:rsidRPr="00F70311">
              <w:rPr>
                <w:rFonts w:ascii="Arial" w:hAnsi="Arial" w:cs="Arial"/>
                <w:color w:val="000000"/>
              </w:rPr>
              <w:t>30</w:t>
            </w:r>
            <w:r>
              <w:rPr>
                <w:rFonts w:ascii="Arial" w:hAnsi="Arial" w:cs="Arial"/>
                <w:color w:val="000000"/>
              </w:rPr>
              <w:t xml:space="preserve"> (</w:t>
            </w:r>
            <w:r w:rsidRPr="00F70311">
              <w:rPr>
                <w:rFonts w:ascii="Arial" w:hAnsi="Arial" w:cs="Arial"/>
                <w:color w:val="000000"/>
              </w:rPr>
              <w:t>76,9</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560" w:type="dxa"/>
            <w:tcBorders>
              <w:top w:val="single" w:sz="4" w:space="0" w:color="333333"/>
              <w:left w:val="nil"/>
              <w:bottom w:val="single" w:sz="4" w:space="0" w:color="333333"/>
              <w:right w:val="single" w:sz="4" w:space="0" w:color="333399"/>
            </w:tcBorders>
            <w:shd w:val="clear" w:color="000000" w:fill="FFFFFF"/>
            <w:noWrap/>
            <w:hideMark/>
          </w:tcPr>
          <w:p w14:paraId="3CEEA1B7" w14:textId="68A8773D" w:rsidR="00DE10EC" w:rsidRPr="00F70311" w:rsidRDefault="00DE10EC" w:rsidP="00E90CC5">
            <w:pPr>
              <w:jc w:val="center"/>
              <w:rPr>
                <w:rFonts w:ascii="Arial" w:hAnsi="Arial" w:cs="Arial"/>
                <w:color w:val="000000"/>
              </w:rPr>
            </w:pPr>
            <w:r w:rsidRPr="00F70311">
              <w:rPr>
                <w:rFonts w:ascii="Arial" w:hAnsi="Arial" w:cs="Arial"/>
                <w:color w:val="000000"/>
              </w:rPr>
              <w:t>387</w:t>
            </w:r>
            <w:r>
              <w:rPr>
                <w:rFonts w:ascii="Arial" w:hAnsi="Arial" w:cs="Arial"/>
                <w:color w:val="000000"/>
              </w:rPr>
              <w:t xml:space="preserve"> (</w:t>
            </w:r>
            <w:r w:rsidRPr="00F70311">
              <w:rPr>
                <w:rFonts w:ascii="Arial" w:hAnsi="Arial" w:cs="Arial"/>
                <w:color w:val="000000"/>
              </w:rPr>
              <w:t>76,0</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4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BEC8F1" w14:textId="77777777" w:rsidR="00DE10EC" w:rsidRPr="00F70311" w:rsidRDefault="00DE10EC" w:rsidP="00E90CC5">
            <w:pPr>
              <w:jc w:val="center"/>
              <w:rPr>
                <w:rFonts w:ascii="Arial" w:hAnsi="Arial" w:cs="Arial"/>
                <w:color w:val="000000"/>
              </w:rPr>
            </w:pPr>
            <w:r w:rsidRPr="00F70311">
              <w:rPr>
                <w:rFonts w:ascii="Arial" w:hAnsi="Arial" w:cs="Arial"/>
                <w:color w:val="000000"/>
              </w:rPr>
              <w:t>0,569</w:t>
            </w:r>
          </w:p>
        </w:tc>
        <w:tc>
          <w:tcPr>
            <w:tcW w:w="1537" w:type="dxa"/>
            <w:vMerge w:val="restart"/>
            <w:tcBorders>
              <w:top w:val="nil"/>
              <w:left w:val="single" w:sz="4" w:space="0" w:color="auto"/>
              <w:right w:val="single" w:sz="4" w:space="0" w:color="auto"/>
            </w:tcBorders>
            <w:vAlign w:val="center"/>
          </w:tcPr>
          <w:p w14:paraId="7F5844F0" w14:textId="11D80646" w:rsidR="00DE10EC" w:rsidRPr="00F70311" w:rsidRDefault="00455B36" w:rsidP="006C0B92">
            <w:pPr>
              <w:jc w:val="center"/>
              <w:rPr>
                <w:rFonts w:ascii="Arial" w:hAnsi="Arial" w:cs="Arial"/>
                <w:color w:val="000000"/>
              </w:rPr>
            </w:pPr>
            <w:r>
              <w:rPr>
                <w:rFonts w:ascii="Arial" w:hAnsi="Arial" w:cs="Arial"/>
                <w:color w:val="000000"/>
              </w:rPr>
              <w:t xml:space="preserve">* </w:t>
            </w:r>
            <w:r w:rsidR="00312080">
              <w:rPr>
                <w:rFonts w:ascii="Arial" w:hAnsi="Arial" w:cs="Arial"/>
                <w:color w:val="000000"/>
              </w:rPr>
              <w:t>0,472</w:t>
            </w:r>
          </w:p>
        </w:tc>
      </w:tr>
      <w:tr w:rsidR="003663E7" w:rsidRPr="00F70311" w14:paraId="6A6E174E" w14:textId="3C571FE9" w:rsidTr="00D540CF">
        <w:trPr>
          <w:trHeight w:val="397"/>
        </w:trPr>
        <w:tc>
          <w:tcPr>
            <w:tcW w:w="2830" w:type="dxa"/>
            <w:vMerge/>
            <w:tcBorders>
              <w:top w:val="nil"/>
              <w:left w:val="single" w:sz="4" w:space="0" w:color="auto"/>
              <w:bottom w:val="single" w:sz="4" w:space="0" w:color="auto"/>
              <w:right w:val="single" w:sz="4" w:space="0" w:color="auto"/>
            </w:tcBorders>
            <w:vAlign w:val="center"/>
            <w:hideMark/>
          </w:tcPr>
          <w:p w14:paraId="159E780F" w14:textId="77777777" w:rsidR="00DE10EC" w:rsidRPr="00F70311" w:rsidRDefault="00DE10EC" w:rsidP="00E90CC5">
            <w:pPr>
              <w:jc w:val="center"/>
              <w:rPr>
                <w:rFonts w:ascii="Arial" w:hAnsi="Arial" w:cs="Arial"/>
                <w:color w:val="000000"/>
              </w:rPr>
            </w:pPr>
          </w:p>
        </w:tc>
        <w:tc>
          <w:tcPr>
            <w:tcW w:w="2127" w:type="dxa"/>
            <w:tcBorders>
              <w:top w:val="nil"/>
              <w:left w:val="nil"/>
              <w:bottom w:val="single" w:sz="4" w:space="0" w:color="auto"/>
              <w:right w:val="single" w:sz="4" w:space="0" w:color="auto"/>
            </w:tcBorders>
            <w:shd w:val="clear" w:color="auto" w:fill="auto"/>
            <w:noWrap/>
            <w:vAlign w:val="center"/>
            <w:hideMark/>
          </w:tcPr>
          <w:p w14:paraId="7B709B68" w14:textId="77777777" w:rsidR="00DE10EC" w:rsidRPr="00F70311" w:rsidRDefault="00DE10EC" w:rsidP="00E90CC5">
            <w:pPr>
              <w:jc w:val="center"/>
              <w:rPr>
                <w:rFonts w:ascii="Arial" w:hAnsi="Arial" w:cs="Arial"/>
                <w:color w:val="000000"/>
              </w:rPr>
            </w:pPr>
            <w:r w:rsidRPr="00F70311">
              <w:rPr>
                <w:rFonts w:ascii="Arial" w:hAnsi="Arial" w:cs="Arial"/>
                <w:color w:val="000000"/>
              </w:rPr>
              <w:t>Neurologická</w:t>
            </w:r>
          </w:p>
        </w:tc>
        <w:tc>
          <w:tcPr>
            <w:tcW w:w="1559" w:type="dxa"/>
            <w:tcBorders>
              <w:top w:val="nil"/>
              <w:left w:val="nil"/>
              <w:bottom w:val="single" w:sz="4" w:space="0" w:color="333333"/>
              <w:right w:val="single" w:sz="4" w:space="0" w:color="333399"/>
            </w:tcBorders>
            <w:shd w:val="clear" w:color="000000" w:fill="FFFFFF"/>
            <w:noWrap/>
            <w:hideMark/>
          </w:tcPr>
          <w:p w14:paraId="64189A0D" w14:textId="12633629" w:rsidR="00DE10EC" w:rsidRPr="00F70311" w:rsidRDefault="00DE10EC" w:rsidP="00E90CC5">
            <w:pPr>
              <w:jc w:val="center"/>
              <w:rPr>
                <w:rFonts w:ascii="Arial" w:hAnsi="Arial" w:cs="Arial"/>
                <w:color w:val="000000"/>
              </w:rPr>
            </w:pPr>
            <w:r w:rsidRPr="00F70311">
              <w:rPr>
                <w:rFonts w:ascii="Arial" w:hAnsi="Arial" w:cs="Arial"/>
                <w:color w:val="000000"/>
              </w:rPr>
              <w:t>82</w:t>
            </w:r>
            <w:r>
              <w:rPr>
                <w:rFonts w:ascii="Arial" w:hAnsi="Arial" w:cs="Arial"/>
                <w:color w:val="000000"/>
              </w:rPr>
              <w:t xml:space="preserve"> (</w:t>
            </w:r>
            <w:r w:rsidRPr="00F70311">
              <w:rPr>
                <w:rFonts w:ascii="Arial" w:hAnsi="Arial" w:cs="Arial"/>
                <w:color w:val="000000"/>
              </w:rPr>
              <w:t>17,4</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417" w:type="dxa"/>
            <w:tcBorders>
              <w:top w:val="nil"/>
              <w:left w:val="nil"/>
              <w:bottom w:val="single" w:sz="4" w:space="0" w:color="333333"/>
              <w:right w:val="single" w:sz="4" w:space="0" w:color="333399"/>
            </w:tcBorders>
            <w:shd w:val="clear" w:color="000000" w:fill="FFFFFF"/>
            <w:noWrap/>
            <w:hideMark/>
          </w:tcPr>
          <w:p w14:paraId="4A00FE25" w14:textId="438505B0" w:rsidR="00DE10EC" w:rsidRPr="00F70311" w:rsidRDefault="00DE10EC" w:rsidP="00E90CC5">
            <w:pPr>
              <w:jc w:val="center"/>
              <w:rPr>
                <w:rFonts w:ascii="Arial" w:hAnsi="Arial" w:cs="Arial"/>
                <w:color w:val="000000"/>
              </w:rPr>
            </w:pPr>
            <w:r w:rsidRPr="00F70311">
              <w:rPr>
                <w:rFonts w:ascii="Arial" w:hAnsi="Arial" w:cs="Arial"/>
                <w:color w:val="000000"/>
              </w:rPr>
              <w:t>8</w:t>
            </w:r>
            <w:r>
              <w:rPr>
                <w:rFonts w:ascii="Arial" w:hAnsi="Arial" w:cs="Arial"/>
                <w:color w:val="000000"/>
              </w:rPr>
              <w:t xml:space="preserve"> (</w:t>
            </w:r>
            <w:r w:rsidRPr="00F70311">
              <w:rPr>
                <w:rFonts w:ascii="Arial" w:hAnsi="Arial" w:cs="Arial"/>
                <w:color w:val="000000"/>
              </w:rPr>
              <w:t>20,5</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560" w:type="dxa"/>
            <w:tcBorders>
              <w:top w:val="nil"/>
              <w:left w:val="nil"/>
              <w:bottom w:val="single" w:sz="4" w:space="0" w:color="333333"/>
              <w:right w:val="single" w:sz="4" w:space="0" w:color="333399"/>
            </w:tcBorders>
            <w:shd w:val="clear" w:color="000000" w:fill="FFFFFF"/>
            <w:noWrap/>
            <w:hideMark/>
          </w:tcPr>
          <w:p w14:paraId="06E8FA1D" w14:textId="5B641DBD" w:rsidR="00DE10EC" w:rsidRPr="00F70311" w:rsidRDefault="00DE10EC" w:rsidP="00E90CC5">
            <w:pPr>
              <w:jc w:val="center"/>
              <w:rPr>
                <w:rFonts w:ascii="Arial" w:hAnsi="Arial" w:cs="Arial"/>
                <w:color w:val="000000"/>
              </w:rPr>
            </w:pPr>
            <w:r w:rsidRPr="00F70311">
              <w:rPr>
                <w:rFonts w:ascii="Arial" w:hAnsi="Arial" w:cs="Arial"/>
                <w:color w:val="000000"/>
              </w:rPr>
              <w:t>90</w:t>
            </w:r>
            <w:r>
              <w:rPr>
                <w:rFonts w:ascii="Arial" w:hAnsi="Arial" w:cs="Arial"/>
                <w:color w:val="000000"/>
              </w:rPr>
              <w:t xml:space="preserve"> (</w:t>
            </w:r>
            <w:r w:rsidRPr="00F70311">
              <w:rPr>
                <w:rFonts w:ascii="Arial" w:hAnsi="Arial" w:cs="Arial"/>
                <w:color w:val="000000"/>
              </w:rPr>
              <w:t>17,7</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439" w:type="dxa"/>
            <w:vMerge/>
            <w:tcBorders>
              <w:top w:val="nil"/>
              <w:left w:val="single" w:sz="4" w:space="0" w:color="auto"/>
              <w:bottom w:val="single" w:sz="4" w:space="0" w:color="auto"/>
              <w:right w:val="single" w:sz="4" w:space="0" w:color="auto"/>
            </w:tcBorders>
            <w:vAlign w:val="center"/>
            <w:hideMark/>
          </w:tcPr>
          <w:p w14:paraId="32CFD6BE" w14:textId="77777777" w:rsidR="00DE10EC" w:rsidRPr="00F70311" w:rsidRDefault="00DE10EC" w:rsidP="00E90CC5">
            <w:pPr>
              <w:jc w:val="center"/>
              <w:rPr>
                <w:rFonts w:ascii="Arial" w:hAnsi="Arial" w:cs="Arial"/>
                <w:color w:val="000000"/>
              </w:rPr>
            </w:pPr>
          </w:p>
        </w:tc>
        <w:tc>
          <w:tcPr>
            <w:tcW w:w="1537" w:type="dxa"/>
            <w:vMerge/>
            <w:tcBorders>
              <w:left w:val="single" w:sz="4" w:space="0" w:color="auto"/>
              <w:right w:val="single" w:sz="4" w:space="0" w:color="auto"/>
            </w:tcBorders>
            <w:vAlign w:val="center"/>
          </w:tcPr>
          <w:p w14:paraId="756FF187" w14:textId="77777777" w:rsidR="00DE10EC" w:rsidRPr="00F70311" w:rsidRDefault="00DE10EC" w:rsidP="006C0B92">
            <w:pPr>
              <w:jc w:val="center"/>
              <w:rPr>
                <w:rFonts w:ascii="Arial" w:hAnsi="Arial" w:cs="Arial"/>
                <w:color w:val="000000"/>
              </w:rPr>
            </w:pPr>
          </w:p>
        </w:tc>
      </w:tr>
      <w:tr w:rsidR="003663E7" w:rsidRPr="00F70311" w14:paraId="2741E303" w14:textId="5C15557B" w:rsidTr="00D540CF">
        <w:trPr>
          <w:trHeight w:val="397"/>
        </w:trPr>
        <w:tc>
          <w:tcPr>
            <w:tcW w:w="2830" w:type="dxa"/>
            <w:vMerge/>
            <w:tcBorders>
              <w:top w:val="nil"/>
              <w:left w:val="single" w:sz="4" w:space="0" w:color="auto"/>
              <w:bottom w:val="single" w:sz="4" w:space="0" w:color="auto"/>
              <w:right w:val="single" w:sz="4" w:space="0" w:color="auto"/>
            </w:tcBorders>
            <w:vAlign w:val="center"/>
            <w:hideMark/>
          </w:tcPr>
          <w:p w14:paraId="1C80F4D6" w14:textId="77777777" w:rsidR="00DE10EC" w:rsidRPr="00F70311" w:rsidRDefault="00DE10EC" w:rsidP="00E90CC5">
            <w:pPr>
              <w:jc w:val="center"/>
              <w:rPr>
                <w:rFonts w:ascii="Arial" w:hAnsi="Arial" w:cs="Arial"/>
                <w:color w:val="000000"/>
              </w:rPr>
            </w:pPr>
          </w:p>
        </w:tc>
        <w:tc>
          <w:tcPr>
            <w:tcW w:w="2127" w:type="dxa"/>
            <w:tcBorders>
              <w:top w:val="nil"/>
              <w:left w:val="nil"/>
              <w:bottom w:val="single" w:sz="4" w:space="0" w:color="auto"/>
              <w:right w:val="single" w:sz="4" w:space="0" w:color="auto"/>
            </w:tcBorders>
            <w:shd w:val="clear" w:color="auto" w:fill="auto"/>
            <w:noWrap/>
            <w:vAlign w:val="center"/>
            <w:hideMark/>
          </w:tcPr>
          <w:p w14:paraId="1D03AE98" w14:textId="77777777" w:rsidR="003663E7" w:rsidRDefault="00DE10EC" w:rsidP="00E90CC5">
            <w:pPr>
              <w:jc w:val="center"/>
              <w:rPr>
                <w:rFonts w:ascii="Arial" w:hAnsi="Arial" w:cs="Arial"/>
                <w:color w:val="000000"/>
              </w:rPr>
            </w:pPr>
            <w:r w:rsidRPr="00F70311">
              <w:rPr>
                <w:rFonts w:ascii="Arial" w:hAnsi="Arial" w:cs="Arial"/>
                <w:color w:val="000000"/>
              </w:rPr>
              <w:t>Současně interní</w:t>
            </w:r>
          </w:p>
          <w:p w14:paraId="1A3D85FE" w14:textId="252BD128" w:rsidR="00DE10EC" w:rsidRPr="00F70311" w:rsidRDefault="00DE10EC" w:rsidP="00E90CC5">
            <w:pPr>
              <w:jc w:val="center"/>
              <w:rPr>
                <w:rFonts w:ascii="Arial" w:hAnsi="Arial" w:cs="Arial"/>
                <w:color w:val="000000"/>
              </w:rPr>
            </w:pPr>
            <w:r w:rsidRPr="00F70311">
              <w:rPr>
                <w:rFonts w:ascii="Arial" w:hAnsi="Arial" w:cs="Arial"/>
                <w:color w:val="000000"/>
              </w:rPr>
              <w:t>a neurologická</w:t>
            </w:r>
          </w:p>
        </w:tc>
        <w:tc>
          <w:tcPr>
            <w:tcW w:w="1559" w:type="dxa"/>
            <w:tcBorders>
              <w:top w:val="nil"/>
              <w:left w:val="nil"/>
              <w:bottom w:val="single" w:sz="4" w:space="0" w:color="333333"/>
              <w:right w:val="single" w:sz="4" w:space="0" w:color="333399"/>
            </w:tcBorders>
            <w:shd w:val="clear" w:color="000000" w:fill="FFFFFF"/>
            <w:noWrap/>
            <w:hideMark/>
          </w:tcPr>
          <w:p w14:paraId="492157DB" w14:textId="2C3EFBB0" w:rsidR="00DE10EC" w:rsidRPr="00F70311" w:rsidRDefault="00DE10EC" w:rsidP="00E90CC5">
            <w:pPr>
              <w:jc w:val="center"/>
              <w:rPr>
                <w:rFonts w:ascii="Arial" w:hAnsi="Arial" w:cs="Arial"/>
                <w:color w:val="000000"/>
              </w:rPr>
            </w:pPr>
            <w:r w:rsidRPr="00F70311">
              <w:rPr>
                <w:rFonts w:ascii="Arial" w:hAnsi="Arial" w:cs="Arial"/>
                <w:color w:val="000000"/>
              </w:rPr>
              <w:t>31</w:t>
            </w:r>
            <w:r>
              <w:rPr>
                <w:rFonts w:ascii="Arial" w:hAnsi="Arial" w:cs="Arial"/>
                <w:color w:val="000000"/>
              </w:rPr>
              <w:t xml:space="preserve"> (</w:t>
            </w:r>
            <w:r w:rsidRPr="00F70311">
              <w:rPr>
                <w:rFonts w:ascii="Arial" w:hAnsi="Arial" w:cs="Arial"/>
                <w:color w:val="000000"/>
              </w:rPr>
              <w:t>6,6</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417" w:type="dxa"/>
            <w:tcBorders>
              <w:top w:val="nil"/>
              <w:left w:val="nil"/>
              <w:bottom w:val="single" w:sz="4" w:space="0" w:color="333333"/>
              <w:right w:val="single" w:sz="4" w:space="0" w:color="333399"/>
            </w:tcBorders>
            <w:shd w:val="clear" w:color="000000" w:fill="FFFFFF"/>
            <w:noWrap/>
            <w:hideMark/>
          </w:tcPr>
          <w:p w14:paraId="360FCB1D" w14:textId="52E08E07" w:rsidR="00DE10EC" w:rsidRPr="00F70311" w:rsidRDefault="00DE10EC" w:rsidP="00E90CC5">
            <w:pPr>
              <w:jc w:val="center"/>
              <w:rPr>
                <w:rFonts w:ascii="Arial" w:hAnsi="Arial" w:cs="Arial"/>
                <w:color w:val="000000"/>
              </w:rPr>
            </w:pPr>
            <w:r w:rsidRPr="00F70311">
              <w:rPr>
                <w:rFonts w:ascii="Arial" w:hAnsi="Arial" w:cs="Arial"/>
                <w:color w:val="000000"/>
              </w:rPr>
              <w:t>1</w:t>
            </w:r>
            <w:r>
              <w:rPr>
                <w:rFonts w:ascii="Arial" w:hAnsi="Arial" w:cs="Arial"/>
                <w:color w:val="000000"/>
              </w:rPr>
              <w:t xml:space="preserve"> (</w:t>
            </w:r>
            <w:r w:rsidRPr="00F70311">
              <w:rPr>
                <w:rFonts w:ascii="Arial" w:hAnsi="Arial" w:cs="Arial"/>
                <w:color w:val="000000"/>
              </w:rPr>
              <w:t>2,6</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560" w:type="dxa"/>
            <w:tcBorders>
              <w:top w:val="nil"/>
              <w:left w:val="nil"/>
              <w:bottom w:val="single" w:sz="4" w:space="0" w:color="333333"/>
              <w:right w:val="single" w:sz="4" w:space="0" w:color="333399"/>
            </w:tcBorders>
            <w:shd w:val="clear" w:color="000000" w:fill="FFFFFF"/>
            <w:noWrap/>
            <w:hideMark/>
          </w:tcPr>
          <w:p w14:paraId="0A880A08" w14:textId="473BABAE" w:rsidR="00DE10EC" w:rsidRPr="00F70311" w:rsidRDefault="00DE10EC" w:rsidP="00E90CC5">
            <w:pPr>
              <w:jc w:val="center"/>
              <w:rPr>
                <w:rFonts w:ascii="Arial" w:hAnsi="Arial" w:cs="Arial"/>
                <w:color w:val="000000"/>
              </w:rPr>
            </w:pPr>
            <w:r w:rsidRPr="00F70311">
              <w:rPr>
                <w:rFonts w:ascii="Arial" w:hAnsi="Arial" w:cs="Arial"/>
                <w:color w:val="000000"/>
              </w:rPr>
              <w:t>32</w:t>
            </w:r>
            <w:r>
              <w:rPr>
                <w:rFonts w:ascii="Arial" w:hAnsi="Arial" w:cs="Arial"/>
                <w:color w:val="000000"/>
              </w:rPr>
              <w:t xml:space="preserve"> (</w:t>
            </w:r>
            <w:r w:rsidRPr="00F70311">
              <w:rPr>
                <w:rFonts w:ascii="Arial" w:hAnsi="Arial" w:cs="Arial"/>
                <w:color w:val="000000"/>
              </w:rPr>
              <w:t>6,3</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439" w:type="dxa"/>
            <w:vMerge/>
            <w:tcBorders>
              <w:top w:val="nil"/>
              <w:left w:val="single" w:sz="4" w:space="0" w:color="auto"/>
              <w:bottom w:val="single" w:sz="4" w:space="0" w:color="auto"/>
              <w:right w:val="single" w:sz="4" w:space="0" w:color="auto"/>
            </w:tcBorders>
            <w:vAlign w:val="center"/>
            <w:hideMark/>
          </w:tcPr>
          <w:p w14:paraId="1FF57979" w14:textId="77777777" w:rsidR="00DE10EC" w:rsidRPr="00F70311" w:rsidRDefault="00DE10EC" w:rsidP="00E90CC5">
            <w:pPr>
              <w:jc w:val="center"/>
              <w:rPr>
                <w:rFonts w:ascii="Arial" w:hAnsi="Arial" w:cs="Arial"/>
                <w:color w:val="000000"/>
              </w:rPr>
            </w:pPr>
          </w:p>
        </w:tc>
        <w:tc>
          <w:tcPr>
            <w:tcW w:w="1537" w:type="dxa"/>
            <w:vMerge/>
            <w:tcBorders>
              <w:left w:val="single" w:sz="4" w:space="0" w:color="auto"/>
              <w:bottom w:val="single" w:sz="4" w:space="0" w:color="auto"/>
              <w:right w:val="single" w:sz="4" w:space="0" w:color="auto"/>
            </w:tcBorders>
            <w:vAlign w:val="center"/>
          </w:tcPr>
          <w:p w14:paraId="397D39B5" w14:textId="77777777" w:rsidR="00DE10EC" w:rsidRPr="00F70311" w:rsidRDefault="00DE10EC" w:rsidP="006C0B92">
            <w:pPr>
              <w:jc w:val="center"/>
              <w:rPr>
                <w:rFonts w:ascii="Arial" w:hAnsi="Arial" w:cs="Arial"/>
                <w:color w:val="000000"/>
              </w:rPr>
            </w:pPr>
          </w:p>
        </w:tc>
      </w:tr>
      <w:tr w:rsidR="003663E7" w:rsidRPr="00F70311" w14:paraId="2E78B961" w14:textId="07E56705" w:rsidTr="00D540CF">
        <w:trPr>
          <w:trHeight w:val="397"/>
        </w:trPr>
        <w:tc>
          <w:tcPr>
            <w:tcW w:w="2830" w:type="dxa"/>
            <w:vMerge w:val="restart"/>
            <w:tcBorders>
              <w:top w:val="nil"/>
              <w:left w:val="single" w:sz="4" w:space="0" w:color="auto"/>
              <w:bottom w:val="single" w:sz="4" w:space="0" w:color="auto"/>
              <w:right w:val="single" w:sz="4" w:space="0" w:color="auto"/>
            </w:tcBorders>
            <w:shd w:val="clear" w:color="auto" w:fill="auto"/>
            <w:vAlign w:val="center"/>
            <w:hideMark/>
          </w:tcPr>
          <w:p w14:paraId="25AEAB94" w14:textId="77777777" w:rsidR="00DE10EC" w:rsidRPr="00F70311" w:rsidRDefault="00DE10EC" w:rsidP="00E90CC5">
            <w:pPr>
              <w:jc w:val="center"/>
              <w:rPr>
                <w:rFonts w:ascii="Arial" w:hAnsi="Arial" w:cs="Arial"/>
                <w:color w:val="000000"/>
              </w:rPr>
            </w:pPr>
            <w:r w:rsidRPr="00F70311">
              <w:rPr>
                <w:rFonts w:ascii="Arial" w:hAnsi="Arial" w:cs="Arial"/>
                <w:color w:val="000000"/>
              </w:rPr>
              <w:t>Využití observačního lůžka</w:t>
            </w:r>
          </w:p>
        </w:tc>
        <w:tc>
          <w:tcPr>
            <w:tcW w:w="2127" w:type="dxa"/>
            <w:tcBorders>
              <w:top w:val="nil"/>
              <w:left w:val="nil"/>
              <w:bottom w:val="single" w:sz="4" w:space="0" w:color="auto"/>
              <w:right w:val="single" w:sz="4" w:space="0" w:color="auto"/>
            </w:tcBorders>
            <w:shd w:val="clear" w:color="auto" w:fill="auto"/>
            <w:noWrap/>
            <w:vAlign w:val="center"/>
            <w:hideMark/>
          </w:tcPr>
          <w:p w14:paraId="38F91D2A" w14:textId="77777777" w:rsidR="00DE10EC" w:rsidRPr="00F70311" w:rsidRDefault="00DE10EC" w:rsidP="00E90CC5">
            <w:pPr>
              <w:jc w:val="center"/>
              <w:rPr>
                <w:rFonts w:ascii="Arial" w:hAnsi="Arial" w:cs="Arial"/>
                <w:color w:val="000000"/>
              </w:rPr>
            </w:pPr>
            <w:r w:rsidRPr="00F70311">
              <w:rPr>
                <w:rFonts w:ascii="Arial" w:hAnsi="Arial" w:cs="Arial"/>
                <w:color w:val="000000"/>
              </w:rPr>
              <w:t>ANO</w:t>
            </w:r>
          </w:p>
        </w:tc>
        <w:tc>
          <w:tcPr>
            <w:tcW w:w="1559" w:type="dxa"/>
            <w:tcBorders>
              <w:top w:val="single" w:sz="4" w:space="0" w:color="993366"/>
              <w:left w:val="nil"/>
              <w:bottom w:val="single" w:sz="4" w:space="0" w:color="333333"/>
              <w:right w:val="single" w:sz="4" w:space="0" w:color="333399"/>
            </w:tcBorders>
            <w:shd w:val="clear" w:color="000000" w:fill="FFFFFF"/>
            <w:noWrap/>
            <w:hideMark/>
          </w:tcPr>
          <w:p w14:paraId="10F12D5A" w14:textId="70EDCB60" w:rsidR="00DE10EC" w:rsidRPr="00F70311" w:rsidRDefault="00DE10EC" w:rsidP="00E90CC5">
            <w:pPr>
              <w:jc w:val="center"/>
              <w:rPr>
                <w:rFonts w:ascii="Arial" w:hAnsi="Arial" w:cs="Arial"/>
                <w:color w:val="000000"/>
              </w:rPr>
            </w:pPr>
            <w:r w:rsidRPr="00F70311">
              <w:rPr>
                <w:rFonts w:ascii="Arial" w:hAnsi="Arial" w:cs="Arial"/>
                <w:color w:val="000000"/>
              </w:rPr>
              <w:t>366</w:t>
            </w:r>
            <w:r>
              <w:rPr>
                <w:rFonts w:ascii="Arial" w:hAnsi="Arial" w:cs="Arial"/>
                <w:color w:val="000000"/>
              </w:rPr>
              <w:t xml:space="preserve"> (</w:t>
            </w:r>
            <w:r w:rsidRPr="00F70311">
              <w:rPr>
                <w:rFonts w:ascii="Arial" w:hAnsi="Arial" w:cs="Arial"/>
                <w:color w:val="000000"/>
              </w:rPr>
              <w:t>77,9</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417" w:type="dxa"/>
            <w:tcBorders>
              <w:top w:val="single" w:sz="4" w:space="0" w:color="993366"/>
              <w:left w:val="nil"/>
              <w:bottom w:val="single" w:sz="4" w:space="0" w:color="333333"/>
              <w:right w:val="single" w:sz="4" w:space="0" w:color="333399"/>
            </w:tcBorders>
            <w:shd w:val="clear" w:color="000000" w:fill="FFFFFF"/>
            <w:noWrap/>
            <w:hideMark/>
          </w:tcPr>
          <w:p w14:paraId="47FB2FBF" w14:textId="51DD6A4C" w:rsidR="00DE10EC" w:rsidRPr="00F70311" w:rsidRDefault="00DE10EC" w:rsidP="00E90CC5">
            <w:pPr>
              <w:jc w:val="center"/>
              <w:rPr>
                <w:rFonts w:ascii="Arial" w:hAnsi="Arial" w:cs="Arial"/>
                <w:color w:val="000000"/>
              </w:rPr>
            </w:pPr>
            <w:r w:rsidRPr="00F70311">
              <w:rPr>
                <w:rFonts w:ascii="Arial" w:hAnsi="Arial" w:cs="Arial"/>
                <w:color w:val="000000"/>
              </w:rPr>
              <w:t>10</w:t>
            </w:r>
            <w:r>
              <w:rPr>
                <w:rFonts w:ascii="Arial" w:hAnsi="Arial" w:cs="Arial"/>
                <w:color w:val="000000"/>
              </w:rPr>
              <w:t xml:space="preserve"> (</w:t>
            </w:r>
            <w:r w:rsidRPr="00F70311">
              <w:rPr>
                <w:rFonts w:ascii="Arial" w:hAnsi="Arial" w:cs="Arial"/>
                <w:color w:val="000000"/>
              </w:rPr>
              <w:t>25,6</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560" w:type="dxa"/>
            <w:tcBorders>
              <w:top w:val="single" w:sz="4" w:space="0" w:color="993366"/>
              <w:left w:val="nil"/>
              <w:bottom w:val="single" w:sz="4" w:space="0" w:color="333333"/>
              <w:right w:val="single" w:sz="4" w:space="0" w:color="333399"/>
            </w:tcBorders>
            <w:shd w:val="clear" w:color="000000" w:fill="FFFFFF"/>
            <w:noWrap/>
            <w:hideMark/>
          </w:tcPr>
          <w:p w14:paraId="29D629EC" w14:textId="55E90471" w:rsidR="00DE10EC" w:rsidRPr="00F70311" w:rsidRDefault="00DE10EC" w:rsidP="00E90CC5">
            <w:pPr>
              <w:jc w:val="center"/>
              <w:rPr>
                <w:rFonts w:ascii="Arial" w:hAnsi="Arial" w:cs="Arial"/>
                <w:color w:val="000000"/>
              </w:rPr>
            </w:pPr>
            <w:r w:rsidRPr="00F70311">
              <w:rPr>
                <w:rFonts w:ascii="Arial" w:hAnsi="Arial" w:cs="Arial"/>
                <w:color w:val="000000"/>
              </w:rPr>
              <w:t>376</w:t>
            </w:r>
            <w:r>
              <w:rPr>
                <w:rFonts w:ascii="Arial" w:hAnsi="Arial" w:cs="Arial"/>
                <w:color w:val="000000"/>
              </w:rPr>
              <w:t xml:space="preserve"> (</w:t>
            </w:r>
            <w:r w:rsidRPr="00F70311">
              <w:rPr>
                <w:rFonts w:ascii="Arial" w:hAnsi="Arial" w:cs="Arial"/>
                <w:color w:val="000000"/>
              </w:rPr>
              <w:t>73,9</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4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1310D0" w14:textId="77777777" w:rsidR="00DE10EC" w:rsidRPr="00F70311" w:rsidRDefault="00DE10EC" w:rsidP="00E90CC5">
            <w:pPr>
              <w:jc w:val="center"/>
              <w:rPr>
                <w:rFonts w:ascii="Arial" w:hAnsi="Arial" w:cs="Arial"/>
                <w:b/>
                <w:bCs/>
                <w:color w:val="000000"/>
              </w:rPr>
            </w:pPr>
            <w:r w:rsidRPr="00F70311">
              <w:rPr>
                <w:rFonts w:ascii="Arial" w:hAnsi="Arial" w:cs="Arial"/>
                <w:b/>
                <w:bCs/>
                <w:color w:val="000000"/>
              </w:rPr>
              <w:t>&lt;0,001 Fí=0,316</w:t>
            </w:r>
          </w:p>
        </w:tc>
        <w:tc>
          <w:tcPr>
            <w:tcW w:w="1537" w:type="dxa"/>
            <w:vMerge w:val="restart"/>
            <w:tcBorders>
              <w:top w:val="nil"/>
              <w:left w:val="single" w:sz="4" w:space="0" w:color="auto"/>
              <w:right w:val="single" w:sz="4" w:space="0" w:color="auto"/>
            </w:tcBorders>
            <w:vAlign w:val="center"/>
          </w:tcPr>
          <w:p w14:paraId="1AD02101" w14:textId="3DC9A78A" w:rsidR="00DE10EC" w:rsidRDefault="00455B36" w:rsidP="006C0B92">
            <w:pPr>
              <w:jc w:val="center"/>
              <w:rPr>
                <w:rFonts w:ascii="Arial" w:hAnsi="Arial" w:cs="Arial"/>
                <w:b/>
                <w:bCs/>
                <w:color w:val="000000"/>
              </w:rPr>
            </w:pPr>
            <w:r w:rsidRPr="00455B36">
              <w:rPr>
                <w:rFonts w:ascii="Arial" w:hAnsi="Arial" w:cs="Arial"/>
                <w:color w:val="000000"/>
              </w:rPr>
              <w:t>*</w:t>
            </w:r>
            <w:r>
              <w:rPr>
                <w:rFonts w:ascii="Arial" w:hAnsi="Arial" w:cs="Arial"/>
                <w:b/>
                <w:bCs/>
                <w:color w:val="000000"/>
              </w:rPr>
              <w:t xml:space="preserve"> </w:t>
            </w:r>
            <w:r w:rsidR="00312080" w:rsidRPr="00F70311">
              <w:rPr>
                <w:rFonts w:ascii="Arial" w:hAnsi="Arial" w:cs="Arial"/>
                <w:b/>
                <w:bCs/>
                <w:color w:val="000000"/>
              </w:rPr>
              <w:t>&lt;0,001</w:t>
            </w:r>
          </w:p>
          <w:p w14:paraId="06ADD6CE" w14:textId="2FD0A92F" w:rsidR="00312080" w:rsidRPr="00F70311" w:rsidRDefault="00312080" w:rsidP="006C0B92">
            <w:pPr>
              <w:jc w:val="center"/>
              <w:rPr>
                <w:rFonts w:ascii="Arial" w:hAnsi="Arial" w:cs="Arial"/>
                <w:b/>
                <w:bCs/>
                <w:color w:val="000000"/>
              </w:rPr>
            </w:pPr>
            <w:r>
              <w:rPr>
                <w:rFonts w:ascii="Arial" w:hAnsi="Arial" w:cs="Arial"/>
                <w:b/>
                <w:bCs/>
                <w:color w:val="000000"/>
              </w:rPr>
              <w:t>Fí=0,276</w:t>
            </w:r>
          </w:p>
        </w:tc>
      </w:tr>
      <w:tr w:rsidR="003663E7" w:rsidRPr="00F70311" w14:paraId="2FEA6EA8" w14:textId="3F3ED6CA" w:rsidTr="00D540CF">
        <w:trPr>
          <w:trHeight w:val="397"/>
        </w:trPr>
        <w:tc>
          <w:tcPr>
            <w:tcW w:w="2830" w:type="dxa"/>
            <w:vMerge/>
            <w:tcBorders>
              <w:top w:val="nil"/>
              <w:left w:val="single" w:sz="4" w:space="0" w:color="auto"/>
              <w:bottom w:val="single" w:sz="4" w:space="0" w:color="auto"/>
              <w:right w:val="single" w:sz="4" w:space="0" w:color="auto"/>
            </w:tcBorders>
            <w:vAlign w:val="center"/>
            <w:hideMark/>
          </w:tcPr>
          <w:p w14:paraId="686C9275" w14:textId="77777777" w:rsidR="00DE10EC" w:rsidRPr="00F70311" w:rsidRDefault="00DE10EC" w:rsidP="00E90CC5">
            <w:pPr>
              <w:jc w:val="center"/>
              <w:rPr>
                <w:rFonts w:ascii="Arial" w:hAnsi="Arial" w:cs="Arial"/>
                <w:color w:val="000000"/>
              </w:rPr>
            </w:pPr>
          </w:p>
        </w:tc>
        <w:tc>
          <w:tcPr>
            <w:tcW w:w="2127" w:type="dxa"/>
            <w:tcBorders>
              <w:top w:val="nil"/>
              <w:left w:val="nil"/>
              <w:bottom w:val="single" w:sz="4" w:space="0" w:color="auto"/>
              <w:right w:val="single" w:sz="4" w:space="0" w:color="auto"/>
            </w:tcBorders>
            <w:shd w:val="clear" w:color="auto" w:fill="auto"/>
            <w:noWrap/>
            <w:vAlign w:val="center"/>
            <w:hideMark/>
          </w:tcPr>
          <w:p w14:paraId="283B72A4" w14:textId="77777777" w:rsidR="00DE10EC" w:rsidRPr="00F70311" w:rsidRDefault="00DE10EC" w:rsidP="00E90CC5">
            <w:pPr>
              <w:jc w:val="center"/>
              <w:rPr>
                <w:rFonts w:ascii="Arial" w:hAnsi="Arial" w:cs="Arial"/>
                <w:color w:val="000000"/>
              </w:rPr>
            </w:pPr>
            <w:r w:rsidRPr="00F70311">
              <w:rPr>
                <w:rFonts w:ascii="Arial" w:hAnsi="Arial" w:cs="Arial"/>
                <w:color w:val="000000"/>
              </w:rPr>
              <w:t>NE</w:t>
            </w:r>
          </w:p>
        </w:tc>
        <w:tc>
          <w:tcPr>
            <w:tcW w:w="1559" w:type="dxa"/>
            <w:tcBorders>
              <w:top w:val="nil"/>
              <w:left w:val="nil"/>
              <w:bottom w:val="single" w:sz="4" w:space="0" w:color="333333"/>
              <w:right w:val="single" w:sz="4" w:space="0" w:color="333399"/>
            </w:tcBorders>
            <w:shd w:val="clear" w:color="000000" w:fill="FFFFFF"/>
            <w:noWrap/>
            <w:hideMark/>
          </w:tcPr>
          <w:p w14:paraId="083C54C9" w14:textId="38191B07" w:rsidR="00DE10EC" w:rsidRPr="00F70311" w:rsidRDefault="00DE10EC" w:rsidP="00E90CC5">
            <w:pPr>
              <w:jc w:val="center"/>
              <w:rPr>
                <w:rFonts w:ascii="Arial" w:hAnsi="Arial" w:cs="Arial"/>
                <w:color w:val="000000"/>
              </w:rPr>
            </w:pPr>
            <w:r w:rsidRPr="00F70311">
              <w:rPr>
                <w:rFonts w:ascii="Arial" w:hAnsi="Arial" w:cs="Arial"/>
                <w:color w:val="000000"/>
              </w:rPr>
              <w:t>104</w:t>
            </w:r>
            <w:r>
              <w:rPr>
                <w:rFonts w:ascii="Arial" w:hAnsi="Arial" w:cs="Arial"/>
                <w:color w:val="000000"/>
              </w:rPr>
              <w:t xml:space="preserve"> (</w:t>
            </w:r>
            <w:r w:rsidRPr="00F70311">
              <w:rPr>
                <w:rFonts w:ascii="Arial" w:hAnsi="Arial" w:cs="Arial"/>
                <w:color w:val="000000"/>
              </w:rPr>
              <w:t>22,1</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417" w:type="dxa"/>
            <w:tcBorders>
              <w:top w:val="nil"/>
              <w:left w:val="nil"/>
              <w:bottom w:val="single" w:sz="4" w:space="0" w:color="333333"/>
              <w:right w:val="single" w:sz="4" w:space="0" w:color="333399"/>
            </w:tcBorders>
            <w:shd w:val="clear" w:color="000000" w:fill="FFFFFF"/>
            <w:noWrap/>
            <w:hideMark/>
          </w:tcPr>
          <w:p w14:paraId="0535D58B" w14:textId="04566EEC" w:rsidR="00DE10EC" w:rsidRPr="00F70311" w:rsidRDefault="00DE10EC" w:rsidP="00E90CC5">
            <w:pPr>
              <w:jc w:val="center"/>
              <w:rPr>
                <w:rFonts w:ascii="Arial" w:hAnsi="Arial" w:cs="Arial"/>
                <w:color w:val="000000"/>
              </w:rPr>
            </w:pPr>
            <w:r w:rsidRPr="00F70311">
              <w:rPr>
                <w:rFonts w:ascii="Arial" w:hAnsi="Arial" w:cs="Arial"/>
                <w:color w:val="000000"/>
              </w:rPr>
              <w:t>29</w:t>
            </w:r>
            <w:r>
              <w:rPr>
                <w:rFonts w:ascii="Arial" w:hAnsi="Arial" w:cs="Arial"/>
                <w:color w:val="000000"/>
              </w:rPr>
              <w:t xml:space="preserve"> (</w:t>
            </w:r>
            <w:r w:rsidRPr="00F70311">
              <w:rPr>
                <w:rFonts w:ascii="Arial" w:hAnsi="Arial" w:cs="Arial"/>
                <w:color w:val="000000"/>
              </w:rPr>
              <w:t>74,4</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560" w:type="dxa"/>
            <w:tcBorders>
              <w:top w:val="nil"/>
              <w:left w:val="nil"/>
              <w:bottom w:val="single" w:sz="4" w:space="0" w:color="333333"/>
              <w:right w:val="single" w:sz="4" w:space="0" w:color="333399"/>
            </w:tcBorders>
            <w:shd w:val="clear" w:color="000000" w:fill="FFFFFF"/>
            <w:noWrap/>
            <w:hideMark/>
          </w:tcPr>
          <w:p w14:paraId="2E2F29D1" w14:textId="13217F6E" w:rsidR="00DE10EC" w:rsidRPr="00F70311" w:rsidRDefault="00DE10EC" w:rsidP="00E90CC5">
            <w:pPr>
              <w:jc w:val="center"/>
              <w:rPr>
                <w:rFonts w:ascii="Arial" w:hAnsi="Arial" w:cs="Arial"/>
                <w:color w:val="000000"/>
              </w:rPr>
            </w:pPr>
            <w:r w:rsidRPr="00F70311">
              <w:rPr>
                <w:rFonts w:ascii="Arial" w:hAnsi="Arial" w:cs="Arial"/>
                <w:color w:val="000000"/>
              </w:rPr>
              <w:t>133</w:t>
            </w:r>
            <w:r>
              <w:rPr>
                <w:rFonts w:ascii="Arial" w:hAnsi="Arial" w:cs="Arial"/>
                <w:color w:val="000000"/>
              </w:rPr>
              <w:t xml:space="preserve"> (</w:t>
            </w:r>
            <w:r w:rsidRPr="00F70311">
              <w:rPr>
                <w:rFonts w:ascii="Arial" w:hAnsi="Arial" w:cs="Arial"/>
                <w:color w:val="000000"/>
              </w:rPr>
              <w:t>26,1</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439" w:type="dxa"/>
            <w:vMerge/>
            <w:tcBorders>
              <w:top w:val="nil"/>
              <w:left w:val="single" w:sz="4" w:space="0" w:color="auto"/>
              <w:bottom w:val="single" w:sz="4" w:space="0" w:color="auto"/>
              <w:right w:val="single" w:sz="4" w:space="0" w:color="auto"/>
            </w:tcBorders>
            <w:vAlign w:val="center"/>
            <w:hideMark/>
          </w:tcPr>
          <w:p w14:paraId="6263F63D" w14:textId="77777777" w:rsidR="00DE10EC" w:rsidRPr="00F70311" w:rsidRDefault="00DE10EC" w:rsidP="00E90CC5">
            <w:pPr>
              <w:jc w:val="center"/>
              <w:rPr>
                <w:rFonts w:ascii="Arial" w:hAnsi="Arial" w:cs="Arial"/>
                <w:b/>
                <w:bCs/>
                <w:color w:val="000000"/>
              </w:rPr>
            </w:pPr>
          </w:p>
        </w:tc>
        <w:tc>
          <w:tcPr>
            <w:tcW w:w="1537" w:type="dxa"/>
            <w:vMerge/>
            <w:tcBorders>
              <w:left w:val="single" w:sz="4" w:space="0" w:color="auto"/>
              <w:bottom w:val="single" w:sz="4" w:space="0" w:color="auto"/>
              <w:right w:val="single" w:sz="4" w:space="0" w:color="auto"/>
            </w:tcBorders>
            <w:vAlign w:val="center"/>
          </w:tcPr>
          <w:p w14:paraId="68C2D607" w14:textId="77777777" w:rsidR="00DE10EC" w:rsidRPr="00F70311" w:rsidRDefault="00DE10EC" w:rsidP="006C0B92">
            <w:pPr>
              <w:jc w:val="center"/>
              <w:rPr>
                <w:rFonts w:ascii="Arial" w:hAnsi="Arial" w:cs="Arial"/>
                <w:b/>
                <w:bCs/>
                <w:color w:val="000000"/>
              </w:rPr>
            </w:pPr>
          </w:p>
        </w:tc>
      </w:tr>
      <w:tr w:rsidR="003663E7" w:rsidRPr="00F70311" w14:paraId="40A970BC" w14:textId="642D023F" w:rsidTr="00D540CF">
        <w:trPr>
          <w:trHeight w:val="397"/>
        </w:trPr>
        <w:tc>
          <w:tcPr>
            <w:tcW w:w="2830" w:type="dxa"/>
            <w:vMerge w:val="restart"/>
            <w:tcBorders>
              <w:top w:val="nil"/>
              <w:left w:val="single" w:sz="4" w:space="0" w:color="auto"/>
              <w:bottom w:val="single" w:sz="4" w:space="0" w:color="auto"/>
              <w:right w:val="single" w:sz="4" w:space="0" w:color="auto"/>
            </w:tcBorders>
            <w:shd w:val="clear" w:color="auto" w:fill="auto"/>
            <w:vAlign w:val="center"/>
            <w:hideMark/>
          </w:tcPr>
          <w:p w14:paraId="4FA3FD78" w14:textId="77777777" w:rsidR="00DE10EC" w:rsidRPr="00F70311" w:rsidRDefault="00DE10EC" w:rsidP="00E90CC5">
            <w:pPr>
              <w:jc w:val="center"/>
              <w:rPr>
                <w:rFonts w:ascii="Arial" w:hAnsi="Arial" w:cs="Arial"/>
                <w:color w:val="000000"/>
              </w:rPr>
            </w:pPr>
            <w:r w:rsidRPr="00F70311">
              <w:rPr>
                <w:rFonts w:ascii="Arial" w:hAnsi="Arial" w:cs="Arial"/>
                <w:color w:val="000000"/>
              </w:rPr>
              <w:t>Využití zobrazovacích metod</w:t>
            </w:r>
          </w:p>
        </w:tc>
        <w:tc>
          <w:tcPr>
            <w:tcW w:w="2127" w:type="dxa"/>
            <w:tcBorders>
              <w:top w:val="nil"/>
              <w:left w:val="nil"/>
              <w:bottom w:val="single" w:sz="4" w:space="0" w:color="auto"/>
              <w:right w:val="single" w:sz="4" w:space="0" w:color="auto"/>
            </w:tcBorders>
            <w:shd w:val="clear" w:color="auto" w:fill="auto"/>
            <w:noWrap/>
            <w:vAlign w:val="center"/>
            <w:hideMark/>
          </w:tcPr>
          <w:p w14:paraId="613FC7A6" w14:textId="77777777" w:rsidR="00DE10EC" w:rsidRPr="00F70311" w:rsidRDefault="00DE10EC" w:rsidP="00E90CC5">
            <w:pPr>
              <w:jc w:val="center"/>
              <w:rPr>
                <w:rFonts w:ascii="Arial" w:hAnsi="Arial" w:cs="Arial"/>
                <w:color w:val="000000"/>
              </w:rPr>
            </w:pPr>
            <w:r w:rsidRPr="00F70311">
              <w:rPr>
                <w:rFonts w:ascii="Arial" w:hAnsi="Arial" w:cs="Arial"/>
                <w:color w:val="000000"/>
              </w:rPr>
              <w:t>ANO</w:t>
            </w:r>
          </w:p>
        </w:tc>
        <w:tc>
          <w:tcPr>
            <w:tcW w:w="1559" w:type="dxa"/>
            <w:tcBorders>
              <w:top w:val="nil"/>
              <w:left w:val="nil"/>
              <w:bottom w:val="single" w:sz="4" w:space="0" w:color="333333"/>
              <w:right w:val="single" w:sz="4" w:space="0" w:color="333399"/>
            </w:tcBorders>
            <w:shd w:val="clear" w:color="000000" w:fill="FFFFFF"/>
            <w:noWrap/>
            <w:hideMark/>
          </w:tcPr>
          <w:p w14:paraId="7C1EE593" w14:textId="120E98DF" w:rsidR="00DE10EC" w:rsidRPr="00F70311" w:rsidRDefault="00DE10EC" w:rsidP="00E90CC5">
            <w:pPr>
              <w:jc w:val="center"/>
              <w:rPr>
                <w:rFonts w:ascii="Arial" w:hAnsi="Arial" w:cs="Arial"/>
                <w:color w:val="000000"/>
              </w:rPr>
            </w:pPr>
            <w:r w:rsidRPr="00F70311">
              <w:rPr>
                <w:rFonts w:ascii="Arial" w:hAnsi="Arial" w:cs="Arial"/>
                <w:color w:val="000000"/>
              </w:rPr>
              <w:t>237</w:t>
            </w:r>
            <w:r>
              <w:rPr>
                <w:rFonts w:ascii="Arial" w:hAnsi="Arial" w:cs="Arial"/>
                <w:color w:val="000000"/>
              </w:rPr>
              <w:t xml:space="preserve"> (</w:t>
            </w:r>
            <w:r w:rsidRPr="00F70311">
              <w:rPr>
                <w:rFonts w:ascii="Arial" w:hAnsi="Arial" w:cs="Arial"/>
                <w:color w:val="000000"/>
              </w:rPr>
              <w:t>50,4</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417" w:type="dxa"/>
            <w:tcBorders>
              <w:top w:val="nil"/>
              <w:left w:val="nil"/>
              <w:bottom w:val="single" w:sz="4" w:space="0" w:color="333333"/>
              <w:right w:val="single" w:sz="4" w:space="0" w:color="333399"/>
            </w:tcBorders>
            <w:shd w:val="clear" w:color="000000" w:fill="FFFFFF"/>
            <w:noWrap/>
            <w:hideMark/>
          </w:tcPr>
          <w:p w14:paraId="47A4EAC8" w14:textId="4DF05E15" w:rsidR="00DE10EC" w:rsidRPr="00F70311" w:rsidRDefault="00DE10EC" w:rsidP="00E90CC5">
            <w:pPr>
              <w:jc w:val="center"/>
              <w:rPr>
                <w:rFonts w:ascii="Arial" w:hAnsi="Arial" w:cs="Arial"/>
                <w:color w:val="000000"/>
              </w:rPr>
            </w:pPr>
            <w:r w:rsidRPr="00F70311">
              <w:rPr>
                <w:rFonts w:ascii="Arial" w:hAnsi="Arial" w:cs="Arial"/>
                <w:color w:val="000000"/>
              </w:rPr>
              <w:t>19</w:t>
            </w:r>
            <w:r>
              <w:rPr>
                <w:rFonts w:ascii="Arial" w:hAnsi="Arial" w:cs="Arial"/>
                <w:color w:val="000000"/>
              </w:rPr>
              <w:t xml:space="preserve"> (</w:t>
            </w:r>
            <w:r w:rsidRPr="00F70311">
              <w:rPr>
                <w:rFonts w:ascii="Arial" w:hAnsi="Arial" w:cs="Arial"/>
                <w:color w:val="000000"/>
              </w:rPr>
              <w:t>48,7</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560" w:type="dxa"/>
            <w:tcBorders>
              <w:top w:val="nil"/>
              <w:left w:val="nil"/>
              <w:bottom w:val="single" w:sz="4" w:space="0" w:color="333333"/>
              <w:right w:val="single" w:sz="4" w:space="0" w:color="333399"/>
            </w:tcBorders>
            <w:shd w:val="clear" w:color="000000" w:fill="FFFFFF"/>
            <w:noWrap/>
            <w:hideMark/>
          </w:tcPr>
          <w:p w14:paraId="6AB08DF9" w14:textId="212FC885" w:rsidR="00DE10EC" w:rsidRPr="00F70311" w:rsidRDefault="00DE10EC" w:rsidP="00E90CC5">
            <w:pPr>
              <w:jc w:val="center"/>
              <w:rPr>
                <w:rFonts w:ascii="Arial" w:hAnsi="Arial" w:cs="Arial"/>
                <w:color w:val="000000"/>
              </w:rPr>
            </w:pPr>
            <w:r w:rsidRPr="00F70311">
              <w:rPr>
                <w:rFonts w:ascii="Arial" w:hAnsi="Arial" w:cs="Arial"/>
                <w:color w:val="000000"/>
              </w:rPr>
              <w:t>256</w:t>
            </w:r>
            <w:r>
              <w:rPr>
                <w:rFonts w:ascii="Arial" w:hAnsi="Arial" w:cs="Arial"/>
                <w:color w:val="000000"/>
              </w:rPr>
              <w:t xml:space="preserve"> (</w:t>
            </w:r>
            <w:r w:rsidRPr="00F70311">
              <w:rPr>
                <w:rFonts w:ascii="Arial" w:hAnsi="Arial" w:cs="Arial"/>
                <w:color w:val="000000"/>
              </w:rPr>
              <w:t>50,3</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4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437342" w14:textId="77777777" w:rsidR="00DE10EC" w:rsidRPr="00F70311" w:rsidRDefault="00DE10EC" w:rsidP="00E90CC5">
            <w:pPr>
              <w:jc w:val="center"/>
              <w:rPr>
                <w:rFonts w:ascii="Arial" w:hAnsi="Arial" w:cs="Arial"/>
                <w:color w:val="000000"/>
              </w:rPr>
            </w:pPr>
            <w:r w:rsidRPr="00F70311">
              <w:rPr>
                <w:rFonts w:ascii="Arial" w:hAnsi="Arial" w:cs="Arial"/>
                <w:color w:val="000000"/>
              </w:rPr>
              <w:t>0,838</w:t>
            </w:r>
          </w:p>
        </w:tc>
        <w:tc>
          <w:tcPr>
            <w:tcW w:w="1537" w:type="dxa"/>
            <w:vMerge w:val="restart"/>
            <w:tcBorders>
              <w:top w:val="nil"/>
              <w:left w:val="single" w:sz="4" w:space="0" w:color="auto"/>
              <w:right w:val="single" w:sz="4" w:space="0" w:color="auto"/>
            </w:tcBorders>
            <w:vAlign w:val="center"/>
          </w:tcPr>
          <w:p w14:paraId="2DBC15D0" w14:textId="67AAFE4C" w:rsidR="00DE10EC" w:rsidRPr="00F70311" w:rsidRDefault="00455B36" w:rsidP="006C0B92">
            <w:pPr>
              <w:jc w:val="center"/>
              <w:rPr>
                <w:rFonts w:ascii="Arial" w:hAnsi="Arial" w:cs="Arial"/>
                <w:color w:val="000000"/>
              </w:rPr>
            </w:pPr>
            <w:r>
              <w:rPr>
                <w:rFonts w:ascii="Arial" w:hAnsi="Arial" w:cs="Arial"/>
                <w:color w:val="000000"/>
              </w:rPr>
              <w:t xml:space="preserve">* </w:t>
            </w:r>
            <w:r w:rsidR="00312080">
              <w:rPr>
                <w:rFonts w:ascii="Arial" w:hAnsi="Arial" w:cs="Arial"/>
                <w:color w:val="000000"/>
              </w:rPr>
              <w:t>0,296</w:t>
            </w:r>
          </w:p>
        </w:tc>
      </w:tr>
      <w:tr w:rsidR="003663E7" w:rsidRPr="00F70311" w14:paraId="0493F9EB" w14:textId="2BD01177" w:rsidTr="00D540CF">
        <w:trPr>
          <w:trHeight w:val="397"/>
        </w:trPr>
        <w:tc>
          <w:tcPr>
            <w:tcW w:w="2830" w:type="dxa"/>
            <w:vMerge/>
            <w:tcBorders>
              <w:top w:val="nil"/>
              <w:left w:val="single" w:sz="4" w:space="0" w:color="auto"/>
              <w:bottom w:val="single" w:sz="4" w:space="0" w:color="auto"/>
              <w:right w:val="single" w:sz="4" w:space="0" w:color="auto"/>
            </w:tcBorders>
            <w:vAlign w:val="center"/>
            <w:hideMark/>
          </w:tcPr>
          <w:p w14:paraId="3F56BA42" w14:textId="77777777" w:rsidR="00DE10EC" w:rsidRPr="00F70311" w:rsidRDefault="00DE10EC" w:rsidP="00E90CC5">
            <w:pPr>
              <w:jc w:val="center"/>
              <w:rPr>
                <w:rFonts w:ascii="Arial" w:hAnsi="Arial" w:cs="Arial"/>
                <w:color w:val="000000"/>
              </w:rPr>
            </w:pPr>
          </w:p>
        </w:tc>
        <w:tc>
          <w:tcPr>
            <w:tcW w:w="2127" w:type="dxa"/>
            <w:tcBorders>
              <w:top w:val="nil"/>
              <w:left w:val="nil"/>
              <w:bottom w:val="single" w:sz="4" w:space="0" w:color="auto"/>
              <w:right w:val="single" w:sz="4" w:space="0" w:color="auto"/>
            </w:tcBorders>
            <w:shd w:val="clear" w:color="auto" w:fill="auto"/>
            <w:noWrap/>
            <w:vAlign w:val="center"/>
            <w:hideMark/>
          </w:tcPr>
          <w:p w14:paraId="7D344745" w14:textId="77777777" w:rsidR="00DE10EC" w:rsidRPr="00F70311" w:rsidRDefault="00DE10EC" w:rsidP="00E90CC5">
            <w:pPr>
              <w:jc w:val="center"/>
              <w:rPr>
                <w:rFonts w:ascii="Arial" w:hAnsi="Arial" w:cs="Arial"/>
                <w:color w:val="000000"/>
              </w:rPr>
            </w:pPr>
            <w:r w:rsidRPr="00F70311">
              <w:rPr>
                <w:rFonts w:ascii="Arial" w:hAnsi="Arial" w:cs="Arial"/>
                <w:color w:val="000000"/>
              </w:rPr>
              <w:t>NE</w:t>
            </w:r>
          </w:p>
        </w:tc>
        <w:tc>
          <w:tcPr>
            <w:tcW w:w="1559" w:type="dxa"/>
            <w:tcBorders>
              <w:top w:val="nil"/>
              <w:left w:val="nil"/>
              <w:bottom w:val="single" w:sz="4" w:space="0" w:color="333333"/>
              <w:right w:val="single" w:sz="4" w:space="0" w:color="333399"/>
            </w:tcBorders>
            <w:shd w:val="clear" w:color="000000" w:fill="FFFFFF"/>
            <w:noWrap/>
            <w:hideMark/>
          </w:tcPr>
          <w:p w14:paraId="49685D70" w14:textId="24D1DB17" w:rsidR="00DE10EC" w:rsidRPr="00F70311" w:rsidRDefault="00DE10EC" w:rsidP="00E90CC5">
            <w:pPr>
              <w:jc w:val="center"/>
              <w:rPr>
                <w:rFonts w:ascii="Arial" w:hAnsi="Arial" w:cs="Arial"/>
                <w:color w:val="000000"/>
              </w:rPr>
            </w:pPr>
            <w:r w:rsidRPr="00F70311">
              <w:rPr>
                <w:rFonts w:ascii="Arial" w:hAnsi="Arial" w:cs="Arial"/>
                <w:color w:val="000000"/>
              </w:rPr>
              <w:t>233</w:t>
            </w:r>
            <w:r>
              <w:rPr>
                <w:rFonts w:ascii="Arial" w:hAnsi="Arial" w:cs="Arial"/>
                <w:color w:val="000000"/>
              </w:rPr>
              <w:t xml:space="preserve"> (</w:t>
            </w:r>
            <w:r w:rsidRPr="00F70311">
              <w:rPr>
                <w:rFonts w:ascii="Arial" w:hAnsi="Arial" w:cs="Arial"/>
                <w:color w:val="000000"/>
              </w:rPr>
              <w:t>49,6</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417" w:type="dxa"/>
            <w:tcBorders>
              <w:top w:val="nil"/>
              <w:left w:val="nil"/>
              <w:bottom w:val="single" w:sz="4" w:space="0" w:color="333333"/>
              <w:right w:val="single" w:sz="4" w:space="0" w:color="333399"/>
            </w:tcBorders>
            <w:shd w:val="clear" w:color="000000" w:fill="FFFFFF"/>
            <w:noWrap/>
            <w:hideMark/>
          </w:tcPr>
          <w:p w14:paraId="6B26A742" w14:textId="7F86885F" w:rsidR="00DE10EC" w:rsidRPr="00F70311" w:rsidRDefault="00DE10EC" w:rsidP="00E90CC5">
            <w:pPr>
              <w:jc w:val="center"/>
              <w:rPr>
                <w:rFonts w:ascii="Arial" w:hAnsi="Arial" w:cs="Arial"/>
                <w:color w:val="000000"/>
              </w:rPr>
            </w:pPr>
            <w:r w:rsidRPr="00F70311">
              <w:rPr>
                <w:rFonts w:ascii="Arial" w:hAnsi="Arial" w:cs="Arial"/>
                <w:color w:val="000000"/>
              </w:rPr>
              <w:t>20</w:t>
            </w:r>
            <w:r>
              <w:rPr>
                <w:rFonts w:ascii="Arial" w:hAnsi="Arial" w:cs="Arial"/>
                <w:color w:val="000000"/>
              </w:rPr>
              <w:t xml:space="preserve"> (</w:t>
            </w:r>
            <w:r w:rsidRPr="00F70311">
              <w:rPr>
                <w:rFonts w:ascii="Arial" w:hAnsi="Arial" w:cs="Arial"/>
                <w:color w:val="000000"/>
              </w:rPr>
              <w:t>51,3</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560" w:type="dxa"/>
            <w:tcBorders>
              <w:top w:val="nil"/>
              <w:left w:val="nil"/>
              <w:bottom w:val="single" w:sz="4" w:space="0" w:color="333333"/>
              <w:right w:val="single" w:sz="4" w:space="0" w:color="333399"/>
            </w:tcBorders>
            <w:shd w:val="clear" w:color="000000" w:fill="FFFFFF"/>
            <w:noWrap/>
            <w:hideMark/>
          </w:tcPr>
          <w:p w14:paraId="1B20120D" w14:textId="040BBD8E" w:rsidR="00DE10EC" w:rsidRPr="00F70311" w:rsidRDefault="00DE10EC" w:rsidP="00E90CC5">
            <w:pPr>
              <w:jc w:val="center"/>
              <w:rPr>
                <w:rFonts w:ascii="Arial" w:hAnsi="Arial" w:cs="Arial"/>
                <w:color w:val="000000"/>
              </w:rPr>
            </w:pPr>
            <w:r w:rsidRPr="00F70311">
              <w:rPr>
                <w:rFonts w:ascii="Arial" w:hAnsi="Arial" w:cs="Arial"/>
                <w:color w:val="000000"/>
              </w:rPr>
              <w:t>253</w:t>
            </w:r>
            <w:r>
              <w:rPr>
                <w:rFonts w:ascii="Arial" w:hAnsi="Arial" w:cs="Arial"/>
                <w:color w:val="000000"/>
              </w:rPr>
              <w:t xml:space="preserve"> (</w:t>
            </w:r>
            <w:r w:rsidRPr="00F70311">
              <w:rPr>
                <w:rFonts w:ascii="Arial" w:hAnsi="Arial" w:cs="Arial"/>
                <w:color w:val="000000"/>
              </w:rPr>
              <w:t>49,7</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439" w:type="dxa"/>
            <w:vMerge/>
            <w:tcBorders>
              <w:top w:val="nil"/>
              <w:left w:val="single" w:sz="4" w:space="0" w:color="auto"/>
              <w:bottom w:val="single" w:sz="4" w:space="0" w:color="auto"/>
              <w:right w:val="single" w:sz="4" w:space="0" w:color="auto"/>
            </w:tcBorders>
            <w:vAlign w:val="center"/>
            <w:hideMark/>
          </w:tcPr>
          <w:p w14:paraId="38613751" w14:textId="77777777" w:rsidR="00DE10EC" w:rsidRPr="00F70311" w:rsidRDefault="00DE10EC" w:rsidP="00E90CC5">
            <w:pPr>
              <w:jc w:val="center"/>
              <w:rPr>
                <w:rFonts w:ascii="Arial" w:hAnsi="Arial" w:cs="Arial"/>
                <w:color w:val="000000"/>
              </w:rPr>
            </w:pPr>
          </w:p>
        </w:tc>
        <w:tc>
          <w:tcPr>
            <w:tcW w:w="1537" w:type="dxa"/>
            <w:vMerge/>
            <w:tcBorders>
              <w:left w:val="single" w:sz="4" w:space="0" w:color="auto"/>
              <w:bottom w:val="single" w:sz="4" w:space="0" w:color="auto"/>
              <w:right w:val="single" w:sz="4" w:space="0" w:color="auto"/>
            </w:tcBorders>
            <w:vAlign w:val="center"/>
          </w:tcPr>
          <w:p w14:paraId="683AD0AE" w14:textId="77777777" w:rsidR="00DE10EC" w:rsidRPr="00F70311" w:rsidRDefault="00DE10EC" w:rsidP="006C0B92">
            <w:pPr>
              <w:jc w:val="center"/>
              <w:rPr>
                <w:rFonts w:ascii="Arial" w:hAnsi="Arial" w:cs="Arial"/>
                <w:color w:val="000000"/>
              </w:rPr>
            </w:pPr>
          </w:p>
        </w:tc>
      </w:tr>
      <w:tr w:rsidR="003663E7" w:rsidRPr="00F70311" w14:paraId="094A7F1D" w14:textId="20C7F922" w:rsidTr="00D540CF">
        <w:trPr>
          <w:trHeight w:val="397"/>
        </w:trPr>
        <w:tc>
          <w:tcPr>
            <w:tcW w:w="2830" w:type="dxa"/>
            <w:vMerge w:val="restart"/>
            <w:tcBorders>
              <w:top w:val="nil"/>
              <w:left w:val="single" w:sz="4" w:space="0" w:color="auto"/>
              <w:bottom w:val="single" w:sz="4" w:space="0" w:color="auto"/>
              <w:right w:val="single" w:sz="4" w:space="0" w:color="auto"/>
            </w:tcBorders>
            <w:shd w:val="clear" w:color="auto" w:fill="auto"/>
            <w:vAlign w:val="center"/>
            <w:hideMark/>
          </w:tcPr>
          <w:p w14:paraId="3BE75788" w14:textId="77777777" w:rsidR="00DE10EC" w:rsidRPr="00F70311" w:rsidRDefault="00DE10EC" w:rsidP="00D540CF">
            <w:pPr>
              <w:jc w:val="center"/>
              <w:rPr>
                <w:rFonts w:ascii="Arial" w:hAnsi="Arial" w:cs="Arial"/>
                <w:color w:val="000000"/>
              </w:rPr>
            </w:pPr>
            <w:r w:rsidRPr="00F70311">
              <w:rPr>
                <w:rFonts w:ascii="Arial" w:hAnsi="Arial" w:cs="Arial"/>
                <w:color w:val="000000"/>
              </w:rPr>
              <w:t>Konzilium specialisty</w:t>
            </w:r>
          </w:p>
        </w:tc>
        <w:tc>
          <w:tcPr>
            <w:tcW w:w="2127" w:type="dxa"/>
            <w:tcBorders>
              <w:top w:val="nil"/>
              <w:left w:val="nil"/>
              <w:bottom w:val="single" w:sz="4" w:space="0" w:color="auto"/>
              <w:right w:val="single" w:sz="4" w:space="0" w:color="auto"/>
            </w:tcBorders>
            <w:shd w:val="clear" w:color="auto" w:fill="auto"/>
            <w:noWrap/>
            <w:vAlign w:val="center"/>
            <w:hideMark/>
          </w:tcPr>
          <w:p w14:paraId="3515C7DC" w14:textId="77777777" w:rsidR="00DE10EC" w:rsidRPr="00F70311" w:rsidRDefault="00DE10EC" w:rsidP="00E90CC5">
            <w:pPr>
              <w:jc w:val="center"/>
              <w:rPr>
                <w:rFonts w:ascii="Arial" w:hAnsi="Arial" w:cs="Arial"/>
                <w:color w:val="000000"/>
              </w:rPr>
            </w:pPr>
            <w:r w:rsidRPr="00F70311">
              <w:rPr>
                <w:rFonts w:ascii="Arial" w:hAnsi="Arial" w:cs="Arial"/>
                <w:color w:val="000000"/>
              </w:rPr>
              <w:t>ANO</w:t>
            </w:r>
          </w:p>
        </w:tc>
        <w:tc>
          <w:tcPr>
            <w:tcW w:w="1559" w:type="dxa"/>
            <w:tcBorders>
              <w:top w:val="nil"/>
              <w:left w:val="nil"/>
              <w:bottom w:val="single" w:sz="4" w:space="0" w:color="333333"/>
              <w:right w:val="single" w:sz="4" w:space="0" w:color="333399"/>
            </w:tcBorders>
            <w:shd w:val="clear" w:color="000000" w:fill="FFFFFF"/>
            <w:noWrap/>
            <w:hideMark/>
          </w:tcPr>
          <w:p w14:paraId="0257DC56" w14:textId="2DC5833C" w:rsidR="00DE10EC" w:rsidRPr="00F70311" w:rsidRDefault="00DE10EC" w:rsidP="00E90CC5">
            <w:pPr>
              <w:jc w:val="center"/>
              <w:rPr>
                <w:rFonts w:ascii="Arial" w:hAnsi="Arial" w:cs="Arial"/>
                <w:color w:val="000000"/>
              </w:rPr>
            </w:pPr>
            <w:r w:rsidRPr="00F70311">
              <w:rPr>
                <w:rFonts w:ascii="Arial" w:hAnsi="Arial" w:cs="Arial"/>
                <w:color w:val="000000"/>
              </w:rPr>
              <w:t>20</w:t>
            </w:r>
            <w:r>
              <w:rPr>
                <w:rFonts w:ascii="Arial" w:hAnsi="Arial" w:cs="Arial"/>
                <w:color w:val="000000"/>
              </w:rPr>
              <w:t xml:space="preserve"> (</w:t>
            </w:r>
            <w:r w:rsidRPr="00F70311">
              <w:rPr>
                <w:rFonts w:ascii="Arial" w:hAnsi="Arial" w:cs="Arial"/>
                <w:color w:val="000000"/>
              </w:rPr>
              <w:t>4,3</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417" w:type="dxa"/>
            <w:tcBorders>
              <w:top w:val="nil"/>
              <w:left w:val="nil"/>
              <w:bottom w:val="single" w:sz="4" w:space="0" w:color="333333"/>
              <w:right w:val="single" w:sz="4" w:space="0" w:color="333399"/>
            </w:tcBorders>
            <w:shd w:val="clear" w:color="000000" w:fill="FFFFFF"/>
            <w:noWrap/>
            <w:hideMark/>
          </w:tcPr>
          <w:p w14:paraId="171A0A4A" w14:textId="72AB7BEC" w:rsidR="00DE10EC" w:rsidRPr="00F70311" w:rsidRDefault="00DE10EC" w:rsidP="00E90CC5">
            <w:pPr>
              <w:jc w:val="center"/>
              <w:rPr>
                <w:rFonts w:ascii="Arial" w:hAnsi="Arial" w:cs="Arial"/>
                <w:color w:val="000000"/>
              </w:rPr>
            </w:pPr>
            <w:r w:rsidRPr="00F70311">
              <w:rPr>
                <w:rFonts w:ascii="Arial" w:hAnsi="Arial" w:cs="Arial"/>
                <w:color w:val="000000"/>
              </w:rPr>
              <w:t>4</w:t>
            </w:r>
            <w:r>
              <w:rPr>
                <w:rFonts w:ascii="Arial" w:hAnsi="Arial" w:cs="Arial"/>
                <w:color w:val="000000"/>
              </w:rPr>
              <w:t xml:space="preserve"> (</w:t>
            </w:r>
            <w:r w:rsidRPr="00F70311">
              <w:rPr>
                <w:rFonts w:ascii="Arial" w:hAnsi="Arial" w:cs="Arial"/>
                <w:color w:val="000000"/>
              </w:rPr>
              <w:t>10,3</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560" w:type="dxa"/>
            <w:tcBorders>
              <w:top w:val="nil"/>
              <w:left w:val="nil"/>
              <w:bottom w:val="single" w:sz="4" w:space="0" w:color="333333"/>
              <w:right w:val="single" w:sz="4" w:space="0" w:color="333399"/>
            </w:tcBorders>
            <w:shd w:val="clear" w:color="000000" w:fill="FFFFFF"/>
            <w:noWrap/>
            <w:hideMark/>
          </w:tcPr>
          <w:p w14:paraId="4FA57F0A" w14:textId="431772E2" w:rsidR="00DE10EC" w:rsidRPr="00F70311" w:rsidRDefault="00DE10EC" w:rsidP="00E90CC5">
            <w:pPr>
              <w:jc w:val="center"/>
              <w:rPr>
                <w:rFonts w:ascii="Arial" w:hAnsi="Arial" w:cs="Arial"/>
                <w:color w:val="000000"/>
              </w:rPr>
            </w:pPr>
            <w:r w:rsidRPr="00F70311">
              <w:rPr>
                <w:rFonts w:ascii="Arial" w:hAnsi="Arial" w:cs="Arial"/>
                <w:color w:val="000000"/>
              </w:rPr>
              <w:t>24</w:t>
            </w:r>
            <w:r>
              <w:rPr>
                <w:rFonts w:ascii="Arial" w:hAnsi="Arial" w:cs="Arial"/>
                <w:color w:val="000000"/>
              </w:rPr>
              <w:t xml:space="preserve"> (</w:t>
            </w:r>
            <w:r w:rsidRPr="00F70311">
              <w:rPr>
                <w:rFonts w:ascii="Arial" w:hAnsi="Arial" w:cs="Arial"/>
                <w:color w:val="000000"/>
              </w:rPr>
              <w:t>4,7</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4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48C986" w14:textId="77777777" w:rsidR="00FC18D2" w:rsidRPr="00FC18D2" w:rsidRDefault="00FC18D2" w:rsidP="00FC18D2">
            <w:pPr>
              <w:jc w:val="center"/>
              <w:rPr>
                <w:rFonts w:ascii="Arial" w:hAnsi="Arial" w:cs="Arial"/>
                <w:color w:val="000000"/>
              </w:rPr>
            </w:pPr>
            <w:r w:rsidRPr="00FC18D2">
              <w:rPr>
                <w:rFonts w:ascii="Arial" w:hAnsi="Arial" w:cs="Arial"/>
                <w:color w:val="000000"/>
              </w:rPr>
              <w:t>Nelze</w:t>
            </w:r>
          </w:p>
          <w:p w14:paraId="1B077CC6" w14:textId="7167EBA6" w:rsidR="00DE10EC" w:rsidRPr="00F70311" w:rsidRDefault="00FC18D2" w:rsidP="00FC18D2">
            <w:pPr>
              <w:jc w:val="center"/>
              <w:rPr>
                <w:rFonts w:ascii="Arial" w:hAnsi="Arial" w:cs="Arial"/>
                <w:color w:val="000000"/>
              </w:rPr>
            </w:pPr>
            <w:r w:rsidRPr="00FC18D2">
              <w:rPr>
                <w:rFonts w:ascii="Arial" w:hAnsi="Arial" w:cs="Arial"/>
                <w:color w:val="000000"/>
              </w:rPr>
              <w:t xml:space="preserve">hodnotit </w:t>
            </w:r>
            <w:r w:rsidRPr="00FC18D2">
              <w:rPr>
                <w:rFonts w:ascii="Arial" w:hAnsi="Arial" w:cs="Arial"/>
              </w:rPr>
              <w:t>χ2</w:t>
            </w:r>
          </w:p>
        </w:tc>
        <w:tc>
          <w:tcPr>
            <w:tcW w:w="1537" w:type="dxa"/>
            <w:vMerge w:val="restart"/>
            <w:tcBorders>
              <w:top w:val="nil"/>
              <w:left w:val="single" w:sz="4" w:space="0" w:color="auto"/>
              <w:right w:val="single" w:sz="4" w:space="0" w:color="auto"/>
            </w:tcBorders>
            <w:vAlign w:val="center"/>
          </w:tcPr>
          <w:p w14:paraId="32AD574F" w14:textId="558609E2" w:rsidR="00DE10EC" w:rsidRPr="00F70311" w:rsidRDefault="00455B36" w:rsidP="006C0B92">
            <w:pPr>
              <w:jc w:val="center"/>
              <w:rPr>
                <w:rFonts w:ascii="Arial" w:hAnsi="Arial" w:cs="Arial"/>
                <w:color w:val="000000"/>
              </w:rPr>
            </w:pPr>
            <w:r>
              <w:rPr>
                <w:rFonts w:ascii="Arial" w:hAnsi="Arial" w:cs="Arial"/>
                <w:color w:val="000000"/>
              </w:rPr>
              <w:t xml:space="preserve">* </w:t>
            </w:r>
            <w:r w:rsidR="00361470">
              <w:rPr>
                <w:rFonts w:ascii="Arial" w:hAnsi="Arial" w:cs="Arial"/>
                <w:color w:val="000000"/>
              </w:rPr>
              <w:t>0,330</w:t>
            </w:r>
          </w:p>
        </w:tc>
      </w:tr>
      <w:tr w:rsidR="003663E7" w:rsidRPr="00F70311" w14:paraId="446A06EC" w14:textId="6A5F1C92" w:rsidTr="00D540CF">
        <w:trPr>
          <w:trHeight w:val="397"/>
        </w:trPr>
        <w:tc>
          <w:tcPr>
            <w:tcW w:w="2830" w:type="dxa"/>
            <w:vMerge/>
            <w:tcBorders>
              <w:top w:val="nil"/>
              <w:left w:val="single" w:sz="4" w:space="0" w:color="auto"/>
              <w:bottom w:val="single" w:sz="4" w:space="0" w:color="auto"/>
              <w:right w:val="single" w:sz="4" w:space="0" w:color="auto"/>
            </w:tcBorders>
            <w:vAlign w:val="center"/>
            <w:hideMark/>
          </w:tcPr>
          <w:p w14:paraId="09FB4472" w14:textId="77777777" w:rsidR="00DE10EC" w:rsidRPr="00F70311" w:rsidRDefault="00DE10EC" w:rsidP="00E90CC5">
            <w:pPr>
              <w:jc w:val="center"/>
              <w:rPr>
                <w:rFonts w:ascii="Arial" w:hAnsi="Arial" w:cs="Arial"/>
                <w:color w:val="000000"/>
              </w:rPr>
            </w:pPr>
          </w:p>
        </w:tc>
        <w:tc>
          <w:tcPr>
            <w:tcW w:w="2127" w:type="dxa"/>
            <w:tcBorders>
              <w:top w:val="nil"/>
              <w:left w:val="nil"/>
              <w:bottom w:val="single" w:sz="4" w:space="0" w:color="auto"/>
              <w:right w:val="single" w:sz="4" w:space="0" w:color="auto"/>
            </w:tcBorders>
            <w:shd w:val="clear" w:color="auto" w:fill="auto"/>
            <w:noWrap/>
            <w:vAlign w:val="center"/>
            <w:hideMark/>
          </w:tcPr>
          <w:p w14:paraId="077D72C7" w14:textId="77777777" w:rsidR="00DE10EC" w:rsidRPr="00F70311" w:rsidRDefault="00DE10EC" w:rsidP="00E90CC5">
            <w:pPr>
              <w:jc w:val="center"/>
              <w:rPr>
                <w:rFonts w:ascii="Arial" w:hAnsi="Arial" w:cs="Arial"/>
                <w:color w:val="000000"/>
              </w:rPr>
            </w:pPr>
            <w:r w:rsidRPr="00F70311">
              <w:rPr>
                <w:rFonts w:ascii="Arial" w:hAnsi="Arial" w:cs="Arial"/>
                <w:color w:val="000000"/>
              </w:rPr>
              <w:t>NE</w:t>
            </w:r>
          </w:p>
        </w:tc>
        <w:tc>
          <w:tcPr>
            <w:tcW w:w="1559" w:type="dxa"/>
            <w:tcBorders>
              <w:top w:val="nil"/>
              <w:left w:val="nil"/>
              <w:bottom w:val="single" w:sz="4" w:space="0" w:color="333333"/>
              <w:right w:val="single" w:sz="4" w:space="0" w:color="333399"/>
            </w:tcBorders>
            <w:shd w:val="clear" w:color="000000" w:fill="FFFFFF"/>
            <w:noWrap/>
            <w:hideMark/>
          </w:tcPr>
          <w:p w14:paraId="578A18A6" w14:textId="0D09BFC5" w:rsidR="00DE10EC" w:rsidRPr="00F70311" w:rsidRDefault="00DE10EC" w:rsidP="00E90CC5">
            <w:pPr>
              <w:jc w:val="center"/>
              <w:rPr>
                <w:rFonts w:ascii="Arial" w:hAnsi="Arial" w:cs="Arial"/>
                <w:color w:val="000000"/>
              </w:rPr>
            </w:pPr>
            <w:r w:rsidRPr="00F70311">
              <w:rPr>
                <w:rFonts w:ascii="Arial" w:hAnsi="Arial" w:cs="Arial"/>
                <w:color w:val="000000"/>
              </w:rPr>
              <w:t>450</w:t>
            </w:r>
            <w:r>
              <w:rPr>
                <w:rFonts w:ascii="Arial" w:hAnsi="Arial" w:cs="Arial"/>
                <w:color w:val="000000"/>
              </w:rPr>
              <w:t xml:space="preserve"> (</w:t>
            </w:r>
            <w:r w:rsidRPr="00F70311">
              <w:rPr>
                <w:rFonts w:ascii="Arial" w:hAnsi="Arial" w:cs="Arial"/>
                <w:color w:val="000000"/>
              </w:rPr>
              <w:t>95,7</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417" w:type="dxa"/>
            <w:tcBorders>
              <w:top w:val="nil"/>
              <w:left w:val="nil"/>
              <w:bottom w:val="single" w:sz="4" w:space="0" w:color="333333"/>
              <w:right w:val="single" w:sz="4" w:space="0" w:color="333399"/>
            </w:tcBorders>
            <w:shd w:val="clear" w:color="000000" w:fill="FFFFFF"/>
            <w:noWrap/>
            <w:hideMark/>
          </w:tcPr>
          <w:p w14:paraId="2ABB2DC4" w14:textId="03B9240C" w:rsidR="00DE10EC" w:rsidRPr="00F70311" w:rsidRDefault="00DE10EC" w:rsidP="00E90CC5">
            <w:pPr>
              <w:jc w:val="center"/>
              <w:rPr>
                <w:rFonts w:ascii="Arial" w:hAnsi="Arial" w:cs="Arial"/>
                <w:color w:val="000000"/>
              </w:rPr>
            </w:pPr>
            <w:r w:rsidRPr="00F70311">
              <w:rPr>
                <w:rFonts w:ascii="Arial" w:hAnsi="Arial" w:cs="Arial"/>
                <w:color w:val="000000"/>
              </w:rPr>
              <w:t>35</w:t>
            </w:r>
            <w:r>
              <w:rPr>
                <w:rFonts w:ascii="Arial" w:hAnsi="Arial" w:cs="Arial"/>
                <w:color w:val="000000"/>
              </w:rPr>
              <w:t xml:space="preserve"> (</w:t>
            </w:r>
            <w:r w:rsidRPr="00F70311">
              <w:rPr>
                <w:rFonts w:ascii="Arial" w:hAnsi="Arial" w:cs="Arial"/>
                <w:color w:val="000000"/>
              </w:rPr>
              <w:t>89,7</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560" w:type="dxa"/>
            <w:tcBorders>
              <w:top w:val="nil"/>
              <w:left w:val="nil"/>
              <w:bottom w:val="single" w:sz="4" w:space="0" w:color="333333"/>
              <w:right w:val="single" w:sz="4" w:space="0" w:color="333399"/>
            </w:tcBorders>
            <w:shd w:val="clear" w:color="000000" w:fill="FFFFFF"/>
            <w:noWrap/>
            <w:hideMark/>
          </w:tcPr>
          <w:p w14:paraId="0DA8C612" w14:textId="30D77A5C" w:rsidR="00DE10EC" w:rsidRPr="00F70311" w:rsidRDefault="00DE10EC" w:rsidP="00E90CC5">
            <w:pPr>
              <w:jc w:val="center"/>
              <w:rPr>
                <w:rFonts w:ascii="Arial" w:hAnsi="Arial" w:cs="Arial"/>
                <w:color w:val="000000"/>
              </w:rPr>
            </w:pPr>
            <w:r w:rsidRPr="00F70311">
              <w:rPr>
                <w:rFonts w:ascii="Arial" w:hAnsi="Arial" w:cs="Arial"/>
                <w:color w:val="000000"/>
              </w:rPr>
              <w:t>485</w:t>
            </w:r>
            <w:r>
              <w:rPr>
                <w:rFonts w:ascii="Arial" w:hAnsi="Arial" w:cs="Arial"/>
                <w:color w:val="000000"/>
              </w:rPr>
              <w:t xml:space="preserve"> (</w:t>
            </w:r>
            <w:r w:rsidRPr="00F70311">
              <w:rPr>
                <w:rFonts w:ascii="Arial" w:hAnsi="Arial" w:cs="Arial"/>
                <w:color w:val="000000"/>
              </w:rPr>
              <w:t>95,3</w:t>
            </w:r>
            <w:r>
              <w:rPr>
                <w:rFonts w:ascii="Arial" w:hAnsi="Arial" w:cs="Arial"/>
                <w:color w:val="000000"/>
              </w:rPr>
              <w:t xml:space="preserve"> </w:t>
            </w:r>
            <w:r w:rsidRPr="00F70311">
              <w:rPr>
                <w:rFonts w:ascii="Arial" w:hAnsi="Arial" w:cs="Arial"/>
                <w:color w:val="000000"/>
              </w:rPr>
              <w:t>%</w:t>
            </w:r>
            <w:r>
              <w:rPr>
                <w:rFonts w:ascii="Arial" w:hAnsi="Arial" w:cs="Arial"/>
                <w:color w:val="000000"/>
              </w:rPr>
              <w:t>)</w:t>
            </w:r>
          </w:p>
        </w:tc>
        <w:tc>
          <w:tcPr>
            <w:tcW w:w="1439" w:type="dxa"/>
            <w:vMerge/>
            <w:tcBorders>
              <w:top w:val="nil"/>
              <w:left w:val="single" w:sz="4" w:space="0" w:color="auto"/>
              <w:bottom w:val="single" w:sz="4" w:space="0" w:color="auto"/>
              <w:right w:val="single" w:sz="4" w:space="0" w:color="auto"/>
            </w:tcBorders>
            <w:vAlign w:val="center"/>
            <w:hideMark/>
          </w:tcPr>
          <w:p w14:paraId="1EC3463B" w14:textId="77777777" w:rsidR="00DE10EC" w:rsidRPr="00F70311" w:rsidRDefault="00DE10EC" w:rsidP="00E90CC5">
            <w:pPr>
              <w:jc w:val="center"/>
              <w:rPr>
                <w:rFonts w:ascii="Arial" w:hAnsi="Arial" w:cs="Arial"/>
                <w:color w:val="000000"/>
              </w:rPr>
            </w:pPr>
          </w:p>
        </w:tc>
        <w:tc>
          <w:tcPr>
            <w:tcW w:w="1537" w:type="dxa"/>
            <w:vMerge/>
            <w:tcBorders>
              <w:left w:val="single" w:sz="4" w:space="0" w:color="auto"/>
              <w:bottom w:val="single" w:sz="4" w:space="0" w:color="auto"/>
              <w:right w:val="single" w:sz="4" w:space="0" w:color="auto"/>
            </w:tcBorders>
          </w:tcPr>
          <w:p w14:paraId="5DD7EA79" w14:textId="77777777" w:rsidR="00DE10EC" w:rsidRPr="00F70311" w:rsidRDefault="00DE10EC" w:rsidP="00E90CC5">
            <w:pPr>
              <w:jc w:val="center"/>
              <w:rPr>
                <w:rFonts w:ascii="Arial" w:hAnsi="Arial" w:cs="Arial"/>
                <w:color w:val="000000"/>
              </w:rPr>
            </w:pPr>
          </w:p>
        </w:tc>
      </w:tr>
    </w:tbl>
    <w:p w14:paraId="457A51B9" w14:textId="5F515F7C" w:rsidR="003C541E" w:rsidRDefault="006E31A5" w:rsidP="006E31A5">
      <w:pPr>
        <w:pStyle w:val="Popisobrzku"/>
        <w:sectPr w:rsidR="003C541E" w:rsidSect="00C46A44">
          <w:pgSz w:w="16838" w:h="11906" w:orient="landscape" w:code="9"/>
          <w:pgMar w:top="1140" w:right="1980" w:bottom="1140" w:left="2380" w:header="1140" w:footer="1420" w:gutter="860"/>
          <w:cols w:space="708"/>
          <w:docGrid w:linePitch="360"/>
        </w:sectPr>
      </w:pPr>
      <w:r w:rsidRPr="00F70311">
        <w:t xml:space="preserve">Chí-kvadrát test (χ2), koeficient </w:t>
      </w:r>
      <w:proofErr w:type="spellStart"/>
      <w:r w:rsidRPr="00F70311">
        <w:t>asociance</w:t>
      </w:r>
      <w:proofErr w:type="spellEnd"/>
      <w:r w:rsidRPr="00F70311">
        <w:t xml:space="preserve"> Fí a </w:t>
      </w:r>
      <w:proofErr w:type="spellStart"/>
      <w:r w:rsidRPr="00F70311">
        <w:t>Cramerovo</w:t>
      </w:r>
      <w:proofErr w:type="spellEnd"/>
      <w:r w:rsidRPr="00F70311">
        <w:t xml:space="preserve"> V (CV) byly použity s hladinou významnosti &lt;0,05.</w:t>
      </w:r>
      <w:r w:rsidR="00AE4BD5">
        <w:t xml:space="preserve"> </w:t>
      </w:r>
      <w:r w:rsidR="00AE4BD5" w:rsidRPr="00AE4BD5">
        <w:t>P-hodnota rozdílu</w:t>
      </w:r>
      <w:r w:rsidR="00FF616D">
        <w:t xml:space="preserve"> mezi roky 2019 a 2023</w:t>
      </w:r>
      <w:r w:rsidR="00AE4BD5" w:rsidRPr="00AE4BD5">
        <w:t xml:space="preserve"> udává statistickou významnost rozdílu v rozložení četností mezi </w:t>
      </w:r>
      <w:r w:rsidR="00FA54A1">
        <w:t>oběma sledovanými ročníky</w:t>
      </w:r>
      <w:r w:rsidR="00AE4BD5" w:rsidRPr="00AE4BD5">
        <w:t>.</w:t>
      </w:r>
    </w:p>
    <w:p w14:paraId="634068F1" w14:textId="7D0C0EEA" w:rsidR="00DF3E0E" w:rsidRPr="001F557B" w:rsidRDefault="00DF3E0E" w:rsidP="00DF3E0E">
      <w:pPr>
        <w:pStyle w:val="Dalodstavce"/>
        <w:numPr>
          <w:ilvl w:val="0"/>
          <w:numId w:val="30"/>
        </w:numPr>
        <w:rPr>
          <w:b/>
          <w:bCs/>
          <w:lang w:eastAsia="sk-SK"/>
        </w:rPr>
      </w:pPr>
      <w:r>
        <w:rPr>
          <w:b/>
          <w:bCs/>
          <w:lang w:eastAsia="sk-SK"/>
        </w:rPr>
        <w:lastRenderedPageBreak/>
        <w:t>Bylo</w:t>
      </w:r>
      <w:r w:rsidRPr="001F557B">
        <w:rPr>
          <w:b/>
          <w:bCs/>
          <w:lang w:eastAsia="sk-SK"/>
        </w:rPr>
        <w:t xml:space="preserve"> využití jednotlivých služeb </w:t>
      </w:r>
      <w:r>
        <w:rPr>
          <w:b/>
          <w:bCs/>
          <w:lang w:eastAsia="sk-SK"/>
        </w:rPr>
        <w:t xml:space="preserve">u pacientů ve věku 75+ </w:t>
      </w:r>
      <w:r w:rsidRPr="001F557B">
        <w:rPr>
          <w:b/>
          <w:bCs/>
          <w:lang w:eastAsia="sk-SK"/>
        </w:rPr>
        <w:t xml:space="preserve">na </w:t>
      </w:r>
      <w:r>
        <w:rPr>
          <w:b/>
          <w:bCs/>
          <w:lang w:eastAsia="sk-SK"/>
        </w:rPr>
        <w:t>nízkoprahovém urgentním příjmu</w:t>
      </w:r>
      <w:r w:rsidRPr="001F557B">
        <w:rPr>
          <w:b/>
          <w:bCs/>
          <w:lang w:eastAsia="sk-SK"/>
        </w:rPr>
        <w:t xml:space="preserve"> </w:t>
      </w:r>
      <w:r>
        <w:rPr>
          <w:b/>
          <w:bCs/>
          <w:lang w:eastAsia="sk-SK"/>
        </w:rPr>
        <w:t>vzájemně</w:t>
      </w:r>
      <w:r w:rsidRPr="001F557B">
        <w:rPr>
          <w:b/>
          <w:bCs/>
          <w:lang w:eastAsia="sk-SK"/>
        </w:rPr>
        <w:t xml:space="preserve"> prováz</w:t>
      </w:r>
      <w:r>
        <w:rPr>
          <w:b/>
          <w:bCs/>
          <w:lang w:eastAsia="sk-SK"/>
        </w:rPr>
        <w:t>a</w:t>
      </w:r>
      <w:r w:rsidRPr="001F557B">
        <w:rPr>
          <w:b/>
          <w:bCs/>
          <w:lang w:eastAsia="sk-SK"/>
        </w:rPr>
        <w:t>n</w:t>
      </w:r>
      <w:r>
        <w:rPr>
          <w:b/>
          <w:bCs/>
          <w:lang w:eastAsia="sk-SK"/>
        </w:rPr>
        <w:t>é</w:t>
      </w:r>
      <w:r w:rsidRPr="001F557B">
        <w:rPr>
          <w:b/>
          <w:bCs/>
          <w:lang w:eastAsia="sk-SK"/>
        </w:rPr>
        <w:t>?</w:t>
      </w:r>
    </w:p>
    <w:p w14:paraId="3906DB30" w14:textId="2A41D24B" w:rsidR="00DF3E0E" w:rsidRDefault="00DF3E0E" w:rsidP="00DF3E0E">
      <w:pPr>
        <w:pStyle w:val="Dalodstavce"/>
        <w:ind w:firstLine="0"/>
        <w:rPr>
          <w:lang w:eastAsia="sk-SK"/>
        </w:rPr>
      </w:pPr>
    </w:p>
    <w:p w14:paraId="0B74BD57" w14:textId="5218AE2D" w:rsidR="006371BD" w:rsidRPr="00D57163" w:rsidRDefault="002F095A" w:rsidP="001D2834">
      <w:pPr>
        <w:pStyle w:val="Dalodstavce"/>
        <w:ind w:firstLine="0"/>
        <w:rPr>
          <w:lang w:eastAsia="sk-SK"/>
        </w:rPr>
      </w:pPr>
      <w:r w:rsidRPr="00D57163">
        <w:rPr>
          <w:b/>
          <w:bCs/>
          <w:lang w:eastAsia="sk-SK"/>
        </w:rPr>
        <w:t xml:space="preserve">V meziročním srovnání byly </w:t>
      </w:r>
      <w:r w:rsidR="00FC018E">
        <w:rPr>
          <w:b/>
          <w:bCs/>
          <w:lang w:eastAsia="sk-SK"/>
        </w:rPr>
        <w:t>zjištěny</w:t>
      </w:r>
      <w:r w:rsidRPr="00D57163">
        <w:rPr>
          <w:b/>
          <w:bCs/>
          <w:lang w:eastAsia="sk-SK"/>
        </w:rPr>
        <w:t xml:space="preserve"> statisticky významné vztahy mezi využíváním jednotlivých služeb na NUP FN Brno.</w:t>
      </w:r>
      <w:r w:rsidRPr="00D57163">
        <w:rPr>
          <w:lang w:eastAsia="sk-SK"/>
        </w:rPr>
        <w:t xml:space="preserve"> Nejsilnější vztah byl zaznamenán mezi způsobem dopravy pacienta k ošetření a využitím observačního lůžka (CV=0,679; p</w:t>
      </w:r>
      <w:r w:rsidR="00FC018E">
        <w:rPr>
          <w:lang w:eastAsia="sk-SK"/>
        </w:rPr>
        <w:t> </w:t>
      </w:r>
      <w:r w:rsidRPr="00D57163">
        <w:rPr>
          <w:lang w:eastAsia="sk-SK"/>
        </w:rPr>
        <w:t>&lt;0,001), což naznačuje silnou závislost. Středně silná závislost byla zjištěna mezi způsobem dopravy a využitím zobrazovacích metod (CV=0,222; p &lt;0,001). Statisticky významné, ale slabší vztahy byly nalezeny mezi typem ošetřující ambulance a využitím observačního lůžka (CV=0,111; p=0,001) i zobrazovacích metod (CV=0,113; p &lt;0,001), mezi využitím observačního lůžka a zobrazovací</w:t>
      </w:r>
      <w:r w:rsidR="0024267A">
        <w:rPr>
          <w:lang w:eastAsia="sk-SK"/>
        </w:rPr>
        <w:t>ch</w:t>
      </w:r>
      <w:r w:rsidRPr="00D57163">
        <w:rPr>
          <w:lang w:eastAsia="sk-SK"/>
        </w:rPr>
        <w:t xml:space="preserve"> metod (Fí=0,128; p &lt;0,001) i konzili</w:t>
      </w:r>
      <w:r w:rsidR="00635ADC">
        <w:rPr>
          <w:lang w:eastAsia="sk-SK"/>
        </w:rPr>
        <w:t>í</w:t>
      </w:r>
      <w:r w:rsidRPr="00D57163">
        <w:rPr>
          <w:lang w:eastAsia="sk-SK"/>
        </w:rPr>
        <w:t xml:space="preserve"> specialisty (Fí=0,070; p=0,017) a tak</w:t>
      </w:r>
      <w:r w:rsidR="00635ADC">
        <w:rPr>
          <w:lang w:eastAsia="sk-SK"/>
        </w:rPr>
        <w:t>též</w:t>
      </w:r>
      <w:r w:rsidRPr="00D57163">
        <w:rPr>
          <w:lang w:eastAsia="sk-SK"/>
        </w:rPr>
        <w:t xml:space="preserve"> mezi využitím zobrazovacích metod a</w:t>
      </w:r>
      <w:r w:rsidR="005E5BCF" w:rsidRPr="00D57163">
        <w:rPr>
          <w:lang w:eastAsia="sk-SK"/>
        </w:rPr>
        <w:t> </w:t>
      </w:r>
      <w:r w:rsidRPr="00D57163">
        <w:rPr>
          <w:lang w:eastAsia="sk-SK"/>
        </w:rPr>
        <w:t>konzili</w:t>
      </w:r>
      <w:r w:rsidR="00635ADC">
        <w:rPr>
          <w:lang w:eastAsia="sk-SK"/>
        </w:rPr>
        <w:t>í</w:t>
      </w:r>
      <w:r w:rsidRPr="00D57163">
        <w:rPr>
          <w:lang w:eastAsia="sk-SK"/>
        </w:rPr>
        <w:t xml:space="preserve"> specialisty (Fí=0,092; p=0,002). </w:t>
      </w:r>
      <w:r w:rsidR="004E13D1">
        <w:rPr>
          <w:lang w:eastAsia="sk-SK"/>
        </w:rPr>
        <w:t>Zmíněné</w:t>
      </w:r>
      <w:r w:rsidR="004E13D1" w:rsidRPr="00F21758">
        <w:rPr>
          <w:lang w:eastAsia="sk-SK"/>
        </w:rPr>
        <w:t xml:space="preserve"> výsledky jsou uvedeny v Tabulce </w:t>
      </w:r>
      <w:r w:rsidR="009411D8">
        <w:rPr>
          <w:lang w:eastAsia="sk-SK"/>
        </w:rPr>
        <w:t>2</w:t>
      </w:r>
      <w:r w:rsidR="00DA18BB">
        <w:rPr>
          <w:lang w:eastAsia="sk-SK"/>
        </w:rPr>
        <w:t>6</w:t>
      </w:r>
      <w:r w:rsidR="004E13D1" w:rsidRPr="00F21758">
        <w:rPr>
          <w:lang w:eastAsia="sk-SK"/>
        </w:rPr>
        <w:t>.</w:t>
      </w:r>
      <w:r w:rsidR="00854B69">
        <w:rPr>
          <w:lang w:eastAsia="sk-SK"/>
        </w:rPr>
        <w:t xml:space="preserve"> Tabulka 25 </w:t>
      </w:r>
      <w:r w:rsidR="00231F20">
        <w:rPr>
          <w:lang w:eastAsia="sk-SK"/>
        </w:rPr>
        <w:t>zachycuje výsledky pro kalendářní rok 2019.</w:t>
      </w:r>
    </w:p>
    <w:p w14:paraId="08D3C38B" w14:textId="789587F9" w:rsidR="00DD7DB0" w:rsidRDefault="0031177C" w:rsidP="00CE45BF">
      <w:pPr>
        <w:pStyle w:val="Dalodstavce"/>
        <w:rPr>
          <w:lang w:eastAsia="sk-SK"/>
        </w:rPr>
      </w:pPr>
      <w:r w:rsidRPr="0031177C">
        <w:rPr>
          <w:lang w:eastAsia="sk-SK"/>
        </w:rPr>
        <w:t xml:space="preserve">V roce 2019 byla observace častěji zapotřebí u pacientů, kteří byli přivezeni </w:t>
      </w:r>
      <w:r w:rsidR="00832D64">
        <w:rPr>
          <w:lang w:eastAsia="sk-SK"/>
        </w:rPr>
        <w:t>ZZS</w:t>
      </w:r>
      <w:r w:rsidRPr="0031177C">
        <w:rPr>
          <w:lang w:eastAsia="sk-SK"/>
        </w:rPr>
        <w:t xml:space="preserve">, a tento trend se v roce 2023 ještě posílil. Naopak méně často byli na observační lůžko umisťováni pacienti, kteří na NUP dorazili sami nebo v doprovodu blízké osoby, stejně jako ti, kteří byli odesláni v rámci konziliárního vyšetření či předání z jiné ambulance FN Brno. V obou těchto skupinách došlo k meziročnímu nárůstu rozdílu. Méně často vyžadovali observaci také pacienti přivezení sanitním vozem </w:t>
      </w:r>
      <w:r w:rsidR="0047517E">
        <w:rPr>
          <w:lang w:eastAsia="sk-SK"/>
        </w:rPr>
        <w:t>Z</w:t>
      </w:r>
      <w:r w:rsidR="000F55E2">
        <w:rPr>
          <w:lang w:eastAsia="sk-SK"/>
        </w:rPr>
        <w:t>D</w:t>
      </w:r>
      <w:r w:rsidR="0047517E">
        <w:rPr>
          <w:lang w:eastAsia="sk-SK"/>
        </w:rPr>
        <w:t>S</w:t>
      </w:r>
      <w:r w:rsidRPr="0031177C">
        <w:rPr>
          <w:lang w:eastAsia="sk-SK"/>
        </w:rPr>
        <w:t>, přičemž zde došlo k</w:t>
      </w:r>
      <w:r w:rsidR="0047517E">
        <w:rPr>
          <w:lang w:eastAsia="sk-SK"/>
        </w:rPr>
        <w:t> </w:t>
      </w:r>
      <w:r w:rsidRPr="0031177C">
        <w:rPr>
          <w:lang w:eastAsia="sk-SK"/>
        </w:rPr>
        <w:t>mírnému snížení meziročního rozdílu.</w:t>
      </w:r>
      <w:r w:rsidR="00F85B98">
        <w:rPr>
          <w:lang w:eastAsia="sk-SK"/>
        </w:rPr>
        <w:t xml:space="preserve"> </w:t>
      </w:r>
      <w:r w:rsidR="007E5178" w:rsidRPr="007E5178">
        <w:rPr>
          <w:lang w:eastAsia="sk-SK"/>
        </w:rPr>
        <w:t>V roce 2019 byla observace častěji využívána u pacientů, kteří vyžadovali současnou péči internisty i neurologa. Častěji byli na observační lůžko umisťováni také pacienti ošetření na interní ambulanci, přičemž v roce 2023 se tento rozdíl mezi skupinami ještě prohloubil. Naopak pacienti primárně ošetření na neurologické ambulanci observaci využívali méně často, a tento trend se meziročně mírně posílil.</w:t>
      </w:r>
    </w:p>
    <w:p w14:paraId="40A4C317" w14:textId="1EAEC14C" w:rsidR="003E69AB" w:rsidRDefault="00F768E3" w:rsidP="00CE45BF">
      <w:pPr>
        <w:pStyle w:val="Dalodstavce"/>
        <w:rPr>
          <w:lang w:eastAsia="sk-SK"/>
        </w:rPr>
      </w:pPr>
      <w:r w:rsidRPr="00F768E3">
        <w:rPr>
          <w:lang w:eastAsia="sk-SK"/>
        </w:rPr>
        <w:t xml:space="preserve">Vyšetření zobrazovacími metodami častěji podstupovali pacienti, kteří byli přivezeni </w:t>
      </w:r>
      <w:r w:rsidR="00443E20">
        <w:rPr>
          <w:lang w:eastAsia="sk-SK"/>
        </w:rPr>
        <w:t>ZZS</w:t>
      </w:r>
      <w:r w:rsidRPr="00F768E3">
        <w:rPr>
          <w:lang w:eastAsia="sk-SK"/>
        </w:rPr>
        <w:t xml:space="preserve">, přičemž meziroční rozdíl v této skupině se dále zvýšil. </w:t>
      </w:r>
      <w:r w:rsidR="00CD1908">
        <w:rPr>
          <w:lang w:eastAsia="sk-SK"/>
        </w:rPr>
        <w:t xml:space="preserve">Častější </w:t>
      </w:r>
      <w:r w:rsidRPr="00F768E3">
        <w:rPr>
          <w:lang w:eastAsia="sk-SK"/>
        </w:rPr>
        <w:t xml:space="preserve">využití zobrazovacích metod </w:t>
      </w:r>
      <w:r w:rsidR="00CD1908">
        <w:rPr>
          <w:lang w:eastAsia="sk-SK"/>
        </w:rPr>
        <w:t>vykazovali i</w:t>
      </w:r>
      <w:r w:rsidRPr="00F768E3">
        <w:rPr>
          <w:lang w:eastAsia="sk-SK"/>
        </w:rPr>
        <w:t xml:space="preserve"> pacient</w:t>
      </w:r>
      <w:r w:rsidR="00CD1908">
        <w:rPr>
          <w:lang w:eastAsia="sk-SK"/>
        </w:rPr>
        <w:t>i</w:t>
      </w:r>
      <w:r w:rsidRPr="00F768E3">
        <w:rPr>
          <w:lang w:eastAsia="sk-SK"/>
        </w:rPr>
        <w:t xml:space="preserve"> </w:t>
      </w:r>
      <w:r w:rsidR="00CD1908">
        <w:rPr>
          <w:lang w:eastAsia="sk-SK"/>
        </w:rPr>
        <w:t>přivezen</w:t>
      </w:r>
      <w:r w:rsidR="00BB0A6C">
        <w:rPr>
          <w:lang w:eastAsia="sk-SK"/>
        </w:rPr>
        <w:t>i</w:t>
      </w:r>
      <w:r w:rsidRPr="00F768E3">
        <w:rPr>
          <w:lang w:eastAsia="sk-SK"/>
        </w:rPr>
        <w:t xml:space="preserve"> </w:t>
      </w:r>
      <w:r w:rsidR="000F55E2">
        <w:rPr>
          <w:lang w:eastAsia="sk-SK"/>
        </w:rPr>
        <w:t>ZDS</w:t>
      </w:r>
      <w:r w:rsidRPr="00F768E3">
        <w:rPr>
          <w:lang w:eastAsia="sk-SK"/>
        </w:rPr>
        <w:t xml:space="preserve">, avšak zde nedošlo k výrazné meziroční změně. Naopak pacienti, kteří byli na </w:t>
      </w:r>
      <w:r w:rsidR="00BB0A6C">
        <w:rPr>
          <w:lang w:eastAsia="sk-SK"/>
        </w:rPr>
        <w:t>NUP</w:t>
      </w:r>
      <w:r w:rsidRPr="00F768E3">
        <w:rPr>
          <w:lang w:eastAsia="sk-SK"/>
        </w:rPr>
        <w:t xml:space="preserve"> odesláni jako konzili</w:t>
      </w:r>
      <w:r w:rsidR="00BB0A6C">
        <w:rPr>
          <w:lang w:eastAsia="sk-SK"/>
        </w:rPr>
        <w:t xml:space="preserve">um či </w:t>
      </w:r>
      <w:r w:rsidRPr="00F768E3">
        <w:rPr>
          <w:lang w:eastAsia="sk-SK"/>
        </w:rPr>
        <w:t>předán</w:t>
      </w:r>
      <w:r w:rsidR="00BB0A6C">
        <w:rPr>
          <w:lang w:eastAsia="sk-SK"/>
        </w:rPr>
        <w:t>í</w:t>
      </w:r>
      <w:r w:rsidRPr="00F768E3">
        <w:rPr>
          <w:lang w:eastAsia="sk-SK"/>
        </w:rPr>
        <w:t xml:space="preserve"> z</w:t>
      </w:r>
      <w:r w:rsidR="00BB0A6C">
        <w:rPr>
          <w:lang w:eastAsia="sk-SK"/>
        </w:rPr>
        <w:t> </w:t>
      </w:r>
      <w:r w:rsidRPr="00F768E3">
        <w:rPr>
          <w:lang w:eastAsia="sk-SK"/>
        </w:rPr>
        <w:t>jiné ambulance FN Brno, vyžadovali tato vyšetření méně často, přičemž meziroční rozdíl v této skupině se zvýšil.</w:t>
      </w:r>
      <w:r w:rsidR="003F7C76">
        <w:rPr>
          <w:lang w:eastAsia="sk-SK"/>
        </w:rPr>
        <w:t xml:space="preserve"> </w:t>
      </w:r>
      <w:r w:rsidR="000E74E5" w:rsidRPr="000E74E5">
        <w:rPr>
          <w:lang w:eastAsia="sk-SK"/>
        </w:rPr>
        <w:t>Pacienti ošetření současně na interní a neurologické ambulanci i nadále vykazovali častější využívání zobrazovacích metod, avšak rozdíl mezi lety 2019 a 2023 se</w:t>
      </w:r>
      <w:r w:rsidR="008F4E92">
        <w:rPr>
          <w:lang w:eastAsia="sk-SK"/>
        </w:rPr>
        <w:t xml:space="preserve"> </w:t>
      </w:r>
      <w:r w:rsidR="000E74E5" w:rsidRPr="000E74E5">
        <w:rPr>
          <w:lang w:eastAsia="sk-SK"/>
        </w:rPr>
        <w:t>snížil.</w:t>
      </w:r>
    </w:p>
    <w:p w14:paraId="238CF6E0" w14:textId="730E7322" w:rsidR="00415258" w:rsidRDefault="00112B30" w:rsidP="002C2355">
      <w:pPr>
        <w:pStyle w:val="Dalodstavce"/>
        <w:rPr>
          <w:lang w:eastAsia="sk-SK"/>
        </w:rPr>
      </w:pPr>
      <w:r w:rsidRPr="00112B30">
        <w:rPr>
          <w:lang w:eastAsia="sk-SK"/>
        </w:rPr>
        <w:t xml:space="preserve">Pacienti umístění na observační lůžko častěji podstupovali vyšetření zobrazovacími metodami nebo konzilium specialisty než ti, kteří zůstali v čekárně NUP. </w:t>
      </w:r>
      <w:r w:rsidR="007833A7">
        <w:rPr>
          <w:lang w:eastAsia="sk-SK"/>
        </w:rPr>
        <w:t>V</w:t>
      </w:r>
      <w:r w:rsidR="007F1BF9">
        <w:rPr>
          <w:lang w:eastAsia="sk-SK"/>
        </w:rPr>
        <w:t> </w:t>
      </w:r>
      <w:r w:rsidR="007833A7">
        <w:rPr>
          <w:lang w:eastAsia="sk-SK"/>
        </w:rPr>
        <w:t>případě</w:t>
      </w:r>
      <w:r w:rsidR="007F1BF9">
        <w:rPr>
          <w:lang w:eastAsia="sk-SK"/>
        </w:rPr>
        <w:t xml:space="preserve"> </w:t>
      </w:r>
      <w:r w:rsidR="00356D76">
        <w:rPr>
          <w:lang w:eastAsia="sk-SK"/>
        </w:rPr>
        <w:t xml:space="preserve">využití </w:t>
      </w:r>
      <w:r w:rsidRPr="00112B30">
        <w:rPr>
          <w:lang w:eastAsia="sk-SK"/>
        </w:rPr>
        <w:t>zobrazovacích metod</w:t>
      </w:r>
      <w:r w:rsidR="008120DD">
        <w:rPr>
          <w:lang w:eastAsia="sk-SK"/>
        </w:rPr>
        <w:t xml:space="preserve"> </w:t>
      </w:r>
      <w:r w:rsidR="00A346D0">
        <w:rPr>
          <w:lang w:eastAsia="sk-SK"/>
        </w:rPr>
        <w:t xml:space="preserve">se rozdíl meziročně zvýšil </w:t>
      </w:r>
      <w:r w:rsidR="008120DD">
        <w:rPr>
          <w:lang w:eastAsia="sk-SK"/>
        </w:rPr>
        <w:t>a u</w:t>
      </w:r>
      <w:r w:rsidRPr="00112B30">
        <w:rPr>
          <w:lang w:eastAsia="sk-SK"/>
        </w:rPr>
        <w:t xml:space="preserve"> konziliární</w:t>
      </w:r>
      <w:r w:rsidR="008120DD">
        <w:rPr>
          <w:lang w:eastAsia="sk-SK"/>
        </w:rPr>
        <w:t>ch</w:t>
      </w:r>
      <w:r w:rsidRPr="00112B30">
        <w:rPr>
          <w:lang w:eastAsia="sk-SK"/>
        </w:rPr>
        <w:t xml:space="preserve"> vyšetření</w:t>
      </w:r>
      <w:r w:rsidR="007F1BF9">
        <w:rPr>
          <w:lang w:eastAsia="sk-SK"/>
        </w:rPr>
        <w:t xml:space="preserve"> mírně poklesl</w:t>
      </w:r>
      <w:r w:rsidRPr="00112B30">
        <w:rPr>
          <w:lang w:eastAsia="sk-SK"/>
        </w:rPr>
        <w:t xml:space="preserve">. </w:t>
      </w:r>
      <w:r w:rsidR="006F3BF5">
        <w:rPr>
          <w:lang w:eastAsia="sk-SK"/>
        </w:rPr>
        <w:t>P</w:t>
      </w:r>
      <w:r w:rsidRPr="00112B30">
        <w:rPr>
          <w:lang w:eastAsia="sk-SK"/>
        </w:rPr>
        <w:t xml:space="preserve">acienti, kteří absolvovali </w:t>
      </w:r>
      <w:r w:rsidR="006F3BF5">
        <w:rPr>
          <w:lang w:eastAsia="sk-SK"/>
        </w:rPr>
        <w:t xml:space="preserve">vyšetření </w:t>
      </w:r>
      <w:r w:rsidRPr="00112B30">
        <w:rPr>
          <w:lang w:eastAsia="sk-SK"/>
        </w:rPr>
        <w:t>zobrazovací</w:t>
      </w:r>
      <w:r w:rsidR="006F3BF5">
        <w:rPr>
          <w:lang w:eastAsia="sk-SK"/>
        </w:rPr>
        <w:t>mi metodami</w:t>
      </w:r>
      <w:r w:rsidRPr="00112B30">
        <w:rPr>
          <w:lang w:eastAsia="sk-SK"/>
        </w:rPr>
        <w:t xml:space="preserve">, častěji vyžadovali i konzilium dalšího specialisty, avšak </w:t>
      </w:r>
      <w:r w:rsidR="00E318EF">
        <w:rPr>
          <w:lang w:eastAsia="sk-SK"/>
        </w:rPr>
        <w:t>došlo ke snížení meziročního rozdílu</w:t>
      </w:r>
      <w:r w:rsidRPr="00112B30">
        <w:rPr>
          <w:lang w:eastAsia="sk-SK"/>
        </w:rPr>
        <w:t>.</w:t>
      </w:r>
    </w:p>
    <w:p w14:paraId="26F0F4D8" w14:textId="77777777" w:rsidR="00415258" w:rsidRDefault="00415258" w:rsidP="00DF3E0E">
      <w:pPr>
        <w:pStyle w:val="Dalodstavce"/>
        <w:ind w:firstLine="0"/>
        <w:rPr>
          <w:lang w:eastAsia="sk-SK"/>
        </w:rPr>
        <w:sectPr w:rsidR="00415258" w:rsidSect="001C5D57">
          <w:pgSz w:w="11906" w:h="16838" w:code="9"/>
          <w:pgMar w:top="1980" w:right="1140" w:bottom="2380" w:left="1140" w:header="1140" w:footer="1420" w:gutter="860"/>
          <w:cols w:space="708"/>
          <w:docGrid w:linePitch="360"/>
        </w:sectPr>
      </w:pPr>
    </w:p>
    <w:p w14:paraId="0BFF2B63" w14:textId="2D1B8481" w:rsidR="00415258" w:rsidRDefault="00415258" w:rsidP="005D38FB">
      <w:pPr>
        <w:pStyle w:val="Titulektabulky"/>
      </w:pPr>
      <w:bookmarkStart w:id="60" w:name="_Toc195517150"/>
      <w:r>
        <w:lastRenderedPageBreak/>
        <w:t xml:space="preserve">Tab. </w:t>
      </w:r>
      <w:fldSimple w:instr=" SEQ Tab. \* ARABIC ">
        <w:r w:rsidR="00336923">
          <w:rPr>
            <w:noProof/>
          </w:rPr>
          <w:t>25</w:t>
        </w:r>
      </w:fldSimple>
      <w:r w:rsidRPr="003656E6">
        <w:t>: Vztah mezi jednotlivými službami</w:t>
      </w:r>
      <w:r>
        <w:t xml:space="preserve"> na NUP FN Brno u pacientů ve věku 75 a více let – rok 20</w:t>
      </w:r>
      <w:r w:rsidR="005D38FB">
        <w:t>19</w:t>
      </w:r>
      <w:r w:rsidR="00EA4059">
        <w:t xml:space="preserve"> </w:t>
      </w:r>
      <w:r>
        <w:t>(N=</w:t>
      </w:r>
      <w:r w:rsidR="003473A6">
        <w:t>509</w:t>
      </w:r>
      <w:r w:rsidR="00277539">
        <w:t>;</w:t>
      </w:r>
      <w:r>
        <w:t xml:space="preserve"> *N=</w:t>
      </w:r>
      <w:r w:rsidR="003473A6">
        <w:t>508</w:t>
      </w:r>
      <w:r>
        <w:t>)</w:t>
      </w:r>
      <w:bookmarkEnd w:id="60"/>
    </w:p>
    <w:tbl>
      <w:tblPr>
        <w:tblW w:w="13010" w:type="dxa"/>
        <w:tblCellMar>
          <w:left w:w="70" w:type="dxa"/>
          <w:right w:w="70" w:type="dxa"/>
        </w:tblCellMar>
        <w:tblLook w:val="04A0" w:firstRow="1" w:lastRow="0" w:firstColumn="1" w:lastColumn="0" w:noHBand="0" w:noVBand="1"/>
      </w:tblPr>
      <w:tblGrid>
        <w:gridCol w:w="2689"/>
        <w:gridCol w:w="1984"/>
        <w:gridCol w:w="1843"/>
        <w:gridCol w:w="1984"/>
        <w:gridCol w:w="1985"/>
        <w:gridCol w:w="1984"/>
        <w:gridCol w:w="541"/>
      </w:tblGrid>
      <w:tr w:rsidR="005D38FB" w:rsidRPr="005D38FB" w14:paraId="78C3C572" w14:textId="77777777" w:rsidTr="006962F0">
        <w:trPr>
          <w:gridAfter w:val="1"/>
          <w:wAfter w:w="541" w:type="dxa"/>
          <w:trHeight w:val="850"/>
        </w:trPr>
        <w:tc>
          <w:tcPr>
            <w:tcW w:w="2689" w:type="dxa"/>
            <w:tcBorders>
              <w:top w:val="single" w:sz="4" w:space="0" w:color="auto"/>
              <w:left w:val="single" w:sz="4" w:space="0" w:color="auto"/>
              <w:bottom w:val="single" w:sz="4" w:space="0" w:color="auto"/>
              <w:right w:val="single" w:sz="4" w:space="0" w:color="auto"/>
              <w:tr2bl w:val="single" w:sz="4" w:space="0" w:color="auto"/>
            </w:tcBorders>
            <w:shd w:val="clear" w:color="000000" w:fill="DDEBF7"/>
            <w:vAlign w:val="center"/>
            <w:hideMark/>
          </w:tcPr>
          <w:p w14:paraId="2CA342A5" w14:textId="77777777" w:rsidR="005D38FB" w:rsidRPr="005D38FB" w:rsidRDefault="005D38FB" w:rsidP="005D38FB">
            <w:pPr>
              <w:jc w:val="center"/>
              <w:rPr>
                <w:rFonts w:ascii="Arial" w:hAnsi="Arial" w:cs="Arial"/>
                <w:b/>
                <w:bCs/>
                <w:color w:val="000000"/>
              </w:rPr>
            </w:pPr>
            <w:r w:rsidRPr="005D38FB">
              <w:rPr>
                <w:rFonts w:ascii="Arial" w:hAnsi="Arial" w:cs="Arial"/>
                <w:b/>
                <w:bCs/>
                <w:color w:val="000000"/>
              </w:rPr>
              <w:t> </w:t>
            </w:r>
          </w:p>
        </w:tc>
        <w:tc>
          <w:tcPr>
            <w:tcW w:w="1984" w:type="dxa"/>
            <w:tcBorders>
              <w:top w:val="single" w:sz="4" w:space="0" w:color="auto"/>
              <w:left w:val="nil"/>
              <w:bottom w:val="single" w:sz="4" w:space="0" w:color="auto"/>
              <w:right w:val="single" w:sz="4" w:space="0" w:color="auto"/>
            </w:tcBorders>
            <w:shd w:val="clear" w:color="000000" w:fill="DDEBF7"/>
            <w:vAlign w:val="center"/>
            <w:hideMark/>
          </w:tcPr>
          <w:p w14:paraId="0E409175" w14:textId="70833F1F" w:rsidR="005D38FB" w:rsidRPr="005D38FB" w:rsidRDefault="00B257BB" w:rsidP="005D38FB">
            <w:pPr>
              <w:jc w:val="center"/>
              <w:rPr>
                <w:rFonts w:ascii="Arial" w:hAnsi="Arial" w:cs="Arial"/>
                <w:b/>
                <w:bCs/>
                <w:color w:val="000000"/>
              </w:rPr>
            </w:pPr>
            <w:r>
              <w:rPr>
                <w:rFonts w:ascii="Arial" w:hAnsi="Arial" w:cs="Arial"/>
                <w:b/>
                <w:bCs/>
                <w:color w:val="000000"/>
              </w:rPr>
              <w:t xml:space="preserve">* </w:t>
            </w:r>
            <w:r w:rsidR="005D38FB" w:rsidRPr="005D38FB">
              <w:rPr>
                <w:rFonts w:ascii="Arial" w:hAnsi="Arial" w:cs="Arial"/>
                <w:b/>
                <w:bCs/>
                <w:color w:val="000000"/>
              </w:rPr>
              <w:t>Doprava</w:t>
            </w:r>
          </w:p>
        </w:tc>
        <w:tc>
          <w:tcPr>
            <w:tcW w:w="1843" w:type="dxa"/>
            <w:tcBorders>
              <w:top w:val="single" w:sz="4" w:space="0" w:color="auto"/>
              <w:left w:val="nil"/>
              <w:bottom w:val="single" w:sz="4" w:space="0" w:color="auto"/>
              <w:right w:val="single" w:sz="4" w:space="0" w:color="auto"/>
            </w:tcBorders>
            <w:shd w:val="clear" w:color="000000" w:fill="DDEBF7"/>
            <w:vAlign w:val="center"/>
            <w:hideMark/>
          </w:tcPr>
          <w:p w14:paraId="06E6C488" w14:textId="77777777" w:rsidR="005D38FB" w:rsidRDefault="005D38FB" w:rsidP="005D38FB">
            <w:pPr>
              <w:jc w:val="center"/>
              <w:rPr>
                <w:rFonts w:ascii="Arial" w:hAnsi="Arial" w:cs="Arial"/>
                <w:b/>
                <w:bCs/>
                <w:color w:val="000000"/>
              </w:rPr>
            </w:pPr>
            <w:r w:rsidRPr="005D38FB">
              <w:rPr>
                <w:rFonts w:ascii="Arial" w:hAnsi="Arial" w:cs="Arial"/>
                <w:b/>
                <w:bCs/>
                <w:color w:val="000000"/>
              </w:rPr>
              <w:t>Ošetřující</w:t>
            </w:r>
          </w:p>
          <w:p w14:paraId="5E18DCFD" w14:textId="13CBA788" w:rsidR="005D38FB" w:rsidRPr="005D38FB" w:rsidRDefault="005D38FB" w:rsidP="005D38FB">
            <w:pPr>
              <w:jc w:val="center"/>
              <w:rPr>
                <w:rFonts w:ascii="Arial" w:hAnsi="Arial" w:cs="Arial"/>
                <w:b/>
                <w:bCs/>
                <w:color w:val="000000"/>
              </w:rPr>
            </w:pPr>
            <w:r w:rsidRPr="005D38FB">
              <w:rPr>
                <w:rFonts w:ascii="Arial" w:hAnsi="Arial" w:cs="Arial"/>
                <w:b/>
                <w:bCs/>
                <w:color w:val="000000"/>
              </w:rPr>
              <w:t>ambulance</w:t>
            </w:r>
          </w:p>
        </w:tc>
        <w:tc>
          <w:tcPr>
            <w:tcW w:w="1984" w:type="dxa"/>
            <w:tcBorders>
              <w:top w:val="single" w:sz="4" w:space="0" w:color="auto"/>
              <w:left w:val="nil"/>
              <w:bottom w:val="single" w:sz="4" w:space="0" w:color="auto"/>
              <w:right w:val="single" w:sz="4" w:space="0" w:color="auto"/>
            </w:tcBorders>
            <w:shd w:val="clear" w:color="000000" w:fill="DDEBF7"/>
            <w:vAlign w:val="center"/>
            <w:hideMark/>
          </w:tcPr>
          <w:p w14:paraId="1FDBFF52" w14:textId="77777777" w:rsidR="005D38FB" w:rsidRDefault="005D38FB" w:rsidP="005D38FB">
            <w:pPr>
              <w:jc w:val="center"/>
              <w:rPr>
                <w:rFonts w:ascii="Arial" w:hAnsi="Arial" w:cs="Arial"/>
                <w:b/>
                <w:bCs/>
                <w:color w:val="000000"/>
              </w:rPr>
            </w:pPr>
            <w:r w:rsidRPr="005D38FB">
              <w:rPr>
                <w:rFonts w:ascii="Arial" w:hAnsi="Arial" w:cs="Arial"/>
                <w:b/>
                <w:bCs/>
                <w:color w:val="000000"/>
              </w:rPr>
              <w:t>Využití</w:t>
            </w:r>
          </w:p>
          <w:p w14:paraId="7AE2CB8B" w14:textId="2C2EF0E3" w:rsidR="005D38FB" w:rsidRPr="005D38FB" w:rsidRDefault="005D38FB" w:rsidP="005D38FB">
            <w:pPr>
              <w:jc w:val="center"/>
              <w:rPr>
                <w:rFonts w:ascii="Arial" w:hAnsi="Arial" w:cs="Arial"/>
                <w:b/>
                <w:bCs/>
                <w:color w:val="000000"/>
              </w:rPr>
            </w:pPr>
            <w:r w:rsidRPr="005D38FB">
              <w:rPr>
                <w:rFonts w:ascii="Arial" w:hAnsi="Arial" w:cs="Arial"/>
                <w:b/>
                <w:bCs/>
                <w:color w:val="000000"/>
              </w:rPr>
              <w:t>observačního lůžka</w:t>
            </w:r>
          </w:p>
        </w:tc>
        <w:tc>
          <w:tcPr>
            <w:tcW w:w="1985" w:type="dxa"/>
            <w:tcBorders>
              <w:top w:val="single" w:sz="4" w:space="0" w:color="auto"/>
              <w:left w:val="nil"/>
              <w:bottom w:val="single" w:sz="4" w:space="0" w:color="auto"/>
              <w:right w:val="single" w:sz="4" w:space="0" w:color="auto"/>
            </w:tcBorders>
            <w:shd w:val="clear" w:color="000000" w:fill="DDEBF7"/>
            <w:vAlign w:val="center"/>
            <w:hideMark/>
          </w:tcPr>
          <w:p w14:paraId="636B3C9B" w14:textId="77777777" w:rsidR="005D38FB" w:rsidRDefault="005D38FB" w:rsidP="005D38FB">
            <w:pPr>
              <w:jc w:val="center"/>
              <w:rPr>
                <w:rFonts w:ascii="Arial" w:hAnsi="Arial" w:cs="Arial"/>
                <w:b/>
                <w:bCs/>
                <w:color w:val="000000"/>
              </w:rPr>
            </w:pPr>
            <w:r w:rsidRPr="005D38FB">
              <w:rPr>
                <w:rFonts w:ascii="Arial" w:hAnsi="Arial" w:cs="Arial"/>
                <w:b/>
                <w:bCs/>
                <w:color w:val="000000"/>
              </w:rPr>
              <w:t>Využití</w:t>
            </w:r>
          </w:p>
          <w:p w14:paraId="69A79A71" w14:textId="79D7B5ED" w:rsidR="005D38FB" w:rsidRPr="005D38FB" w:rsidRDefault="005D38FB" w:rsidP="005D38FB">
            <w:pPr>
              <w:jc w:val="center"/>
              <w:rPr>
                <w:rFonts w:ascii="Arial" w:hAnsi="Arial" w:cs="Arial"/>
                <w:b/>
                <w:bCs/>
                <w:color w:val="000000"/>
              </w:rPr>
            </w:pPr>
            <w:r w:rsidRPr="005D38FB">
              <w:rPr>
                <w:rFonts w:ascii="Arial" w:hAnsi="Arial" w:cs="Arial"/>
                <w:b/>
                <w:bCs/>
                <w:color w:val="000000"/>
              </w:rPr>
              <w:t>zobrazovacích metod</w:t>
            </w:r>
          </w:p>
        </w:tc>
        <w:tc>
          <w:tcPr>
            <w:tcW w:w="1984" w:type="dxa"/>
            <w:tcBorders>
              <w:top w:val="single" w:sz="4" w:space="0" w:color="auto"/>
              <w:left w:val="nil"/>
              <w:bottom w:val="single" w:sz="4" w:space="0" w:color="auto"/>
              <w:right w:val="single" w:sz="4" w:space="0" w:color="auto"/>
            </w:tcBorders>
            <w:shd w:val="clear" w:color="000000" w:fill="DDEBF7"/>
            <w:vAlign w:val="center"/>
            <w:hideMark/>
          </w:tcPr>
          <w:p w14:paraId="3C6E0BE9" w14:textId="77777777" w:rsidR="005D38FB" w:rsidRDefault="005D38FB" w:rsidP="005D38FB">
            <w:pPr>
              <w:jc w:val="center"/>
              <w:rPr>
                <w:rFonts w:ascii="Arial" w:hAnsi="Arial" w:cs="Arial"/>
                <w:b/>
                <w:bCs/>
                <w:color w:val="000000"/>
              </w:rPr>
            </w:pPr>
            <w:r w:rsidRPr="005D38FB">
              <w:rPr>
                <w:rFonts w:ascii="Arial" w:hAnsi="Arial" w:cs="Arial"/>
                <w:b/>
                <w:bCs/>
                <w:color w:val="000000"/>
              </w:rPr>
              <w:t>Konzilium</w:t>
            </w:r>
          </w:p>
          <w:p w14:paraId="5DDCC022" w14:textId="1B4836E1" w:rsidR="005D38FB" w:rsidRPr="005D38FB" w:rsidRDefault="005D38FB" w:rsidP="005D38FB">
            <w:pPr>
              <w:jc w:val="center"/>
              <w:rPr>
                <w:rFonts w:ascii="Arial" w:hAnsi="Arial" w:cs="Arial"/>
                <w:b/>
                <w:bCs/>
                <w:color w:val="000000"/>
              </w:rPr>
            </w:pPr>
            <w:r w:rsidRPr="005D38FB">
              <w:rPr>
                <w:rFonts w:ascii="Arial" w:hAnsi="Arial" w:cs="Arial"/>
                <w:b/>
                <w:bCs/>
                <w:color w:val="000000"/>
              </w:rPr>
              <w:t>specialisty</w:t>
            </w:r>
          </w:p>
        </w:tc>
      </w:tr>
      <w:tr w:rsidR="005D38FB" w:rsidRPr="005D38FB" w14:paraId="3A9DD212" w14:textId="77777777" w:rsidTr="00BD72BA">
        <w:trPr>
          <w:gridAfter w:val="1"/>
          <w:wAfter w:w="541" w:type="dxa"/>
          <w:trHeight w:val="850"/>
        </w:trPr>
        <w:tc>
          <w:tcPr>
            <w:tcW w:w="2689" w:type="dxa"/>
            <w:vMerge w:val="restart"/>
            <w:tcBorders>
              <w:top w:val="nil"/>
              <w:left w:val="single" w:sz="4" w:space="0" w:color="auto"/>
              <w:bottom w:val="single" w:sz="4" w:space="0" w:color="auto"/>
              <w:right w:val="single" w:sz="4" w:space="0" w:color="auto"/>
            </w:tcBorders>
            <w:shd w:val="clear" w:color="000000" w:fill="DDEBF7"/>
            <w:vAlign w:val="center"/>
            <w:hideMark/>
          </w:tcPr>
          <w:p w14:paraId="097A923D" w14:textId="04A003BF" w:rsidR="005D38FB" w:rsidRPr="005D38FB" w:rsidRDefault="00B257BB" w:rsidP="005D38FB">
            <w:pPr>
              <w:jc w:val="center"/>
              <w:rPr>
                <w:rFonts w:ascii="Arial" w:hAnsi="Arial" w:cs="Arial"/>
                <w:b/>
                <w:bCs/>
                <w:color w:val="000000"/>
              </w:rPr>
            </w:pPr>
            <w:r>
              <w:rPr>
                <w:rFonts w:ascii="Arial" w:hAnsi="Arial" w:cs="Arial"/>
                <w:b/>
                <w:bCs/>
                <w:color w:val="000000"/>
              </w:rPr>
              <w:t xml:space="preserve">* </w:t>
            </w:r>
            <w:r w:rsidR="005D38FB" w:rsidRPr="005D38FB">
              <w:rPr>
                <w:rFonts w:ascii="Arial" w:hAnsi="Arial" w:cs="Arial"/>
                <w:b/>
                <w:bCs/>
                <w:color w:val="000000"/>
              </w:rPr>
              <w:t>Doprava</w:t>
            </w:r>
          </w:p>
        </w:tc>
        <w:tc>
          <w:tcPr>
            <w:tcW w:w="1984" w:type="dxa"/>
            <w:vMerge w:val="restart"/>
            <w:tcBorders>
              <w:top w:val="nil"/>
              <w:left w:val="single" w:sz="4" w:space="0" w:color="auto"/>
              <w:bottom w:val="single" w:sz="4" w:space="0" w:color="auto"/>
              <w:right w:val="single" w:sz="4" w:space="0" w:color="auto"/>
              <w:tr2bl w:val="single" w:sz="4" w:space="0" w:color="auto"/>
            </w:tcBorders>
            <w:shd w:val="clear" w:color="auto" w:fill="auto"/>
            <w:vAlign w:val="center"/>
            <w:hideMark/>
          </w:tcPr>
          <w:p w14:paraId="3E48F053" w14:textId="77777777" w:rsidR="005D38FB" w:rsidRPr="005D38FB" w:rsidRDefault="005D38FB" w:rsidP="005D38FB">
            <w:pPr>
              <w:jc w:val="center"/>
              <w:rPr>
                <w:rFonts w:ascii="Arial" w:hAnsi="Arial" w:cs="Arial"/>
                <w:color w:val="000000"/>
              </w:rPr>
            </w:pPr>
            <w:r w:rsidRPr="005D38FB">
              <w:rPr>
                <w:rFonts w:ascii="Arial" w:hAnsi="Arial" w:cs="Arial"/>
                <w:color w:val="000000"/>
              </w:rPr>
              <w:t> </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F38628B" w14:textId="151FD869" w:rsidR="005D38FB" w:rsidRPr="003E0FFD" w:rsidRDefault="005D38FB" w:rsidP="005D38FB">
            <w:pPr>
              <w:jc w:val="center"/>
              <w:rPr>
                <w:rFonts w:ascii="Arial" w:hAnsi="Arial" w:cs="Arial"/>
                <w:color w:val="000000" w:themeColor="text1"/>
              </w:rPr>
            </w:pPr>
            <w:r w:rsidRPr="003E0FFD">
              <w:rPr>
                <w:rFonts w:ascii="Arial" w:hAnsi="Arial" w:cs="Arial"/>
                <w:color w:val="000000" w:themeColor="text1"/>
              </w:rPr>
              <w:t> </w:t>
            </w:r>
            <w:r w:rsidR="00B876A3">
              <w:rPr>
                <w:rFonts w:ascii="Arial" w:hAnsi="Arial" w:cs="Arial"/>
                <w:color w:val="000000"/>
              </w:rPr>
              <w:t>p=</w:t>
            </w:r>
            <w:r w:rsidR="00B876A3" w:rsidRPr="005D38FB">
              <w:rPr>
                <w:rFonts w:ascii="Arial" w:hAnsi="Arial" w:cs="Arial"/>
                <w:color w:val="000000"/>
              </w:rPr>
              <w:t>0,891</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14:paraId="01291F6E" w14:textId="5CA00ABE" w:rsidR="000165B2" w:rsidRPr="003E0FFD" w:rsidRDefault="00B876A3" w:rsidP="005D38FB">
            <w:pPr>
              <w:jc w:val="center"/>
              <w:rPr>
                <w:rFonts w:ascii="Arial" w:hAnsi="Arial" w:cs="Arial"/>
                <w:color w:val="000000" w:themeColor="text1"/>
              </w:rPr>
            </w:pPr>
            <w:r>
              <w:rPr>
                <w:rFonts w:ascii="Calibri" w:hAnsi="Calibri" w:cs="Calibri"/>
                <w:b/>
                <w:bCs/>
                <w:color w:val="000000"/>
              </w:rPr>
              <w:t xml:space="preserve">p </w:t>
            </w:r>
            <w:r w:rsidRPr="005D38FB">
              <w:rPr>
                <w:rFonts w:ascii="Calibri" w:hAnsi="Calibri" w:cs="Calibri"/>
                <w:b/>
                <w:bCs/>
                <w:color w:val="000000"/>
              </w:rPr>
              <w:t>&lt;</w:t>
            </w:r>
            <w:r w:rsidRPr="005D38FB">
              <w:rPr>
                <w:rFonts w:ascii="Arial" w:hAnsi="Arial" w:cs="Arial"/>
                <w:b/>
                <w:bCs/>
                <w:color w:val="000000"/>
              </w:rPr>
              <w:t>0,001 CV=0,675</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21A76387" w14:textId="066D2589" w:rsidR="000165B2" w:rsidRPr="003E0FFD" w:rsidRDefault="00BB05C3" w:rsidP="005D38FB">
            <w:pPr>
              <w:jc w:val="center"/>
              <w:rPr>
                <w:rFonts w:ascii="Arial" w:hAnsi="Arial" w:cs="Arial"/>
                <w:color w:val="000000" w:themeColor="text1"/>
              </w:rPr>
            </w:pPr>
            <w:r>
              <w:rPr>
                <w:rFonts w:ascii="Calibri" w:hAnsi="Calibri" w:cs="Calibri"/>
                <w:b/>
                <w:bCs/>
                <w:color w:val="000000"/>
              </w:rPr>
              <w:t xml:space="preserve">p </w:t>
            </w:r>
            <w:r w:rsidRPr="005D38FB">
              <w:rPr>
                <w:rFonts w:ascii="Calibri" w:hAnsi="Calibri" w:cs="Calibri"/>
                <w:b/>
                <w:bCs/>
                <w:color w:val="000000"/>
              </w:rPr>
              <w:t>&lt;</w:t>
            </w:r>
            <w:r w:rsidRPr="005D38FB">
              <w:rPr>
                <w:rFonts w:ascii="Arial" w:hAnsi="Arial" w:cs="Arial"/>
                <w:b/>
                <w:bCs/>
                <w:color w:val="000000"/>
              </w:rPr>
              <w:t>0,001 CV=0,213</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14:paraId="2DA1FE19" w14:textId="72D6E8E7" w:rsidR="005D38FB" w:rsidRPr="003E0FFD" w:rsidRDefault="00BB05C3" w:rsidP="005D38FB">
            <w:pPr>
              <w:jc w:val="center"/>
              <w:rPr>
                <w:rFonts w:ascii="Arial" w:hAnsi="Arial" w:cs="Arial"/>
                <w:color w:val="000000" w:themeColor="text1"/>
              </w:rPr>
            </w:pPr>
            <w:r>
              <w:rPr>
                <w:rFonts w:ascii="Arial" w:hAnsi="Arial" w:cs="Arial"/>
                <w:color w:val="000000"/>
              </w:rPr>
              <w:t>** p=</w:t>
            </w:r>
            <w:r w:rsidRPr="005D38FB">
              <w:rPr>
                <w:rFonts w:ascii="Arial" w:hAnsi="Arial" w:cs="Arial"/>
                <w:color w:val="000000"/>
              </w:rPr>
              <w:t>0,</w:t>
            </w:r>
            <w:r>
              <w:rPr>
                <w:rFonts w:ascii="Arial" w:hAnsi="Arial" w:cs="Arial"/>
                <w:color w:val="000000"/>
              </w:rPr>
              <w:t>490</w:t>
            </w:r>
          </w:p>
        </w:tc>
      </w:tr>
      <w:tr w:rsidR="005D38FB" w:rsidRPr="005D38FB" w14:paraId="05665BF8" w14:textId="77777777" w:rsidTr="005D38FB">
        <w:trPr>
          <w:trHeight w:val="285"/>
        </w:trPr>
        <w:tc>
          <w:tcPr>
            <w:tcW w:w="2689" w:type="dxa"/>
            <w:vMerge/>
            <w:tcBorders>
              <w:top w:val="nil"/>
              <w:left w:val="single" w:sz="4" w:space="0" w:color="auto"/>
              <w:bottom w:val="single" w:sz="4" w:space="0" w:color="auto"/>
              <w:right w:val="single" w:sz="4" w:space="0" w:color="auto"/>
            </w:tcBorders>
            <w:vAlign w:val="center"/>
            <w:hideMark/>
          </w:tcPr>
          <w:p w14:paraId="5390DB96" w14:textId="77777777" w:rsidR="005D38FB" w:rsidRPr="005D38FB" w:rsidRDefault="005D38FB" w:rsidP="005D38FB">
            <w:pPr>
              <w:rPr>
                <w:rFonts w:ascii="Arial" w:hAnsi="Arial" w:cs="Arial"/>
                <w:b/>
                <w:bCs/>
                <w:color w:val="000000"/>
              </w:rPr>
            </w:pPr>
          </w:p>
        </w:tc>
        <w:tc>
          <w:tcPr>
            <w:tcW w:w="1984" w:type="dxa"/>
            <w:vMerge/>
            <w:tcBorders>
              <w:top w:val="nil"/>
              <w:left w:val="single" w:sz="4" w:space="0" w:color="auto"/>
              <w:bottom w:val="single" w:sz="4" w:space="0" w:color="auto"/>
              <w:right w:val="single" w:sz="4" w:space="0" w:color="auto"/>
            </w:tcBorders>
            <w:vAlign w:val="center"/>
            <w:hideMark/>
          </w:tcPr>
          <w:p w14:paraId="7744DFF5" w14:textId="77777777" w:rsidR="005D38FB" w:rsidRPr="005D38FB" w:rsidRDefault="005D38FB" w:rsidP="005D38FB">
            <w:pPr>
              <w:rPr>
                <w:rFonts w:ascii="Arial" w:hAnsi="Arial" w:cs="Arial"/>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2850AB5F" w14:textId="77777777" w:rsidR="005D38FB" w:rsidRPr="005D38FB" w:rsidRDefault="005D38FB" w:rsidP="005D38FB">
            <w:pPr>
              <w:rPr>
                <w:rFonts w:ascii="Arial" w:hAnsi="Arial" w:cs="Arial"/>
                <w:color w:val="000000"/>
              </w:rPr>
            </w:pPr>
          </w:p>
        </w:tc>
        <w:tc>
          <w:tcPr>
            <w:tcW w:w="1984" w:type="dxa"/>
            <w:vMerge/>
            <w:tcBorders>
              <w:top w:val="nil"/>
              <w:left w:val="single" w:sz="4" w:space="0" w:color="auto"/>
              <w:bottom w:val="single" w:sz="4" w:space="0" w:color="auto"/>
              <w:right w:val="single" w:sz="4" w:space="0" w:color="auto"/>
            </w:tcBorders>
            <w:vAlign w:val="center"/>
            <w:hideMark/>
          </w:tcPr>
          <w:p w14:paraId="39CB2E9C" w14:textId="77777777" w:rsidR="005D38FB" w:rsidRPr="005D38FB" w:rsidRDefault="005D38FB" w:rsidP="005D38FB">
            <w:pPr>
              <w:rPr>
                <w:rFonts w:ascii="Arial" w:hAnsi="Arial" w:cs="Arial"/>
                <w:color w:val="000000"/>
              </w:rPr>
            </w:pPr>
          </w:p>
        </w:tc>
        <w:tc>
          <w:tcPr>
            <w:tcW w:w="1985" w:type="dxa"/>
            <w:vMerge/>
            <w:tcBorders>
              <w:top w:val="nil"/>
              <w:left w:val="single" w:sz="4" w:space="0" w:color="auto"/>
              <w:bottom w:val="single" w:sz="4" w:space="0" w:color="auto"/>
              <w:right w:val="single" w:sz="4" w:space="0" w:color="auto"/>
            </w:tcBorders>
            <w:vAlign w:val="center"/>
            <w:hideMark/>
          </w:tcPr>
          <w:p w14:paraId="42C7DB02" w14:textId="77777777" w:rsidR="005D38FB" w:rsidRPr="005D38FB" w:rsidRDefault="005D38FB" w:rsidP="005D38FB">
            <w:pPr>
              <w:rPr>
                <w:rFonts w:ascii="Arial" w:hAnsi="Arial" w:cs="Arial"/>
                <w:color w:val="000000"/>
              </w:rPr>
            </w:pPr>
          </w:p>
        </w:tc>
        <w:tc>
          <w:tcPr>
            <w:tcW w:w="1984" w:type="dxa"/>
            <w:vMerge/>
            <w:tcBorders>
              <w:top w:val="nil"/>
              <w:left w:val="single" w:sz="4" w:space="0" w:color="auto"/>
              <w:bottom w:val="single" w:sz="4" w:space="0" w:color="auto"/>
              <w:right w:val="single" w:sz="4" w:space="0" w:color="auto"/>
            </w:tcBorders>
            <w:vAlign w:val="center"/>
            <w:hideMark/>
          </w:tcPr>
          <w:p w14:paraId="0829A862" w14:textId="77777777" w:rsidR="005D38FB" w:rsidRPr="005D38FB" w:rsidRDefault="005D38FB" w:rsidP="005D38FB">
            <w:pPr>
              <w:rPr>
                <w:rFonts w:ascii="Arial" w:hAnsi="Arial" w:cs="Arial"/>
                <w:color w:val="000000"/>
              </w:rPr>
            </w:pPr>
          </w:p>
        </w:tc>
        <w:tc>
          <w:tcPr>
            <w:tcW w:w="541" w:type="dxa"/>
            <w:tcBorders>
              <w:top w:val="nil"/>
              <w:left w:val="nil"/>
              <w:bottom w:val="nil"/>
              <w:right w:val="nil"/>
            </w:tcBorders>
            <w:shd w:val="clear" w:color="auto" w:fill="auto"/>
            <w:noWrap/>
            <w:vAlign w:val="bottom"/>
            <w:hideMark/>
          </w:tcPr>
          <w:p w14:paraId="412D641C" w14:textId="77777777" w:rsidR="005D38FB" w:rsidRPr="005D38FB" w:rsidRDefault="005D38FB" w:rsidP="005D38FB">
            <w:pPr>
              <w:jc w:val="center"/>
              <w:rPr>
                <w:rFonts w:ascii="Arial" w:hAnsi="Arial" w:cs="Arial"/>
                <w:color w:val="000000"/>
              </w:rPr>
            </w:pPr>
          </w:p>
        </w:tc>
      </w:tr>
      <w:tr w:rsidR="005D38FB" w:rsidRPr="005D38FB" w14:paraId="6E1C2361" w14:textId="77777777" w:rsidTr="00BD72BA">
        <w:trPr>
          <w:trHeight w:val="850"/>
        </w:trPr>
        <w:tc>
          <w:tcPr>
            <w:tcW w:w="2689" w:type="dxa"/>
            <w:tcBorders>
              <w:top w:val="nil"/>
              <w:left w:val="single" w:sz="4" w:space="0" w:color="auto"/>
              <w:bottom w:val="single" w:sz="4" w:space="0" w:color="auto"/>
              <w:right w:val="single" w:sz="4" w:space="0" w:color="auto"/>
            </w:tcBorders>
            <w:shd w:val="clear" w:color="000000" w:fill="DDEBF7"/>
            <w:vAlign w:val="center"/>
            <w:hideMark/>
          </w:tcPr>
          <w:p w14:paraId="42E2EBBF" w14:textId="77777777" w:rsidR="005D38FB" w:rsidRPr="005D38FB" w:rsidRDefault="005D38FB" w:rsidP="005D38FB">
            <w:pPr>
              <w:jc w:val="center"/>
              <w:rPr>
                <w:rFonts w:ascii="Arial" w:hAnsi="Arial" w:cs="Arial"/>
                <w:b/>
                <w:bCs/>
                <w:color w:val="000000"/>
              </w:rPr>
            </w:pPr>
            <w:r w:rsidRPr="005D38FB">
              <w:rPr>
                <w:rFonts w:ascii="Arial" w:hAnsi="Arial" w:cs="Arial"/>
                <w:b/>
                <w:bCs/>
                <w:color w:val="000000"/>
              </w:rPr>
              <w:t>Ošetřující ambulance</w:t>
            </w:r>
          </w:p>
        </w:tc>
        <w:tc>
          <w:tcPr>
            <w:tcW w:w="1984" w:type="dxa"/>
            <w:tcBorders>
              <w:top w:val="nil"/>
              <w:left w:val="nil"/>
              <w:bottom w:val="single" w:sz="4" w:space="0" w:color="auto"/>
              <w:right w:val="single" w:sz="4" w:space="0" w:color="auto"/>
            </w:tcBorders>
            <w:shd w:val="clear" w:color="auto" w:fill="auto"/>
            <w:vAlign w:val="center"/>
            <w:hideMark/>
          </w:tcPr>
          <w:p w14:paraId="167AD023" w14:textId="4ABA59F7" w:rsidR="005D38FB" w:rsidRPr="005D38FB" w:rsidRDefault="00E25CCF" w:rsidP="005D38FB">
            <w:pPr>
              <w:jc w:val="center"/>
              <w:rPr>
                <w:rFonts w:ascii="Arial" w:hAnsi="Arial" w:cs="Arial"/>
                <w:color w:val="000000"/>
              </w:rPr>
            </w:pPr>
            <w:r>
              <w:rPr>
                <w:rFonts w:ascii="Arial" w:hAnsi="Arial" w:cs="Arial"/>
                <w:color w:val="000000"/>
              </w:rPr>
              <w:t>p=</w:t>
            </w:r>
            <w:r w:rsidR="005D38FB" w:rsidRPr="005D38FB">
              <w:rPr>
                <w:rFonts w:ascii="Arial" w:hAnsi="Arial" w:cs="Arial"/>
                <w:color w:val="000000"/>
              </w:rPr>
              <w:t>0,891</w:t>
            </w:r>
          </w:p>
        </w:tc>
        <w:tc>
          <w:tcPr>
            <w:tcW w:w="1843" w:type="dxa"/>
            <w:tcBorders>
              <w:top w:val="nil"/>
              <w:left w:val="nil"/>
              <w:bottom w:val="single" w:sz="4" w:space="0" w:color="auto"/>
              <w:right w:val="single" w:sz="4" w:space="0" w:color="auto"/>
              <w:tr2bl w:val="single" w:sz="4" w:space="0" w:color="auto"/>
            </w:tcBorders>
            <w:shd w:val="clear" w:color="auto" w:fill="auto"/>
            <w:vAlign w:val="center"/>
            <w:hideMark/>
          </w:tcPr>
          <w:p w14:paraId="008F88B7" w14:textId="77777777" w:rsidR="005D38FB" w:rsidRPr="005D38FB" w:rsidRDefault="005D38FB" w:rsidP="005D38FB">
            <w:pPr>
              <w:jc w:val="center"/>
              <w:rPr>
                <w:rFonts w:ascii="Arial" w:hAnsi="Arial" w:cs="Arial"/>
                <w:color w:val="000000"/>
              </w:rPr>
            </w:pPr>
            <w:r w:rsidRPr="005D38FB">
              <w:rPr>
                <w:rFonts w:ascii="Arial" w:hAnsi="Arial" w:cs="Arial"/>
                <w:color w:val="000000"/>
              </w:rPr>
              <w:t> </w:t>
            </w:r>
          </w:p>
        </w:tc>
        <w:tc>
          <w:tcPr>
            <w:tcW w:w="1984" w:type="dxa"/>
            <w:tcBorders>
              <w:top w:val="nil"/>
              <w:left w:val="nil"/>
              <w:bottom w:val="single" w:sz="4" w:space="0" w:color="auto"/>
              <w:right w:val="single" w:sz="4" w:space="0" w:color="auto"/>
            </w:tcBorders>
            <w:shd w:val="clear" w:color="auto" w:fill="auto"/>
            <w:noWrap/>
            <w:vAlign w:val="center"/>
            <w:hideMark/>
          </w:tcPr>
          <w:p w14:paraId="1D7C7839" w14:textId="00913E4C" w:rsidR="005D38FB" w:rsidRPr="003E0FFD" w:rsidRDefault="00BB05C3" w:rsidP="005D38FB">
            <w:pPr>
              <w:jc w:val="center"/>
              <w:rPr>
                <w:rFonts w:ascii="Calibri" w:hAnsi="Calibri" w:cs="Calibri"/>
                <w:color w:val="000000" w:themeColor="text1"/>
                <w:sz w:val="22"/>
                <w:szCs w:val="22"/>
              </w:rPr>
            </w:pPr>
            <w:r>
              <w:rPr>
                <w:rFonts w:ascii="Arial" w:hAnsi="Arial" w:cs="Arial"/>
                <w:b/>
                <w:bCs/>
                <w:color w:val="000000"/>
              </w:rPr>
              <w:t>p=</w:t>
            </w:r>
            <w:r w:rsidRPr="005D38FB">
              <w:rPr>
                <w:rFonts w:ascii="Arial" w:hAnsi="Arial" w:cs="Arial"/>
                <w:b/>
                <w:bCs/>
                <w:color w:val="000000"/>
              </w:rPr>
              <w:t>0,042 CV=0,111</w:t>
            </w:r>
          </w:p>
        </w:tc>
        <w:tc>
          <w:tcPr>
            <w:tcW w:w="1985" w:type="dxa"/>
            <w:tcBorders>
              <w:top w:val="nil"/>
              <w:left w:val="nil"/>
              <w:bottom w:val="single" w:sz="4" w:space="0" w:color="auto"/>
              <w:right w:val="single" w:sz="4" w:space="0" w:color="auto"/>
            </w:tcBorders>
            <w:shd w:val="clear" w:color="auto" w:fill="auto"/>
            <w:vAlign w:val="center"/>
            <w:hideMark/>
          </w:tcPr>
          <w:p w14:paraId="4B1CEED6" w14:textId="60DA96B2" w:rsidR="00973C47" w:rsidRPr="003E0FFD" w:rsidRDefault="00BB05C3" w:rsidP="005D38FB">
            <w:pPr>
              <w:jc w:val="center"/>
              <w:rPr>
                <w:rFonts w:ascii="Arial" w:hAnsi="Arial" w:cs="Arial"/>
                <w:color w:val="000000" w:themeColor="text1"/>
              </w:rPr>
            </w:pPr>
            <w:r>
              <w:rPr>
                <w:rFonts w:ascii="Arial" w:hAnsi="Arial" w:cs="Arial"/>
                <w:b/>
                <w:bCs/>
                <w:color w:val="000000"/>
              </w:rPr>
              <w:t>p=</w:t>
            </w:r>
            <w:r w:rsidRPr="005D38FB">
              <w:rPr>
                <w:rFonts w:ascii="Arial" w:hAnsi="Arial" w:cs="Arial"/>
                <w:b/>
                <w:bCs/>
                <w:color w:val="000000"/>
              </w:rPr>
              <w:t>0,005 CV=0,144</w:t>
            </w:r>
          </w:p>
        </w:tc>
        <w:tc>
          <w:tcPr>
            <w:tcW w:w="1984" w:type="dxa"/>
            <w:tcBorders>
              <w:top w:val="nil"/>
              <w:left w:val="nil"/>
              <w:bottom w:val="single" w:sz="4" w:space="0" w:color="auto"/>
              <w:right w:val="single" w:sz="4" w:space="0" w:color="auto"/>
            </w:tcBorders>
            <w:shd w:val="clear" w:color="auto" w:fill="auto"/>
            <w:vAlign w:val="center"/>
            <w:hideMark/>
          </w:tcPr>
          <w:p w14:paraId="30035BB3" w14:textId="4574BB70" w:rsidR="005D38FB" w:rsidRPr="003E0FFD" w:rsidRDefault="00BB05C3" w:rsidP="005D38FB">
            <w:pPr>
              <w:jc w:val="center"/>
              <w:rPr>
                <w:rFonts w:ascii="Arial" w:hAnsi="Arial" w:cs="Arial"/>
                <w:color w:val="000000" w:themeColor="text1"/>
              </w:rPr>
            </w:pPr>
            <w:r>
              <w:rPr>
                <w:rFonts w:ascii="Arial" w:hAnsi="Arial" w:cs="Arial"/>
                <w:color w:val="000000"/>
              </w:rPr>
              <w:t>** p=</w:t>
            </w:r>
            <w:r w:rsidRPr="005D38FB">
              <w:rPr>
                <w:rFonts w:ascii="Arial" w:hAnsi="Arial" w:cs="Arial"/>
                <w:color w:val="000000"/>
              </w:rPr>
              <w:t>0,</w:t>
            </w:r>
            <w:r>
              <w:rPr>
                <w:rFonts w:ascii="Arial" w:hAnsi="Arial" w:cs="Arial"/>
                <w:color w:val="000000"/>
              </w:rPr>
              <w:t>271</w:t>
            </w:r>
          </w:p>
        </w:tc>
        <w:tc>
          <w:tcPr>
            <w:tcW w:w="541" w:type="dxa"/>
            <w:vAlign w:val="center"/>
            <w:hideMark/>
          </w:tcPr>
          <w:p w14:paraId="0BE1BCFE" w14:textId="77777777" w:rsidR="005D38FB" w:rsidRPr="005D38FB" w:rsidRDefault="005D38FB" w:rsidP="005D38FB">
            <w:pPr>
              <w:rPr>
                <w:rFonts w:ascii="Times New Roman" w:hAnsi="Times New Roman"/>
                <w:sz w:val="20"/>
                <w:szCs w:val="20"/>
              </w:rPr>
            </w:pPr>
          </w:p>
        </w:tc>
      </w:tr>
      <w:tr w:rsidR="005D38FB" w:rsidRPr="005D38FB" w14:paraId="03D0BB15" w14:textId="77777777" w:rsidTr="00BD72BA">
        <w:trPr>
          <w:trHeight w:val="850"/>
        </w:trPr>
        <w:tc>
          <w:tcPr>
            <w:tcW w:w="2689" w:type="dxa"/>
            <w:tcBorders>
              <w:top w:val="nil"/>
              <w:left w:val="single" w:sz="4" w:space="0" w:color="auto"/>
              <w:bottom w:val="single" w:sz="4" w:space="0" w:color="auto"/>
              <w:right w:val="single" w:sz="4" w:space="0" w:color="auto"/>
            </w:tcBorders>
            <w:shd w:val="clear" w:color="000000" w:fill="DDEBF7"/>
            <w:vAlign w:val="center"/>
            <w:hideMark/>
          </w:tcPr>
          <w:p w14:paraId="4886288A" w14:textId="77777777" w:rsidR="005D38FB" w:rsidRPr="005D38FB" w:rsidRDefault="005D38FB" w:rsidP="005D38FB">
            <w:pPr>
              <w:jc w:val="center"/>
              <w:rPr>
                <w:rFonts w:ascii="Arial" w:hAnsi="Arial" w:cs="Arial"/>
                <w:b/>
                <w:bCs/>
                <w:color w:val="000000"/>
              </w:rPr>
            </w:pPr>
            <w:r w:rsidRPr="005D38FB">
              <w:rPr>
                <w:rFonts w:ascii="Arial" w:hAnsi="Arial" w:cs="Arial"/>
                <w:b/>
                <w:bCs/>
                <w:color w:val="000000"/>
              </w:rPr>
              <w:t>Využití observačního lůžka</w:t>
            </w:r>
          </w:p>
        </w:tc>
        <w:tc>
          <w:tcPr>
            <w:tcW w:w="1984" w:type="dxa"/>
            <w:tcBorders>
              <w:top w:val="nil"/>
              <w:left w:val="nil"/>
              <w:bottom w:val="single" w:sz="4" w:space="0" w:color="auto"/>
              <w:right w:val="single" w:sz="4" w:space="0" w:color="auto"/>
            </w:tcBorders>
            <w:shd w:val="clear" w:color="auto" w:fill="auto"/>
            <w:vAlign w:val="center"/>
            <w:hideMark/>
          </w:tcPr>
          <w:p w14:paraId="5DCE09FA" w14:textId="2D7C7DBF" w:rsidR="005D38FB" w:rsidRPr="005D38FB" w:rsidRDefault="00E25CCF" w:rsidP="005D38FB">
            <w:pPr>
              <w:jc w:val="center"/>
              <w:rPr>
                <w:rFonts w:ascii="Arial" w:hAnsi="Arial" w:cs="Arial"/>
                <w:b/>
                <w:bCs/>
                <w:color w:val="000000"/>
              </w:rPr>
            </w:pPr>
            <w:r>
              <w:rPr>
                <w:rFonts w:ascii="Calibri" w:hAnsi="Calibri" w:cs="Calibri"/>
                <w:b/>
                <w:bCs/>
                <w:color w:val="000000"/>
              </w:rPr>
              <w:t xml:space="preserve">p </w:t>
            </w:r>
            <w:r w:rsidR="005D38FB" w:rsidRPr="005D38FB">
              <w:rPr>
                <w:rFonts w:ascii="Calibri" w:hAnsi="Calibri" w:cs="Calibri"/>
                <w:b/>
                <w:bCs/>
                <w:color w:val="000000"/>
              </w:rPr>
              <w:t>&lt;</w:t>
            </w:r>
            <w:r w:rsidR="005D38FB" w:rsidRPr="005D38FB">
              <w:rPr>
                <w:rFonts w:ascii="Arial" w:hAnsi="Arial" w:cs="Arial"/>
                <w:b/>
                <w:bCs/>
                <w:color w:val="000000"/>
              </w:rPr>
              <w:t>0,001 CV=0,675</w:t>
            </w:r>
          </w:p>
        </w:tc>
        <w:tc>
          <w:tcPr>
            <w:tcW w:w="1843" w:type="dxa"/>
            <w:tcBorders>
              <w:top w:val="nil"/>
              <w:left w:val="nil"/>
              <w:bottom w:val="single" w:sz="4" w:space="0" w:color="auto"/>
              <w:right w:val="single" w:sz="4" w:space="0" w:color="auto"/>
            </w:tcBorders>
            <w:shd w:val="clear" w:color="auto" w:fill="auto"/>
            <w:vAlign w:val="center"/>
            <w:hideMark/>
          </w:tcPr>
          <w:p w14:paraId="44619F7A" w14:textId="2F17E9CD" w:rsidR="005D38FB" w:rsidRPr="005D38FB" w:rsidRDefault="00E25CCF" w:rsidP="005D38FB">
            <w:pPr>
              <w:jc w:val="center"/>
              <w:rPr>
                <w:rFonts w:ascii="Arial" w:hAnsi="Arial" w:cs="Arial"/>
                <w:b/>
                <w:bCs/>
                <w:color w:val="000000"/>
              </w:rPr>
            </w:pPr>
            <w:r>
              <w:rPr>
                <w:rFonts w:ascii="Arial" w:hAnsi="Arial" w:cs="Arial"/>
                <w:b/>
                <w:bCs/>
                <w:color w:val="000000"/>
              </w:rPr>
              <w:t>p=</w:t>
            </w:r>
            <w:r w:rsidR="005D38FB" w:rsidRPr="005D38FB">
              <w:rPr>
                <w:rFonts w:ascii="Arial" w:hAnsi="Arial" w:cs="Arial"/>
                <w:b/>
                <w:bCs/>
                <w:color w:val="000000"/>
              </w:rPr>
              <w:t>0,042 CV=0,111</w:t>
            </w:r>
          </w:p>
        </w:tc>
        <w:tc>
          <w:tcPr>
            <w:tcW w:w="1984" w:type="dxa"/>
            <w:tcBorders>
              <w:top w:val="nil"/>
              <w:left w:val="nil"/>
              <w:bottom w:val="single" w:sz="4" w:space="0" w:color="auto"/>
              <w:right w:val="single" w:sz="4" w:space="0" w:color="auto"/>
              <w:tr2bl w:val="single" w:sz="4" w:space="0" w:color="auto"/>
            </w:tcBorders>
            <w:shd w:val="clear" w:color="auto" w:fill="auto"/>
            <w:vAlign w:val="center"/>
            <w:hideMark/>
          </w:tcPr>
          <w:p w14:paraId="702FD51F" w14:textId="77777777" w:rsidR="005D38FB" w:rsidRPr="005D38FB" w:rsidRDefault="005D38FB" w:rsidP="005D38FB">
            <w:pPr>
              <w:jc w:val="center"/>
              <w:rPr>
                <w:rFonts w:ascii="Arial" w:hAnsi="Arial" w:cs="Arial"/>
                <w:color w:val="000000"/>
              </w:rPr>
            </w:pPr>
            <w:r w:rsidRPr="005D38FB">
              <w:rPr>
                <w:rFonts w:ascii="Arial" w:hAnsi="Arial" w:cs="Arial"/>
                <w:color w:val="000000"/>
              </w:rPr>
              <w:t> </w:t>
            </w:r>
          </w:p>
        </w:tc>
        <w:tc>
          <w:tcPr>
            <w:tcW w:w="1985" w:type="dxa"/>
            <w:tcBorders>
              <w:top w:val="nil"/>
              <w:left w:val="nil"/>
              <w:bottom w:val="single" w:sz="4" w:space="0" w:color="auto"/>
              <w:right w:val="single" w:sz="4" w:space="0" w:color="auto"/>
            </w:tcBorders>
            <w:shd w:val="clear" w:color="auto" w:fill="auto"/>
            <w:noWrap/>
            <w:vAlign w:val="center"/>
            <w:hideMark/>
          </w:tcPr>
          <w:p w14:paraId="094B86EF" w14:textId="77777777" w:rsidR="00BB05C3" w:rsidRDefault="00BB05C3" w:rsidP="00BB05C3">
            <w:pPr>
              <w:jc w:val="center"/>
              <w:rPr>
                <w:rFonts w:ascii="Arial" w:hAnsi="Arial" w:cs="Arial"/>
                <w:b/>
                <w:bCs/>
                <w:color w:val="000000"/>
              </w:rPr>
            </w:pPr>
            <w:r>
              <w:rPr>
                <w:rFonts w:ascii="Arial" w:hAnsi="Arial" w:cs="Arial"/>
                <w:b/>
                <w:bCs/>
                <w:color w:val="000000"/>
              </w:rPr>
              <w:t>p=</w:t>
            </w:r>
            <w:r w:rsidRPr="005D38FB">
              <w:rPr>
                <w:rFonts w:ascii="Arial" w:hAnsi="Arial" w:cs="Arial"/>
                <w:b/>
                <w:bCs/>
                <w:color w:val="000000"/>
              </w:rPr>
              <w:t xml:space="preserve">0,009 </w:t>
            </w:r>
          </w:p>
          <w:p w14:paraId="7610033D" w14:textId="31842BC8" w:rsidR="00420F30" w:rsidRPr="003E0FFD" w:rsidRDefault="00BB05C3" w:rsidP="00BB05C3">
            <w:pPr>
              <w:jc w:val="center"/>
              <w:rPr>
                <w:rFonts w:ascii="Calibri" w:hAnsi="Calibri" w:cs="Calibri"/>
                <w:color w:val="000000" w:themeColor="text1"/>
                <w:sz w:val="22"/>
                <w:szCs w:val="22"/>
              </w:rPr>
            </w:pPr>
            <w:r w:rsidRPr="005D38FB">
              <w:rPr>
                <w:rFonts w:ascii="Arial" w:hAnsi="Arial" w:cs="Arial"/>
                <w:b/>
                <w:bCs/>
                <w:color w:val="000000"/>
              </w:rPr>
              <w:t>Fí=0,115</w:t>
            </w:r>
          </w:p>
        </w:tc>
        <w:tc>
          <w:tcPr>
            <w:tcW w:w="1984" w:type="dxa"/>
            <w:tcBorders>
              <w:top w:val="nil"/>
              <w:left w:val="nil"/>
              <w:bottom w:val="single" w:sz="4" w:space="0" w:color="auto"/>
              <w:right w:val="single" w:sz="4" w:space="0" w:color="auto"/>
            </w:tcBorders>
            <w:shd w:val="clear" w:color="auto" w:fill="auto"/>
            <w:vAlign w:val="center"/>
            <w:hideMark/>
          </w:tcPr>
          <w:p w14:paraId="7ACD0A6C" w14:textId="77777777" w:rsidR="00BB05C3" w:rsidRDefault="00BB05C3" w:rsidP="00BB05C3">
            <w:pPr>
              <w:jc w:val="center"/>
              <w:rPr>
                <w:rFonts w:ascii="Arial" w:hAnsi="Arial" w:cs="Arial"/>
                <w:b/>
                <w:bCs/>
                <w:color w:val="000000"/>
              </w:rPr>
            </w:pPr>
            <w:r>
              <w:rPr>
                <w:rFonts w:ascii="Arial" w:hAnsi="Arial" w:cs="Arial"/>
                <w:b/>
                <w:bCs/>
                <w:color w:val="000000"/>
              </w:rPr>
              <w:t>p=</w:t>
            </w:r>
            <w:r w:rsidRPr="005D38FB">
              <w:rPr>
                <w:rFonts w:ascii="Arial" w:hAnsi="Arial" w:cs="Arial"/>
                <w:b/>
                <w:bCs/>
                <w:color w:val="000000"/>
              </w:rPr>
              <w:t xml:space="preserve">0,042 </w:t>
            </w:r>
          </w:p>
          <w:p w14:paraId="5F593A76" w14:textId="2715CE4B" w:rsidR="004A429D" w:rsidRPr="003E0FFD" w:rsidRDefault="00BB05C3" w:rsidP="00BB05C3">
            <w:pPr>
              <w:jc w:val="center"/>
              <w:rPr>
                <w:rFonts w:ascii="Arial" w:hAnsi="Arial" w:cs="Arial"/>
                <w:color w:val="000000" w:themeColor="text1"/>
              </w:rPr>
            </w:pPr>
            <w:r w:rsidRPr="005D38FB">
              <w:rPr>
                <w:rFonts w:ascii="Arial" w:hAnsi="Arial" w:cs="Arial"/>
                <w:b/>
                <w:bCs/>
                <w:color w:val="000000"/>
              </w:rPr>
              <w:t>Fí=0,090</w:t>
            </w:r>
          </w:p>
        </w:tc>
        <w:tc>
          <w:tcPr>
            <w:tcW w:w="541" w:type="dxa"/>
            <w:vAlign w:val="center"/>
            <w:hideMark/>
          </w:tcPr>
          <w:p w14:paraId="7D24B215" w14:textId="77777777" w:rsidR="005D38FB" w:rsidRPr="005D38FB" w:rsidRDefault="005D38FB" w:rsidP="005D38FB">
            <w:pPr>
              <w:rPr>
                <w:rFonts w:ascii="Times New Roman" w:hAnsi="Times New Roman"/>
                <w:sz w:val="20"/>
                <w:szCs w:val="20"/>
              </w:rPr>
            </w:pPr>
          </w:p>
        </w:tc>
      </w:tr>
      <w:tr w:rsidR="005D38FB" w:rsidRPr="005D38FB" w14:paraId="4873D4EF" w14:textId="77777777" w:rsidTr="00BD72BA">
        <w:trPr>
          <w:trHeight w:val="850"/>
        </w:trPr>
        <w:tc>
          <w:tcPr>
            <w:tcW w:w="2689" w:type="dxa"/>
            <w:tcBorders>
              <w:top w:val="nil"/>
              <w:left w:val="single" w:sz="4" w:space="0" w:color="auto"/>
              <w:bottom w:val="single" w:sz="4" w:space="0" w:color="auto"/>
              <w:right w:val="single" w:sz="4" w:space="0" w:color="auto"/>
            </w:tcBorders>
            <w:shd w:val="clear" w:color="000000" w:fill="DDEBF7"/>
            <w:vAlign w:val="center"/>
            <w:hideMark/>
          </w:tcPr>
          <w:p w14:paraId="79A5B405" w14:textId="77777777" w:rsidR="005D38FB" w:rsidRPr="005D38FB" w:rsidRDefault="005D38FB" w:rsidP="005D38FB">
            <w:pPr>
              <w:jc w:val="center"/>
              <w:rPr>
                <w:rFonts w:ascii="Arial" w:hAnsi="Arial" w:cs="Arial"/>
                <w:b/>
                <w:bCs/>
                <w:color w:val="000000"/>
              </w:rPr>
            </w:pPr>
            <w:r w:rsidRPr="005D38FB">
              <w:rPr>
                <w:rFonts w:ascii="Arial" w:hAnsi="Arial" w:cs="Arial"/>
                <w:b/>
                <w:bCs/>
                <w:color w:val="000000"/>
              </w:rPr>
              <w:t>Využití zobrazovacích metod</w:t>
            </w:r>
          </w:p>
        </w:tc>
        <w:tc>
          <w:tcPr>
            <w:tcW w:w="1984" w:type="dxa"/>
            <w:tcBorders>
              <w:top w:val="nil"/>
              <w:left w:val="nil"/>
              <w:bottom w:val="single" w:sz="4" w:space="0" w:color="auto"/>
              <w:right w:val="single" w:sz="4" w:space="0" w:color="auto"/>
            </w:tcBorders>
            <w:shd w:val="clear" w:color="auto" w:fill="auto"/>
            <w:vAlign w:val="center"/>
            <w:hideMark/>
          </w:tcPr>
          <w:p w14:paraId="64F82823" w14:textId="5BBF2E22" w:rsidR="005D38FB" w:rsidRPr="005D38FB" w:rsidRDefault="00E25CCF" w:rsidP="005D38FB">
            <w:pPr>
              <w:jc w:val="center"/>
              <w:rPr>
                <w:rFonts w:ascii="Arial" w:hAnsi="Arial" w:cs="Arial"/>
                <w:b/>
                <w:bCs/>
                <w:color w:val="000000"/>
              </w:rPr>
            </w:pPr>
            <w:r>
              <w:rPr>
                <w:rFonts w:ascii="Calibri" w:hAnsi="Calibri" w:cs="Calibri"/>
                <w:b/>
                <w:bCs/>
                <w:color w:val="000000"/>
              </w:rPr>
              <w:t xml:space="preserve">p </w:t>
            </w:r>
            <w:r w:rsidR="005D38FB" w:rsidRPr="005D38FB">
              <w:rPr>
                <w:rFonts w:ascii="Calibri" w:hAnsi="Calibri" w:cs="Calibri"/>
                <w:b/>
                <w:bCs/>
                <w:color w:val="000000"/>
              </w:rPr>
              <w:t>&lt;</w:t>
            </w:r>
            <w:r w:rsidR="005D38FB" w:rsidRPr="005D38FB">
              <w:rPr>
                <w:rFonts w:ascii="Arial" w:hAnsi="Arial" w:cs="Arial"/>
                <w:b/>
                <w:bCs/>
                <w:color w:val="000000"/>
              </w:rPr>
              <w:t>0,001 CV=0,213</w:t>
            </w:r>
          </w:p>
        </w:tc>
        <w:tc>
          <w:tcPr>
            <w:tcW w:w="1843" w:type="dxa"/>
            <w:tcBorders>
              <w:top w:val="nil"/>
              <w:left w:val="nil"/>
              <w:bottom w:val="single" w:sz="4" w:space="0" w:color="auto"/>
              <w:right w:val="single" w:sz="4" w:space="0" w:color="auto"/>
            </w:tcBorders>
            <w:shd w:val="clear" w:color="auto" w:fill="auto"/>
            <w:vAlign w:val="center"/>
            <w:hideMark/>
          </w:tcPr>
          <w:p w14:paraId="1F28BE87" w14:textId="527E8697" w:rsidR="005D38FB" w:rsidRPr="005D38FB" w:rsidRDefault="00E25CCF" w:rsidP="005D38FB">
            <w:pPr>
              <w:jc w:val="center"/>
              <w:rPr>
                <w:rFonts w:ascii="Arial" w:hAnsi="Arial" w:cs="Arial"/>
                <w:b/>
                <w:bCs/>
                <w:color w:val="000000"/>
              </w:rPr>
            </w:pPr>
            <w:r>
              <w:rPr>
                <w:rFonts w:ascii="Arial" w:hAnsi="Arial" w:cs="Arial"/>
                <w:b/>
                <w:bCs/>
                <w:color w:val="000000"/>
              </w:rPr>
              <w:t>p=</w:t>
            </w:r>
            <w:r w:rsidR="005D38FB" w:rsidRPr="005D38FB">
              <w:rPr>
                <w:rFonts w:ascii="Arial" w:hAnsi="Arial" w:cs="Arial"/>
                <w:b/>
                <w:bCs/>
                <w:color w:val="000000"/>
              </w:rPr>
              <w:t>0,005 CV=0,144</w:t>
            </w:r>
          </w:p>
        </w:tc>
        <w:tc>
          <w:tcPr>
            <w:tcW w:w="1984" w:type="dxa"/>
            <w:tcBorders>
              <w:top w:val="nil"/>
              <w:left w:val="nil"/>
              <w:bottom w:val="single" w:sz="4" w:space="0" w:color="auto"/>
              <w:right w:val="single" w:sz="4" w:space="0" w:color="auto"/>
            </w:tcBorders>
            <w:shd w:val="clear" w:color="auto" w:fill="auto"/>
            <w:vAlign w:val="center"/>
            <w:hideMark/>
          </w:tcPr>
          <w:p w14:paraId="4CEC7748" w14:textId="2D225495" w:rsidR="006A6FB0" w:rsidRDefault="00E25CCF" w:rsidP="005D38FB">
            <w:pPr>
              <w:jc w:val="center"/>
              <w:rPr>
                <w:rFonts w:ascii="Arial" w:hAnsi="Arial" w:cs="Arial"/>
                <w:b/>
                <w:bCs/>
                <w:color w:val="000000"/>
              </w:rPr>
            </w:pPr>
            <w:r>
              <w:rPr>
                <w:rFonts w:ascii="Arial" w:hAnsi="Arial" w:cs="Arial"/>
                <w:b/>
                <w:bCs/>
                <w:color w:val="000000"/>
              </w:rPr>
              <w:t>p=</w:t>
            </w:r>
            <w:r w:rsidR="005D38FB" w:rsidRPr="005D38FB">
              <w:rPr>
                <w:rFonts w:ascii="Arial" w:hAnsi="Arial" w:cs="Arial"/>
                <w:b/>
                <w:bCs/>
                <w:color w:val="000000"/>
              </w:rPr>
              <w:t xml:space="preserve">0,009 </w:t>
            </w:r>
          </w:p>
          <w:p w14:paraId="79220586" w14:textId="779C9426" w:rsidR="005D38FB" w:rsidRPr="005D38FB" w:rsidRDefault="005D38FB" w:rsidP="005D38FB">
            <w:pPr>
              <w:jc w:val="center"/>
              <w:rPr>
                <w:rFonts w:ascii="Arial" w:hAnsi="Arial" w:cs="Arial"/>
                <w:b/>
                <w:bCs/>
                <w:color w:val="000000"/>
              </w:rPr>
            </w:pPr>
            <w:r w:rsidRPr="005D38FB">
              <w:rPr>
                <w:rFonts w:ascii="Arial" w:hAnsi="Arial" w:cs="Arial"/>
                <w:b/>
                <w:bCs/>
                <w:color w:val="000000"/>
              </w:rPr>
              <w:t>Fí=0,115</w:t>
            </w:r>
          </w:p>
        </w:tc>
        <w:tc>
          <w:tcPr>
            <w:tcW w:w="1985" w:type="dxa"/>
            <w:tcBorders>
              <w:top w:val="nil"/>
              <w:left w:val="nil"/>
              <w:bottom w:val="single" w:sz="4" w:space="0" w:color="auto"/>
              <w:right w:val="single" w:sz="4" w:space="0" w:color="auto"/>
              <w:tr2bl w:val="single" w:sz="4" w:space="0" w:color="auto"/>
            </w:tcBorders>
            <w:shd w:val="clear" w:color="auto" w:fill="auto"/>
            <w:vAlign w:val="center"/>
            <w:hideMark/>
          </w:tcPr>
          <w:p w14:paraId="293AE6A2" w14:textId="77777777" w:rsidR="005D38FB" w:rsidRPr="005D38FB" w:rsidRDefault="005D38FB" w:rsidP="005D38FB">
            <w:pPr>
              <w:jc w:val="center"/>
              <w:rPr>
                <w:rFonts w:ascii="Arial" w:hAnsi="Arial" w:cs="Arial"/>
                <w:color w:val="000000"/>
              </w:rPr>
            </w:pPr>
            <w:r w:rsidRPr="005D38FB">
              <w:rPr>
                <w:rFonts w:ascii="Arial" w:hAnsi="Arial" w:cs="Arial"/>
                <w:color w:val="000000"/>
              </w:rPr>
              <w:t> </w:t>
            </w:r>
          </w:p>
        </w:tc>
        <w:tc>
          <w:tcPr>
            <w:tcW w:w="1984" w:type="dxa"/>
            <w:tcBorders>
              <w:top w:val="nil"/>
              <w:left w:val="nil"/>
              <w:bottom w:val="single" w:sz="4" w:space="0" w:color="auto"/>
              <w:right w:val="single" w:sz="4" w:space="0" w:color="auto"/>
            </w:tcBorders>
            <w:shd w:val="clear" w:color="auto" w:fill="auto"/>
            <w:noWrap/>
            <w:vAlign w:val="center"/>
            <w:hideMark/>
          </w:tcPr>
          <w:p w14:paraId="3F147C83" w14:textId="77777777" w:rsidR="00BB05C3" w:rsidRDefault="00BB05C3" w:rsidP="00BB05C3">
            <w:pPr>
              <w:jc w:val="center"/>
              <w:rPr>
                <w:rFonts w:ascii="Arial" w:hAnsi="Arial" w:cs="Arial"/>
                <w:b/>
                <w:bCs/>
                <w:color w:val="000000"/>
              </w:rPr>
            </w:pPr>
            <w:r>
              <w:rPr>
                <w:rFonts w:ascii="Arial" w:hAnsi="Arial" w:cs="Arial"/>
                <w:b/>
                <w:bCs/>
                <w:color w:val="000000"/>
              </w:rPr>
              <w:t>p=</w:t>
            </w:r>
            <w:r w:rsidRPr="005D38FB">
              <w:rPr>
                <w:rFonts w:ascii="Arial" w:hAnsi="Arial" w:cs="Arial"/>
                <w:b/>
                <w:bCs/>
                <w:color w:val="000000"/>
              </w:rPr>
              <w:t xml:space="preserve">0,004 </w:t>
            </w:r>
          </w:p>
          <w:p w14:paraId="53AE9F8E" w14:textId="0FF9961E" w:rsidR="005D38FB" w:rsidRPr="005D38FB" w:rsidRDefault="00BB05C3" w:rsidP="00BB05C3">
            <w:pPr>
              <w:jc w:val="center"/>
              <w:rPr>
                <w:rFonts w:ascii="Calibri" w:hAnsi="Calibri" w:cs="Calibri"/>
                <w:color w:val="000000"/>
                <w:sz w:val="22"/>
                <w:szCs w:val="22"/>
              </w:rPr>
            </w:pPr>
            <w:r w:rsidRPr="005D38FB">
              <w:rPr>
                <w:rFonts w:ascii="Arial" w:hAnsi="Arial" w:cs="Arial"/>
                <w:b/>
                <w:bCs/>
                <w:color w:val="000000"/>
              </w:rPr>
              <w:t>Fí=0,128</w:t>
            </w:r>
          </w:p>
        </w:tc>
        <w:tc>
          <w:tcPr>
            <w:tcW w:w="541" w:type="dxa"/>
            <w:vAlign w:val="center"/>
            <w:hideMark/>
          </w:tcPr>
          <w:p w14:paraId="6D2BE818" w14:textId="77777777" w:rsidR="005D38FB" w:rsidRPr="005D38FB" w:rsidRDefault="005D38FB" w:rsidP="005D38FB">
            <w:pPr>
              <w:rPr>
                <w:rFonts w:ascii="Times New Roman" w:hAnsi="Times New Roman"/>
                <w:sz w:val="20"/>
                <w:szCs w:val="20"/>
              </w:rPr>
            </w:pPr>
          </w:p>
        </w:tc>
      </w:tr>
      <w:tr w:rsidR="005D38FB" w:rsidRPr="005D38FB" w14:paraId="0A04D003" w14:textId="77777777" w:rsidTr="00BD72BA">
        <w:trPr>
          <w:trHeight w:val="850"/>
        </w:trPr>
        <w:tc>
          <w:tcPr>
            <w:tcW w:w="2689" w:type="dxa"/>
            <w:tcBorders>
              <w:top w:val="nil"/>
              <w:left w:val="single" w:sz="4" w:space="0" w:color="auto"/>
              <w:bottom w:val="single" w:sz="4" w:space="0" w:color="auto"/>
              <w:right w:val="single" w:sz="4" w:space="0" w:color="auto"/>
            </w:tcBorders>
            <w:shd w:val="clear" w:color="000000" w:fill="DDEBF7"/>
            <w:vAlign w:val="center"/>
            <w:hideMark/>
          </w:tcPr>
          <w:p w14:paraId="1EBCA42D" w14:textId="77777777" w:rsidR="005D38FB" w:rsidRPr="005D38FB" w:rsidRDefault="005D38FB" w:rsidP="005D38FB">
            <w:pPr>
              <w:jc w:val="center"/>
              <w:rPr>
                <w:rFonts w:ascii="Arial" w:hAnsi="Arial" w:cs="Arial"/>
                <w:b/>
                <w:bCs/>
                <w:color w:val="000000"/>
              </w:rPr>
            </w:pPr>
            <w:r w:rsidRPr="005D38FB">
              <w:rPr>
                <w:rFonts w:ascii="Arial" w:hAnsi="Arial" w:cs="Arial"/>
                <w:b/>
                <w:bCs/>
                <w:color w:val="000000"/>
              </w:rPr>
              <w:t>Konzilium specialisty</w:t>
            </w:r>
          </w:p>
        </w:tc>
        <w:tc>
          <w:tcPr>
            <w:tcW w:w="1984" w:type="dxa"/>
            <w:tcBorders>
              <w:top w:val="nil"/>
              <w:left w:val="nil"/>
              <w:bottom w:val="single" w:sz="4" w:space="0" w:color="auto"/>
              <w:right w:val="single" w:sz="4" w:space="0" w:color="auto"/>
            </w:tcBorders>
            <w:shd w:val="clear" w:color="auto" w:fill="auto"/>
            <w:vAlign w:val="center"/>
            <w:hideMark/>
          </w:tcPr>
          <w:p w14:paraId="45F31389" w14:textId="26012F6C" w:rsidR="005D38FB" w:rsidRPr="005D38FB" w:rsidRDefault="009250A5" w:rsidP="005D38FB">
            <w:pPr>
              <w:jc w:val="center"/>
              <w:rPr>
                <w:rFonts w:ascii="Arial" w:hAnsi="Arial" w:cs="Arial"/>
                <w:color w:val="000000"/>
              </w:rPr>
            </w:pPr>
            <w:r>
              <w:rPr>
                <w:rFonts w:ascii="Arial" w:hAnsi="Arial" w:cs="Arial"/>
                <w:color w:val="000000"/>
              </w:rPr>
              <w:t xml:space="preserve">** </w:t>
            </w:r>
            <w:r w:rsidR="00E25CCF">
              <w:rPr>
                <w:rFonts w:ascii="Arial" w:hAnsi="Arial" w:cs="Arial"/>
                <w:color w:val="000000"/>
              </w:rPr>
              <w:t>p=</w:t>
            </w:r>
            <w:r w:rsidR="005D38FB" w:rsidRPr="005D38FB">
              <w:rPr>
                <w:rFonts w:ascii="Arial" w:hAnsi="Arial" w:cs="Arial"/>
                <w:color w:val="000000"/>
              </w:rPr>
              <w:t>0,</w:t>
            </w:r>
            <w:r w:rsidR="000A1346">
              <w:rPr>
                <w:rFonts w:ascii="Arial" w:hAnsi="Arial" w:cs="Arial"/>
                <w:color w:val="000000"/>
              </w:rPr>
              <w:t>490</w:t>
            </w:r>
          </w:p>
        </w:tc>
        <w:tc>
          <w:tcPr>
            <w:tcW w:w="1843" w:type="dxa"/>
            <w:tcBorders>
              <w:top w:val="nil"/>
              <w:left w:val="nil"/>
              <w:bottom w:val="single" w:sz="4" w:space="0" w:color="auto"/>
              <w:right w:val="single" w:sz="4" w:space="0" w:color="auto"/>
            </w:tcBorders>
            <w:shd w:val="clear" w:color="auto" w:fill="auto"/>
            <w:vAlign w:val="center"/>
            <w:hideMark/>
          </w:tcPr>
          <w:p w14:paraId="194149A9" w14:textId="20E3E1D0" w:rsidR="005D38FB" w:rsidRPr="005D38FB" w:rsidRDefault="00BE387C" w:rsidP="005D38FB">
            <w:pPr>
              <w:jc w:val="center"/>
              <w:rPr>
                <w:rFonts w:ascii="Arial" w:hAnsi="Arial" w:cs="Arial"/>
                <w:color w:val="000000"/>
              </w:rPr>
            </w:pPr>
            <w:r>
              <w:rPr>
                <w:rFonts w:ascii="Arial" w:hAnsi="Arial" w:cs="Arial"/>
                <w:color w:val="000000"/>
              </w:rPr>
              <w:t xml:space="preserve">** </w:t>
            </w:r>
            <w:r w:rsidR="00E25CCF">
              <w:rPr>
                <w:rFonts w:ascii="Arial" w:hAnsi="Arial" w:cs="Arial"/>
                <w:color w:val="000000"/>
              </w:rPr>
              <w:t>p=</w:t>
            </w:r>
            <w:r w:rsidR="005D38FB" w:rsidRPr="005D38FB">
              <w:rPr>
                <w:rFonts w:ascii="Arial" w:hAnsi="Arial" w:cs="Arial"/>
                <w:color w:val="000000"/>
              </w:rPr>
              <w:t>0,</w:t>
            </w:r>
            <w:r w:rsidR="006A4060">
              <w:rPr>
                <w:rFonts w:ascii="Arial" w:hAnsi="Arial" w:cs="Arial"/>
                <w:color w:val="000000"/>
              </w:rPr>
              <w:t>271</w:t>
            </w:r>
          </w:p>
        </w:tc>
        <w:tc>
          <w:tcPr>
            <w:tcW w:w="1984" w:type="dxa"/>
            <w:tcBorders>
              <w:top w:val="nil"/>
              <w:left w:val="nil"/>
              <w:bottom w:val="single" w:sz="4" w:space="0" w:color="auto"/>
              <w:right w:val="single" w:sz="4" w:space="0" w:color="auto"/>
            </w:tcBorders>
            <w:shd w:val="clear" w:color="auto" w:fill="auto"/>
            <w:vAlign w:val="center"/>
            <w:hideMark/>
          </w:tcPr>
          <w:p w14:paraId="7EA96B01" w14:textId="65C4F0DA" w:rsidR="006A6FB0" w:rsidRDefault="00E82791" w:rsidP="005D38FB">
            <w:pPr>
              <w:jc w:val="center"/>
              <w:rPr>
                <w:rFonts w:ascii="Arial" w:hAnsi="Arial" w:cs="Arial"/>
                <w:b/>
                <w:bCs/>
                <w:color w:val="000000"/>
              </w:rPr>
            </w:pPr>
            <w:r>
              <w:rPr>
                <w:rFonts w:ascii="Arial" w:hAnsi="Arial" w:cs="Arial"/>
                <w:b/>
                <w:bCs/>
                <w:color w:val="000000"/>
              </w:rPr>
              <w:t>p=</w:t>
            </w:r>
            <w:r w:rsidR="005D38FB" w:rsidRPr="005D38FB">
              <w:rPr>
                <w:rFonts w:ascii="Arial" w:hAnsi="Arial" w:cs="Arial"/>
                <w:b/>
                <w:bCs/>
                <w:color w:val="000000"/>
              </w:rPr>
              <w:t xml:space="preserve">0,042 </w:t>
            </w:r>
          </w:p>
          <w:p w14:paraId="78B39888" w14:textId="030F57D6" w:rsidR="005D38FB" w:rsidRPr="005D38FB" w:rsidRDefault="005D38FB" w:rsidP="005D38FB">
            <w:pPr>
              <w:jc w:val="center"/>
              <w:rPr>
                <w:rFonts w:ascii="Arial" w:hAnsi="Arial" w:cs="Arial"/>
                <w:b/>
                <w:bCs/>
                <w:color w:val="000000"/>
              </w:rPr>
            </w:pPr>
            <w:r w:rsidRPr="005D38FB">
              <w:rPr>
                <w:rFonts w:ascii="Arial" w:hAnsi="Arial" w:cs="Arial"/>
                <w:b/>
                <w:bCs/>
                <w:color w:val="000000"/>
              </w:rPr>
              <w:t>Fí=0,090</w:t>
            </w:r>
          </w:p>
        </w:tc>
        <w:tc>
          <w:tcPr>
            <w:tcW w:w="1985" w:type="dxa"/>
            <w:tcBorders>
              <w:top w:val="nil"/>
              <w:left w:val="nil"/>
              <w:bottom w:val="single" w:sz="4" w:space="0" w:color="auto"/>
              <w:right w:val="single" w:sz="4" w:space="0" w:color="auto"/>
            </w:tcBorders>
            <w:shd w:val="clear" w:color="auto" w:fill="auto"/>
            <w:vAlign w:val="center"/>
            <w:hideMark/>
          </w:tcPr>
          <w:p w14:paraId="4801022E" w14:textId="4D4806FF" w:rsidR="006A6FB0" w:rsidRDefault="00E82791" w:rsidP="005D38FB">
            <w:pPr>
              <w:jc w:val="center"/>
              <w:rPr>
                <w:rFonts w:ascii="Arial" w:hAnsi="Arial" w:cs="Arial"/>
                <w:b/>
                <w:bCs/>
                <w:color w:val="000000"/>
              </w:rPr>
            </w:pPr>
            <w:r>
              <w:rPr>
                <w:rFonts w:ascii="Arial" w:hAnsi="Arial" w:cs="Arial"/>
                <w:b/>
                <w:bCs/>
                <w:color w:val="000000"/>
              </w:rPr>
              <w:t>p=</w:t>
            </w:r>
            <w:r w:rsidR="005D38FB" w:rsidRPr="005D38FB">
              <w:rPr>
                <w:rFonts w:ascii="Arial" w:hAnsi="Arial" w:cs="Arial"/>
                <w:b/>
                <w:bCs/>
                <w:color w:val="000000"/>
              </w:rPr>
              <w:t xml:space="preserve">0,004 </w:t>
            </w:r>
          </w:p>
          <w:p w14:paraId="1CEF85D4" w14:textId="4FCEB4F5" w:rsidR="005D38FB" w:rsidRPr="005D38FB" w:rsidRDefault="005D38FB" w:rsidP="005D38FB">
            <w:pPr>
              <w:jc w:val="center"/>
              <w:rPr>
                <w:rFonts w:ascii="Arial" w:hAnsi="Arial" w:cs="Arial"/>
                <w:b/>
                <w:bCs/>
                <w:color w:val="000000"/>
              </w:rPr>
            </w:pPr>
            <w:r w:rsidRPr="005D38FB">
              <w:rPr>
                <w:rFonts w:ascii="Arial" w:hAnsi="Arial" w:cs="Arial"/>
                <w:b/>
                <w:bCs/>
                <w:color w:val="000000"/>
              </w:rPr>
              <w:t>Fí=0,128</w:t>
            </w:r>
          </w:p>
        </w:tc>
        <w:tc>
          <w:tcPr>
            <w:tcW w:w="1984" w:type="dxa"/>
            <w:tcBorders>
              <w:top w:val="nil"/>
              <w:left w:val="nil"/>
              <w:bottom w:val="single" w:sz="4" w:space="0" w:color="auto"/>
              <w:right w:val="single" w:sz="4" w:space="0" w:color="auto"/>
              <w:tr2bl w:val="single" w:sz="4" w:space="0" w:color="auto"/>
            </w:tcBorders>
            <w:shd w:val="clear" w:color="auto" w:fill="auto"/>
            <w:vAlign w:val="center"/>
            <w:hideMark/>
          </w:tcPr>
          <w:p w14:paraId="2BEDE990" w14:textId="77777777" w:rsidR="005D38FB" w:rsidRPr="005D38FB" w:rsidRDefault="005D38FB" w:rsidP="005D38FB">
            <w:pPr>
              <w:jc w:val="center"/>
              <w:rPr>
                <w:rFonts w:ascii="Arial" w:hAnsi="Arial" w:cs="Arial"/>
                <w:color w:val="000000"/>
              </w:rPr>
            </w:pPr>
            <w:r w:rsidRPr="005D38FB">
              <w:rPr>
                <w:rFonts w:ascii="Arial" w:hAnsi="Arial" w:cs="Arial"/>
                <w:color w:val="000000"/>
              </w:rPr>
              <w:t> </w:t>
            </w:r>
          </w:p>
        </w:tc>
        <w:tc>
          <w:tcPr>
            <w:tcW w:w="541" w:type="dxa"/>
            <w:vAlign w:val="center"/>
            <w:hideMark/>
          </w:tcPr>
          <w:p w14:paraId="61260118" w14:textId="77777777" w:rsidR="005D38FB" w:rsidRPr="005D38FB" w:rsidRDefault="005D38FB" w:rsidP="005D38FB">
            <w:pPr>
              <w:rPr>
                <w:rFonts w:ascii="Times New Roman" w:hAnsi="Times New Roman"/>
                <w:sz w:val="20"/>
                <w:szCs w:val="20"/>
              </w:rPr>
            </w:pPr>
          </w:p>
        </w:tc>
      </w:tr>
    </w:tbl>
    <w:p w14:paraId="5205B29D" w14:textId="7D6E07A9" w:rsidR="00415258" w:rsidRDefault="006E31A5" w:rsidP="006E31A5">
      <w:pPr>
        <w:pStyle w:val="Popisobrzku"/>
      </w:pPr>
      <w:r w:rsidRPr="005D38FB">
        <w:t xml:space="preserve">Chí-kvadrát test (χ2), koeficient </w:t>
      </w:r>
      <w:proofErr w:type="spellStart"/>
      <w:r w:rsidRPr="005D38FB">
        <w:t>asociance</w:t>
      </w:r>
      <w:proofErr w:type="spellEnd"/>
      <w:r w:rsidRPr="005D38FB">
        <w:t xml:space="preserve"> Fí a </w:t>
      </w:r>
      <w:proofErr w:type="spellStart"/>
      <w:r w:rsidRPr="005D38FB">
        <w:t>Cramerovo</w:t>
      </w:r>
      <w:proofErr w:type="spellEnd"/>
      <w:r w:rsidRPr="005D38FB">
        <w:t xml:space="preserve"> V (CV) byly použity s hladinou významnosti &lt;0,05.</w:t>
      </w:r>
      <w:r w:rsidR="00B80D75">
        <w:t xml:space="preserve"> **</w:t>
      </w:r>
      <w:r w:rsidR="00B80D75" w:rsidRPr="00B80D75">
        <w:t xml:space="preserve"> </w:t>
      </w:r>
      <w:r w:rsidR="008A508E" w:rsidRPr="008A508E">
        <w:t xml:space="preserve">Z důvodu splnění podmínek pro výpočet </w:t>
      </w:r>
      <w:proofErr w:type="spellStart"/>
      <w:r w:rsidR="008A508E" w:rsidRPr="008A508E">
        <w:t>Pearsonova</w:t>
      </w:r>
      <w:proofErr w:type="spellEnd"/>
      <w:r w:rsidR="008A508E" w:rsidRPr="008A508E">
        <w:t xml:space="preserve"> chí-kvadrátu bylo v dílčí analýze použito rozdělení do dvou kategorií způsobů dopravy k ošetření, a to ZZS a jiný než ZZS. Totéž bylo použito i u typu ošetřující ambulance, kde byla proměnná dichotomizována na pouze interní ambulanci a pouze neurologickou ambulanci, případně současně interní i neurologickou ambulanci.</w:t>
      </w:r>
    </w:p>
    <w:p w14:paraId="1D6AFC4B" w14:textId="77777777" w:rsidR="00A00819" w:rsidRDefault="00A00819" w:rsidP="00A00819">
      <w:pPr>
        <w:pStyle w:val="Dalodstavce"/>
        <w:rPr>
          <w:lang w:eastAsia="sk-SK"/>
        </w:rPr>
      </w:pPr>
    </w:p>
    <w:p w14:paraId="31191C95" w14:textId="38D7DE39" w:rsidR="008B1C8E" w:rsidRDefault="008B1C8E" w:rsidP="008B1C8E">
      <w:pPr>
        <w:pStyle w:val="Titulektabulky"/>
      </w:pPr>
      <w:bookmarkStart w:id="61" w:name="_Toc195517151"/>
      <w:r>
        <w:lastRenderedPageBreak/>
        <w:t xml:space="preserve">Tab. </w:t>
      </w:r>
      <w:fldSimple w:instr=" SEQ Tab. \* ARABIC ">
        <w:r w:rsidR="00DA18BB">
          <w:rPr>
            <w:noProof/>
          </w:rPr>
          <w:t>26</w:t>
        </w:r>
      </w:fldSimple>
      <w:r w:rsidRPr="003656E6">
        <w:t>: Vztah mezi jednotlivými službami</w:t>
      </w:r>
      <w:r>
        <w:t xml:space="preserve"> na NUP FN Brno u pacientů ve věku 75 a více let – meziroční srovnání (N=1 107; </w:t>
      </w:r>
      <w:r w:rsidRPr="00D96289">
        <w:t>*</w:t>
      </w:r>
      <w:r>
        <w:t>N=1 100)</w:t>
      </w:r>
      <w:bookmarkEnd w:id="61"/>
    </w:p>
    <w:tbl>
      <w:tblPr>
        <w:tblW w:w="13010" w:type="dxa"/>
        <w:tblCellMar>
          <w:left w:w="70" w:type="dxa"/>
          <w:right w:w="70" w:type="dxa"/>
        </w:tblCellMar>
        <w:tblLook w:val="04A0" w:firstRow="1" w:lastRow="0" w:firstColumn="1" w:lastColumn="0" w:noHBand="0" w:noVBand="1"/>
      </w:tblPr>
      <w:tblGrid>
        <w:gridCol w:w="2689"/>
        <w:gridCol w:w="1984"/>
        <w:gridCol w:w="1843"/>
        <w:gridCol w:w="1984"/>
        <w:gridCol w:w="1985"/>
        <w:gridCol w:w="1984"/>
        <w:gridCol w:w="541"/>
      </w:tblGrid>
      <w:tr w:rsidR="008B1C8E" w:rsidRPr="005D38FB" w14:paraId="4F0ECD6E" w14:textId="77777777" w:rsidTr="00E97A97">
        <w:trPr>
          <w:gridAfter w:val="1"/>
          <w:wAfter w:w="541" w:type="dxa"/>
          <w:trHeight w:val="850"/>
        </w:trPr>
        <w:tc>
          <w:tcPr>
            <w:tcW w:w="2689" w:type="dxa"/>
            <w:tcBorders>
              <w:top w:val="single" w:sz="4" w:space="0" w:color="auto"/>
              <w:left w:val="single" w:sz="4" w:space="0" w:color="auto"/>
              <w:bottom w:val="single" w:sz="4" w:space="0" w:color="auto"/>
              <w:right w:val="single" w:sz="4" w:space="0" w:color="auto"/>
              <w:tr2bl w:val="single" w:sz="4" w:space="0" w:color="auto"/>
            </w:tcBorders>
            <w:shd w:val="clear" w:color="000000" w:fill="DDEBF7"/>
            <w:vAlign w:val="center"/>
            <w:hideMark/>
          </w:tcPr>
          <w:p w14:paraId="2B6A5087" w14:textId="77777777" w:rsidR="008B1C8E" w:rsidRPr="005D38FB" w:rsidRDefault="008B1C8E" w:rsidP="00E97A97">
            <w:pPr>
              <w:jc w:val="center"/>
              <w:rPr>
                <w:rFonts w:ascii="Arial" w:hAnsi="Arial" w:cs="Arial"/>
                <w:b/>
                <w:bCs/>
                <w:color w:val="000000"/>
              </w:rPr>
            </w:pPr>
            <w:r w:rsidRPr="005D38FB">
              <w:rPr>
                <w:rFonts w:ascii="Arial" w:hAnsi="Arial" w:cs="Arial"/>
                <w:b/>
                <w:bCs/>
                <w:color w:val="000000"/>
              </w:rPr>
              <w:t> </w:t>
            </w:r>
          </w:p>
        </w:tc>
        <w:tc>
          <w:tcPr>
            <w:tcW w:w="1984" w:type="dxa"/>
            <w:tcBorders>
              <w:top w:val="single" w:sz="4" w:space="0" w:color="auto"/>
              <w:left w:val="nil"/>
              <w:bottom w:val="single" w:sz="4" w:space="0" w:color="auto"/>
              <w:right w:val="single" w:sz="4" w:space="0" w:color="auto"/>
            </w:tcBorders>
            <w:shd w:val="clear" w:color="000000" w:fill="DDEBF7"/>
            <w:vAlign w:val="center"/>
            <w:hideMark/>
          </w:tcPr>
          <w:p w14:paraId="28A02110" w14:textId="4C2F2EFF" w:rsidR="008B1C8E" w:rsidRPr="005D38FB" w:rsidRDefault="007943B6" w:rsidP="00E97A97">
            <w:pPr>
              <w:jc w:val="center"/>
              <w:rPr>
                <w:rFonts w:ascii="Arial" w:hAnsi="Arial" w:cs="Arial"/>
                <w:b/>
                <w:bCs/>
                <w:color w:val="000000"/>
              </w:rPr>
            </w:pPr>
            <w:r>
              <w:rPr>
                <w:rFonts w:ascii="Arial" w:hAnsi="Arial" w:cs="Arial"/>
                <w:b/>
                <w:bCs/>
                <w:color w:val="000000"/>
              </w:rPr>
              <w:t xml:space="preserve">* </w:t>
            </w:r>
            <w:r w:rsidR="008B1C8E" w:rsidRPr="005D38FB">
              <w:rPr>
                <w:rFonts w:ascii="Arial" w:hAnsi="Arial" w:cs="Arial"/>
                <w:b/>
                <w:bCs/>
                <w:color w:val="000000"/>
              </w:rPr>
              <w:t>Doprava</w:t>
            </w:r>
          </w:p>
        </w:tc>
        <w:tc>
          <w:tcPr>
            <w:tcW w:w="1843" w:type="dxa"/>
            <w:tcBorders>
              <w:top w:val="single" w:sz="4" w:space="0" w:color="auto"/>
              <w:left w:val="nil"/>
              <w:bottom w:val="single" w:sz="4" w:space="0" w:color="auto"/>
              <w:right w:val="single" w:sz="4" w:space="0" w:color="auto"/>
            </w:tcBorders>
            <w:shd w:val="clear" w:color="000000" w:fill="DDEBF7"/>
            <w:vAlign w:val="center"/>
            <w:hideMark/>
          </w:tcPr>
          <w:p w14:paraId="22212A5F" w14:textId="77777777" w:rsidR="008B1C8E" w:rsidRDefault="008B1C8E" w:rsidP="00E97A97">
            <w:pPr>
              <w:jc w:val="center"/>
              <w:rPr>
                <w:rFonts w:ascii="Arial" w:hAnsi="Arial" w:cs="Arial"/>
                <w:b/>
                <w:bCs/>
                <w:color w:val="000000"/>
              </w:rPr>
            </w:pPr>
            <w:r w:rsidRPr="005D38FB">
              <w:rPr>
                <w:rFonts w:ascii="Arial" w:hAnsi="Arial" w:cs="Arial"/>
                <w:b/>
                <w:bCs/>
                <w:color w:val="000000"/>
              </w:rPr>
              <w:t>Ošetřující</w:t>
            </w:r>
          </w:p>
          <w:p w14:paraId="6D6343E5" w14:textId="77777777" w:rsidR="008B1C8E" w:rsidRPr="005D38FB" w:rsidRDefault="008B1C8E" w:rsidP="00E97A97">
            <w:pPr>
              <w:jc w:val="center"/>
              <w:rPr>
                <w:rFonts w:ascii="Arial" w:hAnsi="Arial" w:cs="Arial"/>
                <w:b/>
                <w:bCs/>
                <w:color w:val="000000"/>
              </w:rPr>
            </w:pPr>
            <w:r w:rsidRPr="005D38FB">
              <w:rPr>
                <w:rFonts w:ascii="Arial" w:hAnsi="Arial" w:cs="Arial"/>
                <w:b/>
                <w:bCs/>
                <w:color w:val="000000"/>
              </w:rPr>
              <w:t>ambulance</w:t>
            </w:r>
          </w:p>
        </w:tc>
        <w:tc>
          <w:tcPr>
            <w:tcW w:w="1984" w:type="dxa"/>
            <w:tcBorders>
              <w:top w:val="single" w:sz="4" w:space="0" w:color="auto"/>
              <w:left w:val="nil"/>
              <w:bottom w:val="single" w:sz="4" w:space="0" w:color="auto"/>
              <w:right w:val="single" w:sz="4" w:space="0" w:color="auto"/>
            </w:tcBorders>
            <w:shd w:val="clear" w:color="000000" w:fill="DDEBF7"/>
            <w:vAlign w:val="center"/>
            <w:hideMark/>
          </w:tcPr>
          <w:p w14:paraId="143089AD" w14:textId="77777777" w:rsidR="008B1C8E" w:rsidRDefault="008B1C8E" w:rsidP="00E97A97">
            <w:pPr>
              <w:jc w:val="center"/>
              <w:rPr>
                <w:rFonts w:ascii="Arial" w:hAnsi="Arial" w:cs="Arial"/>
                <w:b/>
                <w:bCs/>
                <w:color w:val="000000"/>
              </w:rPr>
            </w:pPr>
            <w:r w:rsidRPr="005D38FB">
              <w:rPr>
                <w:rFonts w:ascii="Arial" w:hAnsi="Arial" w:cs="Arial"/>
                <w:b/>
                <w:bCs/>
                <w:color w:val="000000"/>
              </w:rPr>
              <w:t>Využití</w:t>
            </w:r>
          </w:p>
          <w:p w14:paraId="251E7177" w14:textId="77777777" w:rsidR="008B1C8E" w:rsidRPr="005D38FB" w:rsidRDefault="008B1C8E" w:rsidP="00E97A97">
            <w:pPr>
              <w:jc w:val="center"/>
              <w:rPr>
                <w:rFonts w:ascii="Arial" w:hAnsi="Arial" w:cs="Arial"/>
                <w:b/>
                <w:bCs/>
                <w:color w:val="000000"/>
              </w:rPr>
            </w:pPr>
            <w:r w:rsidRPr="005D38FB">
              <w:rPr>
                <w:rFonts w:ascii="Arial" w:hAnsi="Arial" w:cs="Arial"/>
                <w:b/>
                <w:bCs/>
                <w:color w:val="000000"/>
              </w:rPr>
              <w:t>observačního lůžka</w:t>
            </w:r>
          </w:p>
        </w:tc>
        <w:tc>
          <w:tcPr>
            <w:tcW w:w="1985" w:type="dxa"/>
            <w:tcBorders>
              <w:top w:val="single" w:sz="4" w:space="0" w:color="auto"/>
              <w:left w:val="nil"/>
              <w:bottom w:val="single" w:sz="4" w:space="0" w:color="auto"/>
              <w:right w:val="single" w:sz="4" w:space="0" w:color="auto"/>
            </w:tcBorders>
            <w:shd w:val="clear" w:color="000000" w:fill="DDEBF7"/>
            <w:vAlign w:val="center"/>
            <w:hideMark/>
          </w:tcPr>
          <w:p w14:paraId="1BF39DE0" w14:textId="77777777" w:rsidR="008B1C8E" w:rsidRDefault="008B1C8E" w:rsidP="00E97A97">
            <w:pPr>
              <w:jc w:val="center"/>
              <w:rPr>
                <w:rFonts w:ascii="Arial" w:hAnsi="Arial" w:cs="Arial"/>
                <w:b/>
                <w:bCs/>
                <w:color w:val="000000"/>
              </w:rPr>
            </w:pPr>
            <w:r w:rsidRPr="005D38FB">
              <w:rPr>
                <w:rFonts w:ascii="Arial" w:hAnsi="Arial" w:cs="Arial"/>
                <w:b/>
                <w:bCs/>
                <w:color w:val="000000"/>
              </w:rPr>
              <w:t>Využití</w:t>
            </w:r>
          </w:p>
          <w:p w14:paraId="6BFC6454" w14:textId="77777777" w:rsidR="008B1C8E" w:rsidRPr="005D38FB" w:rsidRDefault="008B1C8E" w:rsidP="00E97A97">
            <w:pPr>
              <w:jc w:val="center"/>
              <w:rPr>
                <w:rFonts w:ascii="Arial" w:hAnsi="Arial" w:cs="Arial"/>
                <w:b/>
                <w:bCs/>
                <w:color w:val="000000"/>
              </w:rPr>
            </w:pPr>
            <w:r w:rsidRPr="005D38FB">
              <w:rPr>
                <w:rFonts w:ascii="Arial" w:hAnsi="Arial" w:cs="Arial"/>
                <w:b/>
                <w:bCs/>
                <w:color w:val="000000"/>
              </w:rPr>
              <w:t>zobrazovacích metod</w:t>
            </w:r>
          </w:p>
        </w:tc>
        <w:tc>
          <w:tcPr>
            <w:tcW w:w="1984" w:type="dxa"/>
            <w:tcBorders>
              <w:top w:val="single" w:sz="4" w:space="0" w:color="auto"/>
              <w:left w:val="nil"/>
              <w:bottom w:val="single" w:sz="4" w:space="0" w:color="auto"/>
              <w:right w:val="single" w:sz="4" w:space="0" w:color="auto"/>
            </w:tcBorders>
            <w:shd w:val="clear" w:color="000000" w:fill="DDEBF7"/>
            <w:vAlign w:val="center"/>
            <w:hideMark/>
          </w:tcPr>
          <w:p w14:paraId="4CA1CF12" w14:textId="77777777" w:rsidR="008B1C8E" w:rsidRDefault="008B1C8E" w:rsidP="00E97A97">
            <w:pPr>
              <w:jc w:val="center"/>
              <w:rPr>
                <w:rFonts w:ascii="Arial" w:hAnsi="Arial" w:cs="Arial"/>
                <w:b/>
                <w:bCs/>
                <w:color w:val="000000"/>
              </w:rPr>
            </w:pPr>
            <w:r w:rsidRPr="005D38FB">
              <w:rPr>
                <w:rFonts w:ascii="Arial" w:hAnsi="Arial" w:cs="Arial"/>
                <w:b/>
                <w:bCs/>
                <w:color w:val="000000"/>
              </w:rPr>
              <w:t>Konzilium</w:t>
            </w:r>
          </w:p>
          <w:p w14:paraId="7691B662" w14:textId="77777777" w:rsidR="008B1C8E" w:rsidRPr="005D38FB" w:rsidRDefault="008B1C8E" w:rsidP="00E97A97">
            <w:pPr>
              <w:jc w:val="center"/>
              <w:rPr>
                <w:rFonts w:ascii="Arial" w:hAnsi="Arial" w:cs="Arial"/>
                <w:b/>
                <w:bCs/>
                <w:color w:val="000000"/>
              </w:rPr>
            </w:pPr>
            <w:r w:rsidRPr="005D38FB">
              <w:rPr>
                <w:rFonts w:ascii="Arial" w:hAnsi="Arial" w:cs="Arial"/>
                <w:b/>
                <w:bCs/>
                <w:color w:val="000000"/>
              </w:rPr>
              <w:t>specialisty</w:t>
            </w:r>
          </w:p>
        </w:tc>
      </w:tr>
      <w:tr w:rsidR="008B1C8E" w:rsidRPr="005D38FB" w14:paraId="23A03FAF" w14:textId="77777777" w:rsidTr="00E97A97">
        <w:trPr>
          <w:gridAfter w:val="1"/>
          <w:wAfter w:w="541" w:type="dxa"/>
          <w:trHeight w:val="850"/>
        </w:trPr>
        <w:tc>
          <w:tcPr>
            <w:tcW w:w="2689" w:type="dxa"/>
            <w:vMerge w:val="restart"/>
            <w:tcBorders>
              <w:top w:val="nil"/>
              <w:left w:val="single" w:sz="4" w:space="0" w:color="auto"/>
              <w:bottom w:val="single" w:sz="4" w:space="0" w:color="auto"/>
              <w:right w:val="single" w:sz="4" w:space="0" w:color="auto"/>
            </w:tcBorders>
            <w:shd w:val="clear" w:color="000000" w:fill="DDEBF7"/>
            <w:vAlign w:val="center"/>
            <w:hideMark/>
          </w:tcPr>
          <w:p w14:paraId="05EBCA4F" w14:textId="72AD702B" w:rsidR="008B1C8E" w:rsidRPr="005D38FB" w:rsidRDefault="007943B6" w:rsidP="00E97A97">
            <w:pPr>
              <w:jc w:val="center"/>
              <w:rPr>
                <w:rFonts w:ascii="Arial" w:hAnsi="Arial" w:cs="Arial"/>
                <w:b/>
                <w:bCs/>
                <w:color w:val="000000"/>
              </w:rPr>
            </w:pPr>
            <w:r>
              <w:rPr>
                <w:rFonts w:ascii="Arial" w:hAnsi="Arial" w:cs="Arial"/>
                <w:b/>
                <w:bCs/>
                <w:color w:val="000000"/>
              </w:rPr>
              <w:t xml:space="preserve">* </w:t>
            </w:r>
            <w:r w:rsidR="008B1C8E" w:rsidRPr="005D38FB">
              <w:rPr>
                <w:rFonts w:ascii="Arial" w:hAnsi="Arial" w:cs="Arial"/>
                <w:b/>
                <w:bCs/>
                <w:color w:val="000000"/>
              </w:rPr>
              <w:t>Doprava</w:t>
            </w:r>
          </w:p>
        </w:tc>
        <w:tc>
          <w:tcPr>
            <w:tcW w:w="1984" w:type="dxa"/>
            <w:vMerge w:val="restart"/>
            <w:tcBorders>
              <w:top w:val="nil"/>
              <w:left w:val="single" w:sz="4" w:space="0" w:color="auto"/>
              <w:bottom w:val="single" w:sz="4" w:space="0" w:color="auto"/>
              <w:right w:val="single" w:sz="4" w:space="0" w:color="auto"/>
              <w:tr2bl w:val="single" w:sz="4" w:space="0" w:color="auto"/>
            </w:tcBorders>
            <w:shd w:val="clear" w:color="auto" w:fill="auto"/>
            <w:vAlign w:val="center"/>
            <w:hideMark/>
          </w:tcPr>
          <w:p w14:paraId="41BCE7E7" w14:textId="77777777" w:rsidR="008B1C8E" w:rsidRPr="005D38FB" w:rsidRDefault="008B1C8E" w:rsidP="00E97A97">
            <w:pPr>
              <w:jc w:val="center"/>
              <w:rPr>
                <w:rFonts w:ascii="Arial" w:hAnsi="Arial" w:cs="Arial"/>
                <w:color w:val="000000"/>
              </w:rPr>
            </w:pPr>
            <w:r w:rsidRPr="005D38FB">
              <w:rPr>
                <w:rFonts w:ascii="Arial" w:hAnsi="Arial" w:cs="Arial"/>
                <w:color w:val="000000"/>
              </w:rPr>
              <w:t> </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7197365" w14:textId="77513E8D" w:rsidR="008B1C8E" w:rsidRPr="003E0FFD" w:rsidRDefault="008B1C8E" w:rsidP="00E97A97">
            <w:pPr>
              <w:jc w:val="center"/>
              <w:rPr>
                <w:rFonts w:ascii="Arial" w:hAnsi="Arial" w:cs="Arial"/>
                <w:color w:val="000000" w:themeColor="text1"/>
              </w:rPr>
            </w:pPr>
            <w:r w:rsidRPr="003E0FFD">
              <w:rPr>
                <w:rFonts w:ascii="Arial" w:hAnsi="Arial" w:cs="Arial"/>
                <w:color w:val="000000" w:themeColor="text1"/>
              </w:rPr>
              <w:t> </w:t>
            </w:r>
            <w:proofErr w:type="spellStart"/>
            <w:r w:rsidRPr="003E0FFD">
              <w:rPr>
                <w:rFonts w:ascii="Arial" w:hAnsi="Arial" w:cs="Arial"/>
                <w:color w:val="000000" w:themeColor="text1"/>
              </w:rPr>
              <w:t>p</w:t>
            </w:r>
            <w:r w:rsidR="00CE0119" w:rsidRPr="00CE0119">
              <w:rPr>
                <w:rFonts w:ascii="Arial" w:hAnsi="Arial" w:cs="Arial"/>
                <w:color w:val="000000" w:themeColor="text1"/>
                <w:vertAlign w:val="subscript"/>
              </w:rPr>
              <w:t>rozdílu</w:t>
            </w:r>
            <w:proofErr w:type="spellEnd"/>
            <w:r w:rsidRPr="003E0FFD">
              <w:rPr>
                <w:rFonts w:ascii="Arial" w:hAnsi="Arial" w:cs="Arial"/>
                <w:color w:val="000000" w:themeColor="text1"/>
              </w:rPr>
              <w:t>=0,956</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14:paraId="766CA16F" w14:textId="50EF4607" w:rsidR="008B1C8E" w:rsidRPr="003E0FFD" w:rsidRDefault="008B1C8E" w:rsidP="00E97A97">
            <w:pPr>
              <w:jc w:val="center"/>
              <w:rPr>
                <w:rFonts w:ascii="Arial" w:hAnsi="Arial" w:cs="Arial"/>
                <w:b/>
                <w:bCs/>
                <w:color w:val="000000" w:themeColor="text1"/>
              </w:rPr>
            </w:pPr>
            <w:proofErr w:type="spellStart"/>
            <w:r w:rsidRPr="003E0FFD">
              <w:rPr>
                <w:rFonts w:ascii="Arial" w:hAnsi="Arial" w:cs="Arial"/>
                <w:b/>
                <w:bCs/>
                <w:color w:val="000000" w:themeColor="text1"/>
              </w:rPr>
              <w:t>p</w:t>
            </w:r>
            <w:r w:rsidR="00CE0119" w:rsidRPr="00CE0119">
              <w:rPr>
                <w:rFonts w:ascii="Arial" w:hAnsi="Arial" w:cs="Arial"/>
                <w:b/>
                <w:bCs/>
                <w:color w:val="000000" w:themeColor="text1"/>
                <w:vertAlign w:val="subscript"/>
              </w:rPr>
              <w:t>rozdílu</w:t>
            </w:r>
            <w:proofErr w:type="spellEnd"/>
            <w:r w:rsidRPr="003E0FFD">
              <w:rPr>
                <w:rFonts w:ascii="Arial" w:hAnsi="Arial" w:cs="Arial"/>
                <w:b/>
                <w:bCs/>
                <w:color w:val="000000" w:themeColor="text1"/>
              </w:rPr>
              <w:t xml:space="preserve"> &lt;0,001 </w:t>
            </w:r>
          </w:p>
          <w:p w14:paraId="407A24EC" w14:textId="77777777" w:rsidR="008B1C8E" w:rsidRPr="003E0FFD" w:rsidRDefault="008B1C8E" w:rsidP="00E97A97">
            <w:pPr>
              <w:jc w:val="center"/>
              <w:rPr>
                <w:rFonts w:ascii="Arial" w:hAnsi="Arial" w:cs="Arial"/>
                <w:color w:val="000000" w:themeColor="text1"/>
              </w:rPr>
            </w:pPr>
            <w:r w:rsidRPr="003E0FFD">
              <w:rPr>
                <w:rFonts w:ascii="Arial" w:hAnsi="Arial" w:cs="Arial"/>
                <w:b/>
                <w:bCs/>
                <w:color w:val="000000" w:themeColor="text1"/>
              </w:rPr>
              <w:t>CV=0,679</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28E7467B" w14:textId="2552D664" w:rsidR="008B1C8E" w:rsidRPr="003E0FFD" w:rsidRDefault="008B1C8E" w:rsidP="00E97A97">
            <w:pPr>
              <w:jc w:val="center"/>
              <w:rPr>
                <w:rFonts w:ascii="Arial" w:hAnsi="Arial" w:cs="Arial"/>
                <w:b/>
                <w:bCs/>
                <w:color w:val="000000" w:themeColor="text1"/>
              </w:rPr>
            </w:pPr>
            <w:proofErr w:type="spellStart"/>
            <w:r w:rsidRPr="003E0FFD">
              <w:rPr>
                <w:rFonts w:ascii="Arial" w:hAnsi="Arial" w:cs="Arial"/>
                <w:b/>
                <w:bCs/>
                <w:color w:val="000000" w:themeColor="text1"/>
              </w:rPr>
              <w:t>p</w:t>
            </w:r>
            <w:r w:rsidR="00CE0119" w:rsidRPr="00CE0119">
              <w:rPr>
                <w:rFonts w:ascii="Arial" w:hAnsi="Arial" w:cs="Arial"/>
                <w:b/>
                <w:bCs/>
                <w:color w:val="000000" w:themeColor="text1"/>
                <w:vertAlign w:val="subscript"/>
              </w:rPr>
              <w:t>rozdílu</w:t>
            </w:r>
            <w:proofErr w:type="spellEnd"/>
            <w:r w:rsidRPr="003E0FFD">
              <w:rPr>
                <w:rFonts w:ascii="Arial" w:hAnsi="Arial" w:cs="Arial"/>
                <w:b/>
                <w:bCs/>
                <w:color w:val="000000" w:themeColor="text1"/>
              </w:rPr>
              <w:t xml:space="preserve"> &lt;0,001 </w:t>
            </w:r>
          </w:p>
          <w:p w14:paraId="4B87A0DE" w14:textId="77777777" w:rsidR="008B1C8E" w:rsidRPr="003E0FFD" w:rsidRDefault="008B1C8E" w:rsidP="00E97A97">
            <w:pPr>
              <w:jc w:val="center"/>
              <w:rPr>
                <w:rFonts w:ascii="Arial" w:hAnsi="Arial" w:cs="Arial"/>
                <w:color w:val="000000" w:themeColor="text1"/>
              </w:rPr>
            </w:pPr>
            <w:r w:rsidRPr="003E0FFD">
              <w:rPr>
                <w:rFonts w:ascii="Arial" w:hAnsi="Arial" w:cs="Arial"/>
                <w:b/>
                <w:bCs/>
                <w:color w:val="000000" w:themeColor="text1"/>
              </w:rPr>
              <w:t>CV=0,222</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14:paraId="2D3349BA" w14:textId="2004E81A" w:rsidR="008B1C8E" w:rsidRPr="003E0FFD" w:rsidRDefault="008B1C8E" w:rsidP="00E97A97">
            <w:pPr>
              <w:jc w:val="center"/>
              <w:rPr>
                <w:rFonts w:ascii="Arial" w:hAnsi="Arial" w:cs="Arial"/>
                <w:color w:val="000000" w:themeColor="text1"/>
              </w:rPr>
            </w:pPr>
            <w:proofErr w:type="spellStart"/>
            <w:r w:rsidRPr="003E0FFD">
              <w:rPr>
                <w:rFonts w:ascii="Arial" w:hAnsi="Arial" w:cs="Arial"/>
                <w:color w:val="000000" w:themeColor="text1"/>
              </w:rPr>
              <w:t>p</w:t>
            </w:r>
            <w:r w:rsidR="00CE0119" w:rsidRPr="00CE0119">
              <w:rPr>
                <w:rFonts w:ascii="Arial" w:hAnsi="Arial" w:cs="Arial"/>
                <w:color w:val="000000" w:themeColor="text1"/>
                <w:vertAlign w:val="subscript"/>
              </w:rPr>
              <w:t>rozdílu</w:t>
            </w:r>
            <w:proofErr w:type="spellEnd"/>
            <w:r w:rsidRPr="003E0FFD">
              <w:rPr>
                <w:rFonts w:ascii="Arial" w:hAnsi="Arial" w:cs="Arial"/>
                <w:color w:val="000000" w:themeColor="text1"/>
              </w:rPr>
              <w:t>=0,907 </w:t>
            </w:r>
          </w:p>
        </w:tc>
      </w:tr>
      <w:tr w:rsidR="008B1C8E" w:rsidRPr="005D38FB" w14:paraId="006D48EB" w14:textId="77777777" w:rsidTr="00E97A97">
        <w:trPr>
          <w:trHeight w:val="285"/>
        </w:trPr>
        <w:tc>
          <w:tcPr>
            <w:tcW w:w="2689" w:type="dxa"/>
            <w:vMerge/>
            <w:tcBorders>
              <w:top w:val="nil"/>
              <w:left w:val="single" w:sz="4" w:space="0" w:color="auto"/>
              <w:bottom w:val="single" w:sz="4" w:space="0" w:color="auto"/>
              <w:right w:val="single" w:sz="4" w:space="0" w:color="auto"/>
            </w:tcBorders>
            <w:vAlign w:val="center"/>
            <w:hideMark/>
          </w:tcPr>
          <w:p w14:paraId="55B7F19E" w14:textId="77777777" w:rsidR="008B1C8E" w:rsidRPr="005D38FB" w:rsidRDefault="008B1C8E" w:rsidP="00E97A97">
            <w:pPr>
              <w:rPr>
                <w:rFonts w:ascii="Arial" w:hAnsi="Arial" w:cs="Arial"/>
                <w:b/>
                <w:bCs/>
                <w:color w:val="000000"/>
              </w:rPr>
            </w:pPr>
          </w:p>
        </w:tc>
        <w:tc>
          <w:tcPr>
            <w:tcW w:w="1984" w:type="dxa"/>
            <w:vMerge/>
            <w:tcBorders>
              <w:top w:val="nil"/>
              <w:left w:val="single" w:sz="4" w:space="0" w:color="auto"/>
              <w:bottom w:val="single" w:sz="4" w:space="0" w:color="auto"/>
              <w:right w:val="single" w:sz="4" w:space="0" w:color="auto"/>
            </w:tcBorders>
            <w:vAlign w:val="center"/>
            <w:hideMark/>
          </w:tcPr>
          <w:p w14:paraId="0CBD1A76" w14:textId="77777777" w:rsidR="008B1C8E" w:rsidRPr="005D38FB" w:rsidRDefault="008B1C8E" w:rsidP="00E97A97">
            <w:pPr>
              <w:rPr>
                <w:rFonts w:ascii="Arial" w:hAnsi="Arial" w:cs="Arial"/>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4DACCF19" w14:textId="77777777" w:rsidR="008B1C8E" w:rsidRPr="005D38FB" w:rsidRDefault="008B1C8E" w:rsidP="00E97A97">
            <w:pPr>
              <w:rPr>
                <w:rFonts w:ascii="Arial" w:hAnsi="Arial" w:cs="Arial"/>
                <w:color w:val="000000"/>
              </w:rPr>
            </w:pPr>
          </w:p>
        </w:tc>
        <w:tc>
          <w:tcPr>
            <w:tcW w:w="1984" w:type="dxa"/>
            <w:vMerge/>
            <w:tcBorders>
              <w:top w:val="nil"/>
              <w:left w:val="single" w:sz="4" w:space="0" w:color="auto"/>
              <w:bottom w:val="single" w:sz="4" w:space="0" w:color="auto"/>
              <w:right w:val="single" w:sz="4" w:space="0" w:color="auto"/>
            </w:tcBorders>
            <w:vAlign w:val="center"/>
            <w:hideMark/>
          </w:tcPr>
          <w:p w14:paraId="7991CEB1" w14:textId="77777777" w:rsidR="008B1C8E" w:rsidRPr="005D38FB" w:rsidRDefault="008B1C8E" w:rsidP="00E97A97">
            <w:pPr>
              <w:rPr>
                <w:rFonts w:ascii="Arial" w:hAnsi="Arial" w:cs="Arial"/>
                <w:color w:val="000000"/>
              </w:rPr>
            </w:pPr>
          </w:p>
        </w:tc>
        <w:tc>
          <w:tcPr>
            <w:tcW w:w="1985" w:type="dxa"/>
            <w:vMerge/>
            <w:tcBorders>
              <w:top w:val="nil"/>
              <w:left w:val="single" w:sz="4" w:space="0" w:color="auto"/>
              <w:bottom w:val="single" w:sz="4" w:space="0" w:color="auto"/>
              <w:right w:val="single" w:sz="4" w:space="0" w:color="auto"/>
            </w:tcBorders>
            <w:vAlign w:val="center"/>
            <w:hideMark/>
          </w:tcPr>
          <w:p w14:paraId="69B3499E" w14:textId="77777777" w:rsidR="008B1C8E" w:rsidRPr="005D38FB" w:rsidRDefault="008B1C8E" w:rsidP="00E97A97">
            <w:pPr>
              <w:rPr>
                <w:rFonts w:ascii="Arial" w:hAnsi="Arial" w:cs="Arial"/>
                <w:color w:val="000000"/>
              </w:rPr>
            </w:pPr>
          </w:p>
        </w:tc>
        <w:tc>
          <w:tcPr>
            <w:tcW w:w="1984" w:type="dxa"/>
            <w:vMerge/>
            <w:tcBorders>
              <w:top w:val="nil"/>
              <w:left w:val="single" w:sz="4" w:space="0" w:color="auto"/>
              <w:bottom w:val="single" w:sz="4" w:space="0" w:color="auto"/>
              <w:right w:val="single" w:sz="4" w:space="0" w:color="auto"/>
            </w:tcBorders>
            <w:vAlign w:val="center"/>
            <w:hideMark/>
          </w:tcPr>
          <w:p w14:paraId="1E1C3334" w14:textId="77777777" w:rsidR="008B1C8E" w:rsidRPr="005D38FB" w:rsidRDefault="008B1C8E" w:rsidP="00E97A97">
            <w:pPr>
              <w:rPr>
                <w:rFonts w:ascii="Arial" w:hAnsi="Arial" w:cs="Arial"/>
                <w:color w:val="000000"/>
              </w:rPr>
            </w:pPr>
          </w:p>
        </w:tc>
        <w:tc>
          <w:tcPr>
            <w:tcW w:w="541" w:type="dxa"/>
            <w:tcBorders>
              <w:top w:val="nil"/>
              <w:left w:val="nil"/>
              <w:bottom w:val="nil"/>
              <w:right w:val="nil"/>
            </w:tcBorders>
            <w:shd w:val="clear" w:color="auto" w:fill="auto"/>
            <w:noWrap/>
            <w:vAlign w:val="bottom"/>
            <w:hideMark/>
          </w:tcPr>
          <w:p w14:paraId="3AE50E95" w14:textId="77777777" w:rsidR="008B1C8E" w:rsidRPr="005D38FB" w:rsidRDefault="008B1C8E" w:rsidP="00E97A97">
            <w:pPr>
              <w:jc w:val="center"/>
              <w:rPr>
                <w:rFonts w:ascii="Arial" w:hAnsi="Arial" w:cs="Arial"/>
                <w:color w:val="000000"/>
              </w:rPr>
            </w:pPr>
          </w:p>
        </w:tc>
      </w:tr>
      <w:tr w:rsidR="008B1C8E" w:rsidRPr="005D38FB" w14:paraId="71F3390A" w14:textId="77777777" w:rsidTr="00E97A97">
        <w:trPr>
          <w:trHeight w:val="850"/>
        </w:trPr>
        <w:tc>
          <w:tcPr>
            <w:tcW w:w="2689" w:type="dxa"/>
            <w:tcBorders>
              <w:top w:val="nil"/>
              <w:left w:val="single" w:sz="4" w:space="0" w:color="auto"/>
              <w:bottom w:val="single" w:sz="4" w:space="0" w:color="auto"/>
              <w:right w:val="single" w:sz="4" w:space="0" w:color="auto"/>
            </w:tcBorders>
            <w:shd w:val="clear" w:color="000000" w:fill="DDEBF7"/>
            <w:vAlign w:val="center"/>
            <w:hideMark/>
          </w:tcPr>
          <w:p w14:paraId="7B930A3A" w14:textId="77777777" w:rsidR="008B1C8E" w:rsidRPr="005D38FB" w:rsidRDefault="008B1C8E" w:rsidP="00E97A97">
            <w:pPr>
              <w:jc w:val="center"/>
              <w:rPr>
                <w:rFonts w:ascii="Arial" w:hAnsi="Arial" w:cs="Arial"/>
                <w:b/>
                <w:bCs/>
                <w:color w:val="000000"/>
              </w:rPr>
            </w:pPr>
            <w:r w:rsidRPr="005D38FB">
              <w:rPr>
                <w:rFonts w:ascii="Arial" w:hAnsi="Arial" w:cs="Arial"/>
                <w:b/>
                <w:bCs/>
                <w:color w:val="000000"/>
              </w:rPr>
              <w:t>Ošetřující ambulance</w:t>
            </w:r>
          </w:p>
        </w:tc>
        <w:tc>
          <w:tcPr>
            <w:tcW w:w="1984" w:type="dxa"/>
            <w:tcBorders>
              <w:top w:val="nil"/>
              <w:left w:val="nil"/>
              <w:bottom w:val="single" w:sz="4" w:space="0" w:color="auto"/>
              <w:right w:val="single" w:sz="4" w:space="0" w:color="auto"/>
            </w:tcBorders>
            <w:shd w:val="clear" w:color="auto" w:fill="auto"/>
            <w:vAlign w:val="center"/>
            <w:hideMark/>
          </w:tcPr>
          <w:p w14:paraId="52FC4F60" w14:textId="2342C105" w:rsidR="008B1C8E" w:rsidRPr="005D38FB" w:rsidRDefault="002A4C5F" w:rsidP="00E97A97">
            <w:pPr>
              <w:jc w:val="center"/>
              <w:rPr>
                <w:rFonts w:ascii="Arial" w:hAnsi="Arial" w:cs="Arial"/>
                <w:color w:val="000000"/>
              </w:rPr>
            </w:pPr>
            <w:proofErr w:type="spellStart"/>
            <w:r w:rsidRPr="003E0FFD">
              <w:rPr>
                <w:rFonts w:ascii="Arial" w:hAnsi="Arial" w:cs="Arial"/>
                <w:color w:val="000000" w:themeColor="text1"/>
              </w:rPr>
              <w:t>p</w:t>
            </w:r>
            <w:r w:rsidRPr="00CE0119">
              <w:rPr>
                <w:rFonts w:ascii="Arial" w:hAnsi="Arial" w:cs="Arial"/>
                <w:color w:val="000000" w:themeColor="text1"/>
                <w:vertAlign w:val="subscript"/>
              </w:rPr>
              <w:t>rozdílu</w:t>
            </w:r>
            <w:proofErr w:type="spellEnd"/>
            <w:r w:rsidRPr="003E0FFD">
              <w:rPr>
                <w:rFonts w:ascii="Arial" w:hAnsi="Arial" w:cs="Arial"/>
                <w:color w:val="000000" w:themeColor="text1"/>
              </w:rPr>
              <w:t>=0,956</w:t>
            </w:r>
          </w:p>
        </w:tc>
        <w:tc>
          <w:tcPr>
            <w:tcW w:w="1843" w:type="dxa"/>
            <w:tcBorders>
              <w:top w:val="nil"/>
              <w:left w:val="nil"/>
              <w:bottom w:val="single" w:sz="4" w:space="0" w:color="auto"/>
              <w:right w:val="single" w:sz="4" w:space="0" w:color="auto"/>
              <w:tr2bl w:val="single" w:sz="4" w:space="0" w:color="auto"/>
            </w:tcBorders>
            <w:shd w:val="clear" w:color="auto" w:fill="auto"/>
            <w:vAlign w:val="center"/>
            <w:hideMark/>
          </w:tcPr>
          <w:p w14:paraId="347E0871" w14:textId="77777777" w:rsidR="008B1C8E" w:rsidRPr="005D38FB" w:rsidRDefault="008B1C8E" w:rsidP="00E97A97">
            <w:pPr>
              <w:jc w:val="center"/>
              <w:rPr>
                <w:rFonts w:ascii="Arial" w:hAnsi="Arial" w:cs="Arial"/>
                <w:color w:val="000000"/>
              </w:rPr>
            </w:pPr>
            <w:r w:rsidRPr="005D38FB">
              <w:rPr>
                <w:rFonts w:ascii="Arial" w:hAnsi="Arial" w:cs="Arial"/>
                <w:color w:val="000000"/>
              </w:rPr>
              <w:t> </w:t>
            </w:r>
          </w:p>
        </w:tc>
        <w:tc>
          <w:tcPr>
            <w:tcW w:w="1984" w:type="dxa"/>
            <w:tcBorders>
              <w:top w:val="nil"/>
              <w:left w:val="nil"/>
              <w:bottom w:val="single" w:sz="4" w:space="0" w:color="auto"/>
              <w:right w:val="single" w:sz="4" w:space="0" w:color="auto"/>
            </w:tcBorders>
            <w:shd w:val="clear" w:color="auto" w:fill="auto"/>
            <w:noWrap/>
            <w:vAlign w:val="center"/>
            <w:hideMark/>
          </w:tcPr>
          <w:p w14:paraId="6216A679" w14:textId="5A49AECA" w:rsidR="008B1C8E" w:rsidRPr="003E0FFD" w:rsidRDefault="008B1C8E" w:rsidP="00E97A97">
            <w:pPr>
              <w:jc w:val="center"/>
              <w:rPr>
                <w:rFonts w:ascii="Arial" w:hAnsi="Arial" w:cs="Arial"/>
                <w:b/>
                <w:bCs/>
                <w:color w:val="000000" w:themeColor="text1"/>
              </w:rPr>
            </w:pPr>
            <w:proofErr w:type="spellStart"/>
            <w:r w:rsidRPr="003E0FFD">
              <w:rPr>
                <w:rFonts w:ascii="Arial" w:hAnsi="Arial" w:cs="Arial"/>
                <w:b/>
                <w:bCs/>
                <w:color w:val="000000" w:themeColor="text1"/>
              </w:rPr>
              <w:t>p</w:t>
            </w:r>
            <w:r w:rsidR="00CE0119" w:rsidRPr="00CE0119">
              <w:rPr>
                <w:rFonts w:ascii="Arial" w:hAnsi="Arial" w:cs="Arial"/>
                <w:b/>
                <w:bCs/>
                <w:color w:val="000000" w:themeColor="text1"/>
                <w:vertAlign w:val="subscript"/>
              </w:rPr>
              <w:t>rozdílu</w:t>
            </w:r>
            <w:proofErr w:type="spellEnd"/>
            <w:r w:rsidRPr="003E0FFD">
              <w:rPr>
                <w:rFonts w:ascii="Arial" w:hAnsi="Arial" w:cs="Arial"/>
                <w:b/>
                <w:bCs/>
                <w:color w:val="000000" w:themeColor="text1"/>
              </w:rPr>
              <w:t>=0,001</w:t>
            </w:r>
          </w:p>
          <w:p w14:paraId="19FD5E7B" w14:textId="77777777" w:rsidR="008B1C8E" w:rsidRPr="003E0FFD" w:rsidRDefault="008B1C8E" w:rsidP="00E97A97">
            <w:pPr>
              <w:jc w:val="center"/>
              <w:rPr>
                <w:rFonts w:ascii="Calibri" w:hAnsi="Calibri" w:cs="Calibri"/>
                <w:color w:val="000000" w:themeColor="text1"/>
                <w:sz w:val="22"/>
                <w:szCs w:val="22"/>
              </w:rPr>
            </w:pPr>
            <w:r w:rsidRPr="003E0FFD">
              <w:rPr>
                <w:rFonts w:ascii="Arial" w:hAnsi="Arial" w:cs="Arial"/>
                <w:b/>
                <w:bCs/>
                <w:color w:val="000000" w:themeColor="text1"/>
              </w:rPr>
              <w:t>CV=0,111</w:t>
            </w:r>
            <w:r w:rsidRPr="003E0FFD">
              <w:rPr>
                <w:rFonts w:ascii="Calibri" w:hAnsi="Calibri" w:cs="Calibri"/>
                <w:b/>
                <w:bCs/>
                <w:color w:val="000000" w:themeColor="text1"/>
                <w:sz w:val="22"/>
                <w:szCs w:val="22"/>
              </w:rPr>
              <w:t> </w:t>
            </w:r>
          </w:p>
        </w:tc>
        <w:tc>
          <w:tcPr>
            <w:tcW w:w="1985" w:type="dxa"/>
            <w:tcBorders>
              <w:top w:val="nil"/>
              <w:left w:val="nil"/>
              <w:bottom w:val="single" w:sz="4" w:space="0" w:color="auto"/>
              <w:right w:val="single" w:sz="4" w:space="0" w:color="auto"/>
            </w:tcBorders>
            <w:shd w:val="clear" w:color="auto" w:fill="auto"/>
            <w:vAlign w:val="center"/>
            <w:hideMark/>
          </w:tcPr>
          <w:p w14:paraId="281E4517" w14:textId="6DFC5E3C" w:rsidR="008B1C8E" w:rsidRPr="003E0FFD" w:rsidRDefault="008B1C8E" w:rsidP="00E97A97">
            <w:pPr>
              <w:jc w:val="center"/>
              <w:rPr>
                <w:rFonts w:ascii="Arial" w:hAnsi="Arial" w:cs="Arial"/>
                <w:b/>
                <w:bCs/>
                <w:color w:val="000000" w:themeColor="text1"/>
              </w:rPr>
            </w:pPr>
            <w:proofErr w:type="spellStart"/>
            <w:r w:rsidRPr="003E0FFD">
              <w:rPr>
                <w:rFonts w:ascii="Arial" w:hAnsi="Arial" w:cs="Arial"/>
                <w:b/>
                <w:bCs/>
                <w:color w:val="000000" w:themeColor="text1"/>
              </w:rPr>
              <w:t>p</w:t>
            </w:r>
            <w:r w:rsidR="00CE0119" w:rsidRPr="00CE0119">
              <w:rPr>
                <w:rFonts w:ascii="Arial" w:hAnsi="Arial" w:cs="Arial"/>
                <w:b/>
                <w:bCs/>
                <w:color w:val="000000" w:themeColor="text1"/>
                <w:vertAlign w:val="subscript"/>
              </w:rPr>
              <w:t>rozdílu</w:t>
            </w:r>
            <w:proofErr w:type="spellEnd"/>
            <w:r w:rsidRPr="003E0FFD">
              <w:rPr>
                <w:rFonts w:ascii="Arial" w:hAnsi="Arial" w:cs="Arial"/>
                <w:b/>
                <w:bCs/>
                <w:color w:val="000000" w:themeColor="text1"/>
              </w:rPr>
              <w:t xml:space="preserve"> &lt;0,001 </w:t>
            </w:r>
          </w:p>
          <w:p w14:paraId="2C4D43DF" w14:textId="77777777" w:rsidR="008B1C8E" w:rsidRPr="003E0FFD" w:rsidRDefault="008B1C8E" w:rsidP="00E97A97">
            <w:pPr>
              <w:jc w:val="center"/>
              <w:rPr>
                <w:rFonts w:ascii="Arial" w:hAnsi="Arial" w:cs="Arial"/>
                <w:color w:val="000000" w:themeColor="text1"/>
              </w:rPr>
            </w:pPr>
            <w:r w:rsidRPr="003E0FFD">
              <w:rPr>
                <w:rFonts w:ascii="Arial" w:hAnsi="Arial" w:cs="Arial"/>
                <w:b/>
                <w:bCs/>
                <w:color w:val="000000" w:themeColor="text1"/>
              </w:rPr>
              <w:t>CV=0,113</w:t>
            </w:r>
          </w:p>
        </w:tc>
        <w:tc>
          <w:tcPr>
            <w:tcW w:w="1984" w:type="dxa"/>
            <w:tcBorders>
              <w:top w:val="nil"/>
              <w:left w:val="nil"/>
              <w:bottom w:val="single" w:sz="4" w:space="0" w:color="auto"/>
              <w:right w:val="single" w:sz="4" w:space="0" w:color="auto"/>
            </w:tcBorders>
            <w:shd w:val="clear" w:color="auto" w:fill="auto"/>
            <w:vAlign w:val="center"/>
            <w:hideMark/>
          </w:tcPr>
          <w:p w14:paraId="2B31848D" w14:textId="70708908" w:rsidR="008B1C8E" w:rsidRPr="003E0FFD" w:rsidRDefault="008B1C8E" w:rsidP="00E97A97">
            <w:pPr>
              <w:jc w:val="center"/>
              <w:rPr>
                <w:rFonts w:ascii="Arial" w:hAnsi="Arial" w:cs="Arial"/>
                <w:color w:val="000000" w:themeColor="text1"/>
              </w:rPr>
            </w:pPr>
            <w:proofErr w:type="spellStart"/>
            <w:r w:rsidRPr="003E0FFD">
              <w:rPr>
                <w:rFonts w:ascii="Arial" w:hAnsi="Arial" w:cs="Arial"/>
                <w:color w:val="000000" w:themeColor="text1"/>
              </w:rPr>
              <w:t>p</w:t>
            </w:r>
            <w:r w:rsidR="00CE0119" w:rsidRPr="00CE0119">
              <w:rPr>
                <w:rFonts w:ascii="Arial" w:hAnsi="Arial" w:cs="Arial"/>
                <w:color w:val="000000" w:themeColor="text1"/>
                <w:vertAlign w:val="subscript"/>
              </w:rPr>
              <w:t>rozdílu</w:t>
            </w:r>
            <w:proofErr w:type="spellEnd"/>
            <w:r w:rsidRPr="003E0FFD">
              <w:rPr>
                <w:rFonts w:ascii="Arial" w:hAnsi="Arial" w:cs="Arial"/>
                <w:color w:val="000000" w:themeColor="text1"/>
              </w:rPr>
              <w:t>=0,443 </w:t>
            </w:r>
          </w:p>
        </w:tc>
        <w:tc>
          <w:tcPr>
            <w:tcW w:w="541" w:type="dxa"/>
            <w:vAlign w:val="center"/>
            <w:hideMark/>
          </w:tcPr>
          <w:p w14:paraId="25B6D417" w14:textId="77777777" w:rsidR="008B1C8E" w:rsidRPr="005D38FB" w:rsidRDefault="008B1C8E" w:rsidP="00E97A97">
            <w:pPr>
              <w:rPr>
                <w:rFonts w:ascii="Times New Roman" w:hAnsi="Times New Roman"/>
                <w:sz w:val="20"/>
                <w:szCs w:val="20"/>
              </w:rPr>
            </w:pPr>
          </w:p>
        </w:tc>
      </w:tr>
      <w:tr w:rsidR="008B1C8E" w:rsidRPr="005D38FB" w14:paraId="31A11C3F" w14:textId="77777777" w:rsidTr="00E97A97">
        <w:trPr>
          <w:trHeight w:val="850"/>
        </w:trPr>
        <w:tc>
          <w:tcPr>
            <w:tcW w:w="2689" w:type="dxa"/>
            <w:tcBorders>
              <w:top w:val="nil"/>
              <w:left w:val="single" w:sz="4" w:space="0" w:color="auto"/>
              <w:bottom w:val="single" w:sz="4" w:space="0" w:color="auto"/>
              <w:right w:val="single" w:sz="4" w:space="0" w:color="auto"/>
            </w:tcBorders>
            <w:shd w:val="clear" w:color="000000" w:fill="DDEBF7"/>
            <w:vAlign w:val="center"/>
            <w:hideMark/>
          </w:tcPr>
          <w:p w14:paraId="1AE027CD" w14:textId="77777777" w:rsidR="008B1C8E" w:rsidRPr="005D38FB" w:rsidRDefault="008B1C8E" w:rsidP="00E97A97">
            <w:pPr>
              <w:jc w:val="center"/>
              <w:rPr>
                <w:rFonts w:ascii="Arial" w:hAnsi="Arial" w:cs="Arial"/>
                <w:b/>
                <w:bCs/>
                <w:color w:val="000000"/>
              </w:rPr>
            </w:pPr>
            <w:r w:rsidRPr="005D38FB">
              <w:rPr>
                <w:rFonts w:ascii="Arial" w:hAnsi="Arial" w:cs="Arial"/>
                <w:b/>
                <w:bCs/>
                <w:color w:val="000000"/>
              </w:rPr>
              <w:t>Využití observačního lůžka</w:t>
            </w:r>
          </w:p>
        </w:tc>
        <w:tc>
          <w:tcPr>
            <w:tcW w:w="1984" w:type="dxa"/>
            <w:tcBorders>
              <w:top w:val="nil"/>
              <w:left w:val="nil"/>
              <w:bottom w:val="single" w:sz="4" w:space="0" w:color="auto"/>
              <w:right w:val="single" w:sz="4" w:space="0" w:color="auto"/>
            </w:tcBorders>
            <w:shd w:val="clear" w:color="auto" w:fill="auto"/>
            <w:vAlign w:val="center"/>
            <w:hideMark/>
          </w:tcPr>
          <w:p w14:paraId="72F6C45E" w14:textId="78184893" w:rsidR="002A4C5F" w:rsidRPr="003E0FFD" w:rsidRDefault="002A4C5F" w:rsidP="002A4C5F">
            <w:pPr>
              <w:jc w:val="center"/>
              <w:rPr>
                <w:rFonts w:ascii="Arial" w:hAnsi="Arial" w:cs="Arial"/>
                <w:b/>
                <w:bCs/>
                <w:color w:val="000000" w:themeColor="text1"/>
              </w:rPr>
            </w:pPr>
            <w:proofErr w:type="spellStart"/>
            <w:r w:rsidRPr="003E0FFD">
              <w:rPr>
                <w:rFonts w:ascii="Arial" w:hAnsi="Arial" w:cs="Arial"/>
                <w:b/>
                <w:bCs/>
                <w:color w:val="000000" w:themeColor="text1"/>
              </w:rPr>
              <w:t>p</w:t>
            </w:r>
            <w:r w:rsidRPr="00CE0119">
              <w:rPr>
                <w:rFonts w:ascii="Arial" w:hAnsi="Arial" w:cs="Arial"/>
                <w:b/>
                <w:bCs/>
                <w:color w:val="000000" w:themeColor="text1"/>
                <w:vertAlign w:val="subscript"/>
              </w:rPr>
              <w:t>rozdílu</w:t>
            </w:r>
            <w:proofErr w:type="spellEnd"/>
            <w:r w:rsidRPr="003E0FFD">
              <w:rPr>
                <w:rFonts w:ascii="Arial" w:hAnsi="Arial" w:cs="Arial"/>
                <w:b/>
                <w:bCs/>
                <w:color w:val="000000" w:themeColor="text1"/>
              </w:rPr>
              <w:t xml:space="preserve"> &lt;0,001 </w:t>
            </w:r>
          </w:p>
          <w:p w14:paraId="24639DFE" w14:textId="7FD84241" w:rsidR="008B1C8E" w:rsidRPr="005D38FB" w:rsidRDefault="002A4C5F" w:rsidP="002A4C5F">
            <w:pPr>
              <w:jc w:val="center"/>
              <w:rPr>
                <w:rFonts w:ascii="Arial" w:hAnsi="Arial" w:cs="Arial"/>
                <w:b/>
                <w:bCs/>
                <w:color w:val="000000"/>
              </w:rPr>
            </w:pPr>
            <w:r w:rsidRPr="003E0FFD">
              <w:rPr>
                <w:rFonts w:ascii="Arial" w:hAnsi="Arial" w:cs="Arial"/>
                <w:b/>
                <w:bCs/>
                <w:color w:val="000000" w:themeColor="text1"/>
              </w:rPr>
              <w:t>CV=0,679</w:t>
            </w:r>
          </w:p>
        </w:tc>
        <w:tc>
          <w:tcPr>
            <w:tcW w:w="1843" w:type="dxa"/>
            <w:tcBorders>
              <w:top w:val="nil"/>
              <w:left w:val="nil"/>
              <w:bottom w:val="single" w:sz="4" w:space="0" w:color="auto"/>
              <w:right w:val="single" w:sz="4" w:space="0" w:color="auto"/>
            </w:tcBorders>
            <w:shd w:val="clear" w:color="auto" w:fill="auto"/>
            <w:vAlign w:val="center"/>
            <w:hideMark/>
          </w:tcPr>
          <w:p w14:paraId="18C4BA9A" w14:textId="77777777" w:rsidR="0095009A" w:rsidRPr="003E0FFD" w:rsidRDefault="0095009A" w:rsidP="0095009A">
            <w:pPr>
              <w:jc w:val="center"/>
              <w:rPr>
                <w:rFonts w:ascii="Arial" w:hAnsi="Arial" w:cs="Arial"/>
                <w:b/>
                <w:bCs/>
                <w:color w:val="000000" w:themeColor="text1"/>
              </w:rPr>
            </w:pPr>
            <w:proofErr w:type="spellStart"/>
            <w:r w:rsidRPr="003E0FFD">
              <w:rPr>
                <w:rFonts w:ascii="Arial" w:hAnsi="Arial" w:cs="Arial"/>
                <w:b/>
                <w:bCs/>
                <w:color w:val="000000" w:themeColor="text1"/>
              </w:rPr>
              <w:t>p</w:t>
            </w:r>
            <w:r w:rsidRPr="00CE0119">
              <w:rPr>
                <w:rFonts w:ascii="Arial" w:hAnsi="Arial" w:cs="Arial"/>
                <w:b/>
                <w:bCs/>
                <w:color w:val="000000" w:themeColor="text1"/>
                <w:vertAlign w:val="subscript"/>
              </w:rPr>
              <w:t>rozdílu</w:t>
            </w:r>
            <w:proofErr w:type="spellEnd"/>
            <w:r w:rsidRPr="003E0FFD">
              <w:rPr>
                <w:rFonts w:ascii="Arial" w:hAnsi="Arial" w:cs="Arial"/>
                <w:b/>
                <w:bCs/>
                <w:color w:val="000000" w:themeColor="text1"/>
              </w:rPr>
              <w:t>=0,001</w:t>
            </w:r>
          </w:p>
          <w:p w14:paraId="1CB0EDCC" w14:textId="4E3775AB" w:rsidR="008B1C8E" w:rsidRPr="005D38FB" w:rsidRDefault="0095009A" w:rsidP="0095009A">
            <w:pPr>
              <w:jc w:val="center"/>
              <w:rPr>
                <w:rFonts w:ascii="Arial" w:hAnsi="Arial" w:cs="Arial"/>
                <w:b/>
                <w:bCs/>
                <w:color w:val="000000"/>
              </w:rPr>
            </w:pPr>
            <w:r w:rsidRPr="003E0FFD">
              <w:rPr>
                <w:rFonts w:ascii="Arial" w:hAnsi="Arial" w:cs="Arial"/>
                <w:b/>
                <w:bCs/>
                <w:color w:val="000000" w:themeColor="text1"/>
              </w:rPr>
              <w:t>CV=0,111</w:t>
            </w:r>
            <w:r w:rsidRPr="003E0FFD">
              <w:rPr>
                <w:rFonts w:ascii="Calibri" w:hAnsi="Calibri" w:cs="Calibri"/>
                <w:b/>
                <w:bCs/>
                <w:color w:val="000000" w:themeColor="text1"/>
                <w:sz w:val="22"/>
                <w:szCs w:val="22"/>
              </w:rPr>
              <w:t> </w:t>
            </w:r>
          </w:p>
        </w:tc>
        <w:tc>
          <w:tcPr>
            <w:tcW w:w="1984" w:type="dxa"/>
            <w:tcBorders>
              <w:top w:val="nil"/>
              <w:left w:val="nil"/>
              <w:bottom w:val="single" w:sz="4" w:space="0" w:color="auto"/>
              <w:right w:val="single" w:sz="4" w:space="0" w:color="auto"/>
              <w:tr2bl w:val="single" w:sz="4" w:space="0" w:color="auto"/>
            </w:tcBorders>
            <w:shd w:val="clear" w:color="auto" w:fill="auto"/>
            <w:vAlign w:val="center"/>
            <w:hideMark/>
          </w:tcPr>
          <w:p w14:paraId="4A9F5A64" w14:textId="77777777" w:rsidR="008B1C8E" w:rsidRPr="005D38FB" w:rsidRDefault="008B1C8E" w:rsidP="00E97A97">
            <w:pPr>
              <w:jc w:val="center"/>
              <w:rPr>
                <w:rFonts w:ascii="Arial" w:hAnsi="Arial" w:cs="Arial"/>
                <w:color w:val="000000"/>
              </w:rPr>
            </w:pPr>
            <w:r w:rsidRPr="005D38FB">
              <w:rPr>
                <w:rFonts w:ascii="Arial" w:hAnsi="Arial" w:cs="Arial"/>
                <w:color w:val="000000"/>
              </w:rPr>
              <w:t> </w:t>
            </w:r>
          </w:p>
        </w:tc>
        <w:tc>
          <w:tcPr>
            <w:tcW w:w="1985" w:type="dxa"/>
            <w:tcBorders>
              <w:top w:val="nil"/>
              <w:left w:val="nil"/>
              <w:bottom w:val="single" w:sz="4" w:space="0" w:color="auto"/>
              <w:right w:val="single" w:sz="4" w:space="0" w:color="auto"/>
            </w:tcBorders>
            <w:shd w:val="clear" w:color="auto" w:fill="auto"/>
            <w:noWrap/>
            <w:vAlign w:val="center"/>
            <w:hideMark/>
          </w:tcPr>
          <w:p w14:paraId="5E5B7968" w14:textId="20ECAE63" w:rsidR="008B1C8E" w:rsidRPr="003E0FFD" w:rsidRDefault="008B1C8E" w:rsidP="00E97A97">
            <w:pPr>
              <w:jc w:val="center"/>
              <w:rPr>
                <w:rFonts w:ascii="Arial" w:hAnsi="Arial" w:cs="Arial"/>
                <w:b/>
                <w:bCs/>
                <w:color w:val="000000" w:themeColor="text1"/>
              </w:rPr>
            </w:pPr>
            <w:proofErr w:type="spellStart"/>
            <w:r w:rsidRPr="003E0FFD">
              <w:rPr>
                <w:rFonts w:ascii="Arial" w:hAnsi="Arial" w:cs="Arial"/>
                <w:b/>
                <w:bCs/>
                <w:color w:val="000000" w:themeColor="text1"/>
              </w:rPr>
              <w:t>p</w:t>
            </w:r>
            <w:r w:rsidR="00CE0119" w:rsidRPr="00CE0119">
              <w:rPr>
                <w:rFonts w:ascii="Arial" w:hAnsi="Arial" w:cs="Arial"/>
                <w:b/>
                <w:bCs/>
                <w:color w:val="000000" w:themeColor="text1"/>
                <w:vertAlign w:val="subscript"/>
              </w:rPr>
              <w:t>rozdílu</w:t>
            </w:r>
            <w:proofErr w:type="spellEnd"/>
            <w:r w:rsidRPr="003E0FFD">
              <w:rPr>
                <w:rFonts w:ascii="Arial" w:hAnsi="Arial" w:cs="Arial"/>
                <w:b/>
                <w:bCs/>
                <w:color w:val="000000" w:themeColor="text1"/>
              </w:rPr>
              <w:t xml:space="preserve"> &lt;0,001 </w:t>
            </w:r>
          </w:p>
          <w:p w14:paraId="764D64C4" w14:textId="77777777" w:rsidR="008B1C8E" w:rsidRPr="003E0FFD" w:rsidRDefault="008B1C8E" w:rsidP="00E97A97">
            <w:pPr>
              <w:jc w:val="center"/>
              <w:rPr>
                <w:rFonts w:ascii="Calibri" w:hAnsi="Calibri" w:cs="Calibri"/>
                <w:color w:val="000000" w:themeColor="text1"/>
                <w:sz w:val="22"/>
                <w:szCs w:val="22"/>
              </w:rPr>
            </w:pPr>
            <w:r w:rsidRPr="003E0FFD">
              <w:rPr>
                <w:rFonts w:ascii="Arial" w:hAnsi="Arial" w:cs="Arial"/>
                <w:b/>
                <w:bCs/>
                <w:color w:val="000000" w:themeColor="text1"/>
              </w:rPr>
              <w:t>Fí=0,128</w:t>
            </w:r>
          </w:p>
        </w:tc>
        <w:tc>
          <w:tcPr>
            <w:tcW w:w="1984" w:type="dxa"/>
            <w:tcBorders>
              <w:top w:val="nil"/>
              <w:left w:val="nil"/>
              <w:bottom w:val="single" w:sz="4" w:space="0" w:color="auto"/>
              <w:right w:val="single" w:sz="4" w:space="0" w:color="auto"/>
            </w:tcBorders>
            <w:shd w:val="clear" w:color="auto" w:fill="auto"/>
            <w:vAlign w:val="center"/>
            <w:hideMark/>
          </w:tcPr>
          <w:p w14:paraId="121FB92E" w14:textId="1B58112D" w:rsidR="008B1C8E" w:rsidRPr="003E0FFD" w:rsidRDefault="008B1C8E" w:rsidP="00E97A97">
            <w:pPr>
              <w:jc w:val="center"/>
              <w:rPr>
                <w:rFonts w:ascii="Arial" w:hAnsi="Arial" w:cs="Arial"/>
                <w:b/>
                <w:bCs/>
                <w:color w:val="000000" w:themeColor="text1"/>
              </w:rPr>
            </w:pPr>
            <w:proofErr w:type="spellStart"/>
            <w:r w:rsidRPr="003E0FFD">
              <w:rPr>
                <w:rFonts w:ascii="Arial" w:hAnsi="Arial" w:cs="Arial"/>
                <w:b/>
                <w:bCs/>
                <w:color w:val="000000" w:themeColor="text1"/>
              </w:rPr>
              <w:t>p</w:t>
            </w:r>
            <w:r w:rsidR="00CE0119" w:rsidRPr="00CE0119">
              <w:rPr>
                <w:rFonts w:ascii="Arial" w:hAnsi="Arial" w:cs="Arial"/>
                <w:b/>
                <w:bCs/>
                <w:color w:val="000000" w:themeColor="text1"/>
                <w:vertAlign w:val="subscript"/>
              </w:rPr>
              <w:t>rozdílu</w:t>
            </w:r>
            <w:proofErr w:type="spellEnd"/>
            <w:r w:rsidRPr="003E0FFD">
              <w:rPr>
                <w:rFonts w:ascii="Arial" w:hAnsi="Arial" w:cs="Arial"/>
                <w:b/>
                <w:bCs/>
                <w:color w:val="000000" w:themeColor="text1"/>
              </w:rPr>
              <w:t>=0,017</w:t>
            </w:r>
          </w:p>
          <w:p w14:paraId="660FC47E" w14:textId="77777777" w:rsidR="008B1C8E" w:rsidRPr="003E0FFD" w:rsidRDefault="008B1C8E" w:rsidP="00E97A97">
            <w:pPr>
              <w:jc w:val="center"/>
              <w:rPr>
                <w:rFonts w:ascii="Arial" w:hAnsi="Arial" w:cs="Arial"/>
                <w:color w:val="000000" w:themeColor="text1"/>
              </w:rPr>
            </w:pPr>
            <w:r w:rsidRPr="003E0FFD">
              <w:rPr>
                <w:rFonts w:ascii="Arial" w:hAnsi="Arial" w:cs="Arial"/>
                <w:b/>
                <w:bCs/>
                <w:color w:val="000000" w:themeColor="text1"/>
              </w:rPr>
              <w:t>Fí=0,070</w:t>
            </w:r>
          </w:p>
        </w:tc>
        <w:tc>
          <w:tcPr>
            <w:tcW w:w="541" w:type="dxa"/>
            <w:vAlign w:val="center"/>
            <w:hideMark/>
          </w:tcPr>
          <w:p w14:paraId="05F20B1D" w14:textId="77777777" w:rsidR="008B1C8E" w:rsidRPr="005D38FB" w:rsidRDefault="008B1C8E" w:rsidP="00E97A97">
            <w:pPr>
              <w:rPr>
                <w:rFonts w:ascii="Times New Roman" w:hAnsi="Times New Roman"/>
                <w:sz w:val="20"/>
                <w:szCs w:val="20"/>
              </w:rPr>
            </w:pPr>
          </w:p>
        </w:tc>
      </w:tr>
      <w:tr w:rsidR="008B1C8E" w:rsidRPr="005D38FB" w14:paraId="7C0E9F7A" w14:textId="77777777" w:rsidTr="00E97A97">
        <w:trPr>
          <w:trHeight w:val="850"/>
        </w:trPr>
        <w:tc>
          <w:tcPr>
            <w:tcW w:w="2689" w:type="dxa"/>
            <w:tcBorders>
              <w:top w:val="nil"/>
              <w:left w:val="single" w:sz="4" w:space="0" w:color="auto"/>
              <w:bottom w:val="single" w:sz="4" w:space="0" w:color="auto"/>
              <w:right w:val="single" w:sz="4" w:space="0" w:color="auto"/>
            </w:tcBorders>
            <w:shd w:val="clear" w:color="000000" w:fill="DDEBF7"/>
            <w:vAlign w:val="center"/>
            <w:hideMark/>
          </w:tcPr>
          <w:p w14:paraId="0CC56605" w14:textId="77777777" w:rsidR="008B1C8E" w:rsidRPr="005D38FB" w:rsidRDefault="008B1C8E" w:rsidP="00E97A97">
            <w:pPr>
              <w:jc w:val="center"/>
              <w:rPr>
                <w:rFonts w:ascii="Arial" w:hAnsi="Arial" w:cs="Arial"/>
                <w:b/>
                <w:bCs/>
                <w:color w:val="000000"/>
              </w:rPr>
            </w:pPr>
            <w:r w:rsidRPr="005D38FB">
              <w:rPr>
                <w:rFonts w:ascii="Arial" w:hAnsi="Arial" w:cs="Arial"/>
                <w:b/>
                <w:bCs/>
                <w:color w:val="000000"/>
              </w:rPr>
              <w:t>Využití zobrazovacích metod</w:t>
            </w:r>
          </w:p>
        </w:tc>
        <w:tc>
          <w:tcPr>
            <w:tcW w:w="1984" w:type="dxa"/>
            <w:tcBorders>
              <w:top w:val="nil"/>
              <w:left w:val="nil"/>
              <w:bottom w:val="single" w:sz="4" w:space="0" w:color="auto"/>
              <w:right w:val="single" w:sz="4" w:space="0" w:color="auto"/>
            </w:tcBorders>
            <w:shd w:val="clear" w:color="auto" w:fill="auto"/>
            <w:vAlign w:val="center"/>
            <w:hideMark/>
          </w:tcPr>
          <w:p w14:paraId="0D46474C" w14:textId="59239057" w:rsidR="002A4C5F" w:rsidRPr="003E0FFD" w:rsidRDefault="002A4C5F" w:rsidP="002A4C5F">
            <w:pPr>
              <w:jc w:val="center"/>
              <w:rPr>
                <w:rFonts w:ascii="Arial" w:hAnsi="Arial" w:cs="Arial"/>
                <w:b/>
                <w:bCs/>
                <w:color w:val="000000" w:themeColor="text1"/>
              </w:rPr>
            </w:pPr>
            <w:proofErr w:type="spellStart"/>
            <w:r w:rsidRPr="003E0FFD">
              <w:rPr>
                <w:rFonts w:ascii="Arial" w:hAnsi="Arial" w:cs="Arial"/>
                <w:b/>
                <w:bCs/>
                <w:color w:val="000000" w:themeColor="text1"/>
              </w:rPr>
              <w:t>p</w:t>
            </w:r>
            <w:r w:rsidRPr="00CE0119">
              <w:rPr>
                <w:rFonts w:ascii="Arial" w:hAnsi="Arial" w:cs="Arial"/>
                <w:b/>
                <w:bCs/>
                <w:color w:val="000000" w:themeColor="text1"/>
                <w:vertAlign w:val="subscript"/>
              </w:rPr>
              <w:t>rozdílu</w:t>
            </w:r>
            <w:proofErr w:type="spellEnd"/>
            <w:r w:rsidRPr="003E0FFD">
              <w:rPr>
                <w:rFonts w:ascii="Arial" w:hAnsi="Arial" w:cs="Arial"/>
                <w:b/>
                <w:bCs/>
                <w:color w:val="000000" w:themeColor="text1"/>
              </w:rPr>
              <w:t xml:space="preserve"> &lt;0,001 </w:t>
            </w:r>
          </w:p>
          <w:p w14:paraId="0BE78C16" w14:textId="5C29E814" w:rsidR="008B1C8E" w:rsidRPr="005D38FB" w:rsidRDefault="002A4C5F" w:rsidP="002A4C5F">
            <w:pPr>
              <w:jc w:val="center"/>
              <w:rPr>
                <w:rFonts w:ascii="Arial" w:hAnsi="Arial" w:cs="Arial"/>
                <w:b/>
                <w:bCs/>
                <w:color w:val="000000"/>
              </w:rPr>
            </w:pPr>
            <w:r w:rsidRPr="003E0FFD">
              <w:rPr>
                <w:rFonts w:ascii="Arial" w:hAnsi="Arial" w:cs="Arial"/>
                <w:b/>
                <w:bCs/>
                <w:color w:val="000000" w:themeColor="text1"/>
              </w:rPr>
              <w:t>CV=0,222</w:t>
            </w:r>
          </w:p>
        </w:tc>
        <w:tc>
          <w:tcPr>
            <w:tcW w:w="1843" w:type="dxa"/>
            <w:tcBorders>
              <w:top w:val="nil"/>
              <w:left w:val="nil"/>
              <w:bottom w:val="single" w:sz="4" w:space="0" w:color="auto"/>
              <w:right w:val="single" w:sz="4" w:space="0" w:color="auto"/>
            </w:tcBorders>
            <w:shd w:val="clear" w:color="auto" w:fill="auto"/>
            <w:vAlign w:val="center"/>
            <w:hideMark/>
          </w:tcPr>
          <w:p w14:paraId="2AEAF282" w14:textId="77777777" w:rsidR="0095009A" w:rsidRPr="003E0FFD" w:rsidRDefault="0095009A" w:rsidP="0095009A">
            <w:pPr>
              <w:jc w:val="center"/>
              <w:rPr>
                <w:rFonts w:ascii="Arial" w:hAnsi="Arial" w:cs="Arial"/>
                <w:b/>
                <w:bCs/>
                <w:color w:val="000000" w:themeColor="text1"/>
              </w:rPr>
            </w:pPr>
            <w:proofErr w:type="spellStart"/>
            <w:r w:rsidRPr="003E0FFD">
              <w:rPr>
                <w:rFonts w:ascii="Arial" w:hAnsi="Arial" w:cs="Arial"/>
                <w:b/>
                <w:bCs/>
                <w:color w:val="000000" w:themeColor="text1"/>
              </w:rPr>
              <w:t>p</w:t>
            </w:r>
            <w:r w:rsidRPr="00CE0119">
              <w:rPr>
                <w:rFonts w:ascii="Arial" w:hAnsi="Arial" w:cs="Arial"/>
                <w:b/>
                <w:bCs/>
                <w:color w:val="000000" w:themeColor="text1"/>
                <w:vertAlign w:val="subscript"/>
              </w:rPr>
              <w:t>rozdílu</w:t>
            </w:r>
            <w:proofErr w:type="spellEnd"/>
            <w:r w:rsidRPr="003E0FFD">
              <w:rPr>
                <w:rFonts w:ascii="Arial" w:hAnsi="Arial" w:cs="Arial"/>
                <w:b/>
                <w:bCs/>
                <w:color w:val="000000" w:themeColor="text1"/>
              </w:rPr>
              <w:t xml:space="preserve"> &lt;0,001 </w:t>
            </w:r>
          </w:p>
          <w:p w14:paraId="4CF5D94B" w14:textId="126626B8" w:rsidR="008B1C8E" w:rsidRPr="005D38FB" w:rsidRDefault="0095009A" w:rsidP="0095009A">
            <w:pPr>
              <w:jc w:val="center"/>
              <w:rPr>
                <w:rFonts w:ascii="Arial" w:hAnsi="Arial" w:cs="Arial"/>
                <w:b/>
                <w:bCs/>
                <w:color w:val="000000"/>
              </w:rPr>
            </w:pPr>
            <w:r w:rsidRPr="003E0FFD">
              <w:rPr>
                <w:rFonts w:ascii="Arial" w:hAnsi="Arial" w:cs="Arial"/>
                <w:b/>
                <w:bCs/>
                <w:color w:val="000000" w:themeColor="text1"/>
              </w:rPr>
              <w:t>CV=0,113</w:t>
            </w:r>
          </w:p>
        </w:tc>
        <w:tc>
          <w:tcPr>
            <w:tcW w:w="1984" w:type="dxa"/>
            <w:tcBorders>
              <w:top w:val="nil"/>
              <w:left w:val="nil"/>
              <w:bottom w:val="single" w:sz="4" w:space="0" w:color="auto"/>
              <w:right w:val="single" w:sz="4" w:space="0" w:color="auto"/>
            </w:tcBorders>
            <w:shd w:val="clear" w:color="auto" w:fill="auto"/>
            <w:vAlign w:val="center"/>
            <w:hideMark/>
          </w:tcPr>
          <w:p w14:paraId="2B7B0BC9" w14:textId="77777777" w:rsidR="0095009A" w:rsidRPr="003E0FFD" w:rsidRDefault="0095009A" w:rsidP="0095009A">
            <w:pPr>
              <w:jc w:val="center"/>
              <w:rPr>
                <w:rFonts w:ascii="Arial" w:hAnsi="Arial" w:cs="Arial"/>
                <w:b/>
                <w:bCs/>
                <w:color w:val="000000" w:themeColor="text1"/>
              </w:rPr>
            </w:pPr>
            <w:proofErr w:type="spellStart"/>
            <w:r w:rsidRPr="003E0FFD">
              <w:rPr>
                <w:rFonts w:ascii="Arial" w:hAnsi="Arial" w:cs="Arial"/>
                <w:b/>
                <w:bCs/>
                <w:color w:val="000000" w:themeColor="text1"/>
              </w:rPr>
              <w:t>p</w:t>
            </w:r>
            <w:r w:rsidRPr="00CE0119">
              <w:rPr>
                <w:rFonts w:ascii="Arial" w:hAnsi="Arial" w:cs="Arial"/>
                <w:b/>
                <w:bCs/>
                <w:color w:val="000000" w:themeColor="text1"/>
                <w:vertAlign w:val="subscript"/>
              </w:rPr>
              <w:t>rozdílu</w:t>
            </w:r>
            <w:proofErr w:type="spellEnd"/>
            <w:r w:rsidRPr="003E0FFD">
              <w:rPr>
                <w:rFonts w:ascii="Arial" w:hAnsi="Arial" w:cs="Arial"/>
                <w:b/>
                <w:bCs/>
                <w:color w:val="000000" w:themeColor="text1"/>
              </w:rPr>
              <w:t xml:space="preserve"> &lt;0,001 </w:t>
            </w:r>
          </w:p>
          <w:p w14:paraId="5E737743" w14:textId="2A7FE79A" w:rsidR="008B1C8E" w:rsidRPr="005D38FB" w:rsidRDefault="0095009A" w:rsidP="0095009A">
            <w:pPr>
              <w:jc w:val="center"/>
              <w:rPr>
                <w:rFonts w:ascii="Arial" w:hAnsi="Arial" w:cs="Arial"/>
                <w:b/>
                <w:bCs/>
                <w:color w:val="000000"/>
              </w:rPr>
            </w:pPr>
            <w:r w:rsidRPr="003E0FFD">
              <w:rPr>
                <w:rFonts w:ascii="Arial" w:hAnsi="Arial" w:cs="Arial"/>
                <w:b/>
                <w:bCs/>
                <w:color w:val="000000" w:themeColor="text1"/>
              </w:rPr>
              <w:t>Fí=0,128</w:t>
            </w:r>
          </w:p>
        </w:tc>
        <w:tc>
          <w:tcPr>
            <w:tcW w:w="1985" w:type="dxa"/>
            <w:tcBorders>
              <w:top w:val="nil"/>
              <w:left w:val="nil"/>
              <w:bottom w:val="single" w:sz="4" w:space="0" w:color="auto"/>
              <w:right w:val="single" w:sz="4" w:space="0" w:color="auto"/>
              <w:tr2bl w:val="single" w:sz="4" w:space="0" w:color="auto"/>
            </w:tcBorders>
            <w:shd w:val="clear" w:color="auto" w:fill="auto"/>
            <w:vAlign w:val="center"/>
            <w:hideMark/>
          </w:tcPr>
          <w:p w14:paraId="0EB32F11" w14:textId="77777777" w:rsidR="008B1C8E" w:rsidRPr="005D38FB" w:rsidRDefault="008B1C8E" w:rsidP="00E97A97">
            <w:pPr>
              <w:jc w:val="center"/>
              <w:rPr>
                <w:rFonts w:ascii="Arial" w:hAnsi="Arial" w:cs="Arial"/>
                <w:color w:val="000000"/>
              </w:rPr>
            </w:pPr>
            <w:r w:rsidRPr="005D38FB">
              <w:rPr>
                <w:rFonts w:ascii="Arial" w:hAnsi="Arial" w:cs="Arial"/>
                <w:color w:val="000000"/>
              </w:rPr>
              <w:t> </w:t>
            </w:r>
          </w:p>
        </w:tc>
        <w:tc>
          <w:tcPr>
            <w:tcW w:w="1984" w:type="dxa"/>
            <w:tcBorders>
              <w:top w:val="nil"/>
              <w:left w:val="nil"/>
              <w:bottom w:val="single" w:sz="4" w:space="0" w:color="auto"/>
              <w:right w:val="single" w:sz="4" w:space="0" w:color="auto"/>
            </w:tcBorders>
            <w:shd w:val="clear" w:color="auto" w:fill="auto"/>
            <w:noWrap/>
            <w:vAlign w:val="center"/>
            <w:hideMark/>
          </w:tcPr>
          <w:p w14:paraId="0B215DF8" w14:textId="767DD77E" w:rsidR="008B1C8E" w:rsidRPr="003E0FFD" w:rsidRDefault="008B1C8E" w:rsidP="00E97A97">
            <w:pPr>
              <w:jc w:val="center"/>
              <w:rPr>
                <w:rFonts w:ascii="Arial" w:hAnsi="Arial" w:cs="Arial"/>
                <w:b/>
                <w:bCs/>
                <w:color w:val="000000" w:themeColor="text1"/>
              </w:rPr>
            </w:pPr>
            <w:proofErr w:type="spellStart"/>
            <w:r w:rsidRPr="003E0FFD">
              <w:rPr>
                <w:rFonts w:ascii="Arial" w:hAnsi="Arial" w:cs="Arial"/>
                <w:b/>
                <w:bCs/>
                <w:color w:val="000000" w:themeColor="text1"/>
              </w:rPr>
              <w:t>p</w:t>
            </w:r>
            <w:r w:rsidR="00CE0119" w:rsidRPr="00CE0119">
              <w:rPr>
                <w:rFonts w:ascii="Arial" w:hAnsi="Arial" w:cs="Arial"/>
                <w:b/>
                <w:bCs/>
                <w:color w:val="000000" w:themeColor="text1"/>
                <w:vertAlign w:val="subscript"/>
              </w:rPr>
              <w:t>rozdílu</w:t>
            </w:r>
            <w:proofErr w:type="spellEnd"/>
            <w:r w:rsidRPr="003E0FFD">
              <w:rPr>
                <w:rFonts w:ascii="Arial" w:hAnsi="Arial" w:cs="Arial"/>
                <w:b/>
                <w:bCs/>
                <w:color w:val="000000" w:themeColor="text1"/>
              </w:rPr>
              <w:t>=0,002</w:t>
            </w:r>
          </w:p>
          <w:p w14:paraId="1A1EAED0" w14:textId="77777777" w:rsidR="008B1C8E" w:rsidRPr="005D38FB" w:rsidRDefault="008B1C8E" w:rsidP="00E97A97">
            <w:pPr>
              <w:jc w:val="center"/>
              <w:rPr>
                <w:rFonts w:ascii="Calibri" w:hAnsi="Calibri" w:cs="Calibri"/>
                <w:color w:val="000000"/>
                <w:sz w:val="22"/>
                <w:szCs w:val="22"/>
              </w:rPr>
            </w:pPr>
            <w:r w:rsidRPr="003E0FFD">
              <w:rPr>
                <w:rFonts w:ascii="Arial" w:hAnsi="Arial" w:cs="Arial"/>
                <w:b/>
                <w:bCs/>
                <w:color w:val="000000" w:themeColor="text1"/>
              </w:rPr>
              <w:t>Fí=0,092</w:t>
            </w:r>
            <w:r w:rsidRPr="003E0FFD">
              <w:rPr>
                <w:rFonts w:ascii="Calibri" w:hAnsi="Calibri" w:cs="Calibri"/>
                <w:color w:val="000000" w:themeColor="text1"/>
                <w:sz w:val="22"/>
                <w:szCs w:val="22"/>
              </w:rPr>
              <w:t> </w:t>
            </w:r>
          </w:p>
        </w:tc>
        <w:tc>
          <w:tcPr>
            <w:tcW w:w="541" w:type="dxa"/>
            <w:vAlign w:val="center"/>
            <w:hideMark/>
          </w:tcPr>
          <w:p w14:paraId="2625327D" w14:textId="77777777" w:rsidR="008B1C8E" w:rsidRPr="005D38FB" w:rsidRDefault="008B1C8E" w:rsidP="00E97A97">
            <w:pPr>
              <w:rPr>
                <w:rFonts w:ascii="Times New Roman" w:hAnsi="Times New Roman"/>
                <w:sz w:val="20"/>
                <w:szCs w:val="20"/>
              </w:rPr>
            </w:pPr>
          </w:p>
        </w:tc>
      </w:tr>
      <w:tr w:rsidR="008B1C8E" w:rsidRPr="005D38FB" w14:paraId="0E77A04C" w14:textId="77777777" w:rsidTr="00E97A97">
        <w:trPr>
          <w:trHeight w:val="850"/>
        </w:trPr>
        <w:tc>
          <w:tcPr>
            <w:tcW w:w="2689" w:type="dxa"/>
            <w:tcBorders>
              <w:top w:val="nil"/>
              <w:left w:val="single" w:sz="4" w:space="0" w:color="auto"/>
              <w:bottom w:val="single" w:sz="4" w:space="0" w:color="auto"/>
              <w:right w:val="single" w:sz="4" w:space="0" w:color="auto"/>
            </w:tcBorders>
            <w:shd w:val="clear" w:color="000000" w:fill="DDEBF7"/>
            <w:vAlign w:val="center"/>
            <w:hideMark/>
          </w:tcPr>
          <w:p w14:paraId="580902C1" w14:textId="77777777" w:rsidR="008B1C8E" w:rsidRPr="005D38FB" w:rsidRDefault="008B1C8E" w:rsidP="00E97A97">
            <w:pPr>
              <w:jc w:val="center"/>
              <w:rPr>
                <w:rFonts w:ascii="Arial" w:hAnsi="Arial" w:cs="Arial"/>
                <w:b/>
                <w:bCs/>
                <w:color w:val="000000"/>
              </w:rPr>
            </w:pPr>
            <w:r w:rsidRPr="005D38FB">
              <w:rPr>
                <w:rFonts w:ascii="Arial" w:hAnsi="Arial" w:cs="Arial"/>
                <w:b/>
                <w:bCs/>
                <w:color w:val="000000"/>
              </w:rPr>
              <w:t>Konzilium specialisty</w:t>
            </w:r>
          </w:p>
        </w:tc>
        <w:tc>
          <w:tcPr>
            <w:tcW w:w="1984" w:type="dxa"/>
            <w:tcBorders>
              <w:top w:val="nil"/>
              <w:left w:val="nil"/>
              <w:bottom w:val="single" w:sz="4" w:space="0" w:color="auto"/>
              <w:right w:val="single" w:sz="4" w:space="0" w:color="auto"/>
            </w:tcBorders>
            <w:shd w:val="clear" w:color="auto" w:fill="auto"/>
            <w:vAlign w:val="center"/>
            <w:hideMark/>
          </w:tcPr>
          <w:p w14:paraId="6CBB94A1" w14:textId="58E3F2B5" w:rsidR="008B1C8E" w:rsidRPr="005D38FB" w:rsidRDefault="002A4C5F" w:rsidP="00E97A97">
            <w:pPr>
              <w:jc w:val="center"/>
              <w:rPr>
                <w:rFonts w:ascii="Arial" w:hAnsi="Arial" w:cs="Arial"/>
                <w:color w:val="000000"/>
              </w:rPr>
            </w:pPr>
            <w:proofErr w:type="spellStart"/>
            <w:r w:rsidRPr="003E0FFD">
              <w:rPr>
                <w:rFonts w:ascii="Arial" w:hAnsi="Arial" w:cs="Arial"/>
                <w:color w:val="000000" w:themeColor="text1"/>
              </w:rPr>
              <w:t>p</w:t>
            </w:r>
            <w:r w:rsidRPr="00CE0119">
              <w:rPr>
                <w:rFonts w:ascii="Arial" w:hAnsi="Arial" w:cs="Arial"/>
                <w:color w:val="000000" w:themeColor="text1"/>
                <w:vertAlign w:val="subscript"/>
              </w:rPr>
              <w:t>rozdílu</w:t>
            </w:r>
            <w:proofErr w:type="spellEnd"/>
            <w:r w:rsidRPr="003E0FFD">
              <w:rPr>
                <w:rFonts w:ascii="Arial" w:hAnsi="Arial" w:cs="Arial"/>
                <w:color w:val="000000" w:themeColor="text1"/>
              </w:rPr>
              <w:t>=0,907 </w:t>
            </w:r>
          </w:p>
        </w:tc>
        <w:tc>
          <w:tcPr>
            <w:tcW w:w="1843" w:type="dxa"/>
            <w:tcBorders>
              <w:top w:val="nil"/>
              <w:left w:val="nil"/>
              <w:bottom w:val="single" w:sz="4" w:space="0" w:color="auto"/>
              <w:right w:val="single" w:sz="4" w:space="0" w:color="auto"/>
            </w:tcBorders>
            <w:shd w:val="clear" w:color="auto" w:fill="auto"/>
            <w:vAlign w:val="center"/>
            <w:hideMark/>
          </w:tcPr>
          <w:p w14:paraId="7341E19E" w14:textId="3575A535" w:rsidR="008B1C8E" w:rsidRPr="005D38FB" w:rsidRDefault="0095009A" w:rsidP="00E97A97">
            <w:pPr>
              <w:jc w:val="center"/>
              <w:rPr>
                <w:rFonts w:ascii="Arial" w:hAnsi="Arial" w:cs="Arial"/>
                <w:color w:val="000000"/>
              </w:rPr>
            </w:pPr>
            <w:proofErr w:type="spellStart"/>
            <w:r w:rsidRPr="003E0FFD">
              <w:rPr>
                <w:rFonts w:ascii="Arial" w:hAnsi="Arial" w:cs="Arial"/>
                <w:color w:val="000000" w:themeColor="text1"/>
              </w:rPr>
              <w:t>p</w:t>
            </w:r>
            <w:r w:rsidRPr="00CE0119">
              <w:rPr>
                <w:rFonts w:ascii="Arial" w:hAnsi="Arial" w:cs="Arial"/>
                <w:color w:val="000000" w:themeColor="text1"/>
                <w:vertAlign w:val="subscript"/>
              </w:rPr>
              <w:t>rozdílu</w:t>
            </w:r>
            <w:proofErr w:type="spellEnd"/>
            <w:r w:rsidRPr="003E0FFD">
              <w:rPr>
                <w:rFonts w:ascii="Arial" w:hAnsi="Arial" w:cs="Arial"/>
                <w:color w:val="000000" w:themeColor="text1"/>
              </w:rPr>
              <w:t>=0,443 </w:t>
            </w:r>
          </w:p>
        </w:tc>
        <w:tc>
          <w:tcPr>
            <w:tcW w:w="1984" w:type="dxa"/>
            <w:tcBorders>
              <w:top w:val="nil"/>
              <w:left w:val="nil"/>
              <w:bottom w:val="single" w:sz="4" w:space="0" w:color="auto"/>
              <w:right w:val="single" w:sz="4" w:space="0" w:color="auto"/>
            </w:tcBorders>
            <w:shd w:val="clear" w:color="auto" w:fill="auto"/>
            <w:vAlign w:val="center"/>
            <w:hideMark/>
          </w:tcPr>
          <w:p w14:paraId="17733C99" w14:textId="77777777" w:rsidR="0095009A" w:rsidRPr="003E0FFD" w:rsidRDefault="0095009A" w:rsidP="0095009A">
            <w:pPr>
              <w:jc w:val="center"/>
              <w:rPr>
                <w:rFonts w:ascii="Arial" w:hAnsi="Arial" w:cs="Arial"/>
                <w:b/>
                <w:bCs/>
                <w:color w:val="000000" w:themeColor="text1"/>
              </w:rPr>
            </w:pPr>
            <w:proofErr w:type="spellStart"/>
            <w:r w:rsidRPr="003E0FFD">
              <w:rPr>
                <w:rFonts w:ascii="Arial" w:hAnsi="Arial" w:cs="Arial"/>
                <w:b/>
                <w:bCs/>
                <w:color w:val="000000" w:themeColor="text1"/>
              </w:rPr>
              <w:t>p</w:t>
            </w:r>
            <w:r w:rsidRPr="00CE0119">
              <w:rPr>
                <w:rFonts w:ascii="Arial" w:hAnsi="Arial" w:cs="Arial"/>
                <w:b/>
                <w:bCs/>
                <w:color w:val="000000" w:themeColor="text1"/>
                <w:vertAlign w:val="subscript"/>
              </w:rPr>
              <w:t>rozdílu</w:t>
            </w:r>
            <w:proofErr w:type="spellEnd"/>
            <w:r w:rsidRPr="003E0FFD">
              <w:rPr>
                <w:rFonts w:ascii="Arial" w:hAnsi="Arial" w:cs="Arial"/>
                <w:b/>
                <w:bCs/>
                <w:color w:val="000000" w:themeColor="text1"/>
              </w:rPr>
              <w:t>=0,017</w:t>
            </w:r>
          </w:p>
          <w:p w14:paraId="66359325" w14:textId="3AE86B69" w:rsidR="008B1C8E" w:rsidRPr="005D38FB" w:rsidRDefault="0095009A" w:rsidP="0095009A">
            <w:pPr>
              <w:jc w:val="center"/>
              <w:rPr>
                <w:rFonts w:ascii="Arial" w:hAnsi="Arial" w:cs="Arial"/>
                <w:b/>
                <w:bCs/>
                <w:color w:val="000000"/>
              </w:rPr>
            </w:pPr>
            <w:r w:rsidRPr="003E0FFD">
              <w:rPr>
                <w:rFonts w:ascii="Arial" w:hAnsi="Arial" w:cs="Arial"/>
                <w:b/>
                <w:bCs/>
                <w:color w:val="000000" w:themeColor="text1"/>
              </w:rPr>
              <w:t>Fí=0,070</w:t>
            </w:r>
          </w:p>
        </w:tc>
        <w:tc>
          <w:tcPr>
            <w:tcW w:w="1985" w:type="dxa"/>
            <w:tcBorders>
              <w:top w:val="nil"/>
              <w:left w:val="nil"/>
              <w:bottom w:val="single" w:sz="4" w:space="0" w:color="auto"/>
              <w:right w:val="single" w:sz="4" w:space="0" w:color="auto"/>
            </w:tcBorders>
            <w:shd w:val="clear" w:color="auto" w:fill="auto"/>
            <w:vAlign w:val="center"/>
            <w:hideMark/>
          </w:tcPr>
          <w:p w14:paraId="77355A89" w14:textId="77777777" w:rsidR="00F2193A" w:rsidRPr="003E0FFD" w:rsidRDefault="00F2193A" w:rsidP="00F2193A">
            <w:pPr>
              <w:jc w:val="center"/>
              <w:rPr>
                <w:rFonts w:ascii="Arial" w:hAnsi="Arial" w:cs="Arial"/>
                <w:b/>
                <w:bCs/>
                <w:color w:val="000000" w:themeColor="text1"/>
              </w:rPr>
            </w:pPr>
            <w:proofErr w:type="spellStart"/>
            <w:r w:rsidRPr="003E0FFD">
              <w:rPr>
                <w:rFonts w:ascii="Arial" w:hAnsi="Arial" w:cs="Arial"/>
                <w:b/>
                <w:bCs/>
                <w:color w:val="000000" w:themeColor="text1"/>
              </w:rPr>
              <w:t>p</w:t>
            </w:r>
            <w:r w:rsidRPr="00CE0119">
              <w:rPr>
                <w:rFonts w:ascii="Arial" w:hAnsi="Arial" w:cs="Arial"/>
                <w:b/>
                <w:bCs/>
                <w:color w:val="000000" w:themeColor="text1"/>
                <w:vertAlign w:val="subscript"/>
              </w:rPr>
              <w:t>rozdílu</w:t>
            </w:r>
            <w:proofErr w:type="spellEnd"/>
            <w:r w:rsidRPr="003E0FFD">
              <w:rPr>
                <w:rFonts w:ascii="Arial" w:hAnsi="Arial" w:cs="Arial"/>
                <w:b/>
                <w:bCs/>
                <w:color w:val="000000" w:themeColor="text1"/>
              </w:rPr>
              <w:t>=0,002</w:t>
            </w:r>
          </w:p>
          <w:p w14:paraId="27DFC65F" w14:textId="54DF3999" w:rsidR="008B1C8E" w:rsidRPr="005D38FB" w:rsidRDefault="00F2193A" w:rsidP="00F2193A">
            <w:pPr>
              <w:jc w:val="center"/>
              <w:rPr>
                <w:rFonts w:ascii="Arial" w:hAnsi="Arial" w:cs="Arial"/>
                <w:b/>
                <w:bCs/>
                <w:color w:val="000000"/>
              </w:rPr>
            </w:pPr>
            <w:r w:rsidRPr="003E0FFD">
              <w:rPr>
                <w:rFonts w:ascii="Arial" w:hAnsi="Arial" w:cs="Arial"/>
                <w:b/>
                <w:bCs/>
                <w:color w:val="000000" w:themeColor="text1"/>
              </w:rPr>
              <w:t>Fí=0,092</w:t>
            </w:r>
            <w:r w:rsidRPr="003E0FFD">
              <w:rPr>
                <w:rFonts w:ascii="Calibri" w:hAnsi="Calibri" w:cs="Calibri"/>
                <w:color w:val="000000" w:themeColor="text1"/>
                <w:sz w:val="22"/>
                <w:szCs w:val="22"/>
              </w:rPr>
              <w:t> </w:t>
            </w:r>
          </w:p>
        </w:tc>
        <w:tc>
          <w:tcPr>
            <w:tcW w:w="1984" w:type="dxa"/>
            <w:tcBorders>
              <w:top w:val="nil"/>
              <w:left w:val="nil"/>
              <w:bottom w:val="single" w:sz="4" w:space="0" w:color="auto"/>
              <w:right w:val="single" w:sz="4" w:space="0" w:color="auto"/>
              <w:tr2bl w:val="single" w:sz="4" w:space="0" w:color="auto"/>
            </w:tcBorders>
            <w:shd w:val="clear" w:color="auto" w:fill="auto"/>
            <w:vAlign w:val="center"/>
            <w:hideMark/>
          </w:tcPr>
          <w:p w14:paraId="4EC9F0A5" w14:textId="77777777" w:rsidR="008B1C8E" w:rsidRPr="005D38FB" w:rsidRDefault="008B1C8E" w:rsidP="00E97A97">
            <w:pPr>
              <w:jc w:val="center"/>
              <w:rPr>
                <w:rFonts w:ascii="Arial" w:hAnsi="Arial" w:cs="Arial"/>
                <w:color w:val="000000"/>
              </w:rPr>
            </w:pPr>
            <w:r w:rsidRPr="005D38FB">
              <w:rPr>
                <w:rFonts w:ascii="Arial" w:hAnsi="Arial" w:cs="Arial"/>
                <w:color w:val="000000"/>
              </w:rPr>
              <w:t> </w:t>
            </w:r>
          </w:p>
        </w:tc>
        <w:tc>
          <w:tcPr>
            <w:tcW w:w="541" w:type="dxa"/>
            <w:vAlign w:val="center"/>
            <w:hideMark/>
          </w:tcPr>
          <w:p w14:paraId="3421C462" w14:textId="77777777" w:rsidR="008B1C8E" w:rsidRPr="005D38FB" w:rsidRDefault="008B1C8E" w:rsidP="00E97A97">
            <w:pPr>
              <w:rPr>
                <w:rFonts w:ascii="Times New Roman" w:hAnsi="Times New Roman"/>
                <w:sz w:val="20"/>
                <w:szCs w:val="20"/>
              </w:rPr>
            </w:pPr>
          </w:p>
        </w:tc>
      </w:tr>
    </w:tbl>
    <w:p w14:paraId="1E4D3C08" w14:textId="6BFA6926" w:rsidR="008B1C8E" w:rsidRDefault="008B1C8E" w:rsidP="008B1C8E">
      <w:pPr>
        <w:pStyle w:val="Popisobrzku"/>
      </w:pPr>
      <w:r w:rsidRPr="005D38FB">
        <w:t xml:space="preserve">Chí-kvadrát test (χ2), koeficient </w:t>
      </w:r>
      <w:proofErr w:type="spellStart"/>
      <w:r w:rsidRPr="005D38FB">
        <w:t>asociance</w:t>
      </w:r>
      <w:proofErr w:type="spellEnd"/>
      <w:r w:rsidRPr="005D38FB">
        <w:t xml:space="preserve"> Fí a </w:t>
      </w:r>
      <w:proofErr w:type="spellStart"/>
      <w:r w:rsidRPr="005D38FB">
        <w:t>Cramerovo</w:t>
      </w:r>
      <w:proofErr w:type="spellEnd"/>
      <w:r w:rsidRPr="005D38FB">
        <w:t xml:space="preserve"> V (CV) byly použity s hladinou významnosti &lt;0,05.</w:t>
      </w:r>
      <w:r>
        <w:t xml:space="preserve"> </w:t>
      </w:r>
      <w:r w:rsidRPr="00AE4BD5">
        <w:t xml:space="preserve">P-hodnota rozdílu </w:t>
      </w:r>
      <w:r w:rsidR="00442196">
        <w:t>mezi roky 2019 a</w:t>
      </w:r>
      <w:r w:rsidR="00552D80">
        <w:t> </w:t>
      </w:r>
      <w:r w:rsidR="00442196">
        <w:t>2023</w:t>
      </w:r>
      <w:r w:rsidRPr="00AE4BD5">
        <w:t xml:space="preserve"> udává statistickou významnost rozdílu v rozložení četností mezi</w:t>
      </w:r>
      <w:r w:rsidR="00207CA1">
        <w:t xml:space="preserve"> </w:t>
      </w:r>
      <w:r w:rsidR="007546F7">
        <w:t xml:space="preserve">oběma </w:t>
      </w:r>
      <w:r w:rsidR="00207CA1">
        <w:t xml:space="preserve">sledovanými </w:t>
      </w:r>
      <w:r w:rsidRPr="00AE4BD5">
        <w:t>ro</w:t>
      </w:r>
      <w:r w:rsidR="00207CA1">
        <w:t>čníky</w:t>
      </w:r>
      <w:r w:rsidRPr="00AE4BD5">
        <w:t>.</w:t>
      </w:r>
    </w:p>
    <w:p w14:paraId="05531D06" w14:textId="3AB91115" w:rsidR="006E380F" w:rsidRPr="00A00819" w:rsidRDefault="006E380F" w:rsidP="00A00819">
      <w:pPr>
        <w:pStyle w:val="Dalodstavce"/>
        <w:rPr>
          <w:lang w:eastAsia="sk-SK"/>
        </w:rPr>
        <w:sectPr w:rsidR="006E380F" w:rsidRPr="00A00819" w:rsidSect="00415258">
          <w:pgSz w:w="16838" w:h="11906" w:orient="landscape" w:code="9"/>
          <w:pgMar w:top="1140" w:right="1980" w:bottom="1140" w:left="2380" w:header="1140" w:footer="1420" w:gutter="860"/>
          <w:cols w:space="708"/>
          <w:docGrid w:linePitch="360"/>
        </w:sectPr>
      </w:pPr>
    </w:p>
    <w:p w14:paraId="1124E444" w14:textId="717A68AF" w:rsidR="00240C99" w:rsidRDefault="00240C99" w:rsidP="00240C99">
      <w:pPr>
        <w:pStyle w:val="Dalodstavce"/>
        <w:numPr>
          <w:ilvl w:val="0"/>
          <w:numId w:val="30"/>
        </w:numPr>
        <w:rPr>
          <w:lang w:eastAsia="sk-SK"/>
        </w:rPr>
      </w:pPr>
      <w:r w:rsidRPr="00E9339B">
        <w:rPr>
          <w:b/>
          <w:bCs/>
          <w:lang w:eastAsia="sk-SK"/>
        </w:rPr>
        <w:lastRenderedPageBreak/>
        <w:t>Které proměnné predik</w:t>
      </w:r>
      <w:r>
        <w:rPr>
          <w:b/>
          <w:bCs/>
          <w:lang w:eastAsia="sk-SK"/>
        </w:rPr>
        <w:t>ovaly</w:t>
      </w:r>
      <w:r w:rsidRPr="00E9339B">
        <w:rPr>
          <w:b/>
          <w:bCs/>
          <w:lang w:eastAsia="sk-SK"/>
        </w:rPr>
        <w:t xml:space="preserve"> způsob ukončení návštěvy </w:t>
      </w:r>
      <w:r>
        <w:rPr>
          <w:b/>
          <w:bCs/>
          <w:lang w:eastAsia="sk-SK"/>
        </w:rPr>
        <w:t>nízkoprahového urgentního příjmu u pacientů ve věku 75+</w:t>
      </w:r>
      <w:r w:rsidRPr="00E9339B">
        <w:rPr>
          <w:b/>
          <w:bCs/>
          <w:lang w:eastAsia="sk-SK"/>
        </w:rPr>
        <w:t>?</w:t>
      </w:r>
    </w:p>
    <w:p w14:paraId="4F55CCB5" w14:textId="2783B342" w:rsidR="00240C99" w:rsidRDefault="00240C99" w:rsidP="00240C99">
      <w:pPr>
        <w:pStyle w:val="Dalodstavce"/>
        <w:ind w:firstLine="0"/>
        <w:rPr>
          <w:lang w:eastAsia="sk-SK"/>
        </w:rPr>
      </w:pPr>
    </w:p>
    <w:p w14:paraId="3950E059" w14:textId="6A13BF53" w:rsidR="00545676" w:rsidRDefault="00545676" w:rsidP="00545676">
      <w:pPr>
        <w:pStyle w:val="Dalodstavce"/>
        <w:ind w:firstLine="0"/>
        <w:rPr>
          <w:lang w:eastAsia="sk-SK"/>
        </w:rPr>
      </w:pPr>
      <w:r>
        <w:rPr>
          <w:b/>
          <w:bCs/>
          <w:lang w:eastAsia="sk-SK"/>
        </w:rPr>
        <w:t>V meziročním srovnání b</w:t>
      </w:r>
      <w:r w:rsidRPr="003656E6">
        <w:rPr>
          <w:b/>
          <w:bCs/>
          <w:lang w:eastAsia="sk-SK"/>
        </w:rPr>
        <w:t>yla zjištěna statisticky významná</w:t>
      </w:r>
      <w:r w:rsidRPr="00B0427B">
        <w:rPr>
          <w:b/>
          <w:bCs/>
          <w:lang w:eastAsia="sk-SK"/>
        </w:rPr>
        <w:t xml:space="preserve"> korelace mezi faktory ovlivňujícími způsob ukončení ošetření na NUP FN Brno u pacientů ve věku 75 a</w:t>
      </w:r>
      <w:r>
        <w:rPr>
          <w:b/>
          <w:bCs/>
          <w:lang w:eastAsia="sk-SK"/>
        </w:rPr>
        <w:t> </w:t>
      </w:r>
      <w:r w:rsidRPr="00B0427B">
        <w:rPr>
          <w:b/>
          <w:bCs/>
          <w:lang w:eastAsia="sk-SK"/>
        </w:rPr>
        <w:t>více let.</w:t>
      </w:r>
      <w:r>
        <w:rPr>
          <w:lang w:eastAsia="sk-SK"/>
        </w:rPr>
        <w:t xml:space="preserve"> Statisticky významný vztah byl prokázán u proměnných věk pacienta (p</w:t>
      </w:r>
      <w:r w:rsidR="00B134FD">
        <w:rPr>
          <w:lang w:eastAsia="sk-SK"/>
        </w:rPr>
        <w:t> </w:t>
      </w:r>
      <w:r w:rsidR="00F32291">
        <w:rPr>
          <w:rFonts w:ascii="Calibri" w:hAnsi="Calibri" w:cs="Calibri"/>
          <w:lang w:eastAsia="sk-SK"/>
        </w:rPr>
        <w:t>&lt;</w:t>
      </w:r>
      <w:r w:rsidR="00776E69">
        <w:rPr>
          <w:rFonts w:ascii="Calibri" w:hAnsi="Calibri" w:cs="Calibri"/>
          <w:lang w:eastAsia="sk-SK"/>
        </w:rPr>
        <w:t>0,001</w:t>
      </w:r>
      <w:r>
        <w:rPr>
          <w:lang w:eastAsia="sk-SK"/>
        </w:rPr>
        <w:t>), způsob dopravy k ošetření (p &lt;0,001), typ ošetřující ambulance (p &lt;0,001), využití observačního lůžka (p &lt;0,001) a zobrazovacích metod (p &lt;0,001). Přestože věk pacienta (CV=0,1</w:t>
      </w:r>
      <w:r w:rsidR="004D13D4">
        <w:rPr>
          <w:lang w:eastAsia="sk-SK"/>
        </w:rPr>
        <w:t>11</w:t>
      </w:r>
      <w:r>
        <w:rPr>
          <w:lang w:eastAsia="sk-SK"/>
        </w:rPr>
        <w:t xml:space="preserve">) a </w:t>
      </w:r>
      <w:r w:rsidR="00D678DA">
        <w:rPr>
          <w:lang w:eastAsia="sk-SK"/>
        </w:rPr>
        <w:t>využití zobrazovacích metod</w:t>
      </w:r>
      <w:r>
        <w:rPr>
          <w:lang w:eastAsia="sk-SK"/>
        </w:rPr>
        <w:t xml:space="preserve"> (CV=0,1</w:t>
      </w:r>
      <w:r w:rsidR="00D678DA">
        <w:rPr>
          <w:lang w:eastAsia="sk-SK"/>
        </w:rPr>
        <w:t>50</w:t>
      </w:r>
      <w:r>
        <w:rPr>
          <w:lang w:eastAsia="sk-SK"/>
        </w:rPr>
        <w:t>) vykazovaly jen slabou závislost na způsobu ukončení ošetření, způsob dopravy (CV=0,2</w:t>
      </w:r>
      <w:r w:rsidR="007F7B84">
        <w:rPr>
          <w:lang w:eastAsia="sk-SK"/>
        </w:rPr>
        <w:t>07</w:t>
      </w:r>
      <w:r>
        <w:rPr>
          <w:lang w:eastAsia="sk-SK"/>
        </w:rPr>
        <w:t xml:space="preserve">), </w:t>
      </w:r>
      <w:r w:rsidR="007F7B84">
        <w:rPr>
          <w:lang w:eastAsia="sk-SK"/>
        </w:rPr>
        <w:t>typ ambulance (CV=</w:t>
      </w:r>
      <w:r w:rsidR="00B134FD">
        <w:rPr>
          <w:lang w:eastAsia="sk-SK"/>
        </w:rPr>
        <w:t>0,207</w:t>
      </w:r>
      <w:r w:rsidR="007F7B84">
        <w:rPr>
          <w:lang w:eastAsia="sk-SK"/>
        </w:rPr>
        <w:t xml:space="preserve">) </w:t>
      </w:r>
      <w:r w:rsidR="00B134FD">
        <w:rPr>
          <w:lang w:eastAsia="sk-SK"/>
        </w:rPr>
        <w:t xml:space="preserve">a </w:t>
      </w:r>
      <w:r>
        <w:rPr>
          <w:lang w:eastAsia="sk-SK"/>
        </w:rPr>
        <w:t>využití observačního lůžka (CV=0,3</w:t>
      </w:r>
      <w:r w:rsidR="00B134FD">
        <w:rPr>
          <w:lang w:eastAsia="sk-SK"/>
        </w:rPr>
        <w:t>67</w:t>
      </w:r>
      <w:r>
        <w:rPr>
          <w:lang w:eastAsia="sk-SK"/>
        </w:rPr>
        <w:t>) ukázaly středně silnou vazbu.</w:t>
      </w:r>
      <w:r w:rsidR="00C34007">
        <w:rPr>
          <w:lang w:eastAsia="sk-SK"/>
        </w:rPr>
        <w:t xml:space="preserve"> Zmíněné</w:t>
      </w:r>
      <w:r w:rsidR="00C34007" w:rsidRPr="00F21758">
        <w:rPr>
          <w:lang w:eastAsia="sk-SK"/>
        </w:rPr>
        <w:t xml:space="preserve"> výsledky jsou uvedeny v Tabulce </w:t>
      </w:r>
      <w:r w:rsidR="00C34007">
        <w:rPr>
          <w:lang w:eastAsia="sk-SK"/>
        </w:rPr>
        <w:t>2</w:t>
      </w:r>
      <w:r w:rsidR="00DA18BB">
        <w:rPr>
          <w:lang w:eastAsia="sk-SK"/>
        </w:rPr>
        <w:t>7</w:t>
      </w:r>
      <w:r w:rsidR="00C34007" w:rsidRPr="00F21758">
        <w:rPr>
          <w:lang w:eastAsia="sk-SK"/>
        </w:rPr>
        <w:t>.</w:t>
      </w:r>
    </w:p>
    <w:p w14:paraId="575A59A2" w14:textId="396CD34C" w:rsidR="00B229CF" w:rsidRPr="003E26BA" w:rsidRDefault="00B229CF" w:rsidP="003E26BA">
      <w:pPr>
        <w:pStyle w:val="Dalodstavce"/>
        <w:rPr>
          <w:lang w:eastAsia="sk-SK"/>
        </w:rPr>
      </w:pPr>
      <w:r w:rsidRPr="00B1389E">
        <w:rPr>
          <w:lang w:eastAsia="sk-SK"/>
        </w:rPr>
        <w:t>Paci</w:t>
      </w:r>
      <w:r w:rsidRPr="003E26BA">
        <w:rPr>
          <w:lang w:eastAsia="sk-SK"/>
        </w:rPr>
        <w:t xml:space="preserve">enti ve věku 75–79 let v roce 2023 častěji odcházeli domů po vlastní ose, přičemž rozdíl oproti roku 2019 se mírně snížil. </w:t>
      </w:r>
      <w:r w:rsidR="007A7AE8" w:rsidRPr="003E26BA">
        <w:rPr>
          <w:lang w:eastAsia="sk-SK"/>
        </w:rPr>
        <w:t xml:space="preserve">Došlo </w:t>
      </w:r>
      <w:r w:rsidR="005E61D0" w:rsidRPr="003E26BA">
        <w:rPr>
          <w:lang w:eastAsia="sk-SK"/>
        </w:rPr>
        <w:t>ke snížení rozdílu v m</w:t>
      </w:r>
      <w:r w:rsidRPr="003E26BA">
        <w:rPr>
          <w:lang w:eastAsia="sk-SK"/>
        </w:rPr>
        <w:t>éně čast</w:t>
      </w:r>
      <w:r w:rsidR="005E61D0" w:rsidRPr="003E26BA">
        <w:rPr>
          <w:lang w:eastAsia="sk-SK"/>
        </w:rPr>
        <w:t>ém</w:t>
      </w:r>
      <w:r w:rsidRPr="003E26BA">
        <w:rPr>
          <w:lang w:eastAsia="sk-SK"/>
        </w:rPr>
        <w:t xml:space="preserve"> hospitalizován</w:t>
      </w:r>
      <w:r w:rsidR="005E61D0" w:rsidRPr="003E26BA">
        <w:rPr>
          <w:lang w:eastAsia="sk-SK"/>
        </w:rPr>
        <w:t>í</w:t>
      </w:r>
      <w:r w:rsidRPr="003E26BA">
        <w:rPr>
          <w:lang w:eastAsia="sk-SK"/>
        </w:rPr>
        <w:t xml:space="preserve"> na standardním lůžku a </w:t>
      </w:r>
      <w:r w:rsidR="00811F4C" w:rsidRPr="003E26BA">
        <w:rPr>
          <w:lang w:eastAsia="sk-SK"/>
        </w:rPr>
        <w:t xml:space="preserve">v roce 2023 </w:t>
      </w:r>
      <w:r w:rsidRPr="003E26BA">
        <w:rPr>
          <w:lang w:eastAsia="sk-SK"/>
        </w:rPr>
        <w:t>klesl i podíl těch, kteří byli p</w:t>
      </w:r>
      <w:r w:rsidR="009B2FA8" w:rsidRPr="003E26BA">
        <w:rPr>
          <w:lang w:eastAsia="sk-SK"/>
        </w:rPr>
        <w:t xml:space="preserve">řevezeni do </w:t>
      </w:r>
      <w:r w:rsidRPr="003E26BA">
        <w:rPr>
          <w:lang w:eastAsia="sk-SK"/>
        </w:rPr>
        <w:t>dom</w:t>
      </w:r>
      <w:r w:rsidR="009B2FA8" w:rsidRPr="003E26BA">
        <w:rPr>
          <w:lang w:eastAsia="sk-SK"/>
        </w:rPr>
        <w:t>ácí péče</w:t>
      </w:r>
      <w:r w:rsidRPr="003E26BA">
        <w:rPr>
          <w:lang w:eastAsia="sk-SK"/>
        </w:rPr>
        <w:t xml:space="preserve"> sanit</w:t>
      </w:r>
      <w:r w:rsidR="002B7466">
        <w:rPr>
          <w:lang w:eastAsia="sk-SK"/>
        </w:rPr>
        <w:t>ním vozem</w:t>
      </w:r>
      <w:r w:rsidRPr="003E26BA">
        <w:rPr>
          <w:lang w:eastAsia="sk-SK"/>
        </w:rPr>
        <w:t xml:space="preserve"> nebo odesláni do jiného nemocničního zařízení.</w:t>
      </w:r>
      <w:r w:rsidR="00E0605A" w:rsidRPr="003E26BA">
        <w:rPr>
          <w:lang w:eastAsia="sk-SK"/>
        </w:rPr>
        <w:t xml:space="preserve"> </w:t>
      </w:r>
      <w:r w:rsidRPr="003E26BA">
        <w:rPr>
          <w:lang w:eastAsia="sk-SK"/>
        </w:rPr>
        <w:t xml:space="preserve">U pacientů ve věku 80–84 let se </w:t>
      </w:r>
      <w:r w:rsidR="00E0605A" w:rsidRPr="003E26BA">
        <w:rPr>
          <w:lang w:eastAsia="sk-SK"/>
        </w:rPr>
        <w:t xml:space="preserve">v roce 2023 </w:t>
      </w:r>
      <w:r w:rsidRPr="003E26BA">
        <w:rPr>
          <w:lang w:eastAsia="sk-SK"/>
        </w:rPr>
        <w:t xml:space="preserve">zvýšila frekvence hospitalizace na intenzivním lůžku a přeposílání do jiného nemocničního zařízení. Naopak méně často byli </w:t>
      </w:r>
      <w:r w:rsidR="008839AF" w:rsidRPr="003E26BA">
        <w:rPr>
          <w:lang w:eastAsia="sk-SK"/>
        </w:rPr>
        <w:t xml:space="preserve">pacienti </w:t>
      </w:r>
      <w:r w:rsidRPr="003E26BA">
        <w:rPr>
          <w:lang w:eastAsia="sk-SK"/>
        </w:rPr>
        <w:t>p</w:t>
      </w:r>
      <w:r w:rsidR="00787B84" w:rsidRPr="003E26BA">
        <w:rPr>
          <w:lang w:eastAsia="sk-SK"/>
        </w:rPr>
        <w:t xml:space="preserve">řevezeni </w:t>
      </w:r>
      <w:r w:rsidRPr="003E26BA">
        <w:rPr>
          <w:lang w:eastAsia="sk-SK"/>
        </w:rPr>
        <w:t>do domácí péče sanitním vozem.</w:t>
      </w:r>
      <w:r w:rsidR="00D428FC" w:rsidRPr="003E26BA">
        <w:rPr>
          <w:lang w:eastAsia="sk-SK"/>
        </w:rPr>
        <w:t xml:space="preserve"> </w:t>
      </w:r>
      <w:r w:rsidRPr="003E26BA">
        <w:rPr>
          <w:lang w:eastAsia="sk-SK"/>
        </w:rPr>
        <w:t xml:space="preserve">Skupina pacientů ve věku 85–89 let byla v roce 2019 častěji hospitalizována na standardním lůžku a méně často překládána do jiného nemocničního zařízení. Z hlediska </w:t>
      </w:r>
      <w:r w:rsidR="00753427" w:rsidRPr="003E26BA">
        <w:rPr>
          <w:lang w:eastAsia="sk-SK"/>
        </w:rPr>
        <w:t xml:space="preserve">méně častého </w:t>
      </w:r>
      <w:r w:rsidRPr="003E26BA">
        <w:rPr>
          <w:lang w:eastAsia="sk-SK"/>
        </w:rPr>
        <w:t xml:space="preserve">odchodu domů </w:t>
      </w:r>
      <w:r w:rsidR="008A421D" w:rsidRPr="003E26BA">
        <w:rPr>
          <w:lang w:eastAsia="sk-SK"/>
        </w:rPr>
        <w:t xml:space="preserve">po vlastní ose </w:t>
      </w:r>
      <w:r w:rsidRPr="003E26BA">
        <w:rPr>
          <w:lang w:eastAsia="sk-SK"/>
        </w:rPr>
        <w:t>nenastala</w:t>
      </w:r>
      <w:r w:rsidR="00D428FC" w:rsidRPr="003E26BA">
        <w:rPr>
          <w:lang w:eastAsia="sk-SK"/>
        </w:rPr>
        <w:t xml:space="preserve"> v meziročním srovnání</w:t>
      </w:r>
      <w:r w:rsidRPr="003E26BA">
        <w:rPr>
          <w:lang w:eastAsia="sk-SK"/>
        </w:rPr>
        <w:t xml:space="preserve"> výrazná změna, avšak v roce 2023 častěji využívali převoz sanit</w:t>
      </w:r>
      <w:r w:rsidR="00060906">
        <w:rPr>
          <w:lang w:eastAsia="sk-SK"/>
        </w:rPr>
        <w:t>ou</w:t>
      </w:r>
      <w:r w:rsidRPr="003E26BA">
        <w:rPr>
          <w:lang w:eastAsia="sk-SK"/>
        </w:rPr>
        <w:t>.</w:t>
      </w:r>
      <w:r w:rsidR="009D3285" w:rsidRPr="003E26BA">
        <w:rPr>
          <w:lang w:eastAsia="sk-SK"/>
        </w:rPr>
        <w:t xml:space="preserve"> </w:t>
      </w:r>
      <w:r w:rsidRPr="003E26BA">
        <w:rPr>
          <w:lang w:eastAsia="sk-SK"/>
        </w:rPr>
        <w:t>U nejstarší skupiny pacientů ve věku 90</w:t>
      </w:r>
      <w:r w:rsidR="007F2696" w:rsidRPr="003E26BA">
        <w:rPr>
          <w:lang w:eastAsia="sk-SK"/>
        </w:rPr>
        <w:t xml:space="preserve"> a více</w:t>
      </w:r>
      <w:r w:rsidRPr="003E26BA">
        <w:rPr>
          <w:lang w:eastAsia="sk-SK"/>
        </w:rPr>
        <w:t xml:space="preserve"> let došlo k mírnému </w:t>
      </w:r>
      <w:r w:rsidR="00DB4F22" w:rsidRPr="003E26BA">
        <w:rPr>
          <w:lang w:eastAsia="sk-SK"/>
        </w:rPr>
        <w:t xml:space="preserve">navýšení </w:t>
      </w:r>
      <w:r w:rsidR="00D910B2" w:rsidRPr="003E26BA">
        <w:rPr>
          <w:lang w:eastAsia="sk-SK"/>
        </w:rPr>
        <w:t xml:space="preserve">meziročního </w:t>
      </w:r>
      <w:r w:rsidR="00DB4F22" w:rsidRPr="003E26BA">
        <w:rPr>
          <w:lang w:eastAsia="sk-SK"/>
        </w:rPr>
        <w:t xml:space="preserve">rozdílu </w:t>
      </w:r>
      <w:r w:rsidR="00D910B2" w:rsidRPr="003E26BA">
        <w:rPr>
          <w:lang w:eastAsia="sk-SK"/>
        </w:rPr>
        <w:t>v méně častém</w:t>
      </w:r>
      <w:r w:rsidRPr="003E26BA">
        <w:rPr>
          <w:lang w:eastAsia="sk-SK"/>
        </w:rPr>
        <w:t xml:space="preserve"> odchodu domů</w:t>
      </w:r>
      <w:r w:rsidR="00D910B2" w:rsidRPr="003E26BA">
        <w:rPr>
          <w:lang w:eastAsia="sk-SK"/>
        </w:rPr>
        <w:t xml:space="preserve"> po vlastní ose</w:t>
      </w:r>
      <w:r w:rsidR="002C7D9D" w:rsidRPr="003E26BA">
        <w:rPr>
          <w:lang w:eastAsia="sk-SK"/>
        </w:rPr>
        <w:t xml:space="preserve"> a</w:t>
      </w:r>
      <w:r w:rsidR="00060906">
        <w:rPr>
          <w:lang w:eastAsia="sk-SK"/>
        </w:rPr>
        <w:t> </w:t>
      </w:r>
      <w:r w:rsidR="002C7D9D" w:rsidRPr="003E26BA">
        <w:rPr>
          <w:lang w:eastAsia="sk-SK"/>
        </w:rPr>
        <w:t>č</w:t>
      </w:r>
      <w:r w:rsidRPr="003E26BA">
        <w:rPr>
          <w:lang w:eastAsia="sk-SK"/>
        </w:rPr>
        <w:t>astěj</w:t>
      </w:r>
      <w:r w:rsidR="002C7D9D" w:rsidRPr="003E26BA">
        <w:rPr>
          <w:lang w:eastAsia="sk-SK"/>
        </w:rPr>
        <w:t>ší</w:t>
      </w:r>
      <w:r w:rsidRPr="003E26BA">
        <w:rPr>
          <w:lang w:eastAsia="sk-SK"/>
        </w:rPr>
        <w:t xml:space="preserve"> hospitalizac</w:t>
      </w:r>
      <w:r w:rsidR="002C7D9D" w:rsidRPr="003E26BA">
        <w:rPr>
          <w:lang w:eastAsia="sk-SK"/>
        </w:rPr>
        <w:t>i</w:t>
      </w:r>
      <w:r w:rsidRPr="003E26BA">
        <w:rPr>
          <w:lang w:eastAsia="sk-SK"/>
        </w:rPr>
        <w:t xml:space="preserve"> na standardním </w:t>
      </w:r>
      <w:r w:rsidR="009D3285" w:rsidRPr="003E26BA">
        <w:rPr>
          <w:lang w:eastAsia="sk-SK"/>
        </w:rPr>
        <w:t>oddělení</w:t>
      </w:r>
      <w:r w:rsidRPr="003E26BA">
        <w:rPr>
          <w:lang w:eastAsia="sk-SK"/>
        </w:rPr>
        <w:t xml:space="preserve">. V roce 2019 byla u těchto pacientů méně častá hospitalizace na intenzivním lůžku, zatímco v roce 2023 méně často docházelo k jejich překladu do jiného nemocničního </w:t>
      </w:r>
      <w:r w:rsidRPr="00B1389E">
        <w:rPr>
          <w:lang w:eastAsia="sk-SK"/>
        </w:rPr>
        <w:t>zařízení.</w:t>
      </w:r>
    </w:p>
    <w:p w14:paraId="546D3348" w14:textId="086A516E" w:rsidR="0013321D" w:rsidRPr="00426F3A" w:rsidRDefault="0037752B" w:rsidP="00426F3A">
      <w:pPr>
        <w:pStyle w:val="Dalodstavce"/>
        <w:rPr>
          <w:highlight w:val="green"/>
          <w:lang w:eastAsia="sk-SK"/>
        </w:rPr>
      </w:pPr>
      <w:r w:rsidRPr="00BB7820">
        <w:rPr>
          <w:lang w:eastAsia="sk-SK"/>
        </w:rPr>
        <w:t>Pacie</w:t>
      </w:r>
      <w:r w:rsidRPr="007D020E">
        <w:rPr>
          <w:lang w:eastAsia="sk-SK"/>
        </w:rPr>
        <w:t xml:space="preserve">nti, kteří byli přivezeni </w:t>
      </w:r>
      <w:r w:rsidR="007E0E89" w:rsidRPr="007D020E">
        <w:rPr>
          <w:lang w:eastAsia="sk-SK"/>
        </w:rPr>
        <w:t>ZZS</w:t>
      </w:r>
      <w:r w:rsidRPr="007D020E">
        <w:rPr>
          <w:lang w:eastAsia="sk-SK"/>
        </w:rPr>
        <w:t>, méně často odcházeli domů po vlastní ose</w:t>
      </w:r>
      <w:r w:rsidR="00BC116B" w:rsidRPr="007D020E">
        <w:rPr>
          <w:lang w:eastAsia="sk-SK"/>
        </w:rPr>
        <w:t>, přičemž meziroční rozdíl se ještě zvětšil</w:t>
      </w:r>
      <w:r w:rsidRPr="007D020E">
        <w:rPr>
          <w:lang w:eastAsia="sk-SK"/>
        </w:rPr>
        <w:t xml:space="preserve">. Naopak častěji byli hospitalizováni na intenzivním lůžku, i když </w:t>
      </w:r>
      <w:r w:rsidR="00CF1FC3" w:rsidRPr="007D020E">
        <w:rPr>
          <w:lang w:eastAsia="sk-SK"/>
        </w:rPr>
        <w:t xml:space="preserve">došlo ke </w:t>
      </w:r>
      <w:r w:rsidRPr="007D020E">
        <w:rPr>
          <w:lang w:eastAsia="sk-SK"/>
        </w:rPr>
        <w:t>sníž</w:t>
      </w:r>
      <w:r w:rsidR="00CF1FC3" w:rsidRPr="007D020E">
        <w:rPr>
          <w:lang w:eastAsia="sk-SK"/>
        </w:rPr>
        <w:t>ení rozdílu</w:t>
      </w:r>
      <w:r w:rsidRPr="007D020E">
        <w:rPr>
          <w:lang w:eastAsia="sk-SK"/>
        </w:rPr>
        <w:t xml:space="preserve">. Zatímco v roce 2019 byli méně často překládáni do jiného nemocničního zařízení, v roce 2023 </w:t>
      </w:r>
      <w:r w:rsidR="0072757A">
        <w:rPr>
          <w:lang w:eastAsia="sk-SK"/>
        </w:rPr>
        <w:t xml:space="preserve">byly </w:t>
      </w:r>
      <w:r w:rsidRPr="007D020E">
        <w:rPr>
          <w:lang w:eastAsia="sk-SK"/>
        </w:rPr>
        <w:t xml:space="preserve">naopak jejich převozy </w:t>
      </w:r>
      <w:r w:rsidR="00061B8E">
        <w:rPr>
          <w:lang w:eastAsia="sk-SK"/>
        </w:rPr>
        <w:t xml:space="preserve">do jiných </w:t>
      </w:r>
      <w:r w:rsidRPr="007D020E">
        <w:rPr>
          <w:lang w:eastAsia="sk-SK"/>
        </w:rPr>
        <w:t>nemocni</w:t>
      </w:r>
      <w:r w:rsidR="00061B8E">
        <w:rPr>
          <w:lang w:eastAsia="sk-SK"/>
        </w:rPr>
        <w:t>čn</w:t>
      </w:r>
      <w:r w:rsidR="00511CFF">
        <w:rPr>
          <w:lang w:eastAsia="sk-SK"/>
        </w:rPr>
        <w:t>ích zařízení častější</w:t>
      </w:r>
      <w:r w:rsidRPr="007D020E">
        <w:rPr>
          <w:lang w:eastAsia="sk-SK"/>
        </w:rPr>
        <w:t xml:space="preserve">. V posledním sledovaném roce také častěji odjížděli do domácí </w:t>
      </w:r>
      <w:r w:rsidR="00683CC7">
        <w:rPr>
          <w:lang w:eastAsia="sk-SK"/>
        </w:rPr>
        <w:t xml:space="preserve">či jiné formy </w:t>
      </w:r>
      <w:r w:rsidRPr="007D020E">
        <w:rPr>
          <w:lang w:eastAsia="sk-SK"/>
        </w:rPr>
        <w:t>péče sanitním vozem a rovněž se zvýšila jejich hospitalizace na standardním lůžku.</w:t>
      </w:r>
      <w:r w:rsidR="00E279CB" w:rsidRPr="007D020E">
        <w:rPr>
          <w:lang w:eastAsia="sk-SK"/>
        </w:rPr>
        <w:t xml:space="preserve"> </w:t>
      </w:r>
      <w:r w:rsidRPr="007D020E">
        <w:rPr>
          <w:lang w:eastAsia="sk-SK"/>
        </w:rPr>
        <w:t xml:space="preserve">Pacienti, kteří se na </w:t>
      </w:r>
      <w:r w:rsidR="00F22B0F" w:rsidRPr="007D020E">
        <w:rPr>
          <w:lang w:eastAsia="sk-SK"/>
        </w:rPr>
        <w:t>NUP</w:t>
      </w:r>
      <w:r w:rsidRPr="007D020E">
        <w:rPr>
          <w:lang w:eastAsia="sk-SK"/>
        </w:rPr>
        <w:t xml:space="preserve"> dostavili sami nebo s</w:t>
      </w:r>
      <w:r w:rsidR="00F22B0F" w:rsidRPr="007D020E">
        <w:rPr>
          <w:lang w:eastAsia="sk-SK"/>
        </w:rPr>
        <w:t> </w:t>
      </w:r>
      <w:r w:rsidRPr="007D020E">
        <w:rPr>
          <w:lang w:eastAsia="sk-SK"/>
        </w:rPr>
        <w:t>doprovodem</w:t>
      </w:r>
      <w:r w:rsidR="00F22B0F" w:rsidRPr="007D020E">
        <w:rPr>
          <w:lang w:eastAsia="sk-SK"/>
        </w:rPr>
        <w:t xml:space="preserve"> blízké osoby</w:t>
      </w:r>
      <w:r w:rsidRPr="007D020E">
        <w:rPr>
          <w:lang w:eastAsia="sk-SK"/>
        </w:rPr>
        <w:t>, častěji odcházeli d</w:t>
      </w:r>
      <w:r w:rsidR="00867245">
        <w:rPr>
          <w:lang w:eastAsia="sk-SK"/>
        </w:rPr>
        <w:t xml:space="preserve">o domácí či jiné formy péče </w:t>
      </w:r>
      <w:r w:rsidRPr="007D020E">
        <w:rPr>
          <w:lang w:eastAsia="sk-SK"/>
        </w:rPr>
        <w:t xml:space="preserve">po vlastní ose. Současně méně často využívali převoz sanitou do domácí </w:t>
      </w:r>
      <w:r w:rsidR="00E71718">
        <w:rPr>
          <w:lang w:eastAsia="sk-SK"/>
        </w:rPr>
        <w:t xml:space="preserve">či jiné formy </w:t>
      </w:r>
      <w:r w:rsidRPr="007D020E">
        <w:rPr>
          <w:lang w:eastAsia="sk-SK"/>
        </w:rPr>
        <w:t>péče a klesl i</w:t>
      </w:r>
      <w:r w:rsidR="000D091C" w:rsidRPr="007D020E">
        <w:rPr>
          <w:lang w:eastAsia="sk-SK"/>
        </w:rPr>
        <w:t> </w:t>
      </w:r>
      <w:r w:rsidRPr="007D020E">
        <w:rPr>
          <w:lang w:eastAsia="sk-SK"/>
        </w:rPr>
        <w:t>podíl jejich hospitalizace na standardním</w:t>
      </w:r>
      <w:r w:rsidR="000A1771" w:rsidRPr="007D020E">
        <w:rPr>
          <w:lang w:eastAsia="sk-SK"/>
        </w:rPr>
        <w:t xml:space="preserve"> lůžku</w:t>
      </w:r>
      <w:r w:rsidR="005F7493" w:rsidRPr="007D020E">
        <w:rPr>
          <w:lang w:eastAsia="sk-SK"/>
        </w:rPr>
        <w:t>. Ve všech</w:t>
      </w:r>
      <w:r w:rsidR="000A1771" w:rsidRPr="007D020E">
        <w:rPr>
          <w:lang w:eastAsia="sk-SK"/>
        </w:rPr>
        <w:t xml:space="preserve"> třech případech došlo k meziročnímu nár</w:t>
      </w:r>
      <w:r w:rsidR="006A5E53">
        <w:rPr>
          <w:lang w:eastAsia="sk-SK"/>
        </w:rPr>
        <w:t>ů</w:t>
      </w:r>
      <w:r w:rsidR="000A1771" w:rsidRPr="007D020E">
        <w:rPr>
          <w:lang w:eastAsia="sk-SK"/>
        </w:rPr>
        <w:t>stu rozdílu.</w:t>
      </w:r>
      <w:r w:rsidRPr="007D020E">
        <w:rPr>
          <w:lang w:eastAsia="sk-SK"/>
        </w:rPr>
        <w:t xml:space="preserve"> </w:t>
      </w:r>
      <w:r w:rsidR="00920893" w:rsidRPr="007D020E">
        <w:rPr>
          <w:lang w:eastAsia="sk-SK"/>
        </w:rPr>
        <w:t>Méně často byli pacienti hospitalizováni na</w:t>
      </w:r>
      <w:r w:rsidRPr="007D020E">
        <w:rPr>
          <w:lang w:eastAsia="sk-SK"/>
        </w:rPr>
        <w:t xml:space="preserve"> intenzivním lůžku</w:t>
      </w:r>
      <w:r w:rsidR="00920893" w:rsidRPr="007D020E">
        <w:rPr>
          <w:lang w:eastAsia="sk-SK"/>
        </w:rPr>
        <w:t>, kdy</w:t>
      </w:r>
      <w:r w:rsidR="007833CE" w:rsidRPr="007D020E">
        <w:rPr>
          <w:lang w:eastAsia="sk-SK"/>
        </w:rPr>
        <w:t xml:space="preserve"> se meziroční rozdíl snížil</w:t>
      </w:r>
      <w:r w:rsidRPr="007D020E">
        <w:rPr>
          <w:lang w:eastAsia="sk-SK"/>
        </w:rPr>
        <w:t>. Oproti roku 2019 byli méně často překládáni do jiného nemocničního zařízení.</w:t>
      </w:r>
      <w:r w:rsidR="000D091C" w:rsidRPr="007D020E">
        <w:rPr>
          <w:lang w:eastAsia="sk-SK"/>
        </w:rPr>
        <w:t xml:space="preserve"> </w:t>
      </w:r>
      <w:r w:rsidRPr="007D020E">
        <w:rPr>
          <w:lang w:eastAsia="sk-SK"/>
        </w:rPr>
        <w:t xml:space="preserve">U pacientů dovezených </w:t>
      </w:r>
      <w:r w:rsidR="00E279CB" w:rsidRPr="007D020E">
        <w:rPr>
          <w:lang w:eastAsia="sk-SK"/>
        </w:rPr>
        <w:t>ZDS</w:t>
      </w:r>
      <w:r w:rsidRPr="007D020E">
        <w:rPr>
          <w:lang w:eastAsia="sk-SK"/>
        </w:rPr>
        <w:t xml:space="preserve"> došlo ke snížení </w:t>
      </w:r>
      <w:r w:rsidR="00906146" w:rsidRPr="007D020E">
        <w:rPr>
          <w:lang w:eastAsia="sk-SK"/>
        </w:rPr>
        <w:t>roz</w:t>
      </w:r>
      <w:r w:rsidRPr="007D020E">
        <w:rPr>
          <w:lang w:eastAsia="sk-SK"/>
        </w:rPr>
        <w:t xml:space="preserve">dílu </w:t>
      </w:r>
      <w:r w:rsidR="00906146" w:rsidRPr="007D020E">
        <w:rPr>
          <w:lang w:eastAsia="sk-SK"/>
        </w:rPr>
        <w:t>u</w:t>
      </w:r>
      <w:r w:rsidR="000D091C" w:rsidRPr="007D020E">
        <w:rPr>
          <w:lang w:eastAsia="sk-SK"/>
        </w:rPr>
        <w:t> </w:t>
      </w:r>
      <w:r w:rsidRPr="007D020E">
        <w:rPr>
          <w:lang w:eastAsia="sk-SK"/>
        </w:rPr>
        <w:t xml:space="preserve">těch, kteří následně </w:t>
      </w:r>
      <w:r w:rsidR="003C64C3" w:rsidRPr="007D020E">
        <w:rPr>
          <w:lang w:eastAsia="sk-SK"/>
        </w:rPr>
        <w:t xml:space="preserve">méně často </w:t>
      </w:r>
      <w:r w:rsidRPr="007D020E">
        <w:rPr>
          <w:lang w:eastAsia="sk-SK"/>
        </w:rPr>
        <w:t>odcházeli do</w:t>
      </w:r>
      <w:r w:rsidR="00835E18">
        <w:rPr>
          <w:lang w:eastAsia="sk-SK"/>
        </w:rPr>
        <w:t xml:space="preserve"> domácí či jiné formy péče</w:t>
      </w:r>
      <w:r w:rsidRPr="007D020E">
        <w:rPr>
          <w:lang w:eastAsia="sk-SK"/>
        </w:rPr>
        <w:t xml:space="preserve"> po vlastní ose. V roce 2019 </w:t>
      </w:r>
      <w:r w:rsidRPr="007D020E">
        <w:rPr>
          <w:lang w:eastAsia="sk-SK"/>
        </w:rPr>
        <w:lastRenderedPageBreak/>
        <w:t xml:space="preserve">byli </w:t>
      </w:r>
      <w:r w:rsidR="00E027FF">
        <w:rPr>
          <w:lang w:eastAsia="sk-SK"/>
        </w:rPr>
        <w:t xml:space="preserve">naopak </w:t>
      </w:r>
      <w:r w:rsidRPr="007D020E">
        <w:rPr>
          <w:lang w:eastAsia="sk-SK"/>
        </w:rPr>
        <w:t>častěji převezeni do domácí nebo jiné formy péče sanitním vozem</w:t>
      </w:r>
      <w:r w:rsidR="000A1AD7" w:rsidRPr="007D020E">
        <w:rPr>
          <w:lang w:eastAsia="sk-SK"/>
        </w:rPr>
        <w:t>. Taktéž byli č</w:t>
      </w:r>
      <w:r w:rsidRPr="007D020E">
        <w:rPr>
          <w:lang w:eastAsia="sk-SK"/>
        </w:rPr>
        <w:t xml:space="preserve">astěji hospitalizováni na standardním lůžku, přičemž tento rozdíl se v roce 2023 dále prohloubil. Naopak méně často byli hospitalizováni na intenzivním lůžku, avšak meziroční rozdíl </w:t>
      </w:r>
      <w:r w:rsidR="000C2689" w:rsidRPr="007D020E">
        <w:rPr>
          <w:lang w:eastAsia="sk-SK"/>
        </w:rPr>
        <w:t>se mírně snížil</w:t>
      </w:r>
      <w:r w:rsidRPr="007D020E">
        <w:rPr>
          <w:lang w:eastAsia="sk-SK"/>
        </w:rPr>
        <w:t>.</w:t>
      </w:r>
      <w:r w:rsidR="007D020E" w:rsidRPr="007D020E">
        <w:rPr>
          <w:lang w:eastAsia="sk-SK"/>
        </w:rPr>
        <w:t xml:space="preserve"> </w:t>
      </w:r>
      <w:r w:rsidRPr="007D020E">
        <w:rPr>
          <w:lang w:eastAsia="sk-SK"/>
        </w:rPr>
        <w:t xml:space="preserve">Pacienti, kteří se na </w:t>
      </w:r>
      <w:r w:rsidR="000D091C" w:rsidRPr="007D020E">
        <w:rPr>
          <w:lang w:eastAsia="sk-SK"/>
        </w:rPr>
        <w:t>NUP</w:t>
      </w:r>
      <w:r w:rsidRPr="007D020E">
        <w:rPr>
          <w:lang w:eastAsia="sk-SK"/>
        </w:rPr>
        <w:t xml:space="preserve"> dostali jako konzili</w:t>
      </w:r>
      <w:r w:rsidR="00F80F72" w:rsidRPr="007D020E">
        <w:rPr>
          <w:lang w:eastAsia="sk-SK"/>
        </w:rPr>
        <w:t>um</w:t>
      </w:r>
      <w:r w:rsidRPr="007D020E">
        <w:rPr>
          <w:lang w:eastAsia="sk-SK"/>
        </w:rPr>
        <w:t xml:space="preserve"> nebo</w:t>
      </w:r>
      <w:r w:rsidR="00F80F72" w:rsidRPr="007D020E">
        <w:rPr>
          <w:lang w:eastAsia="sk-SK"/>
        </w:rPr>
        <w:t xml:space="preserve"> </w:t>
      </w:r>
      <w:r w:rsidRPr="007D020E">
        <w:rPr>
          <w:lang w:eastAsia="sk-SK"/>
        </w:rPr>
        <w:t>předá</w:t>
      </w:r>
      <w:r w:rsidR="00F80F72" w:rsidRPr="007D020E">
        <w:rPr>
          <w:lang w:eastAsia="sk-SK"/>
        </w:rPr>
        <w:t>ní</w:t>
      </w:r>
      <w:r w:rsidRPr="007D020E">
        <w:rPr>
          <w:lang w:eastAsia="sk-SK"/>
        </w:rPr>
        <w:t xml:space="preserve"> z jiné ambulance FN Brno, v roce 2019 častěji odcházeli do</w:t>
      </w:r>
      <w:r w:rsidR="00E7687D">
        <w:rPr>
          <w:lang w:eastAsia="sk-SK"/>
        </w:rPr>
        <w:t xml:space="preserve"> domácí či jiné formy péče</w:t>
      </w:r>
      <w:r w:rsidRPr="007D020E">
        <w:rPr>
          <w:lang w:eastAsia="sk-SK"/>
        </w:rPr>
        <w:t xml:space="preserve"> po vlastní ose</w:t>
      </w:r>
      <w:r w:rsidR="00617286" w:rsidRPr="007D020E">
        <w:rPr>
          <w:lang w:eastAsia="sk-SK"/>
        </w:rPr>
        <w:t>, nebo byli odesláni do jiného nemocničního zařízení</w:t>
      </w:r>
      <w:r w:rsidR="004F2CEC" w:rsidRPr="007D020E">
        <w:rPr>
          <w:lang w:eastAsia="sk-SK"/>
        </w:rPr>
        <w:t xml:space="preserve">, </w:t>
      </w:r>
      <w:r w:rsidRPr="007D020E">
        <w:rPr>
          <w:lang w:eastAsia="sk-SK"/>
        </w:rPr>
        <w:t xml:space="preserve">a méně často byli hospitalizováni na standardním lůžku. </w:t>
      </w:r>
      <w:r w:rsidR="002B0DD0">
        <w:rPr>
          <w:lang w:eastAsia="sk-SK"/>
        </w:rPr>
        <w:t>Taktéž byli m</w:t>
      </w:r>
      <w:r w:rsidR="0069150D" w:rsidRPr="007D020E">
        <w:rPr>
          <w:lang w:eastAsia="sk-SK"/>
        </w:rPr>
        <w:t>éně často</w:t>
      </w:r>
      <w:r w:rsidR="002B0DD0">
        <w:rPr>
          <w:lang w:eastAsia="sk-SK"/>
        </w:rPr>
        <w:t xml:space="preserve"> </w:t>
      </w:r>
      <w:r w:rsidR="0069150D" w:rsidRPr="007D020E">
        <w:rPr>
          <w:lang w:eastAsia="sk-SK"/>
        </w:rPr>
        <w:t>hospitalizováni na intenzivní lůžku</w:t>
      </w:r>
      <w:r w:rsidR="0058452C" w:rsidRPr="007D020E">
        <w:rPr>
          <w:lang w:eastAsia="sk-SK"/>
        </w:rPr>
        <w:t xml:space="preserve">, přičemž tento rozdíl se </w:t>
      </w:r>
      <w:r w:rsidR="007D020E" w:rsidRPr="007D020E">
        <w:rPr>
          <w:lang w:eastAsia="sk-SK"/>
        </w:rPr>
        <w:t xml:space="preserve">nepatrně </w:t>
      </w:r>
      <w:r w:rsidR="007D020E" w:rsidRPr="002B0DD0">
        <w:rPr>
          <w:lang w:eastAsia="sk-SK"/>
        </w:rPr>
        <w:t>snížil</w:t>
      </w:r>
      <w:r w:rsidRPr="002B0DD0">
        <w:rPr>
          <w:lang w:eastAsia="sk-SK"/>
        </w:rPr>
        <w:t>.</w:t>
      </w:r>
    </w:p>
    <w:p w14:paraId="29A9A8C8" w14:textId="31DC594C" w:rsidR="008F26F1" w:rsidRPr="00426F3A" w:rsidRDefault="008F26F1" w:rsidP="00DE7E27">
      <w:pPr>
        <w:pStyle w:val="Dalodstavce"/>
        <w:rPr>
          <w:lang w:eastAsia="sk-SK"/>
        </w:rPr>
      </w:pPr>
      <w:r w:rsidRPr="007A0182">
        <w:rPr>
          <w:lang w:eastAsia="sk-SK"/>
        </w:rPr>
        <w:t>Pacien</w:t>
      </w:r>
      <w:r w:rsidRPr="00426F3A">
        <w:rPr>
          <w:lang w:eastAsia="sk-SK"/>
        </w:rPr>
        <w:t>ti, kteří byli vyšetřeni pouze na interní ambulanci, byli v roce 2019 častěji odesíláni do jiného nemocničního zařízení, zatímco méně často odjížděli do domácí</w:t>
      </w:r>
      <w:r w:rsidR="0042183F" w:rsidRPr="00426F3A">
        <w:rPr>
          <w:lang w:eastAsia="sk-SK"/>
        </w:rPr>
        <w:t xml:space="preserve"> či jiné formy</w:t>
      </w:r>
      <w:r w:rsidRPr="00426F3A">
        <w:rPr>
          <w:lang w:eastAsia="sk-SK"/>
        </w:rPr>
        <w:t xml:space="preserve"> péče sanitním vozem. Rovněž byli častěji hospitalizováni na standardním lůžku, i když v meziročním srovnání tento podíl mírně klesl. </w:t>
      </w:r>
      <w:r w:rsidR="00C97FEC" w:rsidRPr="00426F3A">
        <w:rPr>
          <w:lang w:eastAsia="sk-SK"/>
        </w:rPr>
        <w:t>Tato skupina</w:t>
      </w:r>
      <w:r w:rsidRPr="00426F3A">
        <w:rPr>
          <w:lang w:eastAsia="sk-SK"/>
        </w:rPr>
        <w:t xml:space="preserve"> </w:t>
      </w:r>
      <w:r w:rsidR="00D57BAD" w:rsidRPr="00426F3A">
        <w:rPr>
          <w:lang w:eastAsia="sk-SK"/>
        </w:rPr>
        <w:t>pacientů</w:t>
      </w:r>
      <w:r w:rsidR="00C97FEC" w:rsidRPr="00426F3A">
        <w:rPr>
          <w:lang w:eastAsia="sk-SK"/>
        </w:rPr>
        <w:t xml:space="preserve"> </w:t>
      </w:r>
      <w:r w:rsidR="00672D7B" w:rsidRPr="00426F3A">
        <w:rPr>
          <w:lang w:eastAsia="sk-SK"/>
        </w:rPr>
        <w:t xml:space="preserve">méně často </w:t>
      </w:r>
      <w:r w:rsidRPr="00426F3A">
        <w:rPr>
          <w:lang w:eastAsia="sk-SK"/>
        </w:rPr>
        <w:t>odcházel</w:t>
      </w:r>
      <w:r w:rsidR="00C97FEC" w:rsidRPr="00426F3A">
        <w:rPr>
          <w:lang w:eastAsia="sk-SK"/>
        </w:rPr>
        <w:t>a</w:t>
      </w:r>
      <w:r w:rsidRPr="00426F3A">
        <w:rPr>
          <w:lang w:eastAsia="sk-SK"/>
        </w:rPr>
        <w:t xml:space="preserve"> domů po vlastní ose</w:t>
      </w:r>
      <w:r w:rsidR="00497128" w:rsidRPr="00426F3A">
        <w:rPr>
          <w:lang w:eastAsia="sk-SK"/>
        </w:rPr>
        <w:t xml:space="preserve"> nebo byl</w:t>
      </w:r>
      <w:r w:rsidR="00C97FEC" w:rsidRPr="00426F3A">
        <w:rPr>
          <w:lang w:eastAsia="sk-SK"/>
        </w:rPr>
        <w:t>a</w:t>
      </w:r>
      <w:r w:rsidR="00497128" w:rsidRPr="00426F3A">
        <w:rPr>
          <w:lang w:eastAsia="sk-SK"/>
        </w:rPr>
        <w:t xml:space="preserve"> hospitalizován</w:t>
      </w:r>
      <w:r w:rsidR="00C97FEC" w:rsidRPr="00426F3A">
        <w:rPr>
          <w:lang w:eastAsia="sk-SK"/>
        </w:rPr>
        <w:t>a</w:t>
      </w:r>
      <w:r w:rsidR="00497128" w:rsidRPr="00426F3A">
        <w:rPr>
          <w:lang w:eastAsia="sk-SK"/>
        </w:rPr>
        <w:t xml:space="preserve"> na intenzivním lůžku</w:t>
      </w:r>
      <w:r w:rsidRPr="00426F3A">
        <w:rPr>
          <w:lang w:eastAsia="sk-SK"/>
        </w:rPr>
        <w:t xml:space="preserve">, </w:t>
      </w:r>
      <w:r w:rsidR="00BE3267" w:rsidRPr="00426F3A">
        <w:rPr>
          <w:lang w:eastAsia="sk-SK"/>
        </w:rPr>
        <w:t>i</w:t>
      </w:r>
      <w:r w:rsidR="00F163AD" w:rsidRPr="00426F3A">
        <w:rPr>
          <w:lang w:eastAsia="sk-SK"/>
        </w:rPr>
        <w:t xml:space="preserve"> </w:t>
      </w:r>
      <w:r w:rsidR="00BE3267" w:rsidRPr="00426F3A">
        <w:rPr>
          <w:lang w:eastAsia="sk-SK"/>
        </w:rPr>
        <w:t xml:space="preserve">když i zde došlo </w:t>
      </w:r>
      <w:r w:rsidRPr="00426F3A">
        <w:rPr>
          <w:lang w:eastAsia="sk-SK"/>
        </w:rPr>
        <w:t>rovněž</w:t>
      </w:r>
      <w:r w:rsidR="00BE3267" w:rsidRPr="00426F3A">
        <w:rPr>
          <w:lang w:eastAsia="sk-SK"/>
        </w:rPr>
        <w:t xml:space="preserve"> k mírnému poklesu</w:t>
      </w:r>
      <w:r w:rsidR="00F163AD" w:rsidRPr="00426F3A">
        <w:rPr>
          <w:lang w:eastAsia="sk-SK"/>
        </w:rPr>
        <w:t xml:space="preserve"> meziročního rozdílu</w:t>
      </w:r>
      <w:r w:rsidRPr="00426F3A">
        <w:rPr>
          <w:lang w:eastAsia="sk-SK"/>
        </w:rPr>
        <w:t>.</w:t>
      </w:r>
      <w:r w:rsidR="00DE7E27" w:rsidRPr="00426F3A">
        <w:rPr>
          <w:lang w:eastAsia="sk-SK"/>
        </w:rPr>
        <w:t xml:space="preserve"> </w:t>
      </w:r>
      <w:r w:rsidRPr="00426F3A">
        <w:rPr>
          <w:lang w:eastAsia="sk-SK"/>
        </w:rPr>
        <w:t xml:space="preserve">U pacientů, kteří byli ošetřeni pouze na neurologické ambulanci nebo současně na interní i neurologické ambulanci, byl v roce 2019 častější převoz do domácí </w:t>
      </w:r>
      <w:r w:rsidR="00753D73">
        <w:rPr>
          <w:lang w:eastAsia="sk-SK"/>
        </w:rPr>
        <w:t xml:space="preserve">či jiné formy </w:t>
      </w:r>
      <w:r w:rsidRPr="00426F3A">
        <w:rPr>
          <w:lang w:eastAsia="sk-SK"/>
        </w:rPr>
        <w:t>péče sanitním vozem, zatímco méně často docházelo k jejich překladu do jiného nemocničního zařízení. Častěji odcházeli do</w:t>
      </w:r>
      <w:r w:rsidR="00C17EEE">
        <w:rPr>
          <w:lang w:eastAsia="sk-SK"/>
        </w:rPr>
        <w:t xml:space="preserve"> domácí či jiné formy péče</w:t>
      </w:r>
      <w:r w:rsidRPr="00426F3A">
        <w:rPr>
          <w:lang w:eastAsia="sk-SK"/>
        </w:rPr>
        <w:t xml:space="preserve"> po vlastní ose, přičemž tento rozdíl se v roce 2023 mírně prohloubil. Častěji byli také hospitalizováni na intenzivním lůžku, i když zde došlo k mírnému poklesu. Naopak hospitalizace na standardním lůžku byla méně častá, avšak meziroční rozdíl se snížil jen </w:t>
      </w:r>
      <w:r w:rsidRPr="007A0182">
        <w:rPr>
          <w:lang w:eastAsia="sk-SK"/>
        </w:rPr>
        <w:t>nepatrně.</w:t>
      </w:r>
    </w:p>
    <w:p w14:paraId="523BE0E7" w14:textId="573422C7" w:rsidR="005A0880" w:rsidRDefault="00ED58C9" w:rsidP="000108A2">
      <w:pPr>
        <w:pStyle w:val="Dalodstavce"/>
        <w:rPr>
          <w:lang w:eastAsia="sk-SK"/>
        </w:rPr>
      </w:pPr>
      <w:r w:rsidRPr="00DD58F7">
        <w:rPr>
          <w:lang w:eastAsia="sk-SK"/>
        </w:rPr>
        <w:t>Pacie</w:t>
      </w:r>
      <w:r w:rsidRPr="002E5F3B">
        <w:rPr>
          <w:lang w:eastAsia="sk-SK"/>
        </w:rPr>
        <w:t>nti vyžadující observaci byli oproti těm, kteří zůstali v</w:t>
      </w:r>
      <w:r w:rsidR="00503BA7" w:rsidRPr="002E5F3B">
        <w:rPr>
          <w:lang w:eastAsia="sk-SK"/>
        </w:rPr>
        <w:t> </w:t>
      </w:r>
      <w:r w:rsidRPr="002E5F3B">
        <w:rPr>
          <w:lang w:eastAsia="sk-SK"/>
        </w:rPr>
        <w:t>čekárně</w:t>
      </w:r>
      <w:r w:rsidR="00503BA7" w:rsidRPr="002E5F3B">
        <w:rPr>
          <w:lang w:eastAsia="sk-SK"/>
        </w:rPr>
        <w:t xml:space="preserve"> NUP</w:t>
      </w:r>
      <w:r w:rsidRPr="002E5F3B">
        <w:rPr>
          <w:lang w:eastAsia="sk-SK"/>
        </w:rPr>
        <w:t>, častěji hospitalizováni na standardním lůžku</w:t>
      </w:r>
      <w:r w:rsidR="00037FCD" w:rsidRPr="002E5F3B">
        <w:rPr>
          <w:lang w:eastAsia="sk-SK"/>
        </w:rPr>
        <w:t xml:space="preserve"> nebo od</w:t>
      </w:r>
      <w:r w:rsidR="00735882" w:rsidRPr="002E5F3B">
        <w:rPr>
          <w:lang w:eastAsia="sk-SK"/>
        </w:rPr>
        <w:t>j</w:t>
      </w:r>
      <w:r w:rsidR="00037FCD" w:rsidRPr="002E5F3B">
        <w:rPr>
          <w:lang w:eastAsia="sk-SK"/>
        </w:rPr>
        <w:t>ížděli do domácí</w:t>
      </w:r>
      <w:r w:rsidR="00735882" w:rsidRPr="002E5F3B">
        <w:rPr>
          <w:lang w:eastAsia="sk-SK"/>
        </w:rPr>
        <w:t xml:space="preserve"> či jiné formy péče sanitním vozem</w:t>
      </w:r>
      <w:r w:rsidRPr="002E5F3B">
        <w:rPr>
          <w:lang w:eastAsia="sk-SK"/>
        </w:rPr>
        <w:t>, přičemž t</w:t>
      </w:r>
      <w:r w:rsidR="00735882" w:rsidRPr="002E5F3B">
        <w:rPr>
          <w:lang w:eastAsia="sk-SK"/>
        </w:rPr>
        <w:t>yto</w:t>
      </w:r>
      <w:r w:rsidRPr="002E5F3B">
        <w:rPr>
          <w:lang w:eastAsia="sk-SK"/>
        </w:rPr>
        <w:t xml:space="preserve"> rozdíl</w:t>
      </w:r>
      <w:r w:rsidR="00735882" w:rsidRPr="002E5F3B">
        <w:rPr>
          <w:lang w:eastAsia="sk-SK"/>
        </w:rPr>
        <w:t>y</w:t>
      </w:r>
      <w:r w:rsidRPr="002E5F3B">
        <w:rPr>
          <w:lang w:eastAsia="sk-SK"/>
        </w:rPr>
        <w:t xml:space="preserve"> mezi </w:t>
      </w:r>
      <w:r w:rsidR="007A0182">
        <w:rPr>
          <w:lang w:eastAsia="sk-SK"/>
        </w:rPr>
        <w:t>sledovanými</w:t>
      </w:r>
      <w:r w:rsidR="00BA1595">
        <w:rPr>
          <w:lang w:eastAsia="sk-SK"/>
        </w:rPr>
        <w:t xml:space="preserve"> roky ještě dále</w:t>
      </w:r>
      <w:r w:rsidRPr="002E5F3B">
        <w:rPr>
          <w:lang w:eastAsia="sk-SK"/>
        </w:rPr>
        <w:t xml:space="preserve"> narostl</w:t>
      </w:r>
      <w:r w:rsidR="00735882" w:rsidRPr="002E5F3B">
        <w:rPr>
          <w:lang w:eastAsia="sk-SK"/>
        </w:rPr>
        <w:t>y</w:t>
      </w:r>
      <w:r w:rsidRPr="002E5F3B">
        <w:rPr>
          <w:lang w:eastAsia="sk-SK"/>
        </w:rPr>
        <w:t>. Tak</w:t>
      </w:r>
      <w:r w:rsidR="00F94CC2" w:rsidRPr="002E5F3B">
        <w:rPr>
          <w:lang w:eastAsia="sk-SK"/>
        </w:rPr>
        <w:t>též</w:t>
      </w:r>
      <w:r w:rsidRPr="002E5F3B">
        <w:rPr>
          <w:lang w:eastAsia="sk-SK"/>
        </w:rPr>
        <w:t xml:space="preserve"> byli ve vyšší míře hospitalizováni na intenzivním lůžku, i když zde se rozdíl oproti předchozímu období snížil. Naopak méně často odcházeli do</w:t>
      </w:r>
      <w:r w:rsidR="00DD58F7">
        <w:rPr>
          <w:lang w:eastAsia="sk-SK"/>
        </w:rPr>
        <w:t xml:space="preserve"> domácí či jiné formy péče </w:t>
      </w:r>
      <w:r w:rsidRPr="002E5F3B">
        <w:rPr>
          <w:lang w:eastAsia="sk-SK"/>
        </w:rPr>
        <w:t xml:space="preserve">po vlastní ose, což se </w:t>
      </w:r>
      <w:r w:rsidR="00F94CC2" w:rsidRPr="002E5F3B">
        <w:rPr>
          <w:lang w:eastAsia="sk-SK"/>
        </w:rPr>
        <w:t xml:space="preserve">v </w:t>
      </w:r>
      <w:r w:rsidRPr="002E5F3B">
        <w:rPr>
          <w:lang w:eastAsia="sk-SK"/>
        </w:rPr>
        <w:t>meziročn</w:t>
      </w:r>
      <w:r w:rsidR="00F94CC2" w:rsidRPr="002E5F3B">
        <w:rPr>
          <w:lang w:eastAsia="sk-SK"/>
        </w:rPr>
        <w:t>ím srovnání ještě</w:t>
      </w:r>
      <w:r w:rsidRPr="002E5F3B">
        <w:rPr>
          <w:lang w:eastAsia="sk-SK"/>
        </w:rPr>
        <w:t xml:space="preserve"> </w:t>
      </w:r>
      <w:r w:rsidR="00F94CC2" w:rsidRPr="002E5F3B">
        <w:rPr>
          <w:lang w:eastAsia="sk-SK"/>
        </w:rPr>
        <w:t xml:space="preserve">více </w:t>
      </w:r>
      <w:r w:rsidRPr="002E5F3B">
        <w:rPr>
          <w:lang w:eastAsia="sk-SK"/>
        </w:rPr>
        <w:t xml:space="preserve">prohloubilo. </w:t>
      </w:r>
      <w:r w:rsidR="0006299E" w:rsidRPr="0006299E">
        <w:rPr>
          <w:lang w:eastAsia="sk-SK"/>
        </w:rPr>
        <w:t xml:space="preserve">V roce 2023 rovněž došlo k častějšímu odesílání </w:t>
      </w:r>
      <w:proofErr w:type="spellStart"/>
      <w:r w:rsidR="0006299E" w:rsidRPr="0006299E">
        <w:rPr>
          <w:lang w:eastAsia="sk-SK"/>
        </w:rPr>
        <w:t>observovaných</w:t>
      </w:r>
      <w:proofErr w:type="spellEnd"/>
      <w:r w:rsidR="0006299E" w:rsidRPr="0006299E">
        <w:rPr>
          <w:lang w:eastAsia="sk-SK"/>
        </w:rPr>
        <w:t xml:space="preserve"> pacientů z NUP do jiných nemocničních zařízení.</w:t>
      </w:r>
    </w:p>
    <w:p w14:paraId="39422C65" w14:textId="6718B54D" w:rsidR="00CB5B99" w:rsidRPr="00C038D1" w:rsidRDefault="00CB5B99" w:rsidP="00C038D1">
      <w:pPr>
        <w:pStyle w:val="Dalodstavce"/>
        <w:rPr>
          <w:lang w:eastAsia="sk-SK"/>
        </w:rPr>
      </w:pPr>
      <w:r w:rsidRPr="008F7CD6">
        <w:rPr>
          <w:lang w:eastAsia="sk-SK"/>
        </w:rPr>
        <w:t>Pacien</w:t>
      </w:r>
      <w:r w:rsidRPr="00C038D1">
        <w:rPr>
          <w:lang w:eastAsia="sk-SK"/>
        </w:rPr>
        <w:t xml:space="preserve">ti, kteří </w:t>
      </w:r>
      <w:r w:rsidR="007641EF" w:rsidRPr="00C038D1">
        <w:rPr>
          <w:lang w:eastAsia="sk-SK"/>
        </w:rPr>
        <w:t xml:space="preserve">vyžadovali </w:t>
      </w:r>
      <w:r w:rsidRPr="00C038D1">
        <w:rPr>
          <w:lang w:eastAsia="sk-SK"/>
        </w:rPr>
        <w:t xml:space="preserve">vyšetření </w:t>
      </w:r>
      <w:r w:rsidR="007641EF" w:rsidRPr="00C038D1">
        <w:rPr>
          <w:lang w:eastAsia="sk-SK"/>
        </w:rPr>
        <w:t>zobrazovacími metodami</w:t>
      </w:r>
      <w:r w:rsidRPr="00C038D1">
        <w:rPr>
          <w:lang w:eastAsia="sk-SK"/>
        </w:rPr>
        <w:t xml:space="preserve">, byli v roce 2019 častěji hospitalizováni na intenzivním lůžku. </w:t>
      </w:r>
      <w:r w:rsidR="00250473">
        <w:rPr>
          <w:lang w:eastAsia="sk-SK"/>
        </w:rPr>
        <w:t>M</w:t>
      </w:r>
      <w:r w:rsidRPr="00C038D1">
        <w:rPr>
          <w:lang w:eastAsia="sk-SK"/>
        </w:rPr>
        <w:t xml:space="preserve">éně často </w:t>
      </w:r>
      <w:r w:rsidR="00250473">
        <w:rPr>
          <w:lang w:eastAsia="sk-SK"/>
        </w:rPr>
        <w:t xml:space="preserve">pak </w:t>
      </w:r>
      <w:r w:rsidRPr="00C038D1">
        <w:rPr>
          <w:lang w:eastAsia="sk-SK"/>
        </w:rPr>
        <w:t>odcházeli do</w:t>
      </w:r>
      <w:r w:rsidR="008F7CD6">
        <w:rPr>
          <w:lang w:eastAsia="sk-SK"/>
        </w:rPr>
        <w:t xml:space="preserve"> domácí či jiné formy péče</w:t>
      </w:r>
      <w:r w:rsidRPr="00C038D1">
        <w:rPr>
          <w:lang w:eastAsia="sk-SK"/>
        </w:rPr>
        <w:t xml:space="preserve"> po vlastní ose, přičemž tento rozdíl se v meziročním srovnání dále prohloubil. V roce 2023 </w:t>
      </w:r>
      <w:r w:rsidR="00C749FE" w:rsidRPr="00C038D1">
        <w:rPr>
          <w:lang w:eastAsia="sk-SK"/>
        </w:rPr>
        <w:t xml:space="preserve">byli tito pacienti častěji hospitalizováni </w:t>
      </w:r>
      <w:r w:rsidRPr="00C038D1">
        <w:rPr>
          <w:lang w:eastAsia="sk-SK"/>
        </w:rPr>
        <w:t xml:space="preserve">na standardním lůžku </w:t>
      </w:r>
      <w:r w:rsidR="00165D22" w:rsidRPr="00C038D1">
        <w:rPr>
          <w:lang w:eastAsia="sk-SK"/>
        </w:rPr>
        <w:t xml:space="preserve">nebo </w:t>
      </w:r>
      <w:r w:rsidRPr="00C038D1">
        <w:rPr>
          <w:lang w:eastAsia="sk-SK"/>
        </w:rPr>
        <w:t>odes</w:t>
      </w:r>
      <w:r w:rsidR="00165D22" w:rsidRPr="00C038D1">
        <w:rPr>
          <w:lang w:eastAsia="sk-SK"/>
        </w:rPr>
        <w:t xml:space="preserve">láni </w:t>
      </w:r>
      <w:r w:rsidRPr="00C038D1">
        <w:rPr>
          <w:lang w:eastAsia="sk-SK"/>
        </w:rPr>
        <w:t xml:space="preserve">do jiného nemocničního </w:t>
      </w:r>
      <w:r w:rsidRPr="008F7CD6">
        <w:rPr>
          <w:lang w:eastAsia="sk-SK"/>
        </w:rPr>
        <w:t>zařízení.</w:t>
      </w:r>
    </w:p>
    <w:p w14:paraId="7A0646B7" w14:textId="30F92B17" w:rsidR="00240C99" w:rsidRDefault="00240C99" w:rsidP="00240C99">
      <w:pPr>
        <w:pStyle w:val="Dalodstavce"/>
        <w:ind w:firstLine="0"/>
        <w:rPr>
          <w:lang w:eastAsia="sk-SK"/>
        </w:rPr>
      </w:pPr>
    </w:p>
    <w:p w14:paraId="1FE84F90" w14:textId="77777777" w:rsidR="00240C99" w:rsidRDefault="00240C99" w:rsidP="00240C99">
      <w:pPr>
        <w:pStyle w:val="Dalodstavce"/>
        <w:ind w:firstLine="0"/>
        <w:rPr>
          <w:lang w:eastAsia="sk-SK"/>
        </w:rPr>
      </w:pPr>
    </w:p>
    <w:p w14:paraId="5A38702C" w14:textId="77777777" w:rsidR="00D565A1" w:rsidRDefault="00D565A1" w:rsidP="00240C99">
      <w:pPr>
        <w:pStyle w:val="Dalodstavce"/>
        <w:ind w:firstLine="0"/>
        <w:rPr>
          <w:lang w:eastAsia="sk-SK"/>
        </w:rPr>
        <w:sectPr w:rsidR="00D565A1" w:rsidSect="001C5D57">
          <w:pgSz w:w="11906" w:h="16838" w:code="9"/>
          <w:pgMar w:top="1980" w:right="1140" w:bottom="2380" w:left="1140" w:header="1140" w:footer="1420" w:gutter="860"/>
          <w:cols w:space="708"/>
          <w:docGrid w:linePitch="360"/>
        </w:sectPr>
      </w:pPr>
    </w:p>
    <w:p w14:paraId="4D9AECC2" w14:textId="24CB8F8A" w:rsidR="006B6CA3" w:rsidRDefault="006B6CA3" w:rsidP="006B6CA3">
      <w:pPr>
        <w:pStyle w:val="Titulektabulky"/>
      </w:pPr>
      <w:bookmarkStart w:id="62" w:name="_Toc195517152"/>
      <w:r>
        <w:lastRenderedPageBreak/>
        <w:t xml:space="preserve">Tab. </w:t>
      </w:r>
      <w:fldSimple w:instr=" SEQ Tab. \* ARABIC ">
        <w:r w:rsidR="00DA18BB">
          <w:rPr>
            <w:noProof/>
          </w:rPr>
          <w:t>27</w:t>
        </w:r>
      </w:fldSimple>
      <w:r>
        <w:t xml:space="preserve">: </w:t>
      </w:r>
      <w:r w:rsidRPr="003656E6">
        <w:t>Faktory predikující způsob ukončení ošetření na</w:t>
      </w:r>
      <w:r>
        <w:t xml:space="preserve"> NUP FN Brno </w:t>
      </w:r>
      <w:r w:rsidRPr="00E261D3">
        <w:t xml:space="preserve">u pacientů ve věku 75 a více let </w:t>
      </w:r>
      <w:r>
        <w:t>–</w:t>
      </w:r>
      <w:r w:rsidRPr="00E261D3">
        <w:t xml:space="preserve"> rok 20</w:t>
      </w:r>
      <w:r w:rsidR="001D2C2B">
        <w:t>19</w:t>
      </w:r>
      <w:r w:rsidRPr="00E261D3">
        <w:t xml:space="preserve"> (řádková %; N=</w:t>
      </w:r>
      <w:r w:rsidR="00F433B3">
        <w:t>470</w:t>
      </w:r>
      <w:r w:rsidR="00EB153A">
        <w:t>;</w:t>
      </w:r>
      <w:r w:rsidR="00F433B3">
        <w:t xml:space="preserve"> *N=469</w:t>
      </w:r>
      <w:r w:rsidR="00D10367">
        <w:t>;</w:t>
      </w:r>
      <w:r w:rsidR="00B755D7">
        <w:t xml:space="preserve"> </w:t>
      </w:r>
      <w:r w:rsidR="00B755D7" w:rsidRPr="00A32146">
        <w:t>*</w:t>
      </w:r>
      <w:r w:rsidR="00A32146" w:rsidRPr="00A32146">
        <w:t>*</w:t>
      </w:r>
      <w:r w:rsidR="00B755D7">
        <w:t xml:space="preserve">N=1 022; </w:t>
      </w:r>
      <w:r w:rsidR="00B755D7" w:rsidRPr="00A32146">
        <w:t>**</w:t>
      </w:r>
      <w:r w:rsidR="00A32146" w:rsidRPr="00A32146">
        <w:t>*</w:t>
      </w:r>
      <w:r w:rsidR="00B755D7">
        <w:t>N=1 016</w:t>
      </w:r>
      <w:r w:rsidRPr="00E261D3">
        <w:t>)</w:t>
      </w:r>
      <w:bookmarkEnd w:id="62"/>
    </w:p>
    <w:tbl>
      <w:tblPr>
        <w:tblW w:w="12469" w:type="dxa"/>
        <w:tblCellMar>
          <w:left w:w="70" w:type="dxa"/>
          <w:right w:w="70" w:type="dxa"/>
        </w:tblCellMar>
        <w:tblLook w:val="04A0" w:firstRow="1" w:lastRow="0" w:firstColumn="1" w:lastColumn="0" w:noHBand="0" w:noVBand="1"/>
      </w:tblPr>
      <w:tblGrid>
        <w:gridCol w:w="1129"/>
        <w:gridCol w:w="1134"/>
        <w:gridCol w:w="1560"/>
        <w:gridCol w:w="1559"/>
        <w:gridCol w:w="1276"/>
        <w:gridCol w:w="1275"/>
        <w:gridCol w:w="1276"/>
        <w:gridCol w:w="992"/>
        <w:gridCol w:w="1134"/>
        <w:gridCol w:w="1134"/>
      </w:tblGrid>
      <w:tr w:rsidR="006100BD" w:rsidRPr="00242DFF" w14:paraId="4AFA549C" w14:textId="4DFC65D5" w:rsidTr="00D43AB4">
        <w:trPr>
          <w:trHeight w:val="578"/>
          <w:tblHeader/>
        </w:trPr>
        <w:tc>
          <w:tcPr>
            <w:tcW w:w="1129"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55CA07DD" w14:textId="77777777" w:rsidR="00291C9C" w:rsidRPr="003F5E5A" w:rsidRDefault="00291C9C" w:rsidP="00ED4BE6">
            <w:pPr>
              <w:jc w:val="center"/>
              <w:rPr>
                <w:rFonts w:ascii="Arial" w:hAnsi="Arial" w:cs="Arial"/>
                <w:b/>
                <w:bCs/>
                <w:color w:val="000000"/>
                <w:sz w:val="20"/>
                <w:szCs w:val="20"/>
              </w:rPr>
            </w:pPr>
            <w:r w:rsidRPr="003F5E5A">
              <w:rPr>
                <w:rFonts w:ascii="Arial" w:hAnsi="Arial" w:cs="Arial"/>
                <w:b/>
                <w:bCs/>
                <w:color w:val="000000"/>
                <w:sz w:val="20"/>
                <w:szCs w:val="20"/>
              </w:rPr>
              <w:t>Proměnná</w:t>
            </w:r>
          </w:p>
        </w:tc>
        <w:tc>
          <w:tcPr>
            <w:tcW w:w="1134" w:type="dxa"/>
            <w:tcBorders>
              <w:top w:val="single" w:sz="4" w:space="0" w:color="auto"/>
              <w:left w:val="nil"/>
              <w:bottom w:val="single" w:sz="4" w:space="0" w:color="auto"/>
              <w:right w:val="single" w:sz="4" w:space="0" w:color="auto"/>
            </w:tcBorders>
            <w:shd w:val="clear" w:color="000000" w:fill="DDEBF7"/>
            <w:vAlign w:val="center"/>
            <w:hideMark/>
          </w:tcPr>
          <w:p w14:paraId="429C9CAD" w14:textId="77777777" w:rsidR="00291C9C" w:rsidRPr="003F5E5A" w:rsidRDefault="00291C9C" w:rsidP="00ED4BE6">
            <w:pPr>
              <w:jc w:val="center"/>
              <w:rPr>
                <w:rFonts w:ascii="Arial" w:hAnsi="Arial" w:cs="Arial"/>
                <w:b/>
                <w:bCs/>
                <w:color w:val="000000"/>
                <w:sz w:val="20"/>
                <w:szCs w:val="20"/>
              </w:rPr>
            </w:pPr>
            <w:r w:rsidRPr="003F5E5A">
              <w:rPr>
                <w:rFonts w:ascii="Arial" w:hAnsi="Arial" w:cs="Arial"/>
                <w:b/>
                <w:bCs/>
                <w:color w:val="000000"/>
                <w:sz w:val="20"/>
                <w:szCs w:val="20"/>
              </w:rPr>
              <w:t>Výsledek</w:t>
            </w:r>
          </w:p>
        </w:tc>
        <w:tc>
          <w:tcPr>
            <w:tcW w:w="1560" w:type="dxa"/>
            <w:tcBorders>
              <w:top w:val="single" w:sz="4" w:space="0" w:color="auto"/>
              <w:left w:val="nil"/>
              <w:bottom w:val="single" w:sz="4" w:space="0" w:color="auto"/>
              <w:right w:val="single" w:sz="4" w:space="0" w:color="000000"/>
            </w:tcBorders>
            <w:shd w:val="clear" w:color="000000" w:fill="DDEBF7"/>
            <w:vAlign w:val="center"/>
            <w:hideMark/>
          </w:tcPr>
          <w:p w14:paraId="25DA5591" w14:textId="77777777" w:rsidR="00291C9C" w:rsidRPr="003F5E5A" w:rsidRDefault="00291C9C" w:rsidP="00ED4BE6">
            <w:pPr>
              <w:jc w:val="center"/>
              <w:rPr>
                <w:rFonts w:ascii="Arial" w:hAnsi="Arial" w:cs="Arial"/>
                <w:b/>
                <w:bCs/>
                <w:sz w:val="20"/>
                <w:szCs w:val="20"/>
              </w:rPr>
            </w:pPr>
            <w:r w:rsidRPr="003F5E5A">
              <w:rPr>
                <w:rFonts w:ascii="Arial" w:hAnsi="Arial" w:cs="Arial"/>
                <w:b/>
                <w:bCs/>
                <w:sz w:val="20"/>
                <w:szCs w:val="20"/>
              </w:rPr>
              <w:t>Domácí či jiná forma péče</w:t>
            </w:r>
          </w:p>
          <w:p w14:paraId="0D336833" w14:textId="72E066F2" w:rsidR="00291C9C" w:rsidRPr="003F5E5A" w:rsidRDefault="00291C9C" w:rsidP="00ED4BE6">
            <w:pPr>
              <w:jc w:val="center"/>
              <w:rPr>
                <w:rFonts w:ascii="Arial" w:hAnsi="Arial" w:cs="Arial"/>
                <w:b/>
                <w:bCs/>
                <w:sz w:val="20"/>
                <w:szCs w:val="20"/>
              </w:rPr>
            </w:pPr>
            <w:r w:rsidRPr="003F5E5A">
              <w:rPr>
                <w:rFonts w:ascii="Arial" w:hAnsi="Arial" w:cs="Arial"/>
                <w:b/>
                <w:bCs/>
                <w:sz w:val="20"/>
                <w:szCs w:val="20"/>
              </w:rPr>
              <w:t>(převoz po vlastní ose)</w:t>
            </w:r>
          </w:p>
        </w:tc>
        <w:tc>
          <w:tcPr>
            <w:tcW w:w="1559" w:type="dxa"/>
            <w:tcBorders>
              <w:top w:val="single" w:sz="4" w:space="0" w:color="auto"/>
              <w:left w:val="nil"/>
              <w:bottom w:val="single" w:sz="4" w:space="0" w:color="auto"/>
              <w:right w:val="single" w:sz="4" w:space="0" w:color="000000"/>
            </w:tcBorders>
            <w:shd w:val="clear" w:color="000000" w:fill="DDEBF7"/>
            <w:vAlign w:val="center"/>
            <w:hideMark/>
          </w:tcPr>
          <w:p w14:paraId="3B64F367" w14:textId="77777777" w:rsidR="00291C9C" w:rsidRPr="003F5E5A" w:rsidRDefault="00291C9C" w:rsidP="00ED4BE6">
            <w:pPr>
              <w:jc w:val="center"/>
              <w:rPr>
                <w:rFonts w:ascii="Arial" w:hAnsi="Arial" w:cs="Arial"/>
                <w:b/>
                <w:bCs/>
                <w:sz w:val="20"/>
                <w:szCs w:val="20"/>
              </w:rPr>
            </w:pPr>
            <w:r w:rsidRPr="003F5E5A">
              <w:rPr>
                <w:rFonts w:ascii="Arial" w:hAnsi="Arial" w:cs="Arial"/>
                <w:b/>
                <w:bCs/>
                <w:sz w:val="20"/>
                <w:szCs w:val="20"/>
              </w:rPr>
              <w:t>Domácí či jiná forma péče</w:t>
            </w:r>
          </w:p>
          <w:p w14:paraId="5EB6C766" w14:textId="21FAC0AF" w:rsidR="00291C9C" w:rsidRPr="003F5E5A" w:rsidRDefault="00291C9C" w:rsidP="00ED4BE6">
            <w:pPr>
              <w:jc w:val="center"/>
              <w:rPr>
                <w:rFonts w:ascii="Arial" w:hAnsi="Arial" w:cs="Arial"/>
                <w:b/>
                <w:bCs/>
                <w:sz w:val="20"/>
                <w:szCs w:val="20"/>
              </w:rPr>
            </w:pPr>
            <w:r w:rsidRPr="003F5E5A">
              <w:rPr>
                <w:rFonts w:ascii="Arial" w:hAnsi="Arial" w:cs="Arial"/>
                <w:b/>
                <w:bCs/>
                <w:sz w:val="20"/>
                <w:szCs w:val="20"/>
              </w:rPr>
              <w:t>(převoz</w:t>
            </w:r>
          </w:p>
          <w:p w14:paraId="2BD45A01" w14:textId="62A7A86F" w:rsidR="00291C9C" w:rsidRPr="003F5E5A" w:rsidRDefault="00291C9C" w:rsidP="00ED4BE6">
            <w:pPr>
              <w:jc w:val="center"/>
              <w:rPr>
                <w:rFonts w:ascii="Arial" w:hAnsi="Arial" w:cs="Arial"/>
                <w:b/>
                <w:bCs/>
                <w:sz w:val="20"/>
                <w:szCs w:val="20"/>
              </w:rPr>
            </w:pPr>
            <w:r w:rsidRPr="003F5E5A">
              <w:rPr>
                <w:rFonts w:ascii="Arial" w:hAnsi="Arial" w:cs="Arial"/>
                <w:b/>
                <w:bCs/>
                <w:sz w:val="20"/>
                <w:szCs w:val="20"/>
              </w:rPr>
              <w:t>sanitním</w:t>
            </w:r>
          </w:p>
          <w:p w14:paraId="08312DB8" w14:textId="7D0F0FCA" w:rsidR="00291C9C" w:rsidRPr="003F5E5A" w:rsidRDefault="00291C9C" w:rsidP="00ED4BE6">
            <w:pPr>
              <w:jc w:val="center"/>
              <w:rPr>
                <w:rFonts w:ascii="Arial" w:hAnsi="Arial" w:cs="Arial"/>
                <w:b/>
                <w:bCs/>
                <w:sz w:val="20"/>
                <w:szCs w:val="20"/>
              </w:rPr>
            </w:pPr>
            <w:r w:rsidRPr="003F5E5A">
              <w:rPr>
                <w:rFonts w:ascii="Arial" w:hAnsi="Arial" w:cs="Arial"/>
                <w:b/>
                <w:bCs/>
                <w:sz w:val="20"/>
                <w:szCs w:val="20"/>
              </w:rPr>
              <w:t>vozem)</w:t>
            </w:r>
          </w:p>
        </w:tc>
        <w:tc>
          <w:tcPr>
            <w:tcW w:w="1276" w:type="dxa"/>
            <w:tcBorders>
              <w:top w:val="single" w:sz="4" w:space="0" w:color="auto"/>
              <w:left w:val="nil"/>
              <w:bottom w:val="single" w:sz="4" w:space="0" w:color="auto"/>
              <w:right w:val="single" w:sz="4" w:space="0" w:color="000000"/>
            </w:tcBorders>
            <w:shd w:val="clear" w:color="000000" w:fill="DDEBF7"/>
            <w:vAlign w:val="center"/>
            <w:hideMark/>
          </w:tcPr>
          <w:p w14:paraId="5D7F53C4" w14:textId="2BBEAF13" w:rsidR="00291C9C" w:rsidRPr="003F5E5A" w:rsidRDefault="00291C9C" w:rsidP="00ED4BE6">
            <w:pPr>
              <w:jc w:val="center"/>
              <w:rPr>
                <w:rFonts w:ascii="Arial" w:hAnsi="Arial" w:cs="Arial"/>
                <w:b/>
                <w:bCs/>
                <w:sz w:val="20"/>
                <w:szCs w:val="20"/>
              </w:rPr>
            </w:pPr>
            <w:r w:rsidRPr="003F5E5A">
              <w:rPr>
                <w:rFonts w:ascii="Arial" w:hAnsi="Arial" w:cs="Arial"/>
                <w:b/>
                <w:bCs/>
                <w:sz w:val="20"/>
                <w:szCs w:val="20"/>
              </w:rPr>
              <w:t>Hospitalizace</w:t>
            </w:r>
          </w:p>
          <w:p w14:paraId="61B3A05E" w14:textId="7D19AFEF" w:rsidR="00291C9C" w:rsidRPr="003F5E5A" w:rsidRDefault="00291C9C" w:rsidP="00ED4BE6">
            <w:pPr>
              <w:jc w:val="center"/>
              <w:rPr>
                <w:rFonts w:ascii="Arial" w:hAnsi="Arial" w:cs="Arial"/>
                <w:b/>
                <w:bCs/>
                <w:sz w:val="20"/>
                <w:szCs w:val="20"/>
              </w:rPr>
            </w:pPr>
            <w:r w:rsidRPr="003F5E5A">
              <w:rPr>
                <w:rFonts w:ascii="Arial" w:hAnsi="Arial" w:cs="Arial"/>
                <w:b/>
                <w:bCs/>
                <w:sz w:val="20"/>
                <w:szCs w:val="20"/>
              </w:rPr>
              <w:t>standardní lůžko</w:t>
            </w:r>
          </w:p>
        </w:tc>
        <w:tc>
          <w:tcPr>
            <w:tcW w:w="1275" w:type="dxa"/>
            <w:tcBorders>
              <w:top w:val="single" w:sz="4" w:space="0" w:color="auto"/>
              <w:left w:val="nil"/>
              <w:bottom w:val="single" w:sz="4" w:space="0" w:color="auto"/>
              <w:right w:val="single" w:sz="4" w:space="0" w:color="000000"/>
            </w:tcBorders>
            <w:shd w:val="clear" w:color="000000" w:fill="DDEBF7"/>
            <w:vAlign w:val="center"/>
            <w:hideMark/>
          </w:tcPr>
          <w:p w14:paraId="5614C691" w14:textId="4D4F39E7" w:rsidR="00291C9C" w:rsidRPr="003F5E5A" w:rsidRDefault="00291C9C" w:rsidP="00ED4BE6">
            <w:pPr>
              <w:jc w:val="center"/>
              <w:rPr>
                <w:rFonts w:ascii="Arial" w:hAnsi="Arial" w:cs="Arial"/>
                <w:b/>
                <w:bCs/>
                <w:sz w:val="20"/>
                <w:szCs w:val="20"/>
              </w:rPr>
            </w:pPr>
            <w:r w:rsidRPr="003F5E5A">
              <w:rPr>
                <w:rFonts w:ascii="Arial" w:hAnsi="Arial" w:cs="Arial"/>
                <w:b/>
                <w:bCs/>
                <w:sz w:val="20"/>
                <w:szCs w:val="20"/>
              </w:rPr>
              <w:t>Hospitalizace</w:t>
            </w:r>
          </w:p>
          <w:p w14:paraId="431C1CA7" w14:textId="3184FE19" w:rsidR="00291C9C" w:rsidRPr="003F5E5A" w:rsidRDefault="00291C9C" w:rsidP="00ED4BE6">
            <w:pPr>
              <w:jc w:val="center"/>
              <w:rPr>
                <w:rFonts w:ascii="Arial" w:hAnsi="Arial" w:cs="Arial"/>
                <w:b/>
                <w:bCs/>
                <w:sz w:val="20"/>
                <w:szCs w:val="20"/>
              </w:rPr>
            </w:pPr>
            <w:r w:rsidRPr="003F5E5A">
              <w:rPr>
                <w:rFonts w:ascii="Arial" w:hAnsi="Arial" w:cs="Arial"/>
                <w:b/>
                <w:bCs/>
                <w:sz w:val="20"/>
                <w:szCs w:val="20"/>
              </w:rPr>
              <w:t>intenzivní lůžko</w:t>
            </w:r>
          </w:p>
        </w:tc>
        <w:tc>
          <w:tcPr>
            <w:tcW w:w="1276" w:type="dxa"/>
            <w:tcBorders>
              <w:top w:val="single" w:sz="4" w:space="0" w:color="auto"/>
              <w:left w:val="nil"/>
              <w:bottom w:val="single" w:sz="4" w:space="0" w:color="auto"/>
              <w:right w:val="single" w:sz="4" w:space="0" w:color="000000"/>
            </w:tcBorders>
            <w:shd w:val="clear" w:color="000000" w:fill="DDEBF7"/>
            <w:vAlign w:val="center"/>
            <w:hideMark/>
          </w:tcPr>
          <w:p w14:paraId="241525DA" w14:textId="77777777" w:rsidR="00291C9C" w:rsidRPr="003F5E5A" w:rsidRDefault="00291C9C" w:rsidP="00ED4BE6">
            <w:pPr>
              <w:jc w:val="center"/>
              <w:rPr>
                <w:rFonts w:ascii="Arial" w:hAnsi="Arial" w:cs="Arial"/>
                <w:b/>
                <w:bCs/>
                <w:sz w:val="20"/>
                <w:szCs w:val="20"/>
              </w:rPr>
            </w:pPr>
            <w:r w:rsidRPr="003F5E5A">
              <w:rPr>
                <w:rFonts w:ascii="Arial" w:hAnsi="Arial" w:cs="Arial"/>
                <w:b/>
                <w:bCs/>
                <w:sz w:val="20"/>
                <w:szCs w:val="20"/>
              </w:rPr>
              <w:t>Jiné</w:t>
            </w:r>
          </w:p>
          <w:p w14:paraId="45FBB879" w14:textId="2A8C5876" w:rsidR="00291C9C" w:rsidRPr="003F5E5A" w:rsidRDefault="00291C9C" w:rsidP="00ED4BE6">
            <w:pPr>
              <w:jc w:val="center"/>
              <w:rPr>
                <w:rFonts w:ascii="Arial" w:hAnsi="Arial" w:cs="Arial"/>
                <w:b/>
                <w:bCs/>
                <w:sz w:val="20"/>
                <w:szCs w:val="20"/>
              </w:rPr>
            </w:pPr>
            <w:r w:rsidRPr="003F5E5A">
              <w:rPr>
                <w:rFonts w:ascii="Arial" w:hAnsi="Arial" w:cs="Arial"/>
                <w:b/>
                <w:bCs/>
                <w:sz w:val="20"/>
                <w:szCs w:val="20"/>
              </w:rPr>
              <w:t>nemocniční</w:t>
            </w:r>
          </w:p>
          <w:p w14:paraId="2883F8BA" w14:textId="302CE937" w:rsidR="00291C9C" w:rsidRPr="003F5E5A" w:rsidRDefault="00291C9C" w:rsidP="00ED4BE6">
            <w:pPr>
              <w:jc w:val="center"/>
              <w:rPr>
                <w:rFonts w:ascii="Arial" w:hAnsi="Arial" w:cs="Arial"/>
                <w:b/>
                <w:bCs/>
                <w:sz w:val="20"/>
                <w:szCs w:val="20"/>
              </w:rPr>
            </w:pPr>
            <w:r w:rsidRPr="003F5E5A">
              <w:rPr>
                <w:rFonts w:ascii="Arial" w:hAnsi="Arial" w:cs="Arial"/>
                <w:b/>
                <w:bCs/>
                <w:sz w:val="20"/>
                <w:szCs w:val="20"/>
              </w:rPr>
              <w:t>zařízení</w:t>
            </w:r>
          </w:p>
        </w:tc>
        <w:tc>
          <w:tcPr>
            <w:tcW w:w="992" w:type="dxa"/>
            <w:tcBorders>
              <w:top w:val="single" w:sz="4" w:space="0" w:color="auto"/>
              <w:left w:val="nil"/>
              <w:bottom w:val="single" w:sz="4" w:space="0" w:color="auto"/>
              <w:right w:val="single" w:sz="4" w:space="0" w:color="000000"/>
            </w:tcBorders>
            <w:shd w:val="clear" w:color="000000" w:fill="DDEBF7"/>
            <w:vAlign w:val="center"/>
            <w:hideMark/>
          </w:tcPr>
          <w:p w14:paraId="69E9CB0A" w14:textId="77777777" w:rsidR="00291C9C" w:rsidRPr="003F5E5A" w:rsidRDefault="00291C9C" w:rsidP="00ED4BE6">
            <w:pPr>
              <w:jc w:val="center"/>
              <w:rPr>
                <w:rFonts w:ascii="Arial" w:hAnsi="Arial" w:cs="Arial"/>
                <w:b/>
                <w:bCs/>
                <w:sz w:val="20"/>
                <w:szCs w:val="20"/>
              </w:rPr>
            </w:pPr>
            <w:r w:rsidRPr="003F5E5A">
              <w:rPr>
                <w:rFonts w:ascii="Arial" w:hAnsi="Arial" w:cs="Arial"/>
                <w:b/>
                <w:bCs/>
                <w:sz w:val="20"/>
                <w:szCs w:val="20"/>
              </w:rPr>
              <w:t>Celkem</w:t>
            </w:r>
          </w:p>
        </w:tc>
        <w:tc>
          <w:tcPr>
            <w:tcW w:w="1134" w:type="dxa"/>
            <w:tcBorders>
              <w:top w:val="single" w:sz="4" w:space="0" w:color="auto"/>
              <w:left w:val="nil"/>
              <w:bottom w:val="single" w:sz="4" w:space="0" w:color="auto"/>
              <w:right w:val="single" w:sz="4" w:space="0" w:color="auto"/>
            </w:tcBorders>
            <w:shd w:val="clear" w:color="000000" w:fill="DDEBF7"/>
            <w:vAlign w:val="center"/>
            <w:hideMark/>
          </w:tcPr>
          <w:p w14:paraId="491F25CF" w14:textId="1759CC3E" w:rsidR="00291C9C" w:rsidRPr="003F5E5A" w:rsidRDefault="00291C9C" w:rsidP="00ED4BE6">
            <w:pPr>
              <w:jc w:val="center"/>
              <w:rPr>
                <w:rFonts w:ascii="Arial" w:hAnsi="Arial" w:cs="Arial"/>
                <w:b/>
                <w:bCs/>
                <w:color w:val="000000"/>
                <w:sz w:val="20"/>
                <w:szCs w:val="20"/>
              </w:rPr>
            </w:pPr>
            <w:r w:rsidRPr="003F5E5A">
              <w:rPr>
                <w:rFonts w:ascii="Arial" w:hAnsi="Arial" w:cs="Arial"/>
                <w:b/>
                <w:bCs/>
                <w:color w:val="000000"/>
                <w:sz w:val="20"/>
                <w:szCs w:val="20"/>
              </w:rPr>
              <w:t>p-hodnota</w:t>
            </w:r>
          </w:p>
        </w:tc>
        <w:tc>
          <w:tcPr>
            <w:tcW w:w="1134" w:type="dxa"/>
            <w:tcBorders>
              <w:top w:val="single" w:sz="4" w:space="0" w:color="auto"/>
              <w:left w:val="nil"/>
              <w:bottom w:val="single" w:sz="4" w:space="0" w:color="auto"/>
              <w:right w:val="single" w:sz="4" w:space="0" w:color="auto"/>
            </w:tcBorders>
            <w:shd w:val="clear" w:color="000000" w:fill="DDEBF7"/>
            <w:vAlign w:val="center"/>
          </w:tcPr>
          <w:p w14:paraId="3BFAAF63" w14:textId="77777777" w:rsidR="00907DA5" w:rsidRDefault="000040D0" w:rsidP="00ED4BE6">
            <w:pPr>
              <w:jc w:val="center"/>
              <w:rPr>
                <w:rFonts w:ascii="Arial" w:hAnsi="Arial" w:cs="Arial"/>
                <w:b/>
                <w:bCs/>
                <w:color w:val="000000"/>
                <w:sz w:val="20"/>
                <w:szCs w:val="20"/>
              </w:rPr>
            </w:pPr>
            <w:r w:rsidRPr="003F5E5A">
              <w:rPr>
                <w:rFonts w:ascii="Arial" w:hAnsi="Arial" w:cs="Arial"/>
                <w:b/>
                <w:bCs/>
                <w:color w:val="000000"/>
                <w:sz w:val="20"/>
                <w:szCs w:val="20"/>
              </w:rPr>
              <w:t>p-hodnota</w:t>
            </w:r>
          </w:p>
          <w:p w14:paraId="66DB7EE8" w14:textId="5159F3B2" w:rsidR="00291C9C" w:rsidRPr="003F5E5A" w:rsidRDefault="000040D0" w:rsidP="00ED4BE6">
            <w:pPr>
              <w:jc w:val="center"/>
              <w:rPr>
                <w:rFonts w:ascii="Arial" w:hAnsi="Arial" w:cs="Arial"/>
                <w:b/>
                <w:bCs/>
                <w:color w:val="000000"/>
                <w:sz w:val="20"/>
                <w:szCs w:val="20"/>
              </w:rPr>
            </w:pPr>
            <w:r w:rsidRPr="003F5E5A">
              <w:rPr>
                <w:rFonts w:ascii="Arial" w:hAnsi="Arial" w:cs="Arial"/>
                <w:b/>
                <w:bCs/>
                <w:color w:val="000000"/>
                <w:sz w:val="20"/>
                <w:szCs w:val="20"/>
              </w:rPr>
              <w:t>rozdílu</w:t>
            </w:r>
          </w:p>
        </w:tc>
      </w:tr>
      <w:tr w:rsidR="006100BD" w:rsidRPr="00242DFF" w14:paraId="01C1F983" w14:textId="5B8EA237" w:rsidTr="00D43AB4">
        <w:trPr>
          <w:trHeight w:val="608"/>
        </w:trPr>
        <w:tc>
          <w:tcPr>
            <w:tcW w:w="1129" w:type="dxa"/>
            <w:vMerge w:val="restart"/>
            <w:tcBorders>
              <w:top w:val="nil"/>
              <w:left w:val="single" w:sz="4" w:space="0" w:color="auto"/>
              <w:bottom w:val="single" w:sz="4" w:space="0" w:color="auto"/>
              <w:right w:val="single" w:sz="4" w:space="0" w:color="auto"/>
            </w:tcBorders>
            <w:shd w:val="clear" w:color="auto" w:fill="auto"/>
            <w:vAlign w:val="center"/>
            <w:hideMark/>
          </w:tcPr>
          <w:p w14:paraId="008CB96C" w14:textId="77777777"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Pohlaví</w:t>
            </w:r>
          </w:p>
        </w:tc>
        <w:tc>
          <w:tcPr>
            <w:tcW w:w="1134" w:type="dxa"/>
            <w:tcBorders>
              <w:top w:val="nil"/>
              <w:left w:val="nil"/>
              <w:bottom w:val="single" w:sz="4" w:space="0" w:color="auto"/>
              <w:right w:val="single" w:sz="4" w:space="0" w:color="auto"/>
            </w:tcBorders>
            <w:shd w:val="clear" w:color="auto" w:fill="auto"/>
            <w:vAlign w:val="center"/>
            <w:hideMark/>
          </w:tcPr>
          <w:p w14:paraId="31B2020F" w14:textId="77777777"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Muž</w:t>
            </w:r>
          </w:p>
        </w:tc>
        <w:tc>
          <w:tcPr>
            <w:tcW w:w="1560" w:type="dxa"/>
            <w:tcBorders>
              <w:top w:val="single" w:sz="4" w:space="0" w:color="993366"/>
              <w:left w:val="nil"/>
              <w:bottom w:val="single" w:sz="4" w:space="0" w:color="333333"/>
              <w:right w:val="single" w:sz="4" w:space="0" w:color="333399"/>
            </w:tcBorders>
            <w:shd w:val="clear" w:color="000000" w:fill="FFFFFF"/>
            <w:noWrap/>
            <w:vAlign w:val="center"/>
            <w:hideMark/>
          </w:tcPr>
          <w:p w14:paraId="177709E0" w14:textId="42B36A19"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34 (26,8 %)</w:t>
            </w:r>
          </w:p>
        </w:tc>
        <w:tc>
          <w:tcPr>
            <w:tcW w:w="1559" w:type="dxa"/>
            <w:tcBorders>
              <w:top w:val="single" w:sz="4" w:space="0" w:color="993366"/>
              <w:left w:val="nil"/>
              <w:bottom w:val="single" w:sz="4" w:space="0" w:color="333333"/>
              <w:right w:val="single" w:sz="4" w:space="0" w:color="333399"/>
            </w:tcBorders>
            <w:shd w:val="clear" w:color="000000" w:fill="FFFFFF"/>
            <w:noWrap/>
            <w:vAlign w:val="center"/>
            <w:hideMark/>
          </w:tcPr>
          <w:p w14:paraId="5FA940DC" w14:textId="46F465B9"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28 (43,8 %)</w:t>
            </w:r>
          </w:p>
        </w:tc>
        <w:tc>
          <w:tcPr>
            <w:tcW w:w="1276" w:type="dxa"/>
            <w:tcBorders>
              <w:top w:val="single" w:sz="4" w:space="0" w:color="993366"/>
              <w:left w:val="nil"/>
              <w:bottom w:val="single" w:sz="4" w:space="0" w:color="333333"/>
              <w:right w:val="single" w:sz="4" w:space="0" w:color="333399"/>
            </w:tcBorders>
            <w:shd w:val="clear" w:color="000000" w:fill="FFFFFF"/>
            <w:noWrap/>
            <w:vAlign w:val="center"/>
            <w:hideMark/>
          </w:tcPr>
          <w:p w14:paraId="1A0BFF97" w14:textId="7F167CD1"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70 (36,3 %)</w:t>
            </w:r>
          </w:p>
        </w:tc>
        <w:tc>
          <w:tcPr>
            <w:tcW w:w="1275" w:type="dxa"/>
            <w:tcBorders>
              <w:top w:val="single" w:sz="4" w:space="0" w:color="993366"/>
              <w:left w:val="nil"/>
              <w:bottom w:val="single" w:sz="4" w:space="0" w:color="333333"/>
              <w:right w:val="single" w:sz="4" w:space="0" w:color="333399"/>
            </w:tcBorders>
            <w:shd w:val="clear" w:color="000000" w:fill="FFFFFF"/>
            <w:noWrap/>
            <w:vAlign w:val="center"/>
            <w:hideMark/>
          </w:tcPr>
          <w:p w14:paraId="45C1C1CB" w14:textId="57A12D8C"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17 (29,3 %)</w:t>
            </w:r>
          </w:p>
        </w:tc>
        <w:tc>
          <w:tcPr>
            <w:tcW w:w="1276" w:type="dxa"/>
            <w:tcBorders>
              <w:top w:val="single" w:sz="4" w:space="0" w:color="993366"/>
              <w:left w:val="nil"/>
              <w:bottom w:val="single" w:sz="4" w:space="0" w:color="333333"/>
              <w:right w:val="single" w:sz="4" w:space="0" w:color="333399"/>
            </w:tcBorders>
            <w:shd w:val="clear" w:color="000000" w:fill="FFFFFF"/>
            <w:noWrap/>
            <w:vAlign w:val="center"/>
            <w:hideMark/>
          </w:tcPr>
          <w:p w14:paraId="3316446D" w14:textId="65D48321"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8 (28,6 %)</w:t>
            </w:r>
          </w:p>
        </w:tc>
        <w:tc>
          <w:tcPr>
            <w:tcW w:w="992" w:type="dxa"/>
            <w:tcBorders>
              <w:top w:val="single" w:sz="4" w:space="0" w:color="993366"/>
              <w:left w:val="nil"/>
              <w:bottom w:val="single" w:sz="4" w:space="0" w:color="333333"/>
              <w:right w:val="single" w:sz="4" w:space="0" w:color="333399"/>
            </w:tcBorders>
            <w:shd w:val="clear" w:color="000000" w:fill="FFFFFF"/>
            <w:noWrap/>
            <w:vAlign w:val="center"/>
            <w:hideMark/>
          </w:tcPr>
          <w:p w14:paraId="5AA04FE0" w14:textId="77777777" w:rsidR="00D43AB4" w:rsidRDefault="00324099" w:rsidP="00D54DEC">
            <w:pPr>
              <w:jc w:val="center"/>
              <w:rPr>
                <w:rFonts w:ascii="Arial" w:hAnsi="Arial" w:cs="Arial"/>
                <w:color w:val="000000"/>
                <w:sz w:val="20"/>
                <w:szCs w:val="20"/>
              </w:rPr>
            </w:pPr>
            <w:r w:rsidRPr="003F5E5A">
              <w:rPr>
                <w:rFonts w:ascii="Arial" w:hAnsi="Arial" w:cs="Arial"/>
                <w:color w:val="000000"/>
                <w:sz w:val="20"/>
                <w:szCs w:val="20"/>
              </w:rPr>
              <w:t>157</w:t>
            </w:r>
          </w:p>
          <w:p w14:paraId="13190916" w14:textId="563F6F5E"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(33,4 %)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27E48F7" w14:textId="77777777"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0,134</w:t>
            </w:r>
          </w:p>
        </w:tc>
        <w:tc>
          <w:tcPr>
            <w:tcW w:w="1134" w:type="dxa"/>
            <w:vMerge w:val="restart"/>
            <w:tcBorders>
              <w:top w:val="nil"/>
              <w:left w:val="single" w:sz="4" w:space="0" w:color="auto"/>
              <w:right w:val="single" w:sz="4" w:space="0" w:color="auto"/>
            </w:tcBorders>
            <w:vAlign w:val="center"/>
          </w:tcPr>
          <w:p w14:paraId="09F1F139" w14:textId="0B61E36A" w:rsidR="00324099" w:rsidRPr="003F5E5A" w:rsidRDefault="00AA4C1C" w:rsidP="002C1265">
            <w:pPr>
              <w:jc w:val="center"/>
              <w:rPr>
                <w:rFonts w:ascii="Arial" w:hAnsi="Arial" w:cs="Arial"/>
                <w:color w:val="000000"/>
                <w:sz w:val="20"/>
                <w:szCs w:val="20"/>
              </w:rPr>
            </w:pPr>
            <w:r w:rsidRPr="00A32146">
              <w:rPr>
                <w:rFonts w:ascii="Arial" w:hAnsi="Arial" w:cs="Arial"/>
                <w:sz w:val="20"/>
                <w:szCs w:val="20"/>
              </w:rPr>
              <w:t>*</w:t>
            </w:r>
            <w:r w:rsidR="00A32146" w:rsidRPr="00A32146">
              <w:rPr>
                <w:rFonts w:ascii="Arial" w:hAnsi="Arial" w:cs="Arial"/>
                <w:sz w:val="20"/>
                <w:szCs w:val="20"/>
              </w:rPr>
              <w:t>*</w:t>
            </w:r>
            <w:r>
              <w:rPr>
                <w:rFonts w:ascii="Arial" w:hAnsi="Arial" w:cs="Arial"/>
                <w:color w:val="000000"/>
                <w:sz w:val="20"/>
                <w:szCs w:val="20"/>
              </w:rPr>
              <w:t xml:space="preserve"> </w:t>
            </w:r>
            <w:r w:rsidR="000459B0" w:rsidRPr="003F5E5A">
              <w:rPr>
                <w:rFonts w:ascii="Arial" w:hAnsi="Arial" w:cs="Arial"/>
                <w:color w:val="000000"/>
                <w:sz w:val="20"/>
                <w:szCs w:val="20"/>
              </w:rPr>
              <w:t>0,293</w:t>
            </w:r>
          </w:p>
        </w:tc>
      </w:tr>
      <w:tr w:rsidR="006100BD" w:rsidRPr="00242DFF" w14:paraId="46930C36" w14:textId="1A868315" w:rsidTr="00D43AB4">
        <w:trPr>
          <w:trHeight w:val="300"/>
        </w:trPr>
        <w:tc>
          <w:tcPr>
            <w:tcW w:w="1129" w:type="dxa"/>
            <w:vMerge/>
            <w:tcBorders>
              <w:top w:val="nil"/>
              <w:left w:val="single" w:sz="4" w:space="0" w:color="auto"/>
              <w:bottom w:val="single" w:sz="4" w:space="0" w:color="auto"/>
              <w:right w:val="single" w:sz="4" w:space="0" w:color="auto"/>
            </w:tcBorders>
            <w:vAlign w:val="center"/>
            <w:hideMark/>
          </w:tcPr>
          <w:p w14:paraId="098DB889" w14:textId="77777777" w:rsidR="00324099" w:rsidRPr="003F5E5A" w:rsidRDefault="00324099" w:rsidP="00D54DEC">
            <w:pPr>
              <w:jc w:val="center"/>
              <w:rPr>
                <w:rFonts w:ascii="Arial" w:hAnsi="Arial" w:cs="Arial"/>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14:paraId="1CED1E1D" w14:textId="77777777"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Žena</w:t>
            </w:r>
          </w:p>
        </w:tc>
        <w:tc>
          <w:tcPr>
            <w:tcW w:w="1560" w:type="dxa"/>
            <w:tcBorders>
              <w:top w:val="nil"/>
              <w:left w:val="nil"/>
              <w:bottom w:val="single" w:sz="4" w:space="0" w:color="333333"/>
              <w:right w:val="single" w:sz="4" w:space="0" w:color="333399"/>
            </w:tcBorders>
            <w:shd w:val="clear" w:color="000000" w:fill="FFFFFF"/>
            <w:noWrap/>
            <w:vAlign w:val="center"/>
            <w:hideMark/>
          </w:tcPr>
          <w:p w14:paraId="238342CF" w14:textId="74894FFE"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93 (73,2 %)</w:t>
            </w:r>
          </w:p>
        </w:tc>
        <w:tc>
          <w:tcPr>
            <w:tcW w:w="1559" w:type="dxa"/>
            <w:tcBorders>
              <w:top w:val="nil"/>
              <w:left w:val="nil"/>
              <w:bottom w:val="single" w:sz="4" w:space="0" w:color="333333"/>
              <w:right w:val="single" w:sz="4" w:space="0" w:color="333399"/>
            </w:tcBorders>
            <w:shd w:val="clear" w:color="000000" w:fill="FFFFFF"/>
            <w:noWrap/>
            <w:vAlign w:val="center"/>
            <w:hideMark/>
          </w:tcPr>
          <w:p w14:paraId="02FB5C2A" w14:textId="07478018"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36 (56,3 %)</w:t>
            </w:r>
          </w:p>
        </w:tc>
        <w:tc>
          <w:tcPr>
            <w:tcW w:w="1276" w:type="dxa"/>
            <w:tcBorders>
              <w:top w:val="nil"/>
              <w:left w:val="nil"/>
              <w:bottom w:val="single" w:sz="4" w:space="0" w:color="333333"/>
              <w:right w:val="single" w:sz="4" w:space="0" w:color="333399"/>
            </w:tcBorders>
            <w:shd w:val="clear" w:color="000000" w:fill="FFFFFF"/>
            <w:noWrap/>
            <w:vAlign w:val="center"/>
            <w:hideMark/>
          </w:tcPr>
          <w:p w14:paraId="537411E2" w14:textId="77777777" w:rsidR="0076500D" w:rsidRDefault="00324099" w:rsidP="00D54DEC">
            <w:pPr>
              <w:jc w:val="center"/>
              <w:rPr>
                <w:rFonts w:ascii="Arial" w:hAnsi="Arial" w:cs="Arial"/>
                <w:color w:val="000000"/>
                <w:sz w:val="20"/>
                <w:szCs w:val="20"/>
              </w:rPr>
            </w:pPr>
            <w:r w:rsidRPr="003F5E5A">
              <w:rPr>
                <w:rFonts w:ascii="Arial" w:hAnsi="Arial" w:cs="Arial"/>
                <w:color w:val="000000"/>
                <w:sz w:val="20"/>
                <w:szCs w:val="20"/>
              </w:rPr>
              <w:t>123</w:t>
            </w:r>
          </w:p>
          <w:p w14:paraId="51DF3666" w14:textId="36075C7E"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(63,7 %)</w:t>
            </w:r>
          </w:p>
        </w:tc>
        <w:tc>
          <w:tcPr>
            <w:tcW w:w="1275" w:type="dxa"/>
            <w:tcBorders>
              <w:top w:val="nil"/>
              <w:left w:val="nil"/>
              <w:bottom w:val="single" w:sz="4" w:space="0" w:color="333333"/>
              <w:right w:val="single" w:sz="4" w:space="0" w:color="333399"/>
            </w:tcBorders>
            <w:shd w:val="clear" w:color="000000" w:fill="FFFFFF"/>
            <w:noWrap/>
            <w:vAlign w:val="center"/>
            <w:hideMark/>
          </w:tcPr>
          <w:p w14:paraId="023EA148" w14:textId="06D514FB"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41 (70,7 %)</w:t>
            </w:r>
          </w:p>
        </w:tc>
        <w:tc>
          <w:tcPr>
            <w:tcW w:w="1276" w:type="dxa"/>
            <w:tcBorders>
              <w:top w:val="nil"/>
              <w:left w:val="nil"/>
              <w:bottom w:val="single" w:sz="4" w:space="0" w:color="333333"/>
              <w:right w:val="single" w:sz="4" w:space="0" w:color="333399"/>
            </w:tcBorders>
            <w:shd w:val="clear" w:color="000000" w:fill="FFFFFF"/>
            <w:noWrap/>
            <w:vAlign w:val="center"/>
            <w:hideMark/>
          </w:tcPr>
          <w:p w14:paraId="0D30F6F2" w14:textId="7E59C6B3"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20 (71,4 %)</w:t>
            </w:r>
          </w:p>
        </w:tc>
        <w:tc>
          <w:tcPr>
            <w:tcW w:w="992" w:type="dxa"/>
            <w:tcBorders>
              <w:top w:val="nil"/>
              <w:left w:val="nil"/>
              <w:bottom w:val="single" w:sz="4" w:space="0" w:color="333333"/>
              <w:right w:val="single" w:sz="4" w:space="0" w:color="333399"/>
            </w:tcBorders>
            <w:shd w:val="clear" w:color="000000" w:fill="FFFFFF"/>
            <w:noWrap/>
            <w:vAlign w:val="center"/>
            <w:hideMark/>
          </w:tcPr>
          <w:p w14:paraId="42C45066" w14:textId="77777777" w:rsidR="00D43AB4" w:rsidRDefault="00324099" w:rsidP="00D54DEC">
            <w:pPr>
              <w:jc w:val="center"/>
              <w:rPr>
                <w:rFonts w:ascii="Arial" w:hAnsi="Arial" w:cs="Arial"/>
                <w:color w:val="000000"/>
                <w:sz w:val="20"/>
                <w:szCs w:val="20"/>
              </w:rPr>
            </w:pPr>
            <w:r w:rsidRPr="003F5E5A">
              <w:rPr>
                <w:rFonts w:ascii="Arial" w:hAnsi="Arial" w:cs="Arial"/>
                <w:color w:val="000000"/>
                <w:sz w:val="20"/>
                <w:szCs w:val="20"/>
              </w:rPr>
              <w:t>313</w:t>
            </w:r>
          </w:p>
          <w:p w14:paraId="4B0C1598" w14:textId="2FD2BDB3"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(66,6 %)</w:t>
            </w:r>
          </w:p>
        </w:tc>
        <w:tc>
          <w:tcPr>
            <w:tcW w:w="1134" w:type="dxa"/>
            <w:vMerge/>
            <w:tcBorders>
              <w:top w:val="nil"/>
              <w:left w:val="single" w:sz="4" w:space="0" w:color="auto"/>
              <w:bottom w:val="single" w:sz="4" w:space="0" w:color="auto"/>
              <w:right w:val="single" w:sz="4" w:space="0" w:color="auto"/>
            </w:tcBorders>
            <w:vAlign w:val="center"/>
            <w:hideMark/>
          </w:tcPr>
          <w:p w14:paraId="29A553F8" w14:textId="77777777" w:rsidR="00324099" w:rsidRPr="003F5E5A" w:rsidRDefault="00324099" w:rsidP="00D54DEC">
            <w:pPr>
              <w:jc w:val="center"/>
              <w:rPr>
                <w:rFonts w:ascii="Arial" w:hAnsi="Arial" w:cs="Arial"/>
                <w:color w:val="000000"/>
                <w:sz w:val="20"/>
                <w:szCs w:val="20"/>
              </w:rPr>
            </w:pPr>
          </w:p>
        </w:tc>
        <w:tc>
          <w:tcPr>
            <w:tcW w:w="1134" w:type="dxa"/>
            <w:vMerge/>
            <w:tcBorders>
              <w:left w:val="single" w:sz="4" w:space="0" w:color="auto"/>
              <w:bottom w:val="single" w:sz="4" w:space="0" w:color="auto"/>
              <w:right w:val="single" w:sz="4" w:space="0" w:color="auto"/>
            </w:tcBorders>
            <w:vAlign w:val="center"/>
          </w:tcPr>
          <w:p w14:paraId="355F7E31" w14:textId="77777777" w:rsidR="00324099" w:rsidRPr="003F5E5A" w:rsidRDefault="00324099" w:rsidP="002C1265">
            <w:pPr>
              <w:jc w:val="center"/>
              <w:rPr>
                <w:rFonts w:ascii="Arial" w:hAnsi="Arial" w:cs="Arial"/>
                <w:color w:val="000000"/>
                <w:sz w:val="20"/>
                <w:szCs w:val="20"/>
              </w:rPr>
            </w:pPr>
          </w:p>
        </w:tc>
      </w:tr>
      <w:tr w:rsidR="006100BD" w:rsidRPr="00242DFF" w14:paraId="7F0FFD93" w14:textId="06EB6A40" w:rsidTr="00D43AB4">
        <w:trPr>
          <w:trHeight w:val="300"/>
        </w:trPr>
        <w:tc>
          <w:tcPr>
            <w:tcW w:w="1129" w:type="dxa"/>
            <w:vMerge w:val="restart"/>
            <w:tcBorders>
              <w:top w:val="nil"/>
              <w:left w:val="single" w:sz="4" w:space="0" w:color="auto"/>
              <w:bottom w:val="single" w:sz="4" w:space="0" w:color="auto"/>
              <w:right w:val="single" w:sz="4" w:space="0" w:color="auto"/>
            </w:tcBorders>
            <w:shd w:val="clear" w:color="auto" w:fill="auto"/>
            <w:vAlign w:val="center"/>
            <w:hideMark/>
          </w:tcPr>
          <w:p w14:paraId="12485986" w14:textId="77777777"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Věk</w:t>
            </w:r>
          </w:p>
        </w:tc>
        <w:tc>
          <w:tcPr>
            <w:tcW w:w="1134" w:type="dxa"/>
            <w:tcBorders>
              <w:top w:val="nil"/>
              <w:left w:val="nil"/>
              <w:bottom w:val="single" w:sz="4" w:space="0" w:color="auto"/>
              <w:right w:val="single" w:sz="4" w:space="0" w:color="auto"/>
            </w:tcBorders>
            <w:shd w:val="clear" w:color="auto" w:fill="auto"/>
            <w:vAlign w:val="center"/>
            <w:hideMark/>
          </w:tcPr>
          <w:p w14:paraId="7C9F1E5A" w14:textId="77777777" w:rsidR="00324099" w:rsidRPr="003F5E5A" w:rsidRDefault="00324099" w:rsidP="00D54DEC">
            <w:pPr>
              <w:jc w:val="center"/>
              <w:rPr>
                <w:rFonts w:ascii="Arial" w:hAnsi="Arial" w:cs="Arial"/>
                <w:sz w:val="20"/>
                <w:szCs w:val="20"/>
              </w:rPr>
            </w:pPr>
            <w:r w:rsidRPr="003F5E5A">
              <w:rPr>
                <w:rFonts w:ascii="Arial" w:hAnsi="Arial" w:cs="Arial"/>
                <w:sz w:val="20"/>
                <w:szCs w:val="20"/>
              </w:rPr>
              <w:t>75-79 let</w:t>
            </w:r>
          </w:p>
        </w:tc>
        <w:tc>
          <w:tcPr>
            <w:tcW w:w="1560" w:type="dxa"/>
            <w:tcBorders>
              <w:top w:val="nil"/>
              <w:left w:val="nil"/>
              <w:bottom w:val="single" w:sz="4" w:space="0" w:color="333333"/>
              <w:right w:val="single" w:sz="4" w:space="0" w:color="333399"/>
            </w:tcBorders>
            <w:shd w:val="clear" w:color="000000" w:fill="FFFFFF"/>
            <w:noWrap/>
            <w:vAlign w:val="center"/>
            <w:hideMark/>
          </w:tcPr>
          <w:p w14:paraId="148797AF" w14:textId="74A09F4D"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60 (47,2 %)</w:t>
            </w:r>
          </w:p>
        </w:tc>
        <w:tc>
          <w:tcPr>
            <w:tcW w:w="1559" w:type="dxa"/>
            <w:tcBorders>
              <w:top w:val="nil"/>
              <w:left w:val="nil"/>
              <w:bottom w:val="single" w:sz="4" w:space="0" w:color="333333"/>
              <w:right w:val="single" w:sz="4" w:space="0" w:color="333399"/>
            </w:tcBorders>
            <w:shd w:val="clear" w:color="000000" w:fill="FFFFFF"/>
            <w:noWrap/>
            <w:vAlign w:val="center"/>
            <w:hideMark/>
          </w:tcPr>
          <w:p w14:paraId="22935DEA" w14:textId="001B7C37"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23 (35,9 %)</w:t>
            </w:r>
          </w:p>
        </w:tc>
        <w:tc>
          <w:tcPr>
            <w:tcW w:w="1276" w:type="dxa"/>
            <w:tcBorders>
              <w:top w:val="nil"/>
              <w:left w:val="nil"/>
              <w:bottom w:val="single" w:sz="4" w:space="0" w:color="333333"/>
              <w:right w:val="single" w:sz="4" w:space="0" w:color="333399"/>
            </w:tcBorders>
            <w:shd w:val="clear" w:color="000000" w:fill="FFFFFF"/>
            <w:noWrap/>
            <w:vAlign w:val="center"/>
            <w:hideMark/>
          </w:tcPr>
          <w:p w14:paraId="66AF6290" w14:textId="4CC6693C"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54 (28,0 %)</w:t>
            </w:r>
          </w:p>
        </w:tc>
        <w:tc>
          <w:tcPr>
            <w:tcW w:w="1275" w:type="dxa"/>
            <w:tcBorders>
              <w:top w:val="nil"/>
              <w:left w:val="nil"/>
              <w:bottom w:val="single" w:sz="4" w:space="0" w:color="333333"/>
              <w:right w:val="single" w:sz="4" w:space="0" w:color="333399"/>
            </w:tcBorders>
            <w:shd w:val="clear" w:color="000000" w:fill="FFFFFF"/>
            <w:noWrap/>
            <w:vAlign w:val="center"/>
            <w:hideMark/>
          </w:tcPr>
          <w:p w14:paraId="4DFBFA90" w14:textId="42E9924C"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23 (39,7 %)</w:t>
            </w:r>
          </w:p>
        </w:tc>
        <w:tc>
          <w:tcPr>
            <w:tcW w:w="1276" w:type="dxa"/>
            <w:tcBorders>
              <w:top w:val="nil"/>
              <w:left w:val="nil"/>
              <w:bottom w:val="single" w:sz="4" w:space="0" w:color="333333"/>
              <w:right w:val="single" w:sz="4" w:space="0" w:color="333399"/>
            </w:tcBorders>
            <w:shd w:val="clear" w:color="000000" w:fill="FFFFFF"/>
            <w:noWrap/>
            <w:vAlign w:val="center"/>
            <w:hideMark/>
          </w:tcPr>
          <w:p w14:paraId="5958009A" w14:textId="4BCCA75E"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11 (39,3 %)</w:t>
            </w:r>
          </w:p>
        </w:tc>
        <w:tc>
          <w:tcPr>
            <w:tcW w:w="992" w:type="dxa"/>
            <w:tcBorders>
              <w:top w:val="nil"/>
              <w:left w:val="nil"/>
              <w:bottom w:val="single" w:sz="4" w:space="0" w:color="333333"/>
              <w:right w:val="single" w:sz="4" w:space="0" w:color="333399"/>
            </w:tcBorders>
            <w:shd w:val="clear" w:color="000000" w:fill="FFFFFF"/>
            <w:noWrap/>
            <w:vAlign w:val="center"/>
            <w:hideMark/>
          </w:tcPr>
          <w:p w14:paraId="6E63F688" w14:textId="77777777" w:rsidR="00D43AB4" w:rsidRDefault="00324099" w:rsidP="00D54DEC">
            <w:pPr>
              <w:jc w:val="center"/>
              <w:rPr>
                <w:rFonts w:ascii="Arial" w:hAnsi="Arial" w:cs="Arial"/>
                <w:color w:val="000000"/>
                <w:sz w:val="20"/>
                <w:szCs w:val="20"/>
              </w:rPr>
            </w:pPr>
            <w:r w:rsidRPr="003F5E5A">
              <w:rPr>
                <w:rFonts w:ascii="Arial" w:hAnsi="Arial" w:cs="Arial"/>
                <w:color w:val="000000"/>
                <w:sz w:val="20"/>
                <w:szCs w:val="20"/>
              </w:rPr>
              <w:t>171</w:t>
            </w:r>
          </w:p>
          <w:p w14:paraId="69E2D0AC" w14:textId="08B3A23F"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(36,4 %)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D6C4E98" w14:textId="77777777" w:rsidR="00324099" w:rsidRPr="003F5E5A" w:rsidRDefault="00324099" w:rsidP="00D54DEC">
            <w:pPr>
              <w:jc w:val="center"/>
              <w:rPr>
                <w:rFonts w:ascii="Arial" w:hAnsi="Arial" w:cs="Arial"/>
                <w:b/>
                <w:bCs/>
                <w:color w:val="000000"/>
                <w:sz w:val="20"/>
                <w:szCs w:val="20"/>
              </w:rPr>
            </w:pPr>
            <w:r w:rsidRPr="003F5E5A">
              <w:rPr>
                <w:rFonts w:ascii="Arial" w:hAnsi="Arial" w:cs="Arial"/>
                <w:b/>
                <w:bCs/>
                <w:color w:val="000000"/>
                <w:sz w:val="20"/>
                <w:szCs w:val="20"/>
              </w:rPr>
              <w:t>0,043 CV=0,124</w:t>
            </w:r>
          </w:p>
        </w:tc>
        <w:tc>
          <w:tcPr>
            <w:tcW w:w="1134" w:type="dxa"/>
            <w:vMerge w:val="restart"/>
            <w:tcBorders>
              <w:top w:val="nil"/>
              <w:left w:val="single" w:sz="4" w:space="0" w:color="auto"/>
              <w:right w:val="single" w:sz="4" w:space="0" w:color="auto"/>
            </w:tcBorders>
            <w:vAlign w:val="center"/>
          </w:tcPr>
          <w:p w14:paraId="263B20CD" w14:textId="771934F8" w:rsidR="00324099" w:rsidRPr="003F5E5A" w:rsidRDefault="00AA4C1C" w:rsidP="002C1265">
            <w:pPr>
              <w:jc w:val="center"/>
              <w:rPr>
                <w:rFonts w:ascii="Arial" w:hAnsi="Arial" w:cs="Arial"/>
                <w:b/>
                <w:bCs/>
                <w:color w:val="000000"/>
                <w:sz w:val="20"/>
                <w:szCs w:val="20"/>
              </w:rPr>
            </w:pPr>
            <w:r>
              <w:rPr>
                <w:rFonts w:ascii="Arial" w:hAnsi="Arial" w:cs="Arial"/>
                <w:b/>
                <w:bCs/>
                <w:color w:val="000000"/>
                <w:sz w:val="20"/>
                <w:szCs w:val="20"/>
              </w:rPr>
              <w:t xml:space="preserve"> </w:t>
            </w:r>
            <w:r w:rsidRPr="00A32146">
              <w:rPr>
                <w:rFonts w:ascii="Arial" w:hAnsi="Arial" w:cs="Arial"/>
                <w:b/>
                <w:bCs/>
                <w:sz w:val="20"/>
                <w:szCs w:val="20"/>
              </w:rPr>
              <w:t>*</w:t>
            </w:r>
            <w:r w:rsidR="00A32146" w:rsidRPr="00A32146">
              <w:rPr>
                <w:rFonts w:ascii="Arial" w:hAnsi="Arial" w:cs="Arial"/>
                <w:b/>
                <w:bCs/>
                <w:sz w:val="20"/>
                <w:szCs w:val="20"/>
              </w:rPr>
              <w:t>*</w:t>
            </w:r>
            <w:r>
              <w:rPr>
                <w:rFonts w:ascii="Arial" w:hAnsi="Arial" w:cs="Arial"/>
                <w:b/>
                <w:bCs/>
                <w:color w:val="000000"/>
                <w:sz w:val="20"/>
                <w:szCs w:val="20"/>
              </w:rPr>
              <w:t xml:space="preserve"> </w:t>
            </w:r>
            <w:r w:rsidR="000459B0" w:rsidRPr="003F5E5A">
              <w:rPr>
                <w:rFonts w:ascii="Arial" w:hAnsi="Arial" w:cs="Arial"/>
                <w:b/>
                <w:bCs/>
                <w:color w:val="000000"/>
                <w:sz w:val="20"/>
                <w:szCs w:val="20"/>
              </w:rPr>
              <w:t>&lt;0,001</w:t>
            </w:r>
          </w:p>
          <w:p w14:paraId="1057DB1D" w14:textId="1B4ED60B" w:rsidR="000459B0" w:rsidRPr="003F5E5A" w:rsidRDefault="000459B0" w:rsidP="002C1265">
            <w:pPr>
              <w:jc w:val="center"/>
              <w:rPr>
                <w:rFonts w:ascii="Arial" w:hAnsi="Arial" w:cs="Arial"/>
                <w:b/>
                <w:bCs/>
                <w:color w:val="000000"/>
                <w:sz w:val="20"/>
                <w:szCs w:val="20"/>
              </w:rPr>
            </w:pPr>
            <w:r w:rsidRPr="003F5E5A">
              <w:rPr>
                <w:rFonts w:ascii="Arial" w:hAnsi="Arial" w:cs="Arial"/>
                <w:b/>
                <w:bCs/>
                <w:color w:val="000000"/>
                <w:sz w:val="20"/>
                <w:szCs w:val="20"/>
              </w:rPr>
              <w:t>CV=</w:t>
            </w:r>
            <w:r w:rsidR="004B4F35" w:rsidRPr="003F5E5A">
              <w:rPr>
                <w:rFonts w:ascii="Arial" w:hAnsi="Arial" w:cs="Arial"/>
                <w:b/>
                <w:bCs/>
                <w:color w:val="000000"/>
                <w:sz w:val="20"/>
                <w:szCs w:val="20"/>
              </w:rPr>
              <w:t>0,111</w:t>
            </w:r>
          </w:p>
        </w:tc>
      </w:tr>
      <w:tr w:rsidR="006100BD" w:rsidRPr="00242DFF" w14:paraId="413D07AA" w14:textId="2E5FB22A" w:rsidTr="00D43AB4">
        <w:trPr>
          <w:trHeight w:val="300"/>
        </w:trPr>
        <w:tc>
          <w:tcPr>
            <w:tcW w:w="1129" w:type="dxa"/>
            <w:vMerge/>
            <w:tcBorders>
              <w:top w:val="nil"/>
              <w:left w:val="single" w:sz="4" w:space="0" w:color="auto"/>
              <w:bottom w:val="single" w:sz="4" w:space="0" w:color="auto"/>
              <w:right w:val="single" w:sz="4" w:space="0" w:color="auto"/>
            </w:tcBorders>
            <w:vAlign w:val="center"/>
            <w:hideMark/>
          </w:tcPr>
          <w:p w14:paraId="237FE0DF" w14:textId="77777777" w:rsidR="00324099" w:rsidRPr="003F5E5A" w:rsidRDefault="00324099" w:rsidP="00D54DEC">
            <w:pPr>
              <w:jc w:val="center"/>
              <w:rPr>
                <w:rFonts w:ascii="Arial" w:hAnsi="Arial" w:cs="Arial"/>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14:paraId="7BE29736" w14:textId="77777777" w:rsidR="00324099" w:rsidRPr="003F5E5A" w:rsidRDefault="00324099" w:rsidP="00D54DEC">
            <w:pPr>
              <w:jc w:val="center"/>
              <w:rPr>
                <w:rFonts w:ascii="Arial" w:hAnsi="Arial" w:cs="Arial"/>
                <w:sz w:val="20"/>
                <w:szCs w:val="20"/>
              </w:rPr>
            </w:pPr>
            <w:r w:rsidRPr="003F5E5A">
              <w:rPr>
                <w:rFonts w:ascii="Arial" w:hAnsi="Arial" w:cs="Arial"/>
                <w:sz w:val="20"/>
                <w:szCs w:val="20"/>
              </w:rPr>
              <w:t>80-84 let</w:t>
            </w:r>
          </w:p>
        </w:tc>
        <w:tc>
          <w:tcPr>
            <w:tcW w:w="1560" w:type="dxa"/>
            <w:tcBorders>
              <w:top w:val="nil"/>
              <w:left w:val="nil"/>
              <w:bottom w:val="single" w:sz="4" w:space="0" w:color="333333"/>
              <w:right w:val="single" w:sz="4" w:space="0" w:color="333399"/>
            </w:tcBorders>
            <w:shd w:val="clear" w:color="000000" w:fill="FFFFFF"/>
            <w:noWrap/>
            <w:vAlign w:val="center"/>
            <w:hideMark/>
          </w:tcPr>
          <w:p w14:paraId="4913A5F0" w14:textId="156BDECB"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33 (26,0 %)</w:t>
            </w:r>
          </w:p>
        </w:tc>
        <w:tc>
          <w:tcPr>
            <w:tcW w:w="1559" w:type="dxa"/>
            <w:tcBorders>
              <w:top w:val="nil"/>
              <w:left w:val="nil"/>
              <w:bottom w:val="single" w:sz="4" w:space="0" w:color="333333"/>
              <w:right w:val="single" w:sz="4" w:space="0" w:color="333399"/>
            </w:tcBorders>
            <w:shd w:val="clear" w:color="000000" w:fill="FFFFFF"/>
            <w:noWrap/>
            <w:vAlign w:val="center"/>
            <w:hideMark/>
          </w:tcPr>
          <w:p w14:paraId="36977D85" w14:textId="67B86A8C"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18 (28,1 %)</w:t>
            </w:r>
          </w:p>
        </w:tc>
        <w:tc>
          <w:tcPr>
            <w:tcW w:w="1276" w:type="dxa"/>
            <w:tcBorders>
              <w:top w:val="nil"/>
              <w:left w:val="nil"/>
              <w:bottom w:val="single" w:sz="4" w:space="0" w:color="333333"/>
              <w:right w:val="single" w:sz="4" w:space="0" w:color="333399"/>
            </w:tcBorders>
            <w:shd w:val="clear" w:color="000000" w:fill="FFFFFF"/>
            <w:noWrap/>
            <w:vAlign w:val="center"/>
            <w:hideMark/>
          </w:tcPr>
          <w:p w14:paraId="4767A56C" w14:textId="60B0BD7F"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46 (23,8 %)</w:t>
            </w:r>
          </w:p>
        </w:tc>
        <w:tc>
          <w:tcPr>
            <w:tcW w:w="1275" w:type="dxa"/>
            <w:tcBorders>
              <w:top w:val="nil"/>
              <w:left w:val="nil"/>
              <w:bottom w:val="single" w:sz="4" w:space="0" w:color="333333"/>
              <w:right w:val="single" w:sz="4" w:space="0" w:color="333399"/>
            </w:tcBorders>
            <w:shd w:val="clear" w:color="000000" w:fill="FFFFFF"/>
            <w:noWrap/>
            <w:vAlign w:val="center"/>
            <w:hideMark/>
          </w:tcPr>
          <w:p w14:paraId="766DE230" w14:textId="3F55924E"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15 (25,9 %)</w:t>
            </w:r>
          </w:p>
        </w:tc>
        <w:tc>
          <w:tcPr>
            <w:tcW w:w="1276" w:type="dxa"/>
            <w:tcBorders>
              <w:top w:val="nil"/>
              <w:left w:val="nil"/>
              <w:bottom w:val="single" w:sz="4" w:space="0" w:color="333333"/>
              <w:right w:val="single" w:sz="4" w:space="0" w:color="333399"/>
            </w:tcBorders>
            <w:shd w:val="clear" w:color="000000" w:fill="FFFFFF"/>
            <w:noWrap/>
            <w:vAlign w:val="center"/>
            <w:hideMark/>
          </w:tcPr>
          <w:p w14:paraId="2B549F27" w14:textId="60EA8CF2"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9 (32,1 %)</w:t>
            </w:r>
          </w:p>
        </w:tc>
        <w:tc>
          <w:tcPr>
            <w:tcW w:w="992" w:type="dxa"/>
            <w:tcBorders>
              <w:top w:val="nil"/>
              <w:left w:val="nil"/>
              <w:bottom w:val="single" w:sz="4" w:space="0" w:color="333333"/>
              <w:right w:val="single" w:sz="4" w:space="0" w:color="333399"/>
            </w:tcBorders>
            <w:shd w:val="clear" w:color="000000" w:fill="FFFFFF"/>
            <w:noWrap/>
            <w:vAlign w:val="center"/>
            <w:hideMark/>
          </w:tcPr>
          <w:p w14:paraId="15091C76" w14:textId="77777777" w:rsidR="00D43AB4" w:rsidRDefault="00324099" w:rsidP="00D54DEC">
            <w:pPr>
              <w:jc w:val="center"/>
              <w:rPr>
                <w:rFonts w:ascii="Arial" w:hAnsi="Arial" w:cs="Arial"/>
                <w:color w:val="000000"/>
                <w:sz w:val="20"/>
                <w:szCs w:val="20"/>
              </w:rPr>
            </w:pPr>
            <w:r w:rsidRPr="003F5E5A">
              <w:rPr>
                <w:rFonts w:ascii="Arial" w:hAnsi="Arial" w:cs="Arial"/>
                <w:color w:val="000000"/>
                <w:sz w:val="20"/>
                <w:szCs w:val="20"/>
              </w:rPr>
              <w:t>121</w:t>
            </w:r>
          </w:p>
          <w:p w14:paraId="565FA7AD" w14:textId="2CF6D9AA"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(25,7 %)</w:t>
            </w:r>
          </w:p>
        </w:tc>
        <w:tc>
          <w:tcPr>
            <w:tcW w:w="1134" w:type="dxa"/>
            <w:vMerge/>
            <w:tcBorders>
              <w:top w:val="nil"/>
              <w:left w:val="single" w:sz="4" w:space="0" w:color="auto"/>
              <w:bottom w:val="single" w:sz="4" w:space="0" w:color="auto"/>
              <w:right w:val="single" w:sz="4" w:space="0" w:color="auto"/>
            </w:tcBorders>
            <w:vAlign w:val="center"/>
            <w:hideMark/>
          </w:tcPr>
          <w:p w14:paraId="2EB06C71" w14:textId="77777777" w:rsidR="00324099" w:rsidRPr="003F5E5A" w:rsidRDefault="00324099" w:rsidP="00D54DEC">
            <w:pPr>
              <w:jc w:val="center"/>
              <w:rPr>
                <w:rFonts w:ascii="Arial" w:hAnsi="Arial" w:cs="Arial"/>
                <w:b/>
                <w:bCs/>
                <w:color w:val="000000"/>
                <w:sz w:val="20"/>
                <w:szCs w:val="20"/>
              </w:rPr>
            </w:pPr>
          </w:p>
        </w:tc>
        <w:tc>
          <w:tcPr>
            <w:tcW w:w="1134" w:type="dxa"/>
            <w:vMerge/>
            <w:tcBorders>
              <w:left w:val="single" w:sz="4" w:space="0" w:color="auto"/>
              <w:right w:val="single" w:sz="4" w:space="0" w:color="auto"/>
            </w:tcBorders>
            <w:vAlign w:val="center"/>
          </w:tcPr>
          <w:p w14:paraId="2842CF66" w14:textId="77777777" w:rsidR="00324099" w:rsidRPr="003F5E5A" w:rsidRDefault="00324099" w:rsidP="002C1265">
            <w:pPr>
              <w:jc w:val="center"/>
              <w:rPr>
                <w:rFonts w:ascii="Arial" w:hAnsi="Arial" w:cs="Arial"/>
                <w:b/>
                <w:bCs/>
                <w:color w:val="000000"/>
                <w:sz w:val="20"/>
                <w:szCs w:val="20"/>
              </w:rPr>
            </w:pPr>
          </w:p>
        </w:tc>
      </w:tr>
      <w:tr w:rsidR="006100BD" w:rsidRPr="00242DFF" w14:paraId="0BB1C2F9" w14:textId="3C130FE6" w:rsidTr="00D43AB4">
        <w:trPr>
          <w:trHeight w:val="300"/>
        </w:trPr>
        <w:tc>
          <w:tcPr>
            <w:tcW w:w="1129" w:type="dxa"/>
            <w:vMerge/>
            <w:tcBorders>
              <w:top w:val="nil"/>
              <w:left w:val="single" w:sz="4" w:space="0" w:color="auto"/>
              <w:bottom w:val="single" w:sz="4" w:space="0" w:color="auto"/>
              <w:right w:val="single" w:sz="4" w:space="0" w:color="auto"/>
            </w:tcBorders>
            <w:vAlign w:val="center"/>
            <w:hideMark/>
          </w:tcPr>
          <w:p w14:paraId="5D5BCBB7" w14:textId="77777777" w:rsidR="00324099" w:rsidRPr="003F5E5A" w:rsidRDefault="00324099" w:rsidP="00D54DEC">
            <w:pPr>
              <w:jc w:val="center"/>
              <w:rPr>
                <w:rFonts w:ascii="Arial" w:hAnsi="Arial" w:cs="Arial"/>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14:paraId="25A305D9" w14:textId="77777777" w:rsidR="00324099" w:rsidRPr="003F5E5A" w:rsidRDefault="00324099" w:rsidP="00D54DEC">
            <w:pPr>
              <w:jc w:val="center"/>
              <w:rPr>
                <w:rFonts w:ascii="Arial" w:hAnsi="Arial" w:cs="Arial"/>
                <w:sz w:val="20"/>
                <w:szCs w:val="20"/>
              </w:rPr>
            </w:pPr>
            <w:r w:rsidRPr="003F5E5A">
              <w:rPr>
                <w:rFonts w:ascii="Arial" w:hAnsi="Arial" w:cs="Arial"/>
                <w:sz w:val="20"/>
                <w:szCs w:val="20"/>
              </w:rPr>
              <w:t>85-89 let</w:t>
            </w:r>
          </w:p>
        </w:tc>
        <w:tc>
          <w:tcPr>
            <w:tcW w:w="1560" w:type="dxa"/>
            <w:tcBorders>
              <w:top w:val="nil"/>
              <w:left w:val="nil"/>
              <w:bottom w:val="single" w:sz="4" w:space="0" w:color="333333"/>
              <w:right w:val="single" w:sz="4" w:space="0" w:color="333399"/>
            </w:tcBorders>
            <w:shd w:val="clear" w:color="000000" w:fill="FFFFFF"/>
            <w:noWrap/>
            <w:vAlign w:val="center"/>
            <w:hideMark/>
          </w:tcPr>
          <w:p w14:paraId="53DC297E" w14:textId="7BF81829"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20 (15,7 %)</w:t>
            </w:r>
          </w:p>
        </w:tc>
        <w:tc>
          <w:tcPr>
            <w:tcW w:w="1559" w:type="dxa"/>
            <w:tcBorders>
              <w:top w:val="nil"/>
              <w:left w:val="nil"/>
              <w:bottom w:val="single" w:sz="4" w:space="0" w:color="333333"/>
              <w:right w:val="single" w:sz="4" w:space="0" w:color="333399"/>
            </w:tcBorders>
            <w:shd w:val="clear" w:color="000000" w:fill="FFFFFF"/>
            <w:noWrap/>
            <w:vAlign w:val="center"/>
            <w:hideMark/>
          </w:tcPr>
          <w:p w14:paraId="2335883A" w14:textId="77351A10"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11 (17,2 %)</w:t>
            </w:r>
          </w:p>
        </w:tc>
        <w:tc>
          <w:tcPr>
            <w:tcW w:w="1276" w:type="dxa"/>
            <w:tcBorders>
              <w:top w:val="nil"/>
              <w:left w:val="nil"/>
              <w:bottom w:val="single" w:sz="4" w:space="0" w:color="333333"/>
              <w:right w:val="single" w:sz="4" w:space="0" w:color="333399"/>
            </w:tcBorders>
            <w:shd w:val="clear" w:color="000000" w:fill="FFFFFF"/>
            <w:noWrap/>
            <w:vAlign w:val="center"/>
            <w:hideMark/>
          </w:tcPr>
          <w:p w14:paraId="463C6E56" w14:textId="1C27F0CC"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50 (25,9 %)</w:t>
            </w:r>
          </w:p>
        </w:tc>
        <w:tc>
          <w:tcPr>
            <w:tcW w:w="1275" w:type="dxa"/>
            <w:tcBorders>
              <w:top w:val="nil"/>
              <w:left w:val="nil"/>
              <w:bottom w:val="single" w:sz="4" w:space="0" w:color="333333"/>
              <w:right w:val="single" w:sz="4" w:space="0" w:color="333399"/>
            </w:tcBorders>
            <w:shd w:val="clear" w:color="000000" w:fill="FFFFFF"/>
            <w:noWrap/>
            <w:vAlign w:val="center"/>
            <w:hideMark/>
          </w:tcPr>
          <w:p w14:paraId="181A9595" w14:textId="42C6C377"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13 (22,4 %)</w:t>
            </w:r>
          </w:p>
        </w:tc>
        <w:tc>
          <w:tcPr>
            <w:tcW w:w="1276" w:type="dxa"/>
            <w:tcBorders>
              <w:top w:val="nil"/>
              <w:left w:val="nil"/>
              <w:bottom w:val="single" w:sz="4" w:space="0" w:color="333333"/>
              <w:right w:val="single" w:sz="4" w:space="0" w:color="333399"/>
            </w:tcBorders>
            <w:shd w:val="clear" w:color="000000" w:fill="FFFFFF"/>
            <w:noWrap/>
            <w:vAlign w:val="center"/>
            <w:hideMark/>
          </w:tcPr>
          <w:p w14:paraId="63A4BE83" w14:textId="2731AD69"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3 (10,7 %)</w:t>
            </w:r>
          </w:p>
        </w:tc>
        <w:tc>
          <w:tcPr>
            <w:tcW w:w="992" w:type="dxa"/>
            <w:tcBorders>
              <w:top w:val="nil"/>
              <w:left w:val="nil"/>
              <w:bottom w:val="single" w:sz="4" w:space="0" w:color="333333"/>
              <w:right w:val="single" w:sz="4" w:space="0" w:color="333399"/>
            </w:tcBorders>
            <w:shd w:val="clear" w:color="000000" w:fill="FFFFFF"/>
            <w:noWrap/>
            <w:vAlign w:val="center"/>
            <w:hideMark/>
          </w:tcPr>
          <w:p w14:paraId="7627C28A" w14:textId="736D3020"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97</w:t>
            </w:r>
          </w:p>
          <w:p w14:paraId="67B12049" w14:textId="19AF539F"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(20,6 %)</w:t>
            </w:r>
          </w:p>
        </w:tc>
        <w:tc>
          <w:tcPr>
            <w:tcW w:w="1134" w:type="dxa"/>
            <w:vMerge/>
            <w:tcBorders>
              <w:top w:val="nil"/>
              <w:left w:val="single" w:sz="4" w:space="0" w:color="auto"/>
              <w:bottom w:val="single" w:sz="4" w:space="0" w:color="auto"/>
              <w:right w:val="single" w:sz="4" w:space="0" w:color="auto"/>
            </w:tcBorders>
            <w:vAlign w:val="center"/>
            <w:hideMark/>
          </w:tcPr>
          <w:p w14:paraId="1130797F" w14:textId="77777777" w:rsidR="00324099" w:rsidRPr="003F5E5A" w:rsidRDefault="00324099" w:rsidP="00D54DEC">
            <w:pPr>
              <w:jc w:val="center"/>
              <w:rPr>
                <w:rFonts w:ascii="Arial" w:hAnsi="Arial" w:cs="Arial"/>
                <w:b/>
                <w:bCs/>
                <w:color w:val="000000"/>
                <w:sz w:val="20"/>
                <w:szCs w:val="20"/>
              </w:rPr>
            </w:pPr>
          </w:p>
        </w:tc>
        <w:tc>
          <w:tcPr>
            <w:tcW w:w="1134" w:type="dxa"/>
            <w:vMerge/>
            <w:tcBorders>
              <w:left w:val="single" w:sz="4" w:space="0" w:color="auto"/>
              <w:right w:val="single" w:sz="4" w:space="0" w:color="auto"/>
            </w:tcBorders>
            <w:vAlign w:val="center"/>
          </w:tcPr>
          <w:p w14:paraId="4255CE96" w14:textId="77777777" w:rsidR="00324099" w:rsidRPr="003F5E5A" w:rsidRDefault="00324099" w:rsidP="002C1265">
            <w:pPr>
              <w:jc w:val="center"/>
              <w:rPr>
                <w:rFonts w:ascii="Arial" w:hAnsi="Arial" w:cs="Arial"/>
                <w:b/>
                <w:bCs/>
                <w:color w:val="000000"/>
                <w:sz w:val="20"/>
                <w:szCs w:val="20"/>
              </w:rPr>
            </w:pPr>
          </w:p>
        </w:tc>
      </w:tr>
      <w:tr w:rsidR="006100BD" w:rsidRPr="00242DFF" w14:paraId="35883D21" w14:textId="7F129538" w:rsidTr="00D43AB4">
        <w:trPr>
          <w:trHeight w:val="570"/>
        </w:trPr>
        <w:tc>
          <w:tcPr>
            <w:tcW w:w="1129" w:type="dxa"/>
            <w:vMerge/>
            <w:tcBorders>
              <w:top w:val="nil"/>
              <w:left w:val="single" w:sz="4" w:space="0" w:color="auto"/>
              <w:bottom w:val="single" w:sz="4" w:space="0" w:color="auto"/>
              <w:right w:val="single" w:sz="4" w:space="0" w:color="auto"/>
            </w:tcBorders>
            <w:vAlign w:val="center"/>
            <w:hideMark/>
          </w:tcPr>
          <w:p w14:paraId="3D918906" w14:textId="77777777" w:rsidR="00324099" w:rsidRPr="003F5E5A" w:rsidRDefault="00324099" w:rsidP="00D54DEC">
            <w:pPr>
              <w:jc w:val="center"/>
              <w:rPr>
                <w:rFonts w:ascii="Arial" w:hAnsi="Arial" w:cs="Arial"/>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14:paraId="1342785C" w14:textId="77777777" w:rsidR="00324099" w:rsidRPr="003F5E5A" w:rsidRDefault="00324099" w:rsidP="00D54DEC">
            <w:pPr>
              <w:jc w:val="center"/>
              <w:rPr>
                <w:rFonts w:ascii="Arial" w:hAnsi="Arial" w:cs="Arial"/>
                <w:sz w:val="20"/>
                <w:szCs w:val="20"/>
              </w:rPr>
            </w:pPr>
            <w:r w:rsidRPr="003F5E5A">
              <w:rPr>
                <w:rFonts w:ascii="Arial" w:hAnsi="Arial" w:cs="Arial"/>
                <w:sz w:val="20"/>
                <w:szCs w:val="20"/>
              </w:rPr>
              <w:t>90 a více let</w:t>
            </w:r>
          </w:p>
        </w:tc>
        <w:tc>
          <w:tcPr>
            <w:tcW w:w="1560" w:type="dxa"/>
            <w:tcBorders>
              <w:top w:val="nil"/>
              <w:left w:val="nil"/>
              <w:bottom w:val="single" w:sz="4" w:space="0" w:color="333333"/>
              <w:right w:val="single" w:sz="4" w:space="0" w:color="333399"/>
            </w:tcBorders>
            <w:shd w:val="clear" w:color="000000" w:fill="FFFFFF"/>
            <w:noWrap/>
            <w:vAlign w:val="center"/>
            <w:hideMark/>
          </w:tcPr>
          <w:p w14:paraId="1C82C748" w14:textId="7ACC50F4"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14 (11,0 %)</w:t>
            </w:r>
          </w:p>
        </w:tc>
        <w:tc>
          <w:tcPr>
            <w:tcW w:w="1559" w:type="dxa"/>
            <w:tcBorders>
              <w:top w:val="nil"/>
              <w:left w:val="nil"/>
              <w:bottom w:val="single" w:sz="4" w:space="0" w:color="333333"/>
              <w:right w:val="single" w:sz="4" w:space="0" w:color="333399"/>
            </w:tcBorders>
            <w:shd w:val="clear" w:color="000000" w:fill="FFFFFF"/>
            <w:noWrap/>
            <w:vAlign w:val="center"/>
            <w:hideMark/>
          </w:tcPr>
          <w:p w14:paraId="5819BD6B" w14:textId="13AC87F2"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12 (18,8 %)</w:t>
            </w:r>
          </w:p>
        </w:tc>
        <w:tc>
          <w:tcPr>
            <w:tcW w:w="1276" w:type="dxa"/>
            <w:tcBorders>
              <w:top w:val="nil"/>
              <w:left w:val="nil"/>
              <w:bottom w:val="single" w:sz="4" w:space="0" w:color="333333"/>
              <w:right w:val="single" w:sz="4" w:space="0" w:color="333399"/>
            </w:tcBorders>
            <w:shd w:val="clear" w:color="000000" w:fill="FFFFFF"/>
            <w:noWrap/>
            <w:vAlign w:val="center"/>
            <w:hideMark/>
          </w:tcPr>
          <w:p w14:paraId="704C3BA1" w14:textId="7C8332DE"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43 (22,3 %)</w:t>
            </w:r>
          </w:p>
        </w:tc>
        <w:tc>
          <w:tcPr>
            <w:tcW w:w="1275" w:type="dxa"/>
            <w:tcBorders>
              <w:top w:val="nil"/>
              <w:left w:val="nil"/>
              <w:bottom w:val="single" w:sz="4" w:space="0" w:color="333333"/>
              <w:right w:val="single" w:sz="4" w:space="0" w:color="333399"/>
            </w:tcBorders>
            <w:shd w:val="clear" w:color="000000" w:fill="FFFFFF"/>
            <w:noWrap/>
            <w:vAlign w:val="center"/>
            <w:hideMark/>
          </w:tcPr>
          <w:p w14:paraId="6F85F0CF" w14:textId="6E4D2CB2"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7 (12,1 %)</w:t>
            </w:r>
          </w:p>
        </w:tc>
        <w:tc>
          <w:tcPr>
            <w:tcW w:w="1276" w:type="dxa"/>
            <w:tcBorders>
              <w:top w:val="nil"/>
              <w:left w:val="nil"/>
              <w:bottom w:val="single" w:sz="4" w:space="0" w:color="333333"/>
              <w:right w:val="single" w:sz="4" w:space="0" w:color="333399"/>
            </w:tcBorders>
            <w:shd w:val="clear" w:color="000000" w:fill="FFFFFF"/>
            <w:noWrap/>
            <w:vAlign w:val="center"/>
            <w:hideMark/>
          </w:tcPr>
          <w:p w14:paraId="028840E5" w14:textId="69C05B0F"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5 (17,9 %)</w:t>
            </w:r>
          </w:p>
        </w:tc>
        <w:tc>
          <w:tcPr>
            <w:tcW w:w="992" w:type="dxa"/>
            <w:tcBorders>
              <w:top w:val="nil"/>
              <w:left w:val="nil"/>
              <w:bottom w:val="single" w:sz="4" w:space="0" w:color="333333"/>
              <w:right w:val="single" w:sz="4" w:space="0" w:color="333399"/>
            </w:tcBorders>
            <w:shd w:val="clear" w:color="000000" w:fill="FFFFFF"/>
            <w:noWrap/>
            <w:vAlign w:val="center"/>
            <w:hideMark/>
          </w:tcPr>
          <w:p w14:paraId="7F7ED65B" w14:textId="3EDC3A54"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81</w:t>
            </w:r>
          </w:p>
          <w:p w14:paraId="48F65DD6" w14:textId="2CF2F3C7"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(17,2 %)</w:t>
            </w:r>
          </w:p>
        </w:tc>
        <w:tc>
          <w:tcPr>
            <w:tcW w:w="1134" w:type="dxa"/>
            <w:vMerge/>
            <w:tcBorders>
              <w:top w:val="nil"/>
              <w:left w:val="single" w:sz="4" w:space="0" w:color="auto"/>
              <w:bottom w:val="single" w:sz="4" w:space="0" w:color="auto"/>
              <w:right w:val="single" w:sz="4" w:space="0" w:color="auto"/>
            </w:tcBorders>
            <w:vAlign w:val="center"/>
            <w:hideMark/>
          </w:tcPr>
          <w:p w14:paraId="2E7ABBED" w14:textId="77777777" w:rsidR="00324099" w:rsidRPr="003F5E5A" w:rsidRDefault="00324099" w:rsidP="00D54DEC">
            <w:pPr>
              <w:jc w:val="center"/>
              <w:rPr>
                <w:rFonts w:ascii="Arial" w:hAnsi="Arial" w:cs="Arial"/>
                <w:b/>
                <w:bCs/>
                <w:color w:val="000000"/>
                <w:sz w:val="20"/>
                <w:szCs w:val="20"/>
              </w:rPr>
            </w:pPr>
          </w:p>
        </w:tc>
        <w:tc>
          <w:tcPr>
            <w:tcW w:w="1134" w:type="dxa"/>
            <w:vMerge/>
            <w:tcBorders>
              <w:left w:val="single" w:sz="4" w:space="0" w:color="auto"/>
              <w:bottom w:val="single" w:sz="4" w:space="0" w:color="auto"/>
              <w:right w:val="single" w:sz="4" w:space="0" w:color="auto"/>
            </w:tcBorders>
            <w:vAlign w:val="center"/>
          </w:tcPr>
          <w:p w14:paraId="06F39236" w14:textId="77777777" w:rsidR="00324099" w:rsidRPr="003F5E5A" w:rsidRDefault="00324099" w:rsidP="002C1265">
            <w:pPr>
              <w:jc w:val="center"/>
              <w:rPr>
                <w:rFonts w:ascii="Arial" w:hAnsi="Arial" w:cs="Arial"/>
                <w:b/>
                <w:bCs/>
                <w:color w:val="000000"/>
                <w:sz w:val="20"/>
                <w:szCs w:val="20"/>
              </w:rPr>
            </w:pPr>
          </w:p>
        </w:tc>
      </w:tr>
      <w:tr w:rsidR="006100BD" w:rsidRPr="00242DFF" w14:paraId="1D853631" w14:textId="0909299B" w:rsidTr="00D43AB4">
        <w:trPr>
          <w:trHeight w:val="300"/>
        </w:trPr>
        <w:tc>
          <w:tcPr>
            <w:tcW w:w="1129" w:type="dxa"/>
            <w:vMerge w:val="restart"/>
            <w:tcBorders>
              <w:top w:val="nil"/>
              <w:left w:val="single" w:sz="4" w:space="0" w:color="auto"/>
              <w:bottom w:val="single" w:sz="4" w:space="0" w:color="000000"/>
              <w:right w:val="single" w:sz="4" w:space="0" w:color="auto"/>
            </w:tcBorders>
            <w:shd w:val="clear" w:color="auto" w:fill="auto"/>
            <w:vAlign w:val="center"/>
            <w:hideMark/>
          </w:tcPr>
          <w:p w14:paraId="61CC3E72" w14:textId="5E8FCA5B"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Způsob</w:t>
            </w:r>
          </w:p>
          <w:p w14:paraId="469DE026" w14:textId="5054309A"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dopravy k ošetření</w:t>
            </w:r>
          </w:p>
        </w:tc>
        <w:tc>
          <w:tcPr>
            <w:tcW w:w="1134" w:type="dxa"/>
            <w:tcBorders>
              <w:top w:val="nil"/>
              <w:left w:val="nil"/>
              <w:bottom w:val="single" w:sz="4" w:space="0" w:color="auto"/>
              <w:right w:val="single" w:sz="4" w:space="0" w:color="auto"/>
            </w:tcBorders>
            <w:shd w:val="clear" w:color="auto" w:fill="auto"/>
            <w:vAlign w:val="center"/>
            <w:hideMark/>
          </w:tcPr>
          <w:p w14:paraId="31ACDE62" w14:textId="77777777" w:rsidR="00324099" w:rsidRPr="003F5E5A" w:rsidRDefault="00324099" w:rsidP="00D54DEC">
            <w:pPr>
              <w:jc w:val="center"/>
              <w:rPr>
                <w:rFonts w:ascii="Arial" w:hAnsi="Arial" w:cs="Arial"/>
                <w:sz w:val="20"/>
                <w:szCs w:val="20"/>
              </w:rPr>
            </w:pPr>
            <w:r w:rsidRPr="003F5E5A">
              <w:rPr>
                <w:rFonts w:ascii="Arial" w:hAnsi="Arial" w:cs="Arial"/>
                <w:sz w:val="20"/>
                <w:szCs w:val="20"/>
              </w:rPr>
              <w:t>ZZS</w:t>
            </w:r>
          </w:p>
        </w:tc>
        <w:tc>
          <w:tcPr>
            <w:tcW w:w="1560" w:type="dxa"/>
            <w:tcBorders>
              <w:top w:val="nil"/>
              <w:left w:val="nil"/>
              <w:bottom w:val="single" w:sz="4" w:space="0" w:color="333333"/>
              <w:right w:val="single" w:sz="4" w:space="0" w:color="333399"/>
            </w:tcBorders>
            <w:shd w:val="clear" w:color="000000" w:fill="FFFFFF"/>
            <w:noWrap/>
            <w:vAlign w:val="center"/>
            <w:hideMark/>
          </w:tcPr>
          <w:p w14:paraId="4AFE2BC7" w14:textId="40CBE654"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58 (45,7 %)</w:t>
            </w:r>
          </w:p>
        </w:tc>
        <w:tc>
          <w:tcPr>
            <w:tcW w:w="1559" w:type="dxa"/>
            <w:tcBorders>
              <w:top w:val="nil"/>
              <w:left w:val="nil"/>
              <w:bottom w:val="single" w:sz="4" w:space="0" w:color="333333"/>
              <w:right w:val="single" w:sz="4" w:space="0" w:color="333399"/>
            </w:tcBorders>
            <w:shd w:val="clear" w:color="000000" w:fill="FFFFFF"/>
            <w:noWrap/>
            <w:vAlign w:val="center"/>
            <w:hideMark/>
          </w:tcPr>
          <w:p w14:paraId="6B3B2B17" w14:textId="2764CF4B"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38 (59,4 %)</w:t>
            </w:r>
          </w:p>
        </w:tc>
        <w:tc>
          <w:tcPr>
            <w:tcW w:w="1276" w:type="dxa"/>
            <w:tcBorders>
              <w:top w:val="nil"/>
              <w:left w:val="nil"/>
              <w:bottom w:val="single" w:sz="4" w:space="0" w:color="333333"/>
              <w:right w:val="single" w:sz="4" w:space="0" w:color="333399"/>
            </w:tcBorders>
            <w:shd w:val="clear" w:color="000000" w:fill="FFFFFF"/>
            <w:noWrap/>
            <w:vAlign w:val="center"/>
            <w:hideMark/>
          </w:tcPr>
          <w:p w14:paraId="1C058D93" w14:textId="77777777" w:rsidR="00656B14" w:rsidRDefault="00324099" w:rsidP="00D54DEC">
            <w:pPr>
              <w:jc w:val="center"/>
              <w:rPr>
                <w:rFonts w:ascii="Arial" w:hAnsi="Arial" w:cs="Arial"/>
                <w:color w:val="000000"/>
                <w:sz w:val="20"/>
                <w:szCs w:val="20"/>
              </w:rPr>
            </w:pPr>
            <w:r w:rsidRPr="003F5E5A">
              <w:rPr>
                <w:rFonts w:ascii="Arial" w:hAnsi="Arial" w:cs="Arial"/>
                <w:color w:val="000000"/>
                <w:sz w:val="20"/>
                <w:szCs w:val="20"/>
              </w:rPr>
              <w:t>118</w:t>
            </w:r>
          </w:p>
          <w:p w14:paraId="548C4018" w14:textId="3A9C5F6C"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(61,5 %)</w:t>
            </w:r>
          </w:p>
        </w:tc>
        <w:tc>
          <w:tcPr>
            <w:tcW w:w="1275" w:type="dxa"/>
            <w:tcBorders>
              <w:top w:val="nil"/>
              <w:left w:val="nil"/>
              <w:bottom w:val="single" w:sz="4" w:space="0" w:color="333333"/>
              <w:right w:val="single" w:sz="4" w:space="0" w:color="333399"/>
            </w:tcBorders>
            <w:shd w:val="clear" w:color="000000" w:fill="FFFFFF"/>
            <w:noWrap/>
            <w:vAlign w:val="center"/>
            <w:hideMark/>
          </w:tcPr>
          <w:p w14:paraId="1006B6DF" w14:textId="78107E39"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52 (89,7 %)</w:t>
            </w:r>
          </w:p>
        </w:tc>
        <w:tc>
          <w:tcPr>
            <w:tcW w:w="1276" w:type="dxa"/>
            <w:tcBorders>
              <w:top w:val="nil"/>
              <w:left w:val="nil"/>
              <w:bottom w:val="single" w:sz="4" w:space="0" w:color="333333"/>
              <w:right w:val="single" w:sz="4" w:space="0" w:color="333399"/>
            </w:tcBorders>
            <w:shd w:val="clear" w:color="000000" w:fill="FFFFFF"/>
            <w:noWrap/>
            <w:vAlign w:val="center"/>
            <w:hideMark/>
          </w:tcPr>
          <w:p w14:paraId="2955DDCC" w14:textId="29E12862"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14 (50,0 %)</w:t>
            </w:r>
          </w:p>
        </w:tc>
        <w:tc>
          <w:tcPr>
            <w:tcW w:w="992" w:type="dxa"/>
            <w:tcBorders>
              <w:top w:val="nil"/>
              <w:left w:val="nil"/>
              <w:bottom w:val="single" w:sz="4" w:space="0" w:color="333333"/>
              <w:right w:val="single" w:sz="4" w:space="0" w:color="333399"/>
            </w:tcBorders>
            <w:shd w:val="clear" w:color="000000" w:fill="FFFFFF"/>
            <w:noWrap/>
            <w:vAlign w:val="center"/>
            <w:hideMark/>
          </w:tcPr>
          <w:p w14:paraId="7CFD668F" w14:textId="77777777" w:rsidR="00D43AB4" w:rsidRDefault="00324099" w:rsidP="00D54DEC">
            <w:pPr>
              <w:jc w:val="center"/>
              <w:rPr>
                <w:rFonts w:ascii="Arial" w:hAnsi="Arial" w:cs="Arial"/>
                <w:color w:val="000000"/>
                <w:sz w:val="20"/>
                <w:szCs w:val="20"/>
              </w:rPr>
            </w:pPr>
            <w:r w:rsidRPr="003F5E5A">
              <w:rPr>
                <w:rFonts w:ascii="Arial" w:hAnsi="Arial" w:cs="Arial"/>
                <w:color w:val="000000"/>
                <w:sz w:val="20"/>
                <w:szCs w:val="20"/>
              </w:rPr>
              <w:t>280</w:t>
            </w:r>
          </w:p>
          <w:p w14:paraId="238A0CB3" w14:textId="778323B2"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(59,7 %)</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0215E880" w14:textId="48AD2981" w:rsidR="00324099" w:rsidRPr="003F5E5A" w:rsidRDefault="00725E15" w:rsidP="00D54DEC">
            <w:pPr>
              <w:jc w:val="center"/>
              <w:rPr>
                <w:rFonts w:ascii="Arial" w:hAnsi="Arial" w:cs="Arial"/>
                <w:b/>
                <w:bCs/>
                <w:color w:val="000000"/>
                <w:sz w:val="20"/>
                <w:szCs w:val="20"/>
              </w:rPr>
            </w:pPr>
            <w:r>
              <w:rPr>
                <w:rFonts w:ascii="Arial" w:hAnsi="Arial" w:cs="Arial"/>
                <w:b/>
                <w:bCs/>
                <w:color w:val="000000"/>
                <w:sz w:val="20"/>
                <w:szCs w:val="20"/>
              </w:rPr>
              <w:t xml:space="preserve">* </w:t>
            </w:r>
            <w:r w:rsidR="00324099" w:rsidRPr="003F5E5A">
              <w:rPr>
                <w:rFonts w:ascii="Arial" w:hAnsi="Arial" w:cs="Arial"/>
                <w:b/>
                <w:bCs/>
                <w:color w:val="000000"/>
                <w:sz w:val="20"/>
                <w:szCs w:val="20"/>
              </w:rPr>
              <w:t>&lt;0,001 CV=0,216</w:t>
            </w:r>
          </w:p>
        </w:tc>
        <w:tc>
          <w:tcPr>
            <w:tcW w:w="1134" w:type="dxa"/>
            <w:vMerge w:val="restart"/>
            <w:tcBorders>
              <w:top w:val="nil"/>
              <w:left w:val="single" w:sz="4" w:space="0" w:color="auto"/>
              <w:right w:val="single" w:sz="4" w:space="0" w:color="auto"/>
            </w:tcBorders>
            <w:vAlign w:val="center"/>
          </w:tcPr>
          <w:p w14:paraId="6A196414" w14:textId="7609DB35" w:rsidR="00324099" w:rsidRPr="003F5E5A" w:rsidRDefault="00AA4C1C" w:rsidP="002C1265">
            <w:pPr>
              <w:jc w:val="center"/>
              <w:rPr>
                <w:rFonts w:ascii="Arial" w:hAnsi="Arial" w:cs="Arial"/>
                <w:b/>
                <w:bCs/>
                <w:color w:val="000000"/>
                <w:sz w:val="20"/>
                <w:szCs w:val="20"/>
              </w:rPr>
            </w:pPr>
            <w:r w:rsidRPr="00A32146">
              <w:rPr>
                <w:rFonts w:ascii="Arial" w:hAnsi="Arial" w:cs="Arial"/>
                <w:b/>
                <w:bCs/>
                <w:sz w:val="20"/>
                <w:szCs w:val="20"/>
              </w:rPr>
              <w:t>*</w:t>
            </w:r>
            <w:r w:rsidR="004C7300" w:rsidRPr="00A32146">
              <w:rPr>
                <w:rFonts w:ascii="Arial" w:hAnsi="Arial" w:cs="Arial"/>
                <w:b/>
                <w:bCs/>
                <w:sz w:val="20"/>
                <w:szCs w:val="20"/>
              </w:rPr>
              <w:t>*</w:t>
            </w:r>
            <w:r w:rsidR="00A32146" w:rsidRPr="00A32146">
              <w:rPr>
                <w:rFonts w:ascii="Arial" w:hAnsi="Arial" w:cs="Arial"/>
                <w:b/>
                <w:bCs/>
                <w:sz w:val="20"/>
                <w:szCs w:val="20"/>
              </w:rPr>
              <w:t>*</w:t>
            </w:r>
            <w:r>
              <w:rPr>
                <w:rFonts w:ascii="Arial" w:hAnsi="Arial" w:cs="Arial"/>
                <w:b/>
                <w:bCs/>
                <w:color w:val="000000"/>
                <w:sz w:val="20"/>
                <w:szCs w:val="20"/>
              </w:rPr>
              <w:t xml:space="preserve"> </w:t>
            </w:r>
            <w:r w:rsidR="004B4F35" w:rsidRPr="003F5E5A">
              <w:rPr>
                <w:rFonts w:ascii="Arial" w:hAnsi="Arial" w:cs="Arial"/>
                <w:b/>
                <w:bCs/>
                <w:color w:val="000000"/>
                <w:sz w:val="20"/>
                <w:szCs w:val="20"/>
              </w:rPr>
              <w:t>&lt;0,001</w:t>
            </w:r>
          </w:p>
          <w:p w14:paraId="3F8DD75B" w14:textId="01D93EFE" w:rsidR="004B4F35" w:rsidRPr="003F5E5A" w:rsidRDefault="004B4F35" w:rsidP="002C1265">
            <w:pPr>
              <w:jc w:val="center"/>
              <w:rPr>
                <w:rFonts w:ascii="Arial" w:hAnsi="Arial" w:cs="Arial"/>
                <w:b/>
                <w:bCs/>
                <w:color w:val="000000"/>
                <w:sz w:val="20"/>
                <w:szCs w:val="20"/>
              </w:rPr>
            </w:pPr>
            <w:r w:rsidRPr="003F5E5A">
              <w:rPr>
                <w:rFonts w:ascii="Arial" w:hAnsi="Arial" w:cs="Arial"/>
                <w:b/>
                <w:bCs/>
                <w:color w:val="000000"/>
                <w:sz w:val="20"/>
                <w:szCs w:val="20"/>
              </w:rPr>
              <w:t>CV=0,207</w:t>
            </w:r>
          </w:p>
        </w:tc>
      </w:tr>
      <w:tr w:rsidR="006100BD" w:rsidRPr="00242DFF" w14:paraId="482938C0" w14:textId="51797DE5" w:rsidTr="00D43AB4">
        <w:trPr>
          <w:trHeight w:val="570"/>
        </w:trPr>
        <w:tc>
          <w:tcPr>
            <w:tcW w:w="1129" w:type="dxa"/>
            <w:vMerge/>
            <w:tcBorders>
              <w:top w:val="nil"/>
              <w:left w:val="single" w:sz="4" w:space="0" w:color="auto"/>
              <w:bottom w:val="single" w:sz="4" w:space="0" w:color="000000"/>
              <w:right w:val="single" w:sz="4" w:space="0" w:color="auto"/>
            </w:tcBorders>
            <w:vAlign w:val="center"/>
            <w:hideMark/>
          </w:tcPr>
          <w:p w14:paraId="1A7CB86B" w14:textId="77777777" w:rsidR="00324099" w:rsidRPr="00242DFF" w:rsidRDefault="00324099" w:rsidP="00D54DEC">
            <w:pPr>
              <w:jc w:val="center"/>
              <w:rPr>
                <w:rFonts w:ascii="Arial" w:hAnsi="Arial"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38249363" w14:textId="77777777" w:rsidR="00324099" w:rsidRPr="003F5E5A" w:rsidRDefault="00324099" w:rsidP="00D54DEC">
            <w:pPr>
              <w:jc w:val="center"/>
              <w:rPr>
                <w:rFonts w:ascii="Arial" w:hAnsi="Arial" w:cs="Arial"/>
                <w:sz w:val="20"/>
                <w:szCs w:val="20"/>
              </w:rPr>
            </w:pPr>
            <w:r w:rsidRPr="003F5E5A">
              <w:rPr>
                <w:rFonts w:ascii="Arial" w:hAnsi="Arial" w:cs="Arial"/>
                <w:sz w:val="20"/>
                <w:szCs w:val="20"/>
              </w:rPr>
              <w:t>Sám(a)/</w:t>
            </w:r>
          </w:p>
          <w:p w14:paraId="3DBB9758" w14:textId="01E48DE7" w:rsidR="00324099" w:rsidRPr="003F5E5A" w:rsidRDefault="00324099" w:rsidP="00D54DEC">
            <w:pPr>
              <w:jc w:val="center"/>
              <w:rPr>
                <w:rFonts w:ascii="Arial" w:hAnsi="Arial" w:cs="Arial"/>
                <w:sz w:val="20"/>
                <w:szCs w:val="20"/>
              </w:rPr>
            </w:pPr>
            <w:r w:rsidRPr="003F5E5A">
              <w:rPr>
                <w:rFonts w:ascii="Arial" w:hAnsi="Arial" w:cs="Arial"/>
                <w:sz w:val="20"/>
                <w:szCs w:val="20"/>
              </w:rPr>
              <w:t>doprovod</w:t>
            </w:r>
          </w:p>
        </w:tc>
        <w:tc>
          <w:tcPr>
            <w:tcW w:w="1560" w:type="dxa"/>
            <w:tcBorders>
              <w:top w:val="nil"/>
              <w:left w:val="nil"/>
              <w:bottom w:val="single" w:sz="4" w:space="0" w:color="333333"/>
              <w:right w:val="single" w:sz="4" w:space="0" w:color="333399"/>
            </w:tcBorders>
            <w:shd w:val="clear" w:color="000000" w:fill="FFFFFF"/>
            <w:noWrap/>
            <w:vAlign w:val="center"/>
            <w:hideMark/>
          </w:tcPr>
          <w:p w14:paraId="71094760" w14:textId="1E65021D"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47 (37,0 %)</w:t>
            </w:r>
          </w:p>
        </w:tc>
        <w:tc>
          <w:tcPr>
            <w:tcW w:w="1559" w:type="dxa"/>
            <w:tcBorders>
              <w:top w:val="nil"/>
              <w:left w:val="nil"/>
              <w:bottom w:val="single" w:sz="4" w:space="0" w:color="333333"/>
              <w:right w:val="single" w:sz="4" w:space="0" w:color="333399"/>
            </w:tcBorders>
            <w:shd w:val="clear" w:color="000000" w:fill="FFFFFF"/>
            <w:noWrap/>
            <w:vAlign w:val="center"/>
            <w:hideMark/>
          </w:tcPr>
          <w:p w14:paraId="17E9E11F" w14:textId="1FB7FF3E"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7 (10,9 %)</w:t>
            </w:r>
          </w:p>
        </w:tc>
        <w:tc>
          <w:tcPr>
            <w:tcW w:w="1276" w:type="dxa"/>
            <w:tcBorders>
              <w:top w:val="nil"/>
              <w:left w:val="nil"/>
              <w:bottom w:val="single" w:sz="4" w:space="0" w:color="333333"/>
              <w:right w:val="single" w:sz="4" w:space="0" w:color="333399"/>
            </w:tcBorders>
            <w:shd w:val="clear" w:color="000000" w:fill="FFFFFF"/>
            <w:noWrap/>
            <w:vAlign w:val="center"/>
            <w:hideMark/>
          </w:tcPr>
          <w:p w14:paraId="5527DB1D" w14:textId="50C91D4F"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33 (17,2 %)</w:t>
            </w:r>
          </w:p>
        </w:tc>
        <w:tc>
          <w:tcPr>
            <w:tcW w:w="1275" w:type="dxa"/>
            <w:tcBorders>
              <w:top w:val="nil"/>
              <w:left w:val="nil"/>
              <w:bottom w:val="single" w:sz="4" w:space="0" w:color="333333"/>
              <w:right w:val="single" w:sz="4" w:space="0" w:color="333399"/>
            </w:tcBorders>
            <w:shd w:val="clear" w:color="000000" w:fill="FFFFFF"/>
            <w:noWrap/>
            <w:vAlign w:val="center"/>
            <w:hideMark/>
          </w:tcPr>
          <w:p w14:paraId="2EA32751" w14:textId="74EC08F6"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2 (3,4 %)</w:t>
            </w:r>
          </w:p>
        </w:tc>
        <w:tc>
          <w:tcPr>
            <w:tcW w:w="1276" w:type="dxa"/>
            <w:tcBorders>
              <w:top w:val="nil"/>
              <w:left w:val="nil"/>
              <w:bottom w:val="single" w:sz="4" w:space="0" w:color="333333"/>
              <w:right w:val="single" w:sz="4" w:space="0" w:color="333399"/>
            </w:tcBorders>
            <w:shd w:val="clear" w:color="000000" w:fill="FFFFFF"/>
            <w:noWrap/>
            <w:vAlign w:val="center"/>
            <w:hideMark/>
          </w:tcPr>
          <w:p w14:paraId="4EB842C3" w14:textId="2F1509BF"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6 (21,4 %)</w:t>
            </w:r>
          </w:p>
        </w:tc>
        <w:tc>
          <w:tcPr>
            <w:tcW w:w="992" w:type="dxa"/>
            <w:tcBorders>
              <w:top w:val="nil"/>
              <w:left w:val="nil"/>
              <w:bottom w:val="single" w:sz="4" w:space="0" w:color="333333"/>
              <w:right w:val="single" w:sz="4" w:space="0" w:color="333399"/>
            </w:tcBorders>
            <w:shd w:val="clear" w:color="000000" w:fill="FFFFFF"/>
            <w:noWrap/>
            <w:vAlign w:val="center"/>
            <w:hideMark/>
          </w:tcPr>
          <w:p w14:paraId="4CADFC70" w14:textId="7299A462"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95</w:t>
            </w:r>
          </w:p>
          <w:p w14:paraId="4C7E8C86" w14:textId="760C3083"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(20,3 %)</w:t>
            </w:r>
          </w:p>
        </w:tc>
        <w:tc>
          <w:tcPr>
            <w:tcW w:w="1134" w:type="dxa"/>
            <w:vMerge/>
            <w:tcBorders>
              <w:top w:val="nil"/>
              <w:left w:val="single" w:sz="4" w:space="0" w:color="auto"/>
              <w:bottom w:val="single" w:sz="4" w:space="0" w:color="000000"/>
              <w:right w:val="single" w:sz="4" w:space="0" w:color="auto"/>
            </w:tcBorders>
            <w:vAlign w:val="center"/>
            <w:hideMark/>
          </w:tcPr>
          <w:p w14:paraId="2DE1BD55" w14:textId="77777777" w:rsidR="00324099" w:rsidRPr="00242DFF" w:rsidRDefault="00324099" w:rsidP="00D54DEC">
            <w:pPr>
              <w:jc w:val="center"/>
              <w:rPr>
                <w:rFonts w:ascii="Arial" w:hAnsi="Arial" w:cs="Arial"/>
                <w:b/>
                <w:bCs/>
                <w:color w:val="000000"/>
                <w:sz w:val="22"/>
                <w:szCs w:val="22"/>
              </w:rPr>
            </w:pPr>
          </w:p>
        </w:tc>
        <w:tc>
          <w:tcPr>
            <w:tcW w:w="1134" w:type="dxa"/>
            <w:vMerge/>
            <w:tcBorders>
              <w:left w:val="single" w:sz="4" w:space="0" w:color="auto"/>
              <w:right w:val="single" w:sz="4" w:space="0" w:color="auto"/>
            </w:tcBorders>
          </w:tcPr>
          <w:p w14:paraId="3CDF954E" w14:textId="77777777" w:rsidR="00324099" w:rsidRPr="00242DFF" w:rsidRDefault="00324099" w:rsidP="00D54DEC">
            <w:pPr>
              <w:jc w:val="center"/>
              <w:rPr>
                <w:rFonts w:ascii="Arial" w:hAnsi="Arial" w:cs="Arial"/>
                <w:b/>
                <w:bCs/>
                <w:color w:val="000000"/>
                <w:sz w:val="22"/>
                <w:szCs w:val="22"/>
              </w:rPr>
            </w:pPr>
          </w:p>
        </w:tc>
      </w:tr>
      <w:tr w:rsidR="006100BD" w:rsidRPr="00242DFF" w14:paraId="655595C7" w14:textId="4CDAB334" w:rsidTr="00D43AB4">
        <w:trPr>
          <w:trHeight w:val="300"/>
        </w:trPr>
        <w:tc>
          <w:tcPr>
            <w:tcW w:w="1129" w:type="dxa"/>
            <w:vMerge/>
            <w:tcBorders>
              <w:top w:val="nil"/>
              <w:left w:val="single" w:sz="4" w:space="0" w:color="auto"/>
              <w:bottom w:val="single" w:sz="4" w:space="0" w:color="000000"/>
              <w:right w:val="single" w:sz="4" w:space="0" w:color="auto"/>
            </w:tcBorders>
            <w:vAlign w:val="center"/>
            <w:hideMark/>
          </w:tcPr>
          <w:p w14:paraId="7072F38A" w14:textId="77777777" w:rsidR="00324099" w:rsidRPr="00242DFF" w:rsidRDefault="00324099" w:rsidP="00D54DEC">
            <w:pPr>
              <w:jc w:val="center"/>
              <w:rPr>
                <w:rFonts w:ascii="Arial" w:hAnsi="Arial"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04F5F484" w14:textId="77777777" w:rsidR="00324099" w:rsidRPr="003F5E5A" w:rsidRDefault="00324099" w:rsidP="00D54DEC">
            <w:pPr>
              <w:jc w:val="center"/>
              <w:rPr>
                <w:rFonts w:ascii="Arial" w:hAnsi="Arial" w:cs="Arial"/>
                <w:sz w:val="20"/>
                <w:szCs w:val="20"/>
              </w:rPr>
            </w:pPr>
            <w:r w:rsidRPr="003F5E5A">
              <w:rPr>
                <w:rFonts w:ascii="Arial" w:hAnsi="Arial" w:cs="Arial"/>
                <w:sz w:val="20"/>
                <w:szCs w:val="20"/>
              </w:rPr>
              <w:t>ZDS</w:t>
            </w:r>
          </w:p>
        </w:tc>
        <w:tc>
          <w:tcPr>
            <w:tcW w:w="1560" w:type="dxa"/>
            <w:tcBorders>
              <w:top w:val="nil"/>
              <w:left w:val="nil"/>
              <w:bottom w:val="single" w:sz="4" w:space="0" w:color="333333"/>
              <w:right w:val="single" w:sz="4" w:space="0" w:color="333399"/>
            </w:tcBorders>
            <w:shd w:val="clear" w:color="000000" w:fill="FFFFFF"/>
            <w:noWrap/>
            <w:vAlign w:val="center"/>
            <w:hideMark/>
          </w:tcPr>
          <w:p w14:paraId="4D361E99" w14:textId="759B4E3D"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8 (6,3 %)</w:t>
            </w:r>
          </w:p>
        </w:tc>
        <w:tc>
          <w:tcPr>
            <w:tcW w:w="1559" w:type="dxa"/>
            <w:tcBorders>
              <w:top w:val="nil"/>
              <w:left w:val="nil"/>
              <w:bottom w:val="single" w:sz="4" w:space="0" w:color="333333"/>
              <w:right w:val="single" w:sz="4" w:space="0" w:color="333399"/>
            </w:tcBorders>
            <w:shd w:val="clear" w:color="000000" w:fill="FFFFFF"/>
            <w:noWrap/>
            <w:vAlign w:val="center"/>
            <w:hideMark/>
          </w:tcPr>
          <w:p w14:paraId="3FADF2DA" w14:textId="4BB60DCB"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15 (23,4 %)</w:t>
            </w:r>
          </w:p>
        </w:tc>
        <w:tc>
          <w:tcPr>
            <w:tcW w:w="1276" w:type="dxa"/>
            <w:tcBorders>
              <w:top w:val="nil"/>
              <w:left w:val="nil"/>
              <w:bottom w:val="single" w:sz="4" w:space="0" w:color="333333"/>
              <w:right w:val="single" w:sz="4" w:space="0" w:color="333399"/>
            </w:tcBorders>
            <w:shd w:val="clear" w:color="000000" w:fill="FFFFFF"/>
            <w:noWrap/>
            <w:vAlign w:val="center"/>
            <w:hideMark/>
          </w:tcPr>
          <w:p w14:paraId="32F79BF2" w14:textId="1024B9DB"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29 (15,1 %)</w:t>
            </w:r>
          </w:p>
        </w:tc>
        <w:tc>
          <w:tcPr>
            <w:tcW w:w="1275" w:type="dxa"/>
            <w:tcBorders>
              <w:top w:val="nil"/>
              <w:left w:val="nil"/>
              <w:bottom w:val="single" w:sz="4" w:space="0" w:color="333333"/>
              <w:right w:val="single" w:sz="4" w:space="0" w:color="333399"/>
            </w:tcBorders>
            <w:shd w:val="clear" w:color="000000" w:fill="FFFFFF"/>
            <w:noWrap/>
            <w:vAlign w:val="center"/>
            <w:hideMark/>
          </w:tcPr>
          <w:p w14:paraId="3CA2BFBC" w14:textId="5FF797B7"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2 (3,4 %)</w:t>
            </w:r>
          </w:p>
        </w:tc>
        <w:tc>
          <w:tcPr>
            <w:tcW w:w="1276" w:type="dxa"/>
            <w:tcBorders>
              <w:top w:val="nil"/>
              <w:left w:val="nil"/>
              <w:bottom w:val="single" w:sz="4" w:space="0" w:color="333333"/>
              <w:right w:val="single" w:sz="4" w:space="0" w:color="333399"/>
            </w:tcBorders>
            <w:shd w:val="clear" w:color="000000" w:fill="FFFFFF"/>
            <w:noWrap/>
            <w:vAlign w:val="center"/>
            <w:hideMark/>
          </w:tcPr>
          <w:p w14:paraId="5340BA0B" w14:textId="0CB65F0B"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3 (10,7 %)</w:t>
            </w:r>
          </w:p>
        </w:tc>
        <w:tc>
          <w:tcPr>
            <w:tcW w:w="992" w:type="dxa"/>
            <w:tcBorders>
              <w:top w:val="nil"/>
              <w:left w:val="nil"/>
              <w:bottom w:val="single" w:sz="4" w:space="0" w:color="333333"/>
              <w:right w:val="single" w:sz="4" w:space="0" w:color="333399"/>
            </w:tcBorders>
            <w:shd w:val="clear" w:color="000000" w:fill="FFFFFF"/>
            <w:noWrap/>
            <w:vAlign w:val="center"/>
            <w:hideMark/>
          </w:tcPr>
          <w:p w14:paraId="6074FF8C" w14:textId="0B442C94"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57</w:t>
            </w:r>
          </w:p>
          <w:p w14:paraId="029A59FD" w14:textId="023FB0F9"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(12,2 %)</w:t>
            </w:r>
          </w:p>
        </w:tc>
        <w:tc>
          <w:tcPr>
            <w:tcW w:w="1134" w:type="dxa"/>
            <w:vMerge/>
            <w:tcBorders>
              <w:top w:val="nil"/>
              <w:left w:val="single" w:sz="4" w:space="0" w:color="auto"/>
              <w:bottom w:val="single" w:sz="4" w:space="0" w:color="000000"/>
              <w:right w:val="single" w:sz="4" w:space="0" w:color="auto"/>
            </w:tcBorders>
            <w:vAlign w:val="center"/>
            <w:hideMark/>
          </w:tcPr>
          <w:p w14:paraId="767AEFFC" w14:textId="77777777" w:rsidR="00324099" w:rsidRPr="00242DFF" w:rsidRDefault="00324099" w:rsidP="00D54DEC">
            <w:pPr>
              <w:jc w:val="center"/>
              <w:rPr>
                <w:rFonts w:ascii="Arial" w:hAnsi="Arial" w:cs="Arial"/>
                <w:b/>
                <w:bCs/>
                <w:color w:val="000000"/>
                <w:sz w:val="22"/>
                <w:szCs w:val="22"/>
              </w:rPr>
            </w:pPr>
          </w:p>
        </w:tc>
        <w:tc>
          <w:tcPr>
            <w:tcW w:w="1134" w:type="dxa"/>
            <w:vMerge/>
            <w:tcBorders>
              <w:left w:val="single" w:sz="4" w:space="0" w:color="auto"/>
              <w:right w:val="single" w:sz="4" w:space="0" w:color="auto"/>
            </w:tcBorders>
          </w:tcPr>
          <w:p w14:paraId="7D19AE80" w14:textId="77777777" w:rsidR="00324099" w:rsidRPr="00242DFF" w:rsidRDefault="00324099" w:rsidP="00D54DEC">
            <w:pPr>
              <w:jc w:val="center"/>
              <w:rPr>
                <w:rFonts w:ascii="Arial" w:hAnsi="Arial" w:cs="Arial"/>
                <w:b/>
                <w:bCs/>
                <w:color w:val="000000"/>
                <w:sz w:val="22"/>
                <w:szCs w:val="22"/>
              </w:rPr>
            </w:pPr>
          </w:p>
        </w:tc>
      </w:tr>
      <w:tr w:rsidR="006100BD" w:rsidRPr="00242DFF" w14:paraId="295D1AE7" w14:textId="1F0325A1" w:rsidTr="00D43AB4">
        <w:trPr>
          <w:trHeight w:val="570"/>
        </w:trPr>
        <w:tc>
          <w:tcPr>
            <w:tcW w:w="1129" w:type="dxa"/>
            <w:vMerge/>
            <w:tcBorders>
              <w:top w:val="nil"/>
              <w:left w:val="single" w:sz="4" w:space="0" w:color="auto"/>
              <w:bottom w:val="single" w:sz="4" w:space="0" w:color="000000"/>
              <w:right w:val="single" w:sz="4" w:space="0" w:color="auto"/>
            </w:tcBorders>
            <w:vAlign w:val="center"/>
            <w:hideMark/>
          </w:tcPr>
          <w:p w14:paraId="1F5FCE2F" w14:textId="77777777" w:rsidR="00324099" w:rsidRPr="00242DFF" w:rsidRDefault="00324099" w:rsidP="00D54DEC">
            <w:pPr>
              <w:jc w:val="center"/>
              <w:rPr>
                <w:rFonts w:ascii="Arial" w:hAnsi="Arial"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641ED162" w14:textId="77777777" w:rsidR="00324099" w:rsidRPr="003F5E5A" w:rsidRDefault="00324099" w:rsidP="00D54DEC">
            <w:pPr>
              <w:jc w:val="center"/>
              <w:rPr>
                <w:rFonts w:ascii="Arial" w:hAnsi="Arial" w:cs="Arial"/>
                <w:sz w:val="20"/>
                <w:szCs w:val="20"/>
              </w:rPr>
            </w:pPr>
            <w:r w:rsidRPr="003F5E5A">
              <w:rPr>
                <w:rFonts w:ascii="Arial" w:hAnsi="Arial" w:cs="Arial"/>
                <w:sz w:val="20"/>
                <w:szCs w:val="20"/>
              </w:rPr>
              <w:t>Konzilium/</w:t>
            </w:r>
          </w:p>
          <w:p w14:paraId="3975A137" w14:textId="04DE6D96" w:rsidR="00324099" w:rsidRPr="003F5E5A" w:rsidRDefault="00324099" w:rsidP="00D54DEC">
            <w:pPr>
              <w:jc w:val="center"/>
              <w:rPr>
                <w:rFonts w:ascii="Arial" w:hAnsi="Arial" w:cs="Arial"/>
                <w:sz w:val="20"/>
                <w:szCs w:val="20"/>
              </w:rPr>
            </w:pPr>
            <w:r w:rsidRPr="003F5E5A">
              <w:rPr>
                <w:rFonts w:ascii="Arial" w:hAnsi="Arial" w:cs="Arial"/>
                <w:sz w:val="20"/>
                <w:szCs w:val="20"/>
              </w:rPr>
              <w:t>předání</w:t>
            </w:r>
          </w:p>
        </w:tc>
        <w:tc>
          <w:tcPr>
            <w:tcW w:w="1560" w:type="dxa"/>
            <w:tcBorders>
              <w:top w:val="nil"/>
              <w:left w:val="nil"/>
              <w:bottom w:val="single" w:sz="4" w:space="0" w:color="333333"/>
              <w:right w:val="single" w:sz="4" w:space="0" w:color="333399"/>
            </w:tcBorders>
            <w:shd w:val="clear" w:color="000000" w:fill="FFFFFF"/>
            <w:noWrap/>
            <w:vAlign w:val="center"/>
            <w:hideMark/>
          </w:tcPr>
          <w:p w14:paraId="2481301B" w14:textId="5E0F7C93"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14 (11,0 %)</w:t>
            </w:r>
          </w:p>
        </w:tc>
        <w:tc>
          <w:tcPr>
            <w:tcW w:w="1559" w:type="dxa"/>
            <w:tcBorders>
              <w:top w:val="nil"/>
              <w:left w:val="nil"/>
              <w:bottom w:val="single" w:sz="4" w:space="0" w:color="333333"/>
              <w:right w:val="single" w:sz="4" w:space="0" w:color="333399"/>
            </w:tcBorders>
            <w:shd w:val="clear" w:color="000000" w:fill="FFFFFF"/>
            <w:noWrap/>
            <w:vAlign w:val="center"/>
            <w:hideMark/>
          </w:tcPr>
          <w:p w14:paraId="486B3DEA" w14:textId="4464D1BC"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4 (6,3 %)</w:t>
            </w:r>
          </w:p>
        </w:tc>
        <w:tc>
          <w:tcPr>
            <w:tcW w:w="1276" w:type="dxa"/>
            <w:tcBorders>
              <w:top w:val="nil"/>
              <w:left w:val="nil"/>
              <w:bottom w:val="single" w:sz="4" w:space="0" w:color="333333"/>
              <w:right w:val="single" w:sz="4" w:space="0" w:color="333399"/>
            </w:tcBorders>
            <w:shd w:val="clear" w:color="000000" w:fill="FFFFFF"/>
            <w:noWrap/>
            <w:vAlign w:val="center"/>
            <w:hideMark/>
          </w:tcPr>
          <w:p w14:paraId="218D9487" w14:textId="21CC4C08"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12 (6,3 %)</w:t>
            </w:r>
          </w:p>
        </w:tc>
        <w:tc>
          <w:tcPr>
            <w:tcW w:w="1275" w:type="dxa"/>
            <w:tcBorders>
              <w:top w:val="nil"/>
              <w:left w:val="nil"/>
              <w:bottom w:val="single" w:sz="4" w:space="0" w:color="333333"/>
              <w:right w:val="single" w:sz="4" w:space="0" w:color="333399"/>
            </w:tcBorders>
            <w:shd w:val="clear" w:color="000000" w:fill="FFFFFF"/>
            <w:noWrap/>
            <w:vAlign w:val="center"/>
            <w:hideMark/>
          </w:tcPr>
          <w:p w14:paraId="247962BF" w14:textId="0A4FE8F9"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2 (3,4 %)</w:t>
            </w:r>
          </w:p>
        </w:tc>
        <w:tc>
          <w:tcPr>
            <w:tcW w:w="1276" w:type="dxa"/>
            <w:tcBorders>
              <w:top w:val="nil"/>
              <w:left w:val="nil"/>
              <w:bottom w:val="single" w:sz="4" w:space="0" w:color="333333"/>
              <w:right w:val="single" w:sz="4" w:space="0" w:color="333399"/>
            </w:tcBorders>
            <w:shd w:val="clear" w:color="000000" w:fill="FFFFFF"/>
            <w:noWrap/>
            <w:vAlign w:val="center"/>
            <w:hideMark/>
          </w:tcPr>
          <w:p w14:paraId="7F9C2B8D" w14:textId="26054FD8"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5 (17,9 %)</w:t>
            </w:r>
          </w:p>
        </w:tc>
        <w:tc>
          <w:tcPr>
            <w:tcW w:w="992" w:type="dxa"/>
            <w:tcBorders>
              <w:top w:val="nil"/>
              <w:left w:val="nil"/>
              <w:bottom w:val="single" w:sz="4" w:space="0" w:color="333333"/>
              <w:right w:val="single" w:sz="4" w:space="0" w:color="333399"/>
            </w:tcBorders>
            <w:shd w:val="clear" w:color="000000" w:fill="FFFFFF"/>
            <w:noWrap/>
            <w:vAlign w:val="center"/>
            <w:hideMark/>
          </w:tcPr>
          <w:p w14:paraId="4C50B6BD" w14:textId="516EEFAC"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37</w:t>
            </w:r>
          </w:p>
          <w:p w14:paraId="16DA88F9" w14:textId="0187A850"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(7,9 %)</w:t>
            </w:r>
          </w:p>
        </w:tc>
        <w:tc>
          <w:tcPr>
            <w:tcW w:w="1134" w:type="dxa"/>
            <w:vMerge/>
            <w:tcBorders>
              <w:top w:val="nil"/>
              <w:left w:val="single" w:sz="4" w:space="0" w:color="auto"/>
              <w:bottom w:val="single" w:sz="4" w:space="0" w:color="auto"/>
              <w:right w:val="single" w:sz="4" w:space="0" w:color="auto"/>
            </w:tcBorders>
            <w:vAlign w:val="center"/>
            <w:hideMark/>
          </w:tcPr>
          <w:p w14:paraId="58C56FC1" w14:textId="77777777" w:rsidR="00324099" w:rsidRPr="00242DFF" w:rsidRDefault="00324099" w:rsidP="00D54DEC">
            <w:pPr>
              <w:jc w:val="center"/>
              <w:rPr>
                <w:rFonts w:ascii="Arial" w:hAnsi="Arial" w:cs="Arial"/>
                <w:b/>
                <w:bCs/>
                <w:color w:val="000000"/>
                <w:sz w:val="22"/>
                <w:szCs w:val="22"/>
              </w:rPr>
            </w:pPr>
          </w:p>
        </w:tc>
        <w:tc>
          <w:tcPr>
            <w:tcW w:w="1134" w:type="dxa"/>
            <w:vMerge/>
            <w:tcBorders>
              <w:left w:val="single" w:sz="4" w:space="0" w:color="auto"/>
              <w:bottom w:val="single" w:sz="4" w:space="0" w:color="auto"/>
              <w:right w:val="single" w:sz="4" w:space="0" w:color="auto"/>
            </w:tcBorders>
          </w:tcPr>
          <w:p w14:paraId="56C749E9" w14:textId="77777777" w:rsidR="00324099" w:rsidRPr="00242DFF" w:rsidRDefault="00324099" w:rsidP="00D54DEC">
            <w:pPr>
              <w:jc w:val="center"/>
              <w:rPr>
                <w:rFonts w:ascii="Arial" w:hAnsi="Arial" w:cs="Arial"/>
                <w:b/>
                <w:bCs/>
                <w:color w:val="000000"/>
                <w:sz w:val="22"/>
                <w:szCs w:val="22"/>
              </w:rPr>
            </w:pPr>
          </w:p>
        </w:tc>
      </w:tr>
      <w:tr w:rsidR="006100BD" w:rsidRPr="00242DFF" w14:paraId="5448676F" w14:textId="7B3439CE" w:rsidTr="00D43AB4">
        <w:trPr>
          <w:trHeight w:val="300"/>
        </w:trPr>
        <w:tc>
          <w:tcPr>
            <w:tcW w:w="1129" w:type="dxa"/>
            <w:vMerge w:val="restart"/>
            <w:tcBorders>
              <w:top w:val="nil"/>
              <w:left w:val="single" w:sz="4" w:space="0" w:color="auto"/>
              <w:bottom w:val="single" w:sz="4" w:space="0" w:color="000000"/>
              <w:right w:val="single" w:sz="4" w:space="0" w:color="auto"/>
            </w:tcBorders>
            <w:shd w:val="clear" w:color="auto" w:fill="auto"/>
            <w:vAlign w:val="center"/>
            <w:hideMark/>
          </w:tcPr>
          <w:p w14:paraId="73DDD6F2" w14:textId="77777777" w:rsidR="00324099" w:rsidRPr="003F5E5A" w:rsidRDefault="00324099" w:rsidP="00AD1ED8">
            <w:pPr>
              <w:keepNext/>
              <w:jc w:val="center"/>
              <w:rPr>
                <w:rFonts w:ascii="Arial" w:hAnsi="Arial" w:cs="Arial"/>
                <w:color w:val="000000"/>
                <w:sz w:val="20"/>
                <w:szCs w:val="20"/>
              </w:rPr>
            </w:pPr>
            <w:r w:rsidRPr="003F5E5A">
              <w:rPr>
                <w:rFonts w:ascii="Arial" w:hAnsi="Arial" w:cs="Arial"/>
                <w:color w:val="000000"/>
                <w:sz w:val="20"/>
                <w:szCs w:val="20"/>
              </w:rPr>
              <w:lastRenderedPageBreak/>
              <w:t>Ošetřující ambulance</w:t>
            </w:r>
          </w:p>
        </w:tc>
        <w:tc>
          <w:tcPr>
            <w:tcW w:w="1134" w:type="dxa"/>
            <w:tcBorders>
              <w:top w:val="nil"/>
              <w:left w:val="nil"/>
              <w:bottom w:val="single" w:sz="4" w:space="0" w:color="auto"/>
              <w:right w:val="single" w:sz="4" w:space="0" w:color="auto"/>
            </w:tcBorders>
            <w:shd w:val="clear" w:color="auto" w:fill="auto"/>
            <w:vAlign w:val="center"/>
            <w:hideMark/>
          </w:tcPr>
          <w:p w14:paraId="208C099D" w14:textId="77777777" w:rsidR="00324099" w:rsidRPr="003F5E5A" w:rsidRDefault="00324099" w:rsidP="00AD1ED8">
            <w:pPr>
              <w:keepNext/>
              <w:jc w:val="center"/>
              <w:rPr>
                <w:rFonts w:ascii="Arial" w:hAnsi="Arial" w:cs="Arial"/>
                <w:color w:val="000000"/>
                <w:sz w:val="20"/>
                <w:szCs w:val="20"/>
              </w:rPr>
            </w:pPr>
            <w:r w:rsidRPr="003F5E5A">
              <w:rPr>
                <w:rFonts w:ascii="Arial" w:hAnsi="Arial" w:cs="Arial"/>
                <w:color w:val="000000"/>
                <w:sz w:val="20"/>
                <w:szCs w:val="20"/>
              </w:rPr>
              <w:t>Interní</w:t>
            </w:r>
          </w:p>
        </w:tc>
        <w:tc>
          <w:tcPr>
            <w:tcW w:w="1560" w:type="dxa"/>
            <w:tcBorders>
              <w:top w:val="nil"/>
              <w:left w:val="nil"/>
              <w:bottom w:val="single" w:sz="4" w:space="0" w:color="333333"/>
              <w:right w:val="single" w:sz="4" w:space="0" w:color="333399"/>
            </w:tcBorders>
            <w:shd w:val="clear" w:color="000000" w:fill="FFFFFF"/>
            <w:noWrap/>
            <w:vAlign w:val="center"/>
            <w:hideMark/>
          </w:tcPr>
          <w:p w14:paraId="7F38995D" w14:textId="4C7CBD7C" w:rsidR="00324099" w:rsidRPr="003F5E5A" w:rsidRDefault="00324099" w:rsidP="00AD1ED8">
            <w:pPr>
              <w:keepNext/>
              <w:jc w:val="center"/>
              <w:rPr>
                <w:rFonts w:ascii="Arial" w:hAnsi="Arial" w:cs="Arial"/>
                <w:color w:val="000000"/>
                <w:sz w:val="20"/>
                <w:szCs w:val="20"/>
              </w:rPr>
            </w:pPr>
            <w:r w:rsidRPr="003F5E5A">
              <w:rPr>
                <w:rFonts w:ascii="Arial" w:hAnsi="Arial" w:cs="Arial"/>
                <w:color w:val="000000"/>
                <w:sz w:val="20"/>
                <w:szCs w:val="20"/>
              </w:rPr>
              <w:t>89 (70,1 %)</w:t>
            </w:r>
          </w:p>
        </w:tc>
        <w:tc>
          <w:tcPr>
            <w:tcW w:w="1559" w:type="dxa"/>
            <w:tcBorders>
              <w:top w:val="nil"/>
              <w:left w:val="nil"/>
              <w:bottom w:val="single" w:sz="4" w:space="0" w:color="333333"/>
              <w:right w:val="single" w:sz="4" w:space="0" w:color="333399"/>
            </w:tcBorders>
            <w:shd w:val="clear" w:color="000000" w:fill="FFFFFF"/>
            <w:noWrap/>
            <w:vAlign w:val="center"/>
            <w:hideMark/>
          </w:tcPr>
          <w:p w14:paraId="445C8C5E" w14:textId="75CA4F8C" w:rsidR="00324099" w:rsidRPr="003F5E5A" w:rsidRDefault="00324099" w:rsidP="00AD1ED8">
            <w:pPr>
              <w:keepNext/>
              <w:jc w:val="center"/>
              <w:rPr>
                <w:rFonts w:ascii="Arial" w:hAnsi="Arial" w:cs="Arial"/>
                <w:color w:val="000000"/>
                <w:sz w:val="20"/>
                <w:szCs w:val="20"/>
              </w:rPr>
            </w:pPr>
            <w:r w:rsidRPr="003F5E5A">
              <w:rPr>
                <w:rFonts w:ascii="Arial" w:hAnsi="Arial" w:cs="Arial"/>
                <w:color w:val="000000"/>
                <w:sz w:val="20"/>
                <w:szCs w:val="20"/>
              </w:rPr>
              <w:t>41 (64,1 %)</w:t>
            </w:r>
          </w:p>
        </w:tc>
        <w:tc>
          <w:tcPr>
            <w:tcW w:w="1276" w:type="dxa"/>
            <w:tcBorders>
              <w:top w:val="nil"/>
              <w:left w:val="nil"/>
              <w:bottom w:val="single" w:sz="4" w:space="0" w:color="333333"/>
              <w:right w:val="single" w:sz="4" w:space="0" w:color="333399"/>
            </w:tcBorders>
            <w:shd w:val="clear" w:color="000000" w:fill="FFFFFF"/>
            <w:noWrap/>
            <w:vAlign w:val="center"/>
            <w:hideMark/>
          </w:tcPr>
          <w:p w14:paraId="68A2435B" w14:textId="77777777" w:rsidR="00D43AB4" w:rsidRDefault="00324099" w:rsidP="00AD1ED8">
            <w:pPr>
              <w:keepNext/>
              <w:jc w:val="center"/>
              <w:rPr>
                <w:rFonts w:ascii="Arial" w:hAnsi="Arial" w:cs="Arial"/>
                <w:color w:val="000000"/>
                <w:sz w:val="20"/>
                <w:szCs w:val="20"/>
              </w:rPr>
            </w:pPr>
            <w:r w:rsidRPr="003F5E5A">
              <w:rPr>
                <w:rFonts w:ascii="Arial" w:hAnsi="Arial" w:cs="Arial"/>
                <w:color w:val="000000"/>
                <w:sz w:val="20"/>
                <w:szCs w:val="20"/>
              </w:rPr>
              <w:t>164</w:t>
            </w:r>
          </w:p>
          <w:p w14:paraId="6795596A" w14:textId="7CC6907F" w:rsidR="00324099" w:rsidRPr="003F5E5A" w:rsidRDefault="00324099" w:rsidP="00AD1ED8">
            <w:pPr>
              <w:keepNext/>
              <w:jc w:val="center"/>
              <w:rPr>
                <w:rFonts w:ascii="Arial" w:hAnsi="Arial" w:cs="Arial"/>
                <w:color w:val="000000"/>
                <w:sz w:val="20"/>
                <w:szCs w:val="20"/>
              </w:rPr>
            </w:pPr>
            <w:r w:rsidRPr="003F5E5A">
              <w:rPr>
                <w:rFonts w:ascii="Arial" w:hAnsi="Arial" w:cs="Arial"/>
                <w:color w:val="000000"/>
                <w:sz w:val="20"/>
                <w:szCs w:val="20"/>
              </w:rPr>
              <w:t>(85,0 %)</w:t>
            </w:r>
          </w:p>
        </w:tc>
        <w:tc>
          <w:tcPr>
            <w:tcW w:w="1275" w:type="dxa"/>
            <w:tcBorders>
              <w:top w:val="nil"/>
              <w:left w:val="nil"/>
              <w:bottom w:val="single" w:sz="4" w:space="0" w:color="333333"/>
              <w:right w:val="single" w:sz="4" w:space="0" w:color="333399"/>
            </w:tcBorders>
            <w:shd w:val="clear" w:color="000000" w:fill="FFFFFF"/>
            <w:noWrap/>
            <w:vAlign w:val="center"/>
            <w:hideMark/>
          </w:tcPr>
          <w:p w14:paraId="3C49B15E" w14:textId="78A8E19C" w:rsidR="00324099" w:rsidRPr="003F5E5A" w:rsidRDefault="00324099" w:rsidP="00AD1ED8">
            <w:pPr>
              <w:keepNext/>
              <w:jc w:val="center"/>
              <w:rPr>
                <w:rFonts w:ascii="Arial" w:hAnsi="Arial" w:cs="Arial"/>
                <w:color w:val="000000"/>
                <w:sz w:val="20"/>
                <w:szCs w:val="20"/>
              </w:rPr>
            </w:pPr>
            <w:r w:rsidRPr="003F5E5A">
              <w:rPr>
                <w:rFonts w:ascii="Arial" w:hAnsi="Arial" w:cs="Arial"/>
                <w:color w:val="000000"/>
                <w:sz w:val="20"/>
                <w:szCs w:val="20"/>
              </w:rPr>
              <w:t>33 (56,9 %)</w:t>
            </w:r>
          </w:p>
        </w:tc>
        <w:tc>
          <w:tcPr>
            <w:tcW w:w="1276" w:type="dxa"/>
            <w:tcBorders>
              <w:top w:val="nil"/>
              <w:left w:val="nil"/>
              <w:bottom w:val="single" w:sz="4" w:space="0" w:color="333333"/>
              <w:right w:val="single" w:sz="4" w:space="0" w:color="333399"/>
            </w:tcBorders>
            <w:shd w:val="clear" w:color="000000" w:fill="FFFFFF"/>
            <w:noWrap/>
            <w:vAlign w:val="center"/>
            <w:hideMark/>
          </w:tcPr>
          <w:p w14:paraId="3EE1F463" w14:textId="397F0B3F" w:rsidR="00324099" w:rsidRPr="003F5E5A" w:rsidRDefault="00324099" w:rsidP="00AD1ED8">
            <w:pPr>
              <w:keepNext/>
              <w:jc w:val="center"/>
              <w:rPr>
                <w:rFonts w:ascii="Arial" w:hAnsi="Arial" w:cs="Arial"/>
                <w:color w:val="000000"/>
                <w:sz w:val="20"/>
                <w:szCs w:val="20"/>
              </w:rPr>
            </w:pPr>
            <w:r w:rsidRPr="003F5E5A">
              <w:rPr>
                <w:rFonts w:ascii="Arial" w:hAnsi="Arial" w:cs="Arial"/>
                <w:color w:val="000000"/>
                <w:sz w:val="20"/>
                <w:szCs w:val="20"/>
              </w:rPr>
              <w:t>24 (85,7 %)</w:t>
            </w:r>
          </w:p>
        </w:tc>
        <w:tc>
          <w:tcPr>
            <w:tcW w:w="992" w:type="dxa"/>
            <w:tcBorders>
              <w:top w:val="nil"/>
              <w:left w:val="nil"/>
              <w:bottom w:val="single" w:sz="4" w:space="0" w:color="333333"/>
              <w:right w:val="single" w:sz="4" w:space="0" w:color="333399"/>
            </w:tcBorders>
            <w:shd w:val="clear" w:color="000000" w:fill="FFFFFF"/>
            <w:noWrap/>
            <w:vAlign w:val="center"/>
            <w:hideMark/>
          </w:tcPr>
          <w:p w14:paraId="527AD5F7" w14:textId="77777777" w:rsidR="00D43AB4" w:rsidRDefault="00324099" w:rsidP="00AD1ED8">
            <w:pPr>
              <w:keepNext/>
              <w:jc w:val="center"/>
              <w:rPr>
                <w:rFonts w:ascii="Arial" w:hAnsi="Arial" w:cs="Arial"/>
                <w:color w:val="000000"/>
                <w:sz w:val="20"/>
                <w:szCs w:val="20"/>
              </w:rPr>
            </w:pPr>
            <w:r w:rsidRPr="003F5E5A">
              <w:rPr>
                <w:rFonts w:ascii="Arial" w:hAnsi="Arial" w:cs="Arial"/>
                <w:color w:val="000000"/>
                <w:sz w:val="20"/>
                <w:szCs w:val="20"/>
              </w:rPr>
              <w:t>351</w:t>
            </w:r>
          </w:p>
          <w:p w14:paraId="4A98F057" w14:textId="440D6F7D" w:rsidR="00324099" w:rsidRPr="003F5E5A" w:rsidRDefault="00324099" w:rsidP="00AD1ED8">
            <w:pPr>
              <w:keepNext/>
              <w:jc w:val="center"/>
              <w:rPr>
                <w:rFonts w:ascii="Arial" w:hAnsi="Arial" w:cs="Arial"/>
                <w:color w:val="000000"/>
                <w:sz w:val="20"/>
                <w:szCs w:val="20"/>
              </w:rPr>
            </w:pPr>
            <w:r w:rsidRPr="003F5E5A">
              <w:rPr>
                <w:rFonts w:ascii="Arial" w:hAnsi="Arial" w:cs="Arial"/>
                <w:color w:val="000000"/>
                <w:sz w:val="20"/>
                <w:szCs w:val="20"/>
              </w:rPr>
              <w:t>(74,7 %)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4904C2" w14:textId="77777777" w:rsidR="00324099" w:rsidRPr="003F5E5A" w:rsidRDefault="00324099" w:rsidP="00AD1ED8">
            <w:pPr>
              <w:keepNext/>
              <w:jc w:val="center"/>
              <w:rPr>
                <w:rFonts w:ascii="Arial" w:hAnsi="Arial" w:cs="Arial"/>
                <w:b/>
                <w:bCs/>
                <w:color w:val="000000"/>
                <w:sz w:val="20"/>
                <w:szCs w:val="20"/>
              </w:rPr>
            </w:pPr>
            <w:r w:rsidRPr="003F5E5A">
              <w:rPr>
                <w:rFonts w:ascii="Arial" w:hAnsi="Arial" w:cs="Arial"/>
                <w:b/>
                <w:bCs/>
                <w:color w:val="000000"/>
                <w:sz w:val="20"/>
                <w:szCs w:val="20"/>
              </w:rPr>
              <w:t>&lt;0,001 CV=0,221</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669D3F2A" w14:textId="71BDC270" w:rsidR="00324099" w:rsidRPr="003F5E5A" w:rsidRDefault="004C7300" w:rsidP="00AD1ED8">
            <w:pPr>
              <w:keepNext/>
              <w:jc w:val="center"/>
              <w:rPr>
                <w:rFonts w:ascii="Arial" w:hAnsi="Arial" w:cs="Arial"/>
                <w:b/>
                <w:bCs/>
                <w:color w:val="000000"/>
                <w:sz w:val="20"/>
                <w:szCs w:val="20"/>
              </w:rPr>
            </w:pPr>
            <w:r w:rsidRPr="00A32146">
              <w:rPr>
                <w:rFonts w:ascii="Arial" w:hAnsi="Arial" w:cs="Arial"/>
                <w:b/>
                <w:bCs/>
                <w:sz w:val="20"/>
                <w:szCs w:val="20"/>
              </w:rPr>
              <w:t>*</w:t>
            </w:r>
            <w:r w:rsidR="00A32146" w:rsidRPr="00A32146">
              <w:rPr>
                <w:rFonts w:ascii="Arial" w:hAnsi="Arial" w:cs="Arial"/>
                <w:b/>
                <w:bCs/>
                <w:sz w:val="20"/>
                <w:szCs w:val="20"/>
              </w:rPr>
              <w:t>*</w:t>
            </w:r>
            <w:r>
              <w:rPr>
                <w:rFonts w:ascii="Arial" w:hAnsi="Arial" w:cs="Arial"/>
                <w:b/>
                <w:bCs/>
                <w:color w:val="000000"/>
                <w:sz w:val="20"/>
                <w:szCs w:val="20"/>
              </w:rPr>
              <w:t xml:space="preserve"> </w:t>
            </w:r>
            <w:r w:rsidR="00562CD0" w:rsidRPr="003F5E5A">
              <w:rPr>
                <w:rFonts w:ascii="Arial" w:hAnsi="Arial" w:cs="Arial"/>
                <w:b/>
                <w:bCs/>
                <w:color w:val="000000"/>
                <w:sz w:val="20"/>
                <w:szCs w:val="20"/>
              </w:rPr>
              <w:t>&lt;0,001</w:t>
            </w:r>
          </w:p>
          <w:p w14:paraId="1D9A83B5" w14:textId="4BD1D33A" w:rsidR="00562CD0" w:rsidRPr="003F5E5A" w:rsidRDefault="00562CD0" w:rsidP="00AD1ED8">
            <w:pPr>
              <w:keepNext/>
              <w:jc w:val="center"/>
              <w:rPr>
                <w:rFonts w:ascii="Arial" w:hAnsi="Arial" w:cs="Arial"/>
                <w:b/>
                <w:bCs/>
                <w:color w:val="000000"/>
                <w:sz w:val="20"/>
                <w:szCs w:val="20"/>
              </w:rPr>
            </w:pPr>
            <w:r w:rsidRPr="003F5E5A">
              <w:rPr>
                <w:rFonts w:ascii="Arial" w:hAnsi="Arial" w:cs="Arial"/>
                <w:b/>
                <w:bCs/>
                <w:color w:val="000000"/>
                <w:sz w:val="20"/>
                <w:szCs w:val="20"/>
              </w:rPr>
              <w:t>CV=0,207</w:t>
            </w:r>
          </w:p>
        </w:tc>
      </w:tr>
      <w:tr w:rsidR="006100BD" w:rsidRPr="00242DFF" w14:paraId="10866E7C" w14:textId="49620D7C" w:rsidTr="00D43AB4">
        <w:trPr>
          <w:trHeight w:val="570"/>
        </w:trPr>
        <w:tc>
          <w:tcPr>
            <w:tcW w:w="1129" w:type="dxa"/>
            <w:vMerge/>
            <w:tcBorders>
              <w:top w:val="nil"/>
              <w:left w:val="single" w:sz="4" w:space="0" w:color="auto"/>
              <w:bottom w:val="single" w:sz="4" w:space="0" w:color="000000"/>
              <w:right w:val="single" w:sz="4" w:space="0" w:color="auto"/>
            </w:tcBorders>
            <w:vAlign w:val="center"/>
            <w:hideMark/>
          </w:tcPr>
          <w:p w14:paraId="78B4E8CF" w14:textId="77777777" w:rsidR="00324099" w:rsidRPr="003F5E5A" w:rsidRDefault="00324099" w:rsidP="00D54DEC">
            <w:pPr>
              <w:jc w:val="center"/>
              <w:rPr>
                <w:rFonts w:ascii="Arial" w:hAnsi="Arial" w:cs="Arial"/>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14:paraId="4F544515" w14:textId="77777777"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Neurologická</w:t>
            </w:r>
          </w:p>
        </w:tc>
        <w:tc>
          <w:tcPr>
            <w:tcW w:w="1560" w:type="dxa"/>
            <w:tcBorders>
              <w:top w:val="nil"/>
              <w:left w:val="nil"/>
              <w:bottom w:val="single" w:sz="4" w:space="0" w:color="333333"/>
              <w:right w:val="single" w:sz="4" w:space="0" w:color="333399"/>
            </w:tcBorders>
            <w:shd w:val="clear" w:color="000000" w:fill="FFFFFF"/>
            <w:noWrap/>
            <w:vAlign w:val="center"/>
            <w:hideMark/>
          </w:tcPr>
          <w:p w14:paraId="4E7B73E1" w14:textId="47B10FE5"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33 (26,0 %)</w:t>
            </w:r>
          </w:p>
        </w:tc>
        <w:tc>
          <w:tcPr>
            <w:tcW w:w="1559" w:type="dxa"/>
            <w:tcBorders>
              <w:top w:val="nil"/>
              <w:left w:val="nil"/>
              <w:bottom w:val="single" w:sz="4" w:space="0" w:color="333333"/>
              <w:right w:val="single" w:sz="4" w:space="0" w:color="333399"/>
            </w:tcBorders>
            <w:shd w:val="clear" w:color="000000" w:fill="FFFFFF"/>
            <w:noWrap/>
            <w:vAlign w:val="center"/>
            <w:hideMark/>
          </w:tcPr>
          <w:p w14:paraId="77F44E91" w14:textId="601690BE"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20 (31,3 %)</w:t>
            </w:r>
          </w:p>
        </w:tc>
        <w:tc>
          <w:tcPr>
            <w:tcW w:w="1276" w:type="dxa"/>
            <w:tcBorders>
              <w:top w:val="nil"/>
              <w:left w:val="nil"/>
              <w:bottom w:val="single" w:sz="4" w:space="0" w:color="333333"/>
              <w:right w:val="single" w:sz="4" w:space="0" w:color="333399"/>
            </w:tcBorders>
            <w:shd w:val="clear" w:color="000000" w:fill="FFFFFF"/>
            <w:noWrap/>
            <w:vAlign w:val="center"/>
            <w:hideMark/>
          </w:tcPr>
          <w:p w14:paraId="5D145661" w14:textId="32BB8924"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13 (6,7 %)</w:t>
            </w:r>
          </w:p>
        </w:tc>
        <w:tc>
          <w:tcPr>
            <w:tcW w:w="1275" w:type="dxa"/>
            <w:tcBorders>
              <w:top w:val="nil"/>
              <w:left w:val="nil"/>
              <w:bottom w:val="single" w:sz="4" w:space="0" w:color="333333"/>
              <w:right w:val="single" w:sz="4" w:space="0" w:color="333399"/>
            </w:tcBorders>
            <w:shd w:val="clear" w:color="000000" w:fill="FFFFFF"/>
            <w:noWrap/>
            <w:vAlign w:val="center"/>
            <w:hideMark/>
          </w:tcPr>
          <w:p w14:paraId="4A94269F" w14:textId="6D76BC03"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20 (34,5 %)</w:t>
            </w:r>
          </w:p>
        </w:tc>
        <w:tc>
          <w:tcPr>
            <w:tcW w:w="1276" w:type="dxa"/>
            <w:tcBorders>
              <w:top w:val="nil"/>
              <w:left w:val="nil"/>
              <w:bottom w:val="single" w:sz="4" w:space="0" w:color="333333"/>
              <w:right w:val="single" w:sz="4" w:space="0" w:color="333399"/>
            </w:tcBorders>
            <w:shd w:val="clear" w:color="000000" w:fill="FFFFFF"/>
            <w:noWrap/>
            <w:vAlign w:val="center"/>
            <w:hideMark/>
          </w:tcPr>
          <w:p w14:paraId="3372FE60" w14:textId="3D37FD3A"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1 (3,6 %)</w:t>
            </w:r>
          </w:p>
        </w:tc>
        <w:tc>
          <w:tcPr>
            <w:tcW w:w="992" w:type="dxa"/>
            <w:tcBorders>
              <w:top w:val="nil"/>
              <w:left w:val="nil"/>
              <w:bottom w:val="single" w:sz="4" w:space="0" w:color="333333"/>
              <w:right w:val="single" w:sz="4" w:space="0" w:color="333399"/>
            </w:tcBorders>
            <w:shd w:val="clear" w:color="000000" w:fill="FFFFFF"/>
            <w:noWrap/>
            <w:vAlign w:val="center"/>
            <w:hideMark/>
          </w:tcPr>
          <w:p w14:paraId="38C32AEE" w14:textId="27ED8562"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87</w:t>
            </w:r>
          </w:p>
          <w:p w14:paraId="48F5D87C" w14:textId="2AFCA142"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(18,5 %)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A7EE0E5" w14:textId="77777777" w:rsidR="00324099" w:rsidRPr="003F5E5A" w:rsidRDefault="00324099" w:rsidP="00D54DEC">
            <w:pPr>
              <w:jc w:val="center"/>
              <w:rPr>
                <w:rFonts w:ascii="Arial" w:hAnsi="Arial" w:cs="Arial"/>
                <w:b/>
                <w:bCs/>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51AC1AB3" w14:textId="77777777" w:rsidR="00324099" w:rsidRPr="003F5E5A" w:rsidRDefault="00324099" w:rsidP="002C1265">
            <w:pPr>
              <w:jc w:val="center"/>
              <w:rPr>
                <w:rFonts w:ascii="Arial" w:hAnsi="Arial" w:cs="Arial"/>
                <w:b/>
                <w:bCs/>
                <w:color w:val="000000"/>
                <w:sz w:val="20"/>
                <w:szCs w:val="20"/>
              </w:rPr>
            </w:pPr>
          </w:p>
        </w:tc>
      </w:tr>
      <w:tr w:rsidR="006100BD" w:rsidRPr="00242DFF" w14:paraId="263BFFDF" w14:textId="2D553759" w:rsidTr="00D43AB4">
        <w:trPr>
          <w:trHeight w:val="1140"/>
        </w:trPr>
        <w:tc>
          <w:tcPr>
            <w:tcW w:w="1129" w:type="dxa"/>
            <w:vMerge/>
            <w:tcBorders>
              <w:top w:val="nil"/>
              <w:left w:val="single" w:sz="4" w:space="0" w:color="auto"/>
              <w:bottom w:val="single" w:sz="4" w:space="0" w:color="000000"/>
              <w:right w:val="single" w:sz="4" w:space="0" w:color="auto"/>
            </w:tcBorders>
            <w:vAlign w:val="center"/>
            <w:hideMark/>
          </w:tcPr>
          <w:p w14:paraId="104954DB" w14:textId="77777777" w:rsidR="00324099" w:rsidRPr="003F5E5A" w:rsidRDefault="00324099" w:rsidP="00D54DEC">
            <w:pPr>
              <w:jc w:val="center"/>
              <w:rPr>
                <w:rFonts w:ascii="Arial" w:hAnsi="Arial" w:cs="Arial"/>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14:paraId="3854F749" w14:textId="5E22C9A8"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Současně</w:t>
            </w:r>
          </w:p>
          <w:p w14:paraId="6DE32478" w14:textId="779F0FB0"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interní</w:t>
            </w:r>
          </w:p>
          <w:p w14:paraId="684905CF" w14:textId="21B9BF0D"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a neurologická</w:t>
            </w:r>
          </w:p>
        </w:tc>
        <w:tc>
          <w:tcPr>
            <w:tcW w:w="1560" w:type="dxa"/>
            <w:tcBorders>
              <w:top w:val="nil"/>
              <w:left w:val="nil"/>
              <w:bottom w:val="single" w:sz="4" w:space="0" w:color="333333"/>
              <w:right w:val="single" w:sz="4" w:space="0" w:color="333399"/>
            </w:tcBorders>
            <w:shd w:val="clear" w:color="000000" w:fill="FFFFFF"/>
            <w:noWrap/>
            <w:vAlign w:val="center"/>
            <w:hideMark/>
          </w:tcPr>
          <w:p w14:paraId="07BB80A5" w14:textId="234CC3BD"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5 (3,9 %)</w:t>
            </w:r>
          </w:p>
        </w:tc>
        <w:tc>
          <w:tcPr>
            <w:tcW w:w="1559" w:type="dxa"/>
            <w:tcBorders>
              <w:top w:val="nil"/>
              <w:left w:val="nil"/>
              <w:bottom w:val="single" w:sz="4" w:space="0" w:color="333333"/>
              <w:right w:val="single" w:sz="4" w:space="0" w:color="333399"/>
            </w:tcBorders>
            <w:shd w:val="clear" w:color="000000" w:fill="FFFFFF"/>
            <w:noWrap/>
            <w:vAlign w:val="center"/>
            <w:hideMark/>
          </w:tcPr>
          <w:p w14:paraId="0733212F" w14:textId="5B08386F"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3 (4,7 %)</w:t>
            </w:r>
          </w:p>
        </w:tc>
        <w:tc>
          <w:tcPr>
            <w:tcW w:w="1276" w:type="dxa"/>
            <w:tcBorders>
              <w:top w:val="nil"/>
              <w:left w:val="nil"/>
              <w:bottom w:val="single" w:sz="4" w:space="0" w:color="333333"/>
              <w:right w:val="single" w:sz="4" w:space="0" w:color="333399"/>
            </w:tcBorders>
            <w:shd w:val="clear" w:color="000000" w:fill="FFFFFF"/>
            <w:noWrap/>
            <w:vAlign w:val="center"/>
            <w:hideMark/>
          </w:tcPr>
          <w:p w14:paraId="637CF37B" w14:textId="3C971121"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16 (8,3 %)</w:t>
            </w:r>
          </w:p>
        </w:tc>
        <w:tc>
          <w:tcPr>
            <w:tcW w:w="1275" w:type="dxa"/>
            <w:tcBorders>
              <w:top w:val="nil"/>
              <w:left w:val="nil"/>
              <w:bottom w:val="single" w:sz="4" w:space="0" w:color="333333"/>
              <w:right w:val="single" w:sz="4" w:space="0" w:color="333399"/>
            </w:tcBorders>
            <w:shd w:val="clear" w:color="000000" w:fill="FFFFFF"/>
            <w:noWrap/>
            <w:vAlign w:val="center"/>
            <w:hideMark/>
          </w:tcPr>
          <w:p w14:paraId="471F71C7" w14:textId="7E01A0C0"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5 (8,6 %)</w:t>
            </w:r>
          </w:p>
        </w:tc>
        <w:tc>
          <w:tcPr>
            <w:tcW w:w="1276" w:type="dxa"/>
            <w:tcBorders>
              <w:top w:val="nil"/>
              <w:left w:val="nil"/>
              <w:bottom w:val="single" w:sz="4" w:space="0" w:color="333333"/>
              <w:right w:val="single" w:sz="4" w:space="0" w:color="333399"/>
            </w:tcBorders>
            <w:shd w:val="clear" w:color="000000" w:fill="FFFFFF"/>
            <w:noWrap/>
            <w:vAlign w:val="center"/>
            <w:hideMark/>
          </w:tcPr>
          <w:p w14:paraId="2CE39744" w14:textId="0DD6BD9E"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3 (10,7 %)</w:t>
            </w:r>
          </w:p>
        </w:tc>
        <w:tc>
          <w:tcPr>
            <w:tcW w:w="992" w:type="dxa"/>
            <w:tcBorders>
              <w:top w:val="nil"/>
              <w:left w:val="nil"/>
              <w:bottom w:val="single" w:sz="4" w:space="0" w:color="333333"/>
              <w:right w:val="single" w:sz="4" w:space="0" w:color="333399"/>
            </w:tcBorders>
            <w:shd w:val="clear" w:color="000000" w:fill="FFFFFF"/>
            <w:noWrap/>
            <w:vAlign w:val="center"/>
            <w:hideMark/>
          </w:tcPr>
          <w:p w14:paraId="2166B54D" w14:textId="2C29D517"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32</w:t>
            </w:r>
          </w:p>
          <w:p w14:paraId="4988356E" w14:textId="488B41C3"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(6,8 %)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9769B99" w14:textId="77777777" w:rsidR="00324099" w:rsidRPr="003F5E5A" w:rsidRDefault="00324099" w:rsidP="00D54DEC">
            <w:pPr>
              <w:jc w:val="center"/>
              <w:rPr>
                <w:rFonts w:ascii="Arial" w:hAnsi="Arial" w:cs="Arial"/>
                <w:b/>
                <w:bCs/>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9392314" w14:textId="77777777" w:rsidR="00324099" w:rsidRPr="003F5E5A" w:rsidRDefault="00324099" w:rsidP="002C1265">
            <w:pPr>
              <w:jc w:val="center"/>
              <w:rPr>
                <w:rFonts w:ascii="Arial" w:hAnsi="Arial" w:cs="Arial"/>
                <w:b/>
                <w:bCs/>
                <w:color w:val="000000"/>
                <w:sz w:val="20"/>
                <w:szCs w:val="20"/>
              </w:rPr>
            </w:pPr>
          </w:p>
        </w:tc>
      </w:tr>
      <w:tr w:rsidR="006100BD" w:rsidRPr="00242DFF" w14:paraId="0A375B31" w14:textId="5F179D8F" w:rsidTr="00D43AB4">
        <w:trPr>
          <w:trHeight w:val="300"/>
        </w:trPr>
        <w:tc>
          <w:tcPr>
            <w:tcW w:w="1129" w:type="dxa"/>
            <w:vMerge w:val="restart"/>
            <w:tcBorders>
              <w:top w:val="nil"/>
              <w:left w:val="single" w:sz="4" w:space="0" w:color="auto"/>
              <w:bottom w:val="single" w:sz="4" w:space="0" w:color="000000"/>
              <w:right w:val="single" w:sz="4" w:space="0" w:color="auto"/>
            </w:tcBorders>
            <w:shd w:val="clear" w:color="auto" w:fill="auto"/>
            <w:vAlign w:val="center"/>
            <w:hideMark/>
          </w:tcPr>
          <w:p w14:paraId="1D261B05" w14:textId="5BE09A76"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Využití</w:t>
            </w:r>
          </w:p>
          <w:p w14:paraId="66D3C5D5" w14:textId="70F90AF4"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observačního lůžka</w:t>
            </w:r>
          </w:p>
        </w:tc>
        <w:tc>
          <w:tcPr>
            <w:tcW w:w="1134" w:type="dxa"/>
            <w:tcBorders>
              <w:top w:val="nil"/>
              <w:left w:val="nil"/>
              <w:bottom w:val="single" w:sz="4" w:space="0" w:color="auto"/>
              <w:right w:val="single" w:sz="4" w:space="0" w:color="auto"/>
            </w:tcBorders>
            <w:shd w:val="clear" w:color="auto" w:fill="auto"/>
            <w:vAlign w:val="center"/>
            <w:hideMark/>
          </w:tcPr>
          <w:p w14:paraId="65596294" w14:textId="77777777"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ANO</w:t>
            </w:r>
          </w:p>
        </w:tc>
        <w:tc>
          <w:tcPr>
            <w:tcW w:w="1560" w:type="dxa"/>
            <w:tcBorders>
              <w:top w:val="nil"/>
              <w:left w:val="nil"/>
              <w:bottom w:val="single" w:sz="4" w:space="0" w:color="333333"/>
              <w:right w:val="single" w:sz="4" w:space="0" w:color="333399"/>
            </w:tcBorders>
            <w:shd w:val="clear" w:color="000000" w:fill="FFFFFF"/>
            <w:noWrap/>
            <w:vAlign w:val="center"/>
            <w:hideMark/>
          </w:tcPr>
          <w:p w14:paraId="5CCAD6CD" w14:textId="37D663B3"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63 (49,6 %)</w:t>
            </w:r>
          </w:p>
        </w:tc>
        <w:tc>
          <w:tcPr>
            <w:tcW w:w="1559" w:type="dxa"/>
            <w:tcBorders>
              <w:top w:val="nil"/>
              <w:left w:val="nil"/>
              <w:bottom w:val="single" w:sz="4" w:space="0" w:color="333333"/>
              <w:right w:val="single" w:sz="4" w:space="0" w:color="333399"/>
            </w:tcBorders>
            <w:shd w:val="clear" w:color="000000" w:fill="FFFFFF"/>
            <w:noWrap/>
            <w:vAlign w:val="center"/>
            <w:hideMark/>
          </w:tcPr>
          <w:p w14:paraId="389F0A4D" w14:textId="41F2B18C"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52 (81,3 %)</w:t>
            </w:r>
          </w:p>
        </w:tc>
        <w:tc>
          <w:tcPr>
            <w:tcW w:w="1276" w:type="dxa"/>
            <w:tcBorders>
              <w:top w:val="nil"/>
              <w:left w:val="nil"/>
              <w:bottom w:val="single" w:sz="4" w:space="0" w:color="333333"/>
              <w:right w:val="single" w:sz="4" w:space="0" w:color="333399"/>
            </w:tcBorders>
            <w:shd w:val="clear" w:color="000000" w:fill="FFFFFF"/>
            <w:noWrap/>
            <w:vAlign w:val="center"/>
            <w:hideMark/>
          </w:tcPr>
          <w:p w14:paraId="016C7963" w14:textId="77777777" w:rsidR="00D43AB4" w:rsidRDefault="00324099" w:rsidP="00D54DEC">
            <w:pPr>
              <w:jc w:val="center"/>
              <w:rPr>
                <w:rFonts w:ascii="Arial" w:hAnsi="Arial" w:cs="Arial"/>
                <w:color w:val="000000"/>
                <w:sz w:val="20"/>
                <w:szCs w:val="20"/>
              </w:rPr>
            </w:pPr>
            <w:r w:rsidRPr="003F5E5A">
              <w:rPr>
                <w:rFonts w:ascii="Arial" w:hAnsi="Arial" w:cs="Arial"/>
                <w:color w:val="000000"/>
                <w:sz w:val="20"/>
                <w:szCs w:val="20"/>
              </w:rPr>
              <w:t>155</w:t>
            </w:r>
          </w:p>
          <w:p w14:paraId="6711CD33" w14:textId="18189082"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(80,3 %)</w:t>
            </w:r>
          </w:p>
        </w:tc>
        <w:tc>
          <w:tcPr>
            <w:tcW w:w="1275" w:type="dxa"/>
            <w:tcBorders>
              <w:top w:val="nil"/>
              <w:left w:val="nil"/>
              <w:bottom w:val="single" w:sz="4" w:space="0" w:color="333333"/>
              <w:right w:val="single" w:sz="4" w:space="0" w:color="333399"/>
            </w:tcBorders>
            <w:shd w:val="clear" w:color="000000" w:fill="FFFFFF"/>
            <w:noWrap/>
            <w:vAlign w:val="center"/>
            <w:hideMark/>
          </w:tcPr>
          <w:p w14:paraId="01515A4A" w14:textId="7C252BD7"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55 (94,8 %)</w:t>
            </w:r>
          </w:p>
        </w:tc>
        <w:tc>
          <w:tcPr>
            <w:tcW w:w="1276" w:type="dxa"/>
            <w:tcBorders>
              <w:top w:val="nil"/>
              <w:left w:val="nil"/>
              <w:bottom w:val="single" w:sz="4" w:space="0" w:color="333333"/>
              <w:right w:val="single" w:sz="4" w:space="0" w:color="333399"/>
            </w:tcBorders>
            <w:shd w:val="clear" w:color="000000" w:fill="FFFFFF"/>
            <w:noWrap/>
            <w:vAlign w:val="center"/>
            <w:hideMark/>
          </w:tcPr>
          <w:p w14:paraId="38772DD2" w14:textId="5EAB7AD4"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20 (71,4 %)</w:t>
            </w:r>
          </w:p>
        </w:tc>
        <w:tc>
          <w:tcPr>
            <w:tcW w:w="992" w:type="dxa"/>
            <w:tcBorders>
              <w:top w:val="nil"/>
              <w:left w:val="nil"/>
              <w:bottom w:val="single" w:sz="4" w:space="0" w:color="333333"/>
              <w:right w:val="single" w:sz="4" w:space="0" w:color="333399"/>
            </w:tcBorders>
            <w:shd w:val="clear" w:color="000000" w:fill="FFFFFF"/>
            <w:noWrap/>
            <w:vAlign w:val="center"/>
            <w:hideMark/>
          </w:tcPr>
          <w:p w14:paraId="6995B685" w14:textId="77777777" w:rsidR="00D43AB4" w:rsidRDefault="00324099" w:rsidP="00D54DEC">
            <w:pPr>
              <w:jc w:val="center"/>
              <w:rPr>
                <w:rFonts w:ascii="Arial" w:hAnsi="Arial" w:cs="Arial"/>
                <w:color w:val="000000"/>
                <w:sz w:val="20"/>
                <w:szCs w:val="20"/>
              </w:rPr>
            </w:pPr>
            <w:r w:rsidRPr="003F5E5A">
              <w:rPr>
                <w:rFonts w:ascii="Arial" w:hAnsi="Arial" w:cs="Arial"/>
                <w:color w:val="000000"/>
                <w:sz w:val="20"/>
                <w:szCs w:val="20"/>
              </w:rPr>
              <w:t>345</w:t>
            </w:r>
          </w:p>
          <w:p w14:paraId="72697B09" w14:textId="241C37CF"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(73,4 %)</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3A208C5" w14:textId="77777777" w:rsidR="00324099" w:rsidRPr="003F5E5A" w:rsidRDefault="00324099" w:rsidP="00D54DEC">
            <w:pPr>
              <w:jc w:val="center"/>
              <w:rPr>
                <w:rFonts w:ascii="Arial" w:hAnsi="Arial" w:cs="Arial"/>
                <w:b/>
                <w:bCs/>
                <w:color w:val="000000"/>
                <w:sz w:val="20"/>
                <w:szCs w:val="20"/>
              </w:rPr>
            </w:pPr>
            <w:r w:rsidRPr="003F5E5A">
              <w:rPr>
                <w:rFonts w:ascii="Arial" w:hAnsi="Arial" w:cs="Arial"/>
                <w:b/>
                <w:bCs/>
                <w:color w:val="000000"/>
                <w:sz w:val="20"/>
                <w:szCs w:val="20"/>
              </w:rPr>
              <w:t>&lt;0,001 CV=0,349</w:t>
            </w:r>
          </w:p>
        </w:tc>
        <w:tc>
          <w:tcPr>
            <w:tcW w:w="1134" w:type="dxa"/>
            <w:vMerge w:val="restart"/>
            <w:tcBorders>
              <w:top w:val="single" w:sz="4" w:space="0" w:color="auto"/>
              <w:left w:val="single" w:sz="4" w:space="0" w:color="auto"/>
              <w:right w:val="single" w:sz="4" w:space="0" w:color="auto"/>
            </w:tcBorders>
            <w:vAlign w:val="center"/>
          </w:tcPr>
          <w:p w14:paraId="4CB3273C" w14:textId="554C456F" w:rsidR="00324099" w:rsidRPr="003F5E5A" w:rsidRDefault="004C7300" w:rsidP="002C1265">
            <w:pPr>
              <w:jc w:val="center"/>
              <w:rPr>
                <w:rFonts w:ascii="Arial" w:hAnsi="Arial" w:cs="Arial"/>
                <w:b/>
                <w:bCs/>
                <w:color w:val="000000"/>
                <w:sz w:val="20"/>
                <w:szCs w:val="20"/>
              </w:rPr>
            </w:pPr>
            <w:r w:rsidRPr="00A32146">
              <w:rPr>
                <w:rFonts w:ascii="Arial" w:hAnsi="Arial" w:cs="Arial"/>
                <w:b/>
                <w:bCs/>
                <w:sz w:val="20"/>
                <w:szCs w:val="20"/>
              </w:rPr>
              <w:t>*</w:t>
            </w:r>
            <w:r w:rsidR="00A32146" w:rsidRPr="00A32146">
              <w:rPr>
                <w:rFonts w:ascii="Arial" w:hAnsi="Arial" w:cs="Arial"/>
                <w:b/>
                <w:bCs/>
                <w:sz w:val="20"/>
                <w:szCs w:val="20"/>
              </w:rPr>
              <w:t>*</w:t>
            </w:r>
            <w:r>
              <w:rPr>
                <w:rFonts w:ascii="Arial" w:hAnsi="Arial" w:cs="Arial"/>
                <w:b/>
                <w:bCs/>
                <w:color w:val="000000"/>
                <w:sz w:val="20"/>
                <w:szCs w:val="20"/>
              </w:rPr>
              <w:t xml:space="preserve"> </w:t>
            </w:r>
            <w:r w:rsidR="00562CD0" w:rsidRPr="003F5E5A">
              <w:rPr>
                <w:rFonts w:ascii="Arial" w:hAnsi="Arial" w:cs="Arial"/>
                <w:b/>
                <w:bCs/>
                <w:color w:val="000000"/>
                <w:sz w:val="20"/>
                <w:szCs w:val="20"/>
              </w:rPr>
              <w:t>&lt;0,001</w:t>
            </w:r>
          </w:p>
          <w:p w14:paraId="280465C5" w14:textId="6B36901D" w:rsidR="00562CD0" w:rsidRPr="003F5E5A" w:rsidRDefault="00562CD0" w:rsidP="002C1265">
            <w:pPr>
              <w:jc w:val="center"/>
              <w:rPr>
                <w:rFonts w:ascii="Arial" w:hAnsi="Arial" w:cs="Arial"/>
                <w:b/>
                <w:bCs/>
                <w:color w:val="000000"/>
                <w:sz w:val="20"/>
                <w:szCs w:val="20"/>
              </w:rPr>
            </w:pPr>
            <w:r w:rsidRPr="003F5E5A">
              <w:rPr>
                <w:rFonts w:ascii="Arial" w:hAnsi="Arial" w:cs="Arial"/>
                <w:b/>
                <w:bCs/>
                <w:color w:val="000000"/>
                <w:sz w:val="20"/>
                <w:szCs w:val="20"/>
              </w:rPr>
              <w:t>CV=0,367</w:t>
            </w:r>
          </w:p>
        </w:tc>
      </w:tr>
      <w:tr w:rsidR="006100BD" w:rsidRPr="00242DFF" w14:paraId="74184F8A" w14:textId="27565852" w:rsidTr="00D43AB4">
        <w:trPr>
          <w:trHeight w:val="495"/>
        </w:trPr>
        <w:tc>
          <w:tcPr>
            <w:tcW w:w="1129" w:type="dxa"/>
            <w:vMerge/>
            <w:tcBorders>
              <w:top w:val="nil"/>
              <w:left w:val="single" w:sz="4" w:space="0" w:color="auto"/>
              <w:bottom w:val="single" w:sz="4" w:space="0" w:color="000000"/>
              <w:right w:val="single" w:sz="4" w:space="0" w:color="auto"/>
            </w:tcBorders>
            <w:vAlign w:val="center"/>
            <w:hideMark/>
          </w:tcPr>
          <w:p w14:paraId="08B21051" w14:textId="77777777" w:rsidR="00324099" w:rsidRPr="003F5E5A" w:rsidRDefault="00324099" w:rsidP="00D54DEC">
            <w:pPr>
              <w:jc w:val="center"/>
              <w:rPr>
                <w:rFonts w:ascii="Arial" w:hAnsi="Arial" w:cs="Arial"/>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14:paraId="322898AB" w14:textId="77777777"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NE</w:t>
            </w:r>
          </w:p>
        </w:tc>
        <w:tc>
          <w:tcPr>
            <w:tcW w:w="1560" w:type="dxa"/>
            <w:tcBorders>
              <w:top w:val="nil"/>
              <w:left w:val="nil"/>
              <w:bottom w:val="single" w:sz="4" w:space="0" w:color="333333"/>
              <w:right w:val="single" w:sz="4" w:space="0" w:color="333399"/>
            </w:tcBorders>
            <w:shd w:val="clear" w:color="000000" w:fill="FFFFFF"/>
            <w:noWrap/>
            <w:vAlign w:val="center"/>
            <w:hideMark/>
          </w:tcPr>
          <w:p w14:paraId="6C0E8C04" w14:textId="4F7A3C7E"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64 (50,4 %)</w:t>
            </w:r>
          </w:p>
        </w:tc>
        <w:tc>
          <w:tcPr>
            <w:tcW w:w="1559" w:type="dxa"/>
            <w:tcBorders>
              <w:top w:val="nil"/>
              <w:left w:val="nil"/>
              <w:bottom w:val="single" w:sz="4" w:space="0" w:color="333333"/>
              <w:right w:val="single" w:sz="4" w:space="0" w:color="333399"/>
            </w:tcBorders>
            <w:shd w:val="clear" w:color="000000" w:fill="FFFFFF"/>
            <w:noWrap/>
            <w:vAlign w:val="center"/>
            <w:hideMark/>
          </w:tcPr>
          <w:p w14:paraId="7BABAA53" w14:textId="025A42F7"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12 (18,8 %)</w:t>
            </w:r>
          </w:p>
        </w:tc>
        <w:tc>
          <w:tcPr>
            <w:tcW w:w="1276" w:type="dxa"/>
            <w:tcBorders>
              <w:top w:val="nil"/>
              <w:left w:val="nil"/>
              <w:bottom w:val="single" w:sz="4" w:space="0" w:color="333333"/>
              <w:right w:val="single" w:sz="4" w:space="0" w:color="333399"/>
            </w:tcBorders>
            <w:shd w:val="clear" w:color="000000" w:fill="FFFFFF"/>
            <w:noWrap/>
            <w:vAlign w:val="center"/>
            <w:hideMark/>
          </w:tcPr>
          <w:p w14:paraId="66903B63" w14:textId="756184BD"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38 (19,7 %)</w:t>
            </w:r>
          </w:p>
        </w:tc>
        <w:tc>
          <w:tcPr>
            <w:tcW w:w="1275" w:type="dxa"/>
            <w:tcBorders>
              <w:top w:val="nil"/>
              <w:left w:val="nil"/>
              <w:bottom w:val="single" w:sz="4" w:space="0" w:color="333333"/>
              <w:right w:val="single" w:sz="4" w:space="0" w:color="333399"/>
            </w:tcBorders>
            <w:shd w:val="clear" w:color="000000" w:fill="FFFFFF"/>
            <w:noWrap/>
            <w:vAlign w:val="center"/>
            <w:hideMark/>
          </w:tcPr>
          <w:p w14:paraId="1A9998A3" w14:textId="03D5E6B9"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3 (5,2 %)</w:t>
            </w:r>
          </w:p>
        </w:tc>
        <w:tc>
          <w:tcPr>
            <w:tcW w:w="1276" w:type="dxa"/>
            <w:tcBorders>
              <w:top w:val="nil"/>
              <w:left w:val="nil"/>
              <w:bottom w:val="single" w:sz="4" w:space="0" w:color="333333"/>
              <w:right w:val="single" w:sz="4" w:space="0" w:color="333399"/>
            </w:tcBorders>
            <w:shd w:val="clear" w:color="000000" w:fill="FFFFFF"/>
            <w:noWrap/>
            <w:vAlign w:val="center"/>
            <w:hideMark/>
          </w:tcPr>
          <w:p w14:paraId="2B342477" w14:textId="1F983888"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8 (28,6 %)</w:t>
            </w:r>
          </w:p>
        </w:tc>
        <w:tc>
          <w:tcPr>
            <w:tcW w:w="992" w:type="dxa"/>
            <w:tcBorders>
              <w:top w:val="nil"/>
              <w:left w:val="nil"/>
              <w:bottom w:val="single" w:sz="4" w:space="0" w:color="333333"/>
              <w:right w:val="single" w:sz="4" w:space="0" w:color="333399"/>
            </w:tcBorders>
            <w:shd w:val="clear" w:color="000000" w:fill="FFFFFF"/>
            <w:noWrap/>
            <w:vAlign w:val="center"/>
            <w:hideMark/>
          </w:tcPr>
          <w:p w14:paraId="5EC2DD8B" w14:textId="77777777" w:rsidR="00D43AB4" w:rsidRDefault="00324099" w:rsidP="00D54DEC">
            <w:pPr>
              <w:jc w:val="center"/>
              <w:rPr>
                <w:rFonts w:ascii="Arial" w:hAnsi="Arial" w:cs="Arial"/>
                <w:color w:val="000000"/>
                <w:sz w:val="20"/>
                <w:szCs w:val="20"/>
              </w:rPr>
            </w:pPr>
            <w:r w:rsidRPr="003F5E5A">
              <w:rPr>
                <w:rFonts w:ascii="Arial" w:hAnsi="Arial" w:cs="Arial"/>
                <w:color w:val="000000"/>
                <w:sz w:val="20"/>
                <w:szCs w:val="20"/>
              </w:rPr>
              <w:t>125</w:t>
            </w:r>
          </w:p>
          <w:p w14:paraId="4669211A" w14:textId="40A6EC45"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(26,6 %)</w:t>
            </w:r>
          </w:p>
        </w:tc>
        <w:tc>
          <w:tcPr>
            <w:tcW w:w="1134" w:type="dxa"/>
            <w:vMerge/>
            <w:tcBorders>
              <w:top w:val="nil"/>
              <w:left w:val="single" w:sz="4" w:space="0" w:color="auto"/>
              <w:bottom w:val="single" w:sz="4" w:space="0" w:color="000000"/>
              <w:right w:val="single" w:sz="4" w:space="0" w:color="auto"/>
            </w:tcBorders>
            <w:vAlign w:val="center"/>
            <w:hideMark/>
          </w:tcPr>
          <w:p w14:paraId="4A27CE0B" w14:textId="77777777" w:rsidR="00324099" w:rsidRPr="003F5E5A" w:rsidRDefault="00324099" w:rsidP="00D54DEC">
            <w:pPr>
              <w:jc w:val="center"/>
              <w:rPr>
                <w:rFonts w:ascii="Arial" w:hAnsi="Arial" w:cs="Arial"/>
                <w:b/>
                <w:bCs/>
                <w:color w:val="000000"/>
                <w:sz w:val="20"/>
                <w:szCs w:val="20"/>
              </w:rPr>
            </w:pPr>
          </w:p>
        </w:tc>
        <w:tc>
          <w:tcPr>
            <w:tcW w:w="1134" w:type="dxa"/>
            <w:vMerge/>
            <w:tcBorders>
              <w:left w:val="single" w:sz="4" w:space="0" w:color="auto"/>
              <w:bottom w:val="single" w:sz="4" w:space="0" w:color="000000"/>
              <w:right w:val="single" w:sz="4" w:space="0" w:color="auto"/>
            </w:tcBorders>
            <w:vAlign w:val="center"/>
          </w:tcPr>
          <w:p w14:paraId="368718EE" w14:textId="77777777" w:rsidR="00324099" w:rsidRPr="003F5E5A" w:rsidRDefault="00324099" w:rsidP="002C1265">
            <w:pPr>
              <w:jc w:val="center"/>
              <w:rPr>
                <w:rFonts w:ascii="Arial" w:hAnsi="Arial" w:cs="Arial"/>
                <w:b/>
                <w:bCs/>
                <w:color w:val="000000"/>
                <w:sz w:val="20"/>
                <w:szCs w:val="20"/>
              </w:rPr>
            </w:pPr>
          </w:p>
        </w:tc>
      </w:tr>
      <w:tr w:rsidR="006100BD" w:rsidRPr="00242DFF" w14:paraId="4BADA193" w14:textId="4F5E4685" w:rsidTr="00D43AB4">
        <w:trPr>
          <w:trHeight w:val="630"/>
        </w:trPr>
        <w:tc>
          <w:tcPr>
            <w:tcW w:w="1129" w:type="dxa"/>
            <w:vMerge w:val="restart"/>
            <w:tcBorders>
              <w:top w:val="nil"/>
              <w:left w:val="single" w:sz="4" w:space="0" w:color="auto"/>
              <w:bottom w:val="single" w:sz="4" w:space="0" w:color="000000"/>
              <w:right w:val="single" w:sz="4" w:space="0" w:color="auto"/>
            </w:tcBorders>
            <w:shd w:val="clear" w:color="auto" w:fill="auto"/>
            <w:vAlign w:val="center"/>
            <w:hideMark/>
          </w:tcPr>
          <w:p w14:paraId="061C2439" w14:textId="77777777"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Využití</w:t>
            </w:r>
          </w:p>
          <w:p w14:paraId="4597FA55" w14:textId="4741C742" w:rsidR="00D43AB4" w:rsidRDefault="00D43AB4" w:rsidP="00D54DEC">
            <w:pPr>
              <w:jc w:val="center"/>
              <w:rPr>
                <w:rFonts w:ascii="Arial" w:hAnsi="Arial" w:cs="Arial"/>
                <w:color w:val="000000"/>
                <w:sz w:val="20"/>
                <w:szCs w:val="20"/>
              </w:rPr>
            </w:pPr>
            <w:r>
              <w:rPr>
                <w:rFonts w:ascii="Arial" w:hAnsi="Arial" w:cs="Arial"/>
                <w:color w:val="000000"/>
                <w:sz w:val="20"/>
                <w:szCs w:val="20"/>
              </w:rPr>
              <w:t>z</w:t>
            </w:r>
            <w:r w:rsidR="00324099" w:rsidRPr="003F5E5A">
              <w:rPr>
                <w:rFonts w:ascii="Arial" w:hAnsi="Arial" w:cs="Arial"/>
                <w:color w:val="000000"/>
                <w:sz w:val="20"/>
                <w:szCs w:val="20"/>
              </w:rPr>
              <w:t>obrazovacích</w:t>
            </w:r>
          </w:p>
          <w:p w14:paraId="63B04F47" w14:textId="2B1E5462"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metod</w:t>
            </w:r>
          </w:p>
        </w:tc>
        <w:tc>
          <w:tcPr>
            <w:tcW w:w="1134" w:type="dxa"/>
            <w:tcBorders>
              <w:top w:val="nil"/>
              <w:left w:val="nil"/>
              <w:bottom w:val="single" w:sz="4" w:space="0" w:color="auto"/>
              <w:right w:val="single" w:sz="4" w:space="0" w:color="auto"/>
            </w:tcBorders>
            <w:shd w:val="clear" w:color="auto" w:fill="auto"/>
            <w:vAlign w:val="center"/>
            <w:hideMark/>
          </w:tcPr>
          <w:p w14:paraId="7DDE313A" w14:textId="77777777"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ANO</w:t>
            </w:r>
          </w:p>
        </w:tc>
        <w:tc>
          <w:tcPr>
            <w:tcW w:w="1560" w:type="dxa"/>
            <w:tcBorders>
              <w:top w:val="nil"/>
              <w:left w:val="nil"/>
              <w:bottom w:val="single" w:sz="4" w:space="0" w:color="333333"/>
              <w:right w:val="single" w:sz="4" w:space="0" w:color="333399"/>
            </w:tcBorders>
            <w:shd w:val="clear" w:color="000000" w:fill="FFFFFF"/>
            <w:noWrap/>
            <w:vAlign w:val="center"/>
            <w:hideMark/>
          </w:tcPr>
          <w:p w14:paraId="1841A559" w14:textId="10151A23"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53 (41,7 %)</w:t>
            </w:r>
          </w:p>
        </w:tc>
        <w:tc>
          <w:tcPr>
            <w:tcW w:w="1559" w:type="dxa"/>
            <w:tcBorders>
              <w:top w:val="nil"/>
              <w:left w:val="nil"/>
              <w:bottom w:val="single" w:sz="4" w:space="0" w:color="333333"/>
              <w:right w:val="single" w:sz="4" w:space="0" w:color="333399"/>
            </w:tcBorders>
            <w:shd w:val="clear" w:color="000000" w:fill="FFFFFF"/>
            <w:noWrap/>
            <w:vAlign w:val="center"/>
            <w:hideMark/>
          </w:tcPr>
          <w:p w14:paraId="6F1EBFB0" w14:textId="08D3FC4C"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31 (48,4 %)</w:t>
            </w:r>
          </w:p>
        </w:tc>
        <w:tc>
          <w:tcPr>
            <w:tcW w:w="1276" w:type="dxa"/>
            <w:tcBorders>
              <w:top w:val="nil"/>
              <w:left w:val="nil"/>
              <w:bottom w:val="single" w:sz="4" w:space="0" w:color="333333"/>
              <w:right w:val="single" w:sz="4" w:space="0" w:color="333399"/>
            </w:tcBorders>
            <w:shd w:val="clear" w:color="000000" w:fill="FFFFFF"/>
            <w:noWrap/>
            <w:vAlign w:val="center"/>
            <w:hideMark/>
          </w:tcPr>
          <w:p w14:paraId="401B180A" w14:textId="4411DF36"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98 (50,8 %)</w:t>
            </w:r>
          </w:p>
        </w:tc>
        <w:tc>
          <w:tcPr>
            <w:tcW w:w="1275" w:type="dxa"/>
            <w:tcBorders>
              <w:top w:val="nil"/>
              <w:left w:val="nil"/>
              <w:bottom w:val="single" w:sz="4" w:space="0" w:color="333333"/>
              <w:right w:val="single" w:sz="4" w:space="0" w:color="333399"/>
            </w:tcBorders>
            <w:shd w:val="clear" w:color="000000" w:fill="FFFFFF"/>
            <w:noWrap/>
            <w:vAlign w:val="center"/>
            <w:hideMark/>
          </w:tcPr>
          <w:p w14:paraId="4F32B8FF" w14:textId="1B0CAAF7"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38 (65,5 %)</w:t>
            </w:r>
          </w:p>
        </w:tc>
        <w:tc>
          <w:tcPr>
            <w:tcW w:w="1276" w:type="dxa"/>
            <w:tcBorders>
              <w:top w:val="nil"/>
              <w:left w:val="nil"/>
              <w:bottom w:val="single" w:sz="4" w:space="0" w:color="333333"/>
              <w:right w:val="single" w:sz="4" w:space="0" w:color="333399"/>
            </w:tcBorders>
            <w:shd w:val="clear" w:color="000000" w:fill="FFFFFF"/>
            <w:noWrap/>
            <w:vAlign w:val="center"/>
            <w:hideMark/>
          </w:tcPr>
          <w:p w14:paraId="7D7396EC" w14:textId="22FB9E07"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14 (50,0 %)</w:t>
            </w:r>
          </w:p>
        </w:tc>
        <w:tc>
          <w:tcPr>
            <w:tcW w:w="992" w:type="dxa"/>
            <w:tcBorders>
              <w:top w:val="nil"/>
              <w:left w:val="nil"/>
              <w:bottom w:val="single" w:sz="4" w:space="0" w:color="333333"/>
              <w:right w:val="single" w:sz="4" w:space="0" w:color="333399"/>
            </w:tcBorders>
            <w:shd w:val="clear" w:color="000000" w:fill="FFFFFF"/>
            <w:noWrap/>
            <w:vAlign w:val="center"/>
            <w:hideMark/>
          </w:tcPr>
          <w:p w14:paraId="19003E31" w14:textId="77777777" w:rsidR="00D43AB4" w:rsidRDefault="00324099" w:rsidP="00D54DEC">
            <w:pPr>
              <w:jc w:val="center"/>
              <w:rPr>
                <w:rFonts w:ascii="Arial" w:hAnsi="Arial" w:cs="Arial"/>
                <w:color w:val="000000"/>
                <w:sz w:val="20"/>
                <w:szCs w:val="20"/>
              </w:rPr>
            </w:pPr>
            <w:r w:rsidRPr="003F5E5A">
              <w:rPr>
                <w:rFonts w:ascii="Arial" w:hAnsi="Arial" w:cs="Arial"/>
                <w:color w:val="000000"/>
                <w:sz w:val="20"/>
                <w:szCs w:val="20"/>
              </w:rPr>
              <w:t>234</w:t>
            </w:r>
          </w:p>
          <w:p w14:paraId="6A4E69A7" w14:textId="036D73CD"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(49,8 %)</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5D3815EA" w14:textId="77777777"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0,057</w:t>
            </w:r>
          </w:p>
        </w:tc>
        <w:tc>
          <w:tcPr>
            <w:tcW w:w="1134" w:type="dxa"/>
            <w:vMerge w:val="restart"/>
            <w:tcBorders>
              <w:top w:val="nil"/>
              <w:left w:val="single" w:sz="4" w:space="0" w:color="auto"/>
              <w:right w:val="single" w:sz="4" w:space="0" w:color="auto"/>
            </w:tcBorders>
            <w:vAlign w:val="center"/>
          </w:tcPr>
          <w:p w14:paraId="51705DF2" w14:textId="76CA6FC3" w:rsidR="00324099" w:rsidRPr="003F5E5A" w:rsidRDefault="004C7300" w:rsidP="002C1265">
            <w:pPr>
              <w:jc w:val="center"/>
              <w:rPr>
                <w:rFonts w:ascii="Arial" w:hAnsi="Arial" w:cs="Arial"/>
                <w:b/>
                <w:bCs/>
                <w:color w:val="000000"/>
                <w:sz w:val="20"/>
                <w:szCs w:val="20"/>
              </w:rPr>
            </w:pPr>
            <w:r w:rsidRPr="00A32146">
              <w:rPr>
                <w:rFonts w:ascii="Arial" w:hAnsi="Arial" w:cs="Arial"/>
                <w:b/>
                <w:bCs/>
                <w:sz w:val="20"/>
                <w:szCs w:val="20"/>
              </w:rPr>
              <w:t>*</w:t>
            </w:r>
            <w:r w:rsidR="00A32146" w:rsidRPr="00A32146">
              <w:rPr>
                <w:rFonts w:ascii="Arial" w:hAnsi="Arial" w:cs="Arial"/>
                <w:b/>
                <w:bCs/>
                <w:sz w:val="20"/>
                <w:szCs w:val="20"/>
              </w:rPr>
              <w:t>*</w:t>
            </w:r>
            <w:r>
              <w:rPr>
                <w:rFonts w:ascii="Arial" w:hAnsi="Arial" w:cs="Arial"/>
                <w:b/>
                <w:bCs/>
                <w:color w:val="000000"/>
                <w:sz w:val="20"/>
                <w:szCs w:val="20"/>
              </w:rPr>
              <w:t xml:space="preserve"> </w:t>
            </w:r>
            <w:r w:rsidR="00F8381F" w:rsidRPr="003F5E5A">
              <w:rPr>
                <w:rFonts w:ascii="Arial" w:hAnsi="Arial" w:cs="Arial"/>
                <w:b/>
                <w:bCs/>
                <w:color w:val="000000"/>
                <w:sz w:val="20"/>
                <w:szCs w:val="20"/>
              </w:rPr>
              <w:t>&lt;0,001</w:t>
            </w:r>
          </w:p>
          <w:p w14:paraId="6EC43AB9" w14:textId="2B5BC2B5" w:rsidR="00F8381F" w:rsidRPr="003F5E5A" w:rsidRDefault="00F8381F" w:rsidP="002C1265">
            <w:pPr>
              <w:jc w:val="center"/>
              <w:rPr>
                <w:rFonts w:ascii="Arial" w:hAnsi="Arial" w:cs="Arial"/>
                <w:color w:val="000000"/>
                <w:sz w:val="20"/>
                <w:szCs w:val="20"/>
              </w:rPr>
            </w:pPr>
            <w:r w:rsidRPr="003F5E5A">
              <w:rPr>
                <w:rFonts w:ascii="Arial" w:hAnsi="Arial" w:cs="Arial"/>
                <w:b/>
                <w:bCs/>
                <w:color w:val="000000"/>
                <w:sz w:val="20"/>
                <w:szCs w:val="20"/>
              </w:rPr>
              <w:t>CV=0,150</w:t>
            </w:r>
          </w:p>
        </w:tc>
      </w:tr>
      <w:tr w:rsidR="006100BD" w:rsidRPr="00242DFF" w14:paraId="0FCAD7B7" w14:textId="167B86B3" w:rsidTr="00D43AB4">
        <w:trPr>
          <w:trHeight w:val="300"/>
        </w:trPr>
        <w:tc>
          <w:tcPr>
            <w:tcW w:w="1129" w:type="dxa"/>
            <w:vMerge/>
            <w:tcBorders>
              <w:top w:val="nil"/>
              <w:left w:val="single" w:sz="4" w:space="0" w:color="auto"/>
              <w:bottom w:val="single" w:sz="4" w:space="0" w:color="000000"/>
              <w:right w:val="single" w:sz="4" w:space="0" w:color="auto"/>
            </w:tcBorders>
            <w:vAlign w:val="center"/>
            <w:hideMark/>
          </w:tcPr>
          <w:p w14:paraId="5F1C6FFF" w14:textId="77777777" w:rsidR="00324099" w:rsidRPr="003F5E5A" w:rsidRDefault="00324099" w:rsidP="00D54DEC">
            <w:pPr>
              <w:jc w:val="center"/>
              <w:rPr>
                <w:rFonts w:ascii="Arial" w:hAnsi="Arial" w:cs="Arial"/>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14:paraId="6101838B" w14:textId="77777777"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NE</w:t>
            </w:r>
          </w:p>
        </w:tc>
        <w:tc>
          <w:tcPr>
            <w:tcW w:w="1560" w:type="dxa"/>
            <w:tcBorders>
              <w:top w:val="nil"/>
              <w:left w:val="nil"/>
              <w:bottom w:val="single" w:sz="4" w:space="0" w:color="333333"/>
              <w:right w:val="single" w:sz="4" w:space="0" w:color="333399"/>
            </w:tcBorders>
            <w:shd w:val="clear" w:color="000000" w:fill="FFFFFF"/>
            <w:noWrap/>
            <w:vAlign w:val="center"/>
            <w:hideMark/>
          </w:tcPr>
          <w:p w14:paraId="7E1BC2DD" w14:textId="3BAD3A10"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74 (58,3 %)</w:t>
            </w:r>
          </w:p>
        </w:tc>
        <w:tc>
          <w:tcPr>
            <w:tcW w:w="1559" w:type="dxa"/>
            <w:tcBorders>
              <w:top w:val="nil"/>
              <w:left w:val="nil"/>
              <w:bottom w:val="single" w:sz="4" w:space="0" w:color="333333"/>
              <w:right w:val="single" w:sz="4" w:space="0" w:color="333399"/>
            </w:tcBorders>
            <w:shd w:val="clear" w:color="000000" w:fill="FFFFFF"/>
            <w:noWrap/>
            <w:vAlign w:val="center"/>
            <w:hideMark/>
          </w:tcPr>
          <w:p w14:paraId="12A4AD3C" w14:textId="2E530782"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33 (51,6 %)</w:t>
            </w:r>
          </w:p>
        </w:tc>
        <w:tc>
          <w:tcPr>
            <w:tcW w:w="1276" w:type="dxa"/>
            <w:tcBorders>
              <w:top w:val="nil"/>
              <w:left w:val="nil"/>
              <w:bottom w:val="single" w:sz="4" w:space="0" w:color="333333"/>
              <w:right w:val="single" w:sz="4" w:space="0" w:color="333399"/>
            </w:tcBorders>
            <w:shd w:val="clear" w:color="000000" w:fill="FFFFFF"/>
            <w:noWrap/>
            <w:vAlign w:val="center"/>
            <w:hideMark/>
          </w:tcPr>
          <w:p w14:paraId="72DC2144" w14:textId="3AA7C0B4"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95 (49,2 %)</w:t>
            </w:r>
          </w:p>
        </w:tc>
        <w:tc>
          <w:tcPr>
            <w:tcW w:w="1275" w:type="dxa"/>
            <w:tcBorders>
              <w:top w:val="nil"/>
              <w:left w:val="nil"/>
              <w:bottom w:val="single" w:sz="4" w:space="0" w:color="333333"/>
              <w:right w:val="single" w:sz="4" w:space="0" w:color="333399"/>
            </w:tcBorders>
            <w:shd w:val="clear" w:color="000000" w:fill="FFFFFF"/>
            <w:noWrap/>
            <w:vAlign w:val="center"/>
            <w:hideMark/>
          </w:tcPr>
          <w:p w14:paraId="3293759F" w14:textId="3B7DC230"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20 (34,5 %)</w:t>
            </w:r>
          </w:p>
        </w:tc>
        <w:tc>
          <w:tcPr>
            <w:tcW w:w="1276" w:type="dxa"/>
            <w:tcBorders>
              <w:top w:val="nil"/>
              <w:left w:val="nil"/>
              <w:bottom w:val="single" w:sz="4" w:space="0" w:color="333333"/>
              <w:right w:val="single" w:sz="4" w:space="0" w:color="333399"/>
            </w:tcBorders>
            <w:shd w:val="clear" w:color="000000" w:fill="FFFFFF"/>
            <w:noWrap/>
            <w:vAlign w:val="center"/>
            <w:hideMark/>
          </w:tcPr>
          <w:p w14:paraId="47EACB82" w14:textId="703BE70E"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14 (50,0 %)</w:t>
            </w:r>
          </w:p>
        </w:tc>
        <w:tc>
          <w:tcPr>
            <w:tcW w:w="992" w:type="dxa"/>
            <w:tcBorders>
              <w:top w:val="nil"/>
              <w:left w:val="nil"/>
              <w:bottom w:val="single" w:sz="4" w:space="0" w:color="333333"/>
              <w:right w:val="single" w:sz="4" w:space="0" w:color="333399"/>
            </w:tcBorders>
            <w:shd w:val="clear" w:color="000000" w:fill="FFFFFF"/>
            <w:noWrap/>
            <w:vAlign w:val="center"/>
            <w:hideMark/>
          </w:tcPr>
          <w:p w14:paraId="3016996A" w14:textId="77777777" w:rsidR="00D43AB4" w:rsidRDefault="00324099" w:rsidP="00D54DEC">
            <w:pPr>
              <w:jc w:val="center"/>
              <w:rPr>
                <w:rFonts w:ascii="Arial" w:hAnsi="Arial" w:cs="Arial"/>
                <w:color w:val="000000"/>
                <w:sz w:val="20"/>
                <w:szCs w:val="20"/>
              </w:rPr>
            </w:pPr>
            <w:r w:rsidRPr="003F5E5A">
              <w:rPr>
                <w:rFonts w:ascii="Arial" w:hAnsi="Arial" w:cs="Arial"/>
                <w:color w:val="000000"/>
                <w:sz w:val="20"/>
                <w:szCs w:val="20"/>
              </w:rPr>
              <w:t>236</w:t>
            </w:r>
          </w:p>
          <w:p w14:paraId="05BEAC33" w14:textId="4B845DFD"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(50,2 %)</w:t>
            </w:r>
          </w:p>
        </w:tc>
        <w:tc>
          <w:tcPr>
            <w:tcW w:w="1134" w:type="dxa"/>
            <w:vMerge/>
            <w:tcBorders>
              <w:top w:val="nil"/>
              <w:left w:val="single" w:sz="4" w:space="0" w:color="auto"/>
              <w:bottom w:val="single" w:sz="4" w:space="0" w:color="000000"/>
              <w:right w:val="single" w:sz="4" w:space="0" w:color="auto"/>
            </w:tcBorders>
            <w:vAlign w:val="center"/>
            <w:hideMark/>
          </w:tcPr>
          <w:p w14:paraId="7EE0C3F7" w14:textId="77777777" w:rsidR="00324099" w:rsidRPr="003F5E5A" w:rsidRDefault="00324099" w:rsidP="00D54DEC">
            <w:pPr>
              <w:jc w:val="center"/>
              <w:rPr>
                <w:rFonts w:ascii="Arial" w:hAnsi="Arial" w:cs="Arial"/>
                <w:color w:val="000000"/>
                <w:sz w:val="20"/>
                <w:szCs w:val="20"/>
              </w:rPr>
            </w:pPr>
          </w:p>
        </w:tc>
        <w:tc>
          <w:tcPr>
            <w:tcW w:w="1134" w:type="dxa"/>
            <w:vMerge/>
            <w:tcBorders>
              <w:left w:val="single" w:sz="4" w:space="0" w:color="auto"/>
              <w:bottom w:val="single" w:sz="4" w:space="0" w:color="000000"/>
              <w:right w:val="single" w:sz="4" w:space="0" w:color="auto"/>
            </w:tcBorders>
            <w:vAlign w:val="center"/>
          </w:tcPr>
          <w:p w14:paraId="1BEB38A0" w14:textId="77777777" w:rsidR="00324099" w:rsidRPr="003F5E5A" w:rsidRDefault="00324099" w:rsidP="002C1265">
            <w:pPr>
              <w:jc w:val="center"/>
              <w:rPr>
                <w:rFonts w:ascii="Arial" w:hAnsi="Arial" w:cs="Arial"/>
                <w:color w:val="000000"/>
                <w:sz w:val="20"/>
                <w:szCs w:val="20"/>
              </w:rPr>
            </w:pPr>
          </w:p>
        </w:tc>
      </w:tr>
      <w:tr w:rsidR="006100BD" w:rsidRPr="00242DFF" w14:paraId="3297323C" w14:textId="2A824546" w:rsidTr="00D43AB4">
        <w:trPr>
          <w:trHeight w:val="600"/>
        </w:trPr>
        <w:tc>
          <w:tcPr>
            <w:tcW w:w="1129" w:type="dxa"/>
            <w:vMerge w:val="restart"/>
            <w:tcBorders>
              <w:top w:val="nil"/>
              <w:left w:val="single" w:sz="4" w:space="0" w:color="auto"/>
              <w:bottom w:val="single" w:sz="4" w:space="0" w:color="000000"/>
              <w:right w:val="single" w:sz="4" w:space="0" w:color="auto"/>
            </w:tcBorders>
            <w:shd w:val="clear" w:color="auto" w:fill="auto"/>
            <w:vAlign w:val="center"/>
            <w:hideMark/>
          </w:tcPr>
          <w:p w14:paraId="73C23A0E" w14:textId="77777777"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Konzilium specialisty</w:t>
            </w:r>
          </w:p>
        </w:tc>
        <w:tc>
          <w:tcPr>
            <w:tcW w:w="1134" w:type="dxa"/>
            <w:tcBorders>
              <w:top w:val="nil"/>
              <w:left w:val="nil"/>
              <w:bottom w:val="single" w:sz="4" w:space="0" w:color="auto"/>
              <w:right w:val="single" w:sz="4" w:space="0" w:color="auto"/>
            </w:tcBorders>
            <w:shd w:val="clear" w:color="auto" w:fill="auto"/>
            <w:vAlign w:val="center"/>
            <w:hideMark/>
          </w:tcPr>
          <w:p w14:paraId="7D3A1C39" w14:textId="77777777"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ANO</w:t>
            </w:r>
          </w:p>
        </w:tc>
        <w:tc>
          <w:tcPr>
            <w:tcW w:w="1560" w:type="dxa"/>
            <w:tcBorders>
              <w:top w:val="nil"/>
              <w:left w:val="nil"/>
              <w:bottom w:val="single" w:sz="4" w:space="0" w:color="333333"/>
              <w:right w:val="single" w:sz="4" w:space="0" w:color="333399"/>
            </w:tcBorders>
            <w:shd w:val="clear" w:color="000000" w:fill="FFFFFF"/>
            <w:noWrap/>
            <w:vAlign w:val="center"/>
            <w:hideMark/>
          </w:tcPr>
          <w:p w14:paraId="4368C7C5" w14:textId="0D8A1EDA"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7 (5,5 %)</w:t>
            </w:r>
          </w:p>
        </w:tc>
        <w:tc>
          <w:tcPr>
            <w:tcW w:w="1559" w:type="dxa"/>
            <w:tcBorders>
              <w:top w:val="nil"/>
              <w:left w:val="nil"/>
              <w:bottom w:val="single" w:sz="4" w:space="0" w:color="333333"/>
              <w:right w:val="single" w:sz="4" w:space="0" w:color="333399"/>
            </w:tcBorders>
            <w:shd w:val="clear" w:color="000000" w:fill="FFFFFF"/>
            <w:noWrap/>
            <w:vAlign w:val="center"/>
            <w:hideMark/>
          </w:tcPr>
          <w:p w14:paraId="03125D3E" w14:textId="4212FF06"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1 (1,6 %)</w:t>
            </w:r>
          </w:p>
        </w:tc>
        <w:tc>
          <w:tcPr>
            <w:tcW w:w="1276" w:type="dxa"/>
            <w:tcBorders>
              <w:top w:val="nil"/>
              <w:left w:val="nil"/>
              <w:bottom w:val="single" w:sz="4" w:space="0" w:color="333333"/>
              <w:right w:val="single" w:sz="4" w:space="0" w:color="333399"/>
            </w:tcBorders>
            <w:shd w:val="clear" w:color="000000" w:fill="FFFFFF"/>
            <w:noWrap/>
            <w:vAlign w:val="center"/>
            <w:hideMark/>
          </w:tcPr>
          <w:p w14:paraId="1341E09D" w14:textId="540E90DD"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11 (5,7 %)</w:t>
            </w:r>
          </w:p>
        </w:tc>
        <w:tc>
          <w:tcPr>
            <w:tcW w:w="1275" w:type="dxa"/>
            <w:tcBorders>
              <w:top w:val="nil"/>
              <w:left w:val="nil"/>
              <w:bottom w:val="single" w:sz="4" w:space="0" w:color="333333"/>
              <w:right w:val="single" w:sz="4" w:space="0" w:color="333399"/>
            </w:tcBorders>
            <w:shd w:val="clear" w:color="000000" w:fill="FFFFFF"/>
            <w:noWrap/>
            <w:vAlign w:val="center"/>
            <w:hideMark/>
          </w:tcPr>
          <w:p w14:paraId="3A9692E6" w14:textId="7730AB72"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1 (1,7 %)</w:t>
            </w:r>
          </w:p>
        </w:tc>
        <w:tc>
          <w:tcPr>
            <w:tcW w:w="1276" w:type="dxa"/>
            <w:tcBorders>
              <w:top w:val="nil"/>
              <w:left w:val="nil"/>
              <w:bottom w:val="single" w:sz="4" w:space="0" w:color="333333"/>
              <w:right w:val="single" w:sz="4" w:space="0" w:color="333399"/>
            </w:tcBorders>
            <w:shd w:val="clear" w:color="000000" w:fill="FFFFFF"/>
            <w:noWrap/>
            <w:vAlign w:val="center"/>
            <w:hideMark/>
          </w:tcPr>
          <w:p w14:paraId="17CE14F4" w14:textId="3BC4F20D"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3 (10,7 %)</w:t>
            </w:r>
          </w:p>
        </w:tc>
        <w:tc>
          <w:tcPr>
            <w:tcW w:w="992" w:type="dxa"/>
            <w:tcBorders>
              <w:top w:val="nil"/>
              <w:left w:val="nil"/>
              <w:bottom w:val="single" w:sz="4" w:space="0" w:color="333333"/>
              <w:right w:val="single" w:sz="4" w:space="0" w:color="333399"/>
            </w:tcBorders>
            <w:shd w:val="clear" w:color="000000" w:fill="FFFFFF"/>
            <w:noWrap/>
            <w:vAlign w:val="center"/>
            <w:hideMark/>
          </w:tcPr>
          <w:p w14:paraId="6CB9164F" w14:textId="5292892B"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23</w:t>
            </w:r>
          </w:p>
          <w:p w14:paraId="11105100" w14:textId="7B0793AC"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(4,9 %)</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3A0024F9" w14:textId="05FE8123"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w:t>
            </w:r>
            <w:r w:rsidR="00133A5A">
              <w:rPr>
                <w:rFonts w:ascii="Arial" w:hAnsi="Arial" w:cs="Arial"/>
                <w:color w:val="000000"/>
                <w:sz w:val="20"/>
                <w:szCs w:val="20"/>
              </w:rPr>
              <w:t>**</w:t>
            </w:r>
            <w:r w:rsidRPr="003F5E5A">
              <w:rPr>
                <w:rFonts w:ascii="Arial" w:hAnsi="Arial" w:cs="Arial"/>
                <w:color w:val="000000"/>
                <w:sz w:val="20"/>
                <w:szCs w:val="20"/>
              </w:rPr>
              <w:t>* 0,558</w:t>
            </w:r>
          </w:p>
        </w:tc>
        <w:tc>
          <w:tcPr>
            <w:tcW w:w="1134" w:type="dxa"/>
            <w:vMerge w:val="restart"/>
            <w:tcBorders>
              <w:top w:val="nil"/>
              <w:left w:val="single" w:sz="4" w:space="0" w:color="auto"/>
              <w:right w:val="single" w:sz="4" w:space="0" w:color="auto"/>
            </w:tcBorders>
            <w:vAlign w:val="center"/>
          </w:tcPr>
          <w:p w14:paraId="44C67C8D" w14:textId="77777777" w:rsidR="00F8381F" w:rsidRPr="003F5E5A" w:rsidRDefault="00F8381F" w:rsidP="002C1265">
            <w:pPr>
              <w:jc w:val="center"/>
              <w:rPr>
                <w:rFonts w:ascii="Arial" w:hAnsi="Arial" w:cs="Arial"/>
                <w:color w:val="000000"/>
                <w:sz w:val="20"/>
                <w:szCs w:val="20"/>
              </w:rPr>
            </w:pPr>
            <w:r w:rsidRPr="003F5E5A">
              <w:rPr>
                <w:rFonts w:ascii="Arial" w:hAnsi="Arial" w:cs="Arial"/>
                <w:color w:val="000000"/>
                <w:sz w:val="20"/>
                <w:szCs w:val="20"/>
              </w:rPr>
              <w:t>Nelze</w:t>
            </w:r>
          </w:p>
          <w:p w14:paraId="62A8584F" w14:textId="380F79F5" w:rsidR="00324099" w:rsidRPr="003F5E5A" w:rsidRDefault="00F8381F" w:rsidP="002C1265">
            <w:pPr>
              <w:jc w:val="center"/>
              <w:rPr>
                <w:rFonts w:ascii="Arial" w:hAnsi="Arial" w:cs="Arial"/>
                <w:color w:val="000000"/>
                <w:sz w:val="20"/>
                <w:szCs w:val="20"/>
              </w:rPr>
            </w:pPr>
            <w:r w:rsidRPr="003F5E5A">
              <w:rPr>
                <w:rFonts w:ascii="Arial" w:hAnsi="Arial" w:cs="Arial"/>
                <w:color w:val="000000"/>
                <w:sz w:val="20"/>
                <w:szCs w:val="20"/>
              </w:rPr>
              <w:t xml:space="preserve">hodnotit </w:t>
            </w:r>
            <w:r w:rsidRPr="003F5E5A">
              <w:rPr>
                <w:rFonts w:ascii="Arial" w:hAnsi="Arial" w:cs="Arial"/>
                <w:sz w:val="20"/>
                <w:szCs w:val="20"/>
              </w:rPr>
              <w:t>χ2</w:t>
            </w:r>
          </w:p>
        </w:tc>
      </w:tr>
      <w:tr w:rsidR="006100BD" w:rsidRPr="00242DFF" w14:paraId="32B7DECA" w14:textId="434D71C2" w:rsidTr="00D43AB4">
        <w:trPr>
          <w:trHeight w:val="600"/>
        </w:trPr>
        <w:tc>
          <w:tcPr>
            <w:tcW w:w="1129" w:type="dxa"/>
            <w:vMerge/>
            <w:tcBorders>
              <w:top w:val="nil"/>
              <w:left w:val="single" w:sz="4" w:space="0" w:color="auto"/>
              <w:bottom w:val="single" w:sz="4" w:space="0" w:color="000000"/>
              <w:right w:val="single" w:sz="4" w:space="0" w:color="auto"/>
            </w:tcBorders>
            <w:vAlign w:val="center"/>
            <w:hideMark/>
          </w:tcPr>
          <w:p w14:paraId="6D6EF01A" w14:textId="77777777" w:rsidR="00324099" w:rsidRPr="00242DFF" w:rsidRDefault="00324099" w:rsidP="00D54DEC">
            <w:pPr>
              <w:jc w:val="center"/>
              <w:rPr>
                <w:rFonts w:ascii="Arial" w:hAnsi="Arial"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53FDFA26" w14:textId="77777777"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NE</w:t>
            </w:r>
          </w:p>
        </w:tc>
        <w:tc>
          <w:tcPr>
            <w:tcW w:w="1560" w:type="dxa"/>
            <w:tcBorders>
              <w:top w:val="nil"/>
              <w:left w:val="nil"/>
              <w:bottom w:val="single" w:sz="4" w:space="0" w:color="993366"/>
              <w:right w:val="single" w:sz="4" w:space="0" w:color="333399"/>
            </w:tcBorders>
            <w:shd w:val="clear" w:color="000000" w:fill="FFFFFF"/>
            <w:noWrap/>
            <w:vAlign w:val="center"/>
            <w:hideMark/>
          </w:tcPr>
          <w:p w14:paraId="2C374C57" w14:textId="20E31A35"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120 (94,5 %)</w:t>
            </w:r>
          </w:p>
        </w:tc>
        <w:tc>
          <w:tcPr>
            <w:tcW w:w="1559" w:type="dxa"/>
            <w:tcBorders>
              <w:top w:val="nil"/>
              <w:left w:val="nil"/>
              <w:bottom w:val="single" w:sz="4" w:space="0" w:color="993366"/>
              <w:right w:val="single" w:sz="4" w:space="0" w:color="333399"/>
            </w:tcBorders>
            <w:shd w:val="clear" w:color="000000" w:fill="FFFFFF"/>
            <w:noWrap/>
            <w:vAlign w:val="center"/>
            <w:hideMark/>
          </w:tcPr>
          <w:p w14:paraId="04A504CE" w14:textId="0E948453"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63 (98,4 %)</w:t>
            </w:r>
          </w:p>
        </w:tc>
        <w:tc>
          <w:tcPr>
            <w:tcW w:w="1276" w:type="dxa"/>
            <w:tcBorders>
              <w:top w:val="nil"/>
              <w:left w:val="nil"/>
              <w:bottom w:val="single" w:sz="4" w:space="0" w:color="993366"/>
              <w:right w:val="single" w:sz="4" w:space="0" w:color="333399"/>
            </w:tcBorders>
            <w:shd w:val="clear" w:color="000000" w:fill="FFFFFF"/>
            <w:noWrap/>
            <w:vAlign w:val="center"/>
            <w:hideMark/>
          </w:tcPr>
          <w:p w14:paraId="5F940FC0" w14:textId="77777777" w:rsidR="00D43AB4" w:rsidRDefault="00324099" w:rsidP="00D54DEC">
            <w:pPr>
              <w:jc w:val="center"/>
              <w:rPr>
                <w:rFonts w:ascii="Arial" w:hAnsi="Arial" w:cs="Arial"/>
                <w:color w:val="000000"/>
                <w:sz w:val="20"/>
                <w:szCs w:val="20"/>
              </w:rPr>
            </w:pPr>
            <w:r w:rsidRPr="003F5E5A">
              <w:rPr>
                <w:rFonts w:ascii="Arial" w:hAnsi="Arial" w:cs="Arial"/>
                <w:color w:val="000000"/>
                <w:sz w:val="20"/>
                <w:szCs w:val="20"/>
              </w:rPr>
              <w:t>182</w:t>
            </w:r>
          </w:p>
          <w:p w14:paraId="65B88CC5" w14:textId="0B8A9C1F"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(94,3 %)</w:t>
            </w:r>
          </w:p>
        </w:tc>
        <w:tc>
          <w:tcPr>
            <w:tcW w:w="1275" w:type="dxa"/>
            <w:tcBorders>
              <w:top w:val="nil"/>
              <w:left w:val="nil"/>
              <w:bottom w:val="single" w:sz="4" w:space="0" w:color="993366"/>
              <w:right w:val="single" w:sz="4" w:space="0" w:color="333399"/>
            </w:tcBorders>
            <w:shd w:val="clear" w:color="000000" w:fill="FFFFFF"/>
            <w:noWrap/>
            <w:vAlign w:val="center"/>
            <w:hideMark/>
          </w:tcPr>
          <w:p w14:paraId="56A30205" w14:textId="495E3519"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57 (98,3 %)</w:t>
            </w:r>
          </w:p>
        </w:tc>
        <w:tc>
          <w:tcPr>
            <w:tcW w:w="1276" w:type="dxa"/>
            <w:tcBorders>
              <w:top w:val="nil"/>
              <w:left w:val="nil"/>
              <w:bottom w:val="single" w:sz="4" w:space="0" w:color="993366"/>
              <w:right w:val="single" w:sz="4" w:space="0" w:color="333399"/>
            </w:tcBorders>
            <w:shd w:val="clear" w:color="000000" w:fill="FFFFFF"/>
            <w:noWrap/>
            <w:vAlign w:val="center"/>
            <w:hideMark/>
          </w:tcPr>
          <w:p w14:paraId="505A24AB" w14:textId="28D847D5"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25 (89,3 %)</w:t>
            </w:r>
          </w:p>
        </w:tc>
        <w:tc>
          <w:tcPr>
            <w:tcW w:w="992" w:type="dxa"/>
            <w:tcBorders>
              <w:top w:val="nil"/>
              <w:left w:val="nil"/>
              <w:bottom w:val="single" w:sz="4" w:space="0" w:color="993366"/>
              <w:right w:val="single" w:sz="4" w:space="0" w:color="333399"/>
            </w:tcBorders>
            <w:shd w:val="clear" w:color="000000" w:fill="FFFFFF"/>
            <w:noWrap/>
            <w:vAlign w:val="center"/>
            <w:hideMark/>
          </w:tcPr>
          <w:p w14:paraId="3D36C23E" w14:textId="77777777" w:rsidR="00D43AB4" w:rsidRDefault="00324099" w:rsidP="00D54DEC">
            <w:pPr>
              <w:jc w:val="center"/>
              <w:rPr>
                <w:rFonts w:ascii="Arial" w:hAnsi="Arial" w:cs="Arial"/>
                <w:color w:val="000000"/>
                <w:sz w:val="20"/>
                <w:szCs w:val="20"/>
              </w:rPr>
            </w:pPr>
            <w:r w:rsidRPr="003F5E5A">
              <w:rPr>
                <w:rFonts w:ascii="Arial" w:hAnsi="Arial" w:cs="Arial"/>
                <w:color w:val="000000"/>
                <w:sz w:val="20"/>
                <w:szCs w:val="20"/>
              </w:rPr>
              <w:t>447</w:t>
            </w:r>
          </w:p>
          <w:p w14:paraId="2E399F81" w14:textId="2BC8461E" w:rsidR="00324099" w:rsidRPr="003F5E5A" w:rsidRDefault="00324099" w:rsidP="00D54DEC">
            <w:pPr>
              <w:jc w:val="center"/>
              <w:rPr>
                <w:rFonts w:ascii="Arial" w:hAnsi="Arial" w:cs="Arial"/>
                <w:color w:val="000000"/>
                <w:sz w:val="20"/>
                <w:szCs w:val="20"/>
              </w:rPr>
            </w:pPr>
            <w:r w:rsidRPr="003F5E5A">
              <w:rPr>
                <w:rFonts w:ascii="Arial" w:hAnsi="Arial" w:cs="Arial"/>
                <w:color w:val="000000"/>
                <w:sz w:val="20"/>
                <w:szCs w:val="20"/>
              </w:rPr>
              <w:t>(95,1 %)</w:t>
            </w:r>
          </w:p>
        </w:tc>
        <w:tc>
          <w:tcPr>
            <w:tcW w:w="1134" w:type="dxa"/>
            <w:vMerge/>
            <w:tcBorders>
              <w:top w:val="nil"/>
              <w:left w:val="single" w:sz="4" w:space="0" w:color="auto"/>
              <w:bottom w:val="single" w:sz="4" w:space="0" w:color="000000"/>
              <w:right w:val="single" w:sz="4" w:space="0" w:color="auto"/>
            </w:tcBorders>
            <w:vAlign w:val="center"/>
            <w:hideMark/>
          </w:tcPr>
          <w:p w14:paraId="73A8EDCE" w14:textId="77777777" w:rsidR="00324099" w:rsidRPr="00242DFF" w:rsidRDefault="00324099" w:rsidP="00D54DEC">
            <w:pPr>
              <w:jc w:val="center"/>
              <w:rPr>
                <w:rFonts w:ascii="Arial" w:hAnsi="Arial" w:cs="Arial"/>
                <w:color w:val="000000"/>
                <w:sz w:val="22"/>
                <w:szCs w:val="22"/>
              </w:rPr>
            </w:pPr>
          </w:p>
        </w:tc>
        <w:tc>
          <w:tcPr>
            <w:tcW w:w="1134" w:type="dxa"/>
            <w:vMerge/>
            <w:tcBorders>
              <w:left w:val="single" w:sz="4" w:space="0" w:color="auto"/>
              <w:bottom w:val="single" w:sz="4" w:space="0" w:color="000000"/>
              <w:right w:val="single" w:sz="4" w:space="0" w:color="auto"/>
            </w:tcBorders>
          </w:tcPr>
          <w:p w14:paraId="0D120070" w14:textId="77777777" w:rsidR="00324099" w:rsidRPr="00242DFF" w:rsidRDefault="00324099" w:rsidP="00D54DEC">
            <w:pPr>
              <w:jc w:val="center"/>
              <w:rPr>
                <w:rFonts w:ascii="Arial" w:hAnsi="Arial" w:cs="Arial"/>
                <w:color w:val="000000"/>
                <w:sz w:val="22"/>
                <w:szCs w:val="22"/>
              </w:rPr>
            </w:pPr>
          </w:p>
        </w:tc>
      </w:tr>
    </w:tbl>
    <w:p w14:paraId="0D04B1D6" w14:textId="171BC22B" w:rsidR="00240C99" w:rsidRDefault="006E31A5" w:rsidP="007856C5">
      <w:pPr>
        <w:pStyle w:val="Popisobrzku"/>
        <w:sectPr w:rsidR="00240C99" w:rsidSect="00240C99">
          <w:pgSz w:w="16838" w:h="11906" w:orient="landscape" w:code="9"/>
          <w:pgMar w:top="1140" w:right="1980" w:bottom="1140" w:left="2380" w:header="1140" w:footer="1420" w:gutter="860"/>
          <w:cols w:space="708"/>
          <w:docGrid w:linePitch="360"/>
        </w:sectPr>
      </w:pPr>
      <w:r w:rsidRPr="00242DFF">
        <w:t xml:space="preserve">Chí-kvadrát test (χ2), koeficient </w:t>
      </w:r>
      <w:proofErr w:type="spellStart"/>
      <w:r w:rsidRPr="00242DFF">
        <w:t>asociance</w:t>
      </w:r>
      <w:proofErr w:type="spellEnd"/>
      <w:r w:rsidRPr="00242DFF">
        <w:t xml:space="preserve"> Fí a </w:t>
      </w:r>
      <w:proofErr w:type="spellStart"/>
      <w:r w:rsidRPr="00242DFF">
        <w:t>Cramerovo</w:t>
      </w:r>
      <w:proofErr w:type="spellEnd"/>
      <w:r w:rsidRPr="00242DFF">
        <w:t xml:space="preserve"> V (CV) byly použity s hladinou významnosti &lt;0,05.</w:t>
      </w:r>
      <w:r w:rsidR="007856C5">
        <w:t xml:space="preserve"> *</w:t>
      </w:r>
      <w:r w:rsidR="00133A5A">
        <w:t>**</w:t>
      </w:r>
      <w:r w:rsidR="007856C5">
        <w:t xml:space="preserve">* </w:t>
      </w:r>
      <w:r w:rsidR="007856C5" w:rsidRPr="007856C5">
        <w:t xml:space="preserve">Z důvodu splnění podmínek pro výpočet </w:t>
      </w:r>
      <w:proofErr w:type="spellStart"/>
      <w:r w:rsidR="007856C5" w:rsidRPr="007856C5">
        <w:t>Pearsonova</w:t>
      </w:r>
      <w:proofErr w:type="spellEnd"/>
      <w:r w:rsidR="007856C5" w:rsidRPr="007856C5">
        <w:t xml:space="preserve"> chí-kvadrátu bylo v dílčí analýze použito binární rozlišení způsobů ukončení ošetření, a to na propuštění do domácí</w:t>
      </w:r>
      <w:r w:rsidR="00551CC4">
        <w:t>/</w:t>
      </w:r>
      <w:r w:rsidR="007856C5" w:rsidRPr="007856C5">
        <w:t xml:space="preserve">jiné formy péče (bez ohledu na způsob dopravy) a hospitalizaci (bez ohledu na typ </w:t>
      </w:r>
      <w:r w:rsidR="00426E9E">
        <w:t xml:space="preserve">nemocničního </w:t>
      </w:r>
      <w:r w:rsidR="007856C5" w:rsidRPr="007856C5">
        <w:t>lůžka).</w:t>
      </w:r>
      <w:r w:rsidR="00790008">
        <w:t xml:space="preserve"> </w:t>
      </w:r>
      <w:r w:rsidR="00790008" w:rsidRPr="00790008">
        <w:t>P-hodnota rozdílu</w:t>
      </w:r>
      <w:r w:rsidR="00AD1ED8">
        <w:t xml:space="preserve"> mezi roky 2019 a 2023</w:t>
      </w:r>
      <w:r w:rsidR="00790008" w:rsidRPr="00790008">
        <w:t xml:space="preserve"> udává statistickou významnost rozdílu v rozložení četností mezi </w:t>
      </w:r>
      <w:r w:rsidR="00E93B5B">
        <w:t>oběma sledovanými ročníky</w:t>
      </w:r>
      <w:r w:rsidR="00790008" w:rsidRPr="00790008">
        <w:t>.</w:t>
      </w:r>
    </w:p>
    <w:p w14:paraId="0554CBCC" w14:textId="1A610C3C" w:rsidR="009367DC" w:rsidRDefault="009367DC" w:rsidP="002E32D6">
      <w:pPr>
        <w:pStyle w:val="Nadpis1"/>
        <w:numPr>
          <w:ilvl w:val="0"/>
          <w:numId w:val="14"/>
        </w:numPr>
      </w:pPr>
      <w:bookmarkStart w:id="63" w:name="_Toc195517118"/>
      <w:proofErr w:type="gramStart"/>
      <w:r>
        <w:lastRenderedPageBreak/>
        <w:t>Diskuze</w:t>
      </w:r>
      <w:bookmarkEnd w:id="63"/>
      <w:proofErr w:type="gramEnd"/>
    </w:p>
    <w:p w14:paraId="0365C4FA" w14:textId="2241FEE5" w:rsidR="00C431BD" w:rsidRDefault="009E6771" w:rsidP="00E81800">
      <w:pPr>
        <w:pStyle w:val="Odstavec1"/>
      </w:pPr>
      <w:r>
        <w:t>V</w:t>
      </w:r>
      <w:r w:rsidR="00EA4C09">
        <w:t>ýzkumný</w:t>
      </w:r>
      <w:r>
        <w:t>m</w:t>
      </w:r>
      <w:r w:rsidR="00EA4C09">
        <w:t xml:space="preserve"> záměr</w:t>
      </w:r>
      <w:r>
        <w:t>em</w:t>
      </w:r>
      <w:r w:rsidR="00EA4C09">
        <w:t xml:space="preserve"> diplomové práce</w:t>
      </w:r>
      <w:r w:rsidR="00683AB3">
        <w:t xml:space="preserve"> bylo zjistit</w:t>
      </w:r>
      <w:r>
        <w:t>,</w:t>
      </w:r>
      <w:r w:rsidR="00683AB3">
        <w:t xml:space="preserve"> jaký vliv má stárnutí české populace na </w:t>
      </w:r>
      <w:r w:rsidR="00E939E8">
        <w:t xml:space="preserve">Nízkoprahový </w:t>
      </w:r>
      <w:r w:rsidR="00683AB3">
        <w:t>urgentní příjem</w:t>
      </w:r>
      <w:r w:rsidR="00E939E8">
        <w:t xml:space="preserve"> Fakultní nemocnice Brno</w:t>
      </w:r>
      <w:r w:rsidR="00683AB3">
        <w:t>.</w:t>
      </w:r>
      <w:r w:rsidR="00FB6D9C">
        <w:t xml:space="preserve"> </w:t>
      </w:r>
      <w:r w:rsidR="00F84256">
        <w:t>V</w:t>
      </w:r>
      <w:r w:rsidR="00F17CB5">
        <w:t> </w:t>
      </w:r>
      <w:r w:rsidR="002B6949">
        <w:t>počátku</w:t>
      </w:r>
      <w:r w:rsidR="00036379">
        <w:t xml:space="preserve"> výzkumné</w:t>
      </w:r>
      <w:r w:rsidR="00F84256">
        <w:t xml:space="preserve"> </w:t>
      </w:r>
      <w:r w:rsidR="00AB2DB6">
        <w:t>části</w:t>
      </w:r>
      <w:r w:rsidR="0010164D" w:rsidRPr="0010164D">
        <w:t xml:space="preserve"> bylo p</w:t>
      </w:r>
      <w:r w:rsidR="00D415A3" w:rsidRPr="0010164D">
        <w:t>ops</w:t>
      </w:r>
      <w:r w:rsidR="00F84256">
        <w:t>áno</w:t>
      </w:r>
      <w:r w:rsidR="00D415A3" w:rsidRPr="00C927E7">
        <w:t xml:space="preserve"> složení pacientů ve věku 75</w:t>
      </w:r>
      <w:r w:rsidR="00D415A3">
        <w:t xml:space="preserve"> a více let</w:t>
      </w:r>
      <w:r w:rsidR="00D415A3" w:rsidRPr="00C927E7">
        <w:t xml:space="preserve"> ošetřených na N</w:t>
      </w:r>
      <w:r w:rsidR="00AB2DB6">
        <w:t>UP</w:t>
      </w:r>
      <w:r w:rsidR="00D415A3" w:rsidRPr="00C927E7">
        <w:t xml:space="preserve"> F</w:t>
      </w:r>
      <w:r w:rsidR="00AB2DB6">
        <w:t>N</w:t>
      </w:r>
      <w:r w:rsidR="00D415A3" w:rsidRPr="00C927E7">
        <w:t xml:space="preserve"> Brno v</w:t>
      </w:r>
      <w:r w:rsidR="00D415A3">
        <w:t> </w:t>
      </w:r>
      <w:r w:rsidR="00D415A3" w:rsidRPr="00C927E7">
        <w:t>letech 2019 a</w:t>
      </w:r>
      <w:r w:rsidR="00D415A3">
        <w:t> </w:t>
      </w:r>
      <w:r w:rsidR="00D415A3" w:rsidRPr="00C927E7">
        <w:t>2023.</w:t>
      </w:r>
      <w:r w:rsidR="00FC02BF">
        <w:t xml:space="preserve"> </w:t>
      </w:r>
      <w:r w:rsidR="00740CD0">
        <w:t>Popis výběrového i základního souboru pacientů</w:t>
      </w:r>
      <w:r w:rsidR="00617774">
        <w:t xml:space="preserve"> </w:t>
      </w:r>
      <w:r w:rsidR="00740CD0">
        <w:t>vycházel z</w:t>
      </w:r>
      <w:r w:rsidR="00745456">
        <w:t> </w:t>
      </w:r>
      <w:r w:rsidR="00740CD0">
        <w:t>celkového počtu pacientů</w:t>
      </w:r>
      <w:r w:rsidR="002B61E2">
        <w:t xml:space="preserve"> (</w:t>
      </w:r>
      <w:r w:rsidR="00740CD0">
        <w:t>jejich pohlaví a věku, včetně rozdílů mezi sledovanými roky</w:t>
      </w:r>
      <w:r w:rsidR="002B61E2">
        <w:t>) a</w:t>
      </w:r>
      <w:r w:rsidR="00660A25">
        <w:t> </w:t>
      </w:r>
      <w:r w:rsidR="00740CD0">
        <w:t xml:space="preserve">frekvenčních statistik pro </w:t>
      </w:r>
      <w:r w:rsidR="00906A00">
        <w:t>oba kalendářní roky</w:t>
      </w:r>
      <w:r w:rsidR="00740CD0">
        <w:t>, které zahrnovaly objemový popis dle zjištěných charakteristik</w:t>
      </w:r>
      <w:r w:rsidR="00FC02BF">
        <w:t xml:space="preserve"> (</w:t>
      </w:r>
      <w:r w:rsidR="00740CD0">
        <w:t>způsob dopravy k ošetření, spádovost, doporučení k ošetření, typ ošetřující ambulance, využití observačního lůžka, zobrazovacích metod a konzilií specialisty, způsob ukončení ošetření a</w:t>
      </w:r>
      <w:r w:rsidR="00745456">
        <w:t> </w:t>
      </w:r>
      <w:r w:rsidR="00740CD0">
        <w:t>u části souboru taktéž zjištěná diagnóza).</w:t>
      </w:r>
    </w:p>
    <w:p w14:paraId="3B6C42C0" w14:textId="6694C2A0" w:rsidR="00617568" w:rsidRDefault="00FB370E" w:rsidP="00253B46">
      <w:pPr>
        <w:pStyle w:val="Dalodstavce"/>
        <w:rPr>
          <w:lang w:eastAsia="sk-SK"/>
        </w:rPr>
      </w:pPr>
      <w:r w:rsidRPr="002E5EB4">
        <w:rPr>
          <w:lang w:eastAsia="sk-SK"/>
        </w:rPr>
        <w:t xml:space="preserve">Ve </w:t>
      </w:r>
      <w:r w:rsidR="00D62381" w:rsidRPr="002E5EB4">
        <w:rPr>
          <w:lang w:eastAsia="sk-SK"/>
        </w:rPr>
        <w:t>sledova</w:t>
      </w:r>
      <w:r w:rsidRPr="002E5EB4">
        <w:rPr>
          <w:lang w:eastAsia="sk-SK"/>
        </w:rPr>
        <w:t xml:space="preserve">ném </w:t>
      </w:r>
      <w:r w:rsidR="00D62381" w:rsidRPr="002E5EB4">
        <w:rPr>
          <w:lang w:eastAsia="sk-SK"/>
        </w:rPr>
        <w:t>souboru</w:t>
      </w:r>
      <w:r w:rsidRPr="00532F19">
        <w:rPr>
          <w:lang w:eastAsia="sk-SK"/>
        </w:rPr>
        <w:t xml:space="preserve"> došlo k</w:t>
      </w:r>
      <w:r w:rsidR="00D62381" w:rsidRPr="00532F19">
        <w:rPr>
          <w:lang w:eastAsia="sk-SK"/>
        </w:rPr>
        <w:t xml:space="preserve"> meziročnímu </w:t>
      </w:r>
      <w:r w:rsidRPr="00532F19">
        <w:rPr>
          <w:lang w:eastAsia="sk-SK"/>
        </w:rPr>
        <w:t xml:space="preserve">nárůstu </w:t>
      </w:r>
      <w:r w:rsidR="00EE3CF5" w:rsidRPr="00532F19">
        <w:rPr>
          <w:lang w:eastAsia="sk-SK"/>
        </w:rPr>
        <w:t>pacientů</w:t>
      </w:r>
      <w:r w:rsidRPr="00532F19">
        <w:rPr>
          <w:lang w:eastAsia="sk-SK"/>
        </w:rPr>
        <w:t xml:space="preserve"> ve věku 75 a více let o 4,37 procentního bud</w:t>
      </w:r>
      <w:r w:rsidR="00334F2B" w:rsidRPr="00532F19">
        <w:rPr>
          <w:lang w:eastAsia="sk-SK"/>
        </w:rPr>
        <w:t>u</w:t>
      </w:r>
      <w:r w:rsidR="007929BD" w:rsidRPr="00532F19">
        <w:rPr>
          <w:lang w:eastAsia="sk-SK"/>
        </w:rPr>
        <w:t xml:space="preserve"> (z 30,18 % </w:t>
      </w:r>
      <w:r w:rsidR="00043CAB" w:rsidRPr="00532F19">
        <w:rPr>
          <w:lang w:eastAsia="sk-SK"/>
        </w:rPr>
        <w:t xml:space="preserve">v roce 2019 </w:t>
      </w:r>
      <w:r w:rsidR="007929BD" w:rsidRPr="00532F19">
        <w:rPr>
          <w:lang w:eastAsia="sk-SK"/>
        </w:rPr>
        <w:t>na 34,55 %</w:t>
      </w:r>
      <w:r w:rsidR="00043CAB" w:rsidRPr="00532F19">
        <w:rPr>
          <w:lang w:eastAsia="sk-SK"/>
        </w:rPr>
        <w:t xml:space="preserve"> v roce 2023</w:t>
      </w:r>
      <w:r w:rsidR="007929BD" w:rsidRPr="00532F19">
        <w:rPr>
          <w:lang w:eastAsia="sk-SK"/>
        </w:rPr>
        <w:t>)</w:t>
      </w:r>
      <w:r w:rsidR="00334F2B" w:rsidRPr="00532F19">
        <w:rPr>
          <w:lang w:eastAsia="sk-SK"/>
        </w:rPr>
        <w:t>,</w:t>
      </w:r>
      <w:r w:rsidR="00040355">
        <w:rPr>
          <w:lang w:eastAsia="sk-SK"/>
        </w:rPr>
        <w:t xml:space="preserve"> </w:t>
      </w:r>
      <w:r w:rsidR="006860BF" w:rsidRPr="00532F19">
        <w:rPr>
          <w:lang w:eastAsia="sk-SK"/>
        </w:rPr>
        <w:t>viz Grafy</w:t>
      </w:r>
      <w:r w:rsidR="00D62784">
        <w:rPr>
          <w:lang w:eastAsia="sk-SK"/>
        </w:rPr>
        <w:t> </w:t>
      </w:r>
      <w:r w:rsidR="006860BF" w:rsidRPr="00532F19">
        <w:rPr>
          <w:lang w:eastAsia="sk-SK"/>
        </w:rPr>
        <w:t>1 a 2</w:t>
      </w:r>
      <w:r w:rsidR="00B1271B" w:rsidRPr="00532F19">
        <w:rPr>
          <w:lang w:eastAsia="sk-SK"/>
        </w:rPr>
        <w:t>.</w:t>
      </w:r>
      <w:r w:rsidR="0001496C" w:rsidRPr="00532F19">
        <w:rPr>
          <w:lang w:eastAsia="sk-SK"/>
        </w:rPr>
        <w:t xml:space="preserve"> Obdobné procentuální zastoupení</w:t>
      </w:r>
      <w:r w:rsidR="00FC7830" w:rsidRPr="00532F19">
        <w:rPr>
          <w:lang w:eastAsia="sk-SK"/>
        </w:rPr>
        <w:t xml:space="preserve"> pacientů vyššího věku na urgentní</w:t>
      </w:r>
      <w:r w:rsidR="000F1CE6" w:rsidRPr="00532F19">
        <w:rPr>
          <w:lang w:eastAsia="sk-SK"/>
        </w:rPr>
        <w:t>m</w:t>
      </w:r>
      <w:r w:rsidR="003E4F12" w:rsidRPr="00532F19">
        <w:rPr>
          <w:lang w:eastAsia="sk-SK"/>
        </w:rPr>
        <w:t xml:space="preserve"> příjm</w:t>
      </w:r>
      <w:r w:rsidR="000F1CE6" w:rsidRPr="00532F19">
        <w:rPr>
          <w:lang w:eastAsia="sk-SK"/>
        </w:rPr>
        <w:t>u</w:t>
      </w:r>
      <w:r w:rsidR="003E4F12" w:rsidRPr="00532F19">
        <w:rPr>
          <w:lang w:eastAsia="sk-SK"/>
        </w:rPr>
        <w:t xml:space="preserve"> </w:t>
      </w:r>
      <w:r w:rsidR="00344A59">
        <w:rPr>
          <w:lang w:eastAsia="sk-SK"/>
        </w:rPr>
        <w:t xml:space="preserve">přitom </w:t>
      </w:r>
      <w:r w:rsidR="00FC7830" w:rsidRPr="00532F19">
        <w:rPr>
          <w:lang w:eastAsia="sk-SK"/>
        </w:rPr>
        <w:t>popisuj</w:t>
      </w:r>
      <w:r w:rsidR="000F1CE6" w:rsidRPr="00532F19">
        <w:rPr>
          <w:lang w:eastAsia="sk-SK"/>
        </w:rPr>
        <w:t>í</w:t>
      </w:r>
      <w:r w:rsidR="00FC7830" w:rsidRPr="00532F19">
        <w:rPr>
          <w:lang w:eastAsia="sk-SK"/>
        </w:rPr>
        <w:t xml:space="preserve"> </w:t>
      </w:r>
      <w:r w:rsidR="00174F05" w:rsidRPr="00532F19">
        <w:rPr>
          <w:lang w:eastAsia="sk-SK"/>
        </w:rPr>
        <w:t xml:space="preserve">ve své práci </w:t>
      </w:r>
      <w:r w:rsidR="00913C84">
        <w:rPr>
          <w:lang w:eastAsia="sk-SK"/>
        </w:rPr>
        <w:t xml:space="preserve">mj. </w:t>
      </w:r>
      <w:r w:rsidR="00FC7830" w:rsidRPr="00532F19">
        <w:rPr>
          <w:lang w:eastAsia="sk-SK"/>
        </w:rPr>
        <w:t xml:space="preserve">i </w:t>
      </w:r>
      <w:r w:rsidR="000F1CE6" w:rsidRPr="00532F19">
        <w:rPr>
          <w:lang w:eastAsia="sk-SK"/>
        </w:rPr>
        <w:t>Topinková a</w:t>
      </w:r>
      <w:r w:rsidR="004018F5" w:rsidRPr="00532F19">
        <w:rPr>
          <w:lang w:eastAsia="sk-SK"/>
        </w:rPr>
        <w:t> </w:t>
      </w:r>
      <w:r w:rsidR="000F1CE6" w:rsidRPr="00532F19">
        <w:rPr>
          <w:lang w:eastAsia="sk-SK"/>
        </w:rPr>
        <w:t>Berková</w:t>
      </w:r>
      <w:r w:rsidR="000F1CE6" w:rsidRPr="00532F19">
        <w:rPr>
          <w:lang w:eastAsia="sk-SK"/>
        </w:rPr>
        <w:fldChar w:fldCharType="begin"/>
      </w:r>
      <w:r w:rsidR="009B3709">
        <w:rPr>
          <w:lang w:eastAsia="sk-SK"/>
        </w:rPr>
        <w:instrText xml:space="preserve"> ADDIN ZOTERO_ITEM CSL_CITATION {"citationID":"sCK2nJAl","properties":{"formattedCitation":"\\super 45\\nosupersub{}","plainCitation":"45","noteIndex":0},"citationItems":[{"id":219,"uris":["http://zotero.org/users/9426386/items/G62HNQQB"],"itemData":{"id":219,"type":"article-journal","container-title":"Geri a gero","ISSN":"1805-4684","issue":"2","language":"cs","page":"79-85","title":"Geriatrický pacient na oddělení urgentního příjmu","volume":"5","author":[{"family":"Topinková","given":"E."},{"family":"Berková","given":"M."}],"issued":{"date-parts":[["2016"]]}},"label":"page"}],"schema":"https://github.com/citation-style-language/schema/raw/master/csl-citation.json"} </w:instrText>
      </w:r>
      <w:r w:rsidR="000F1CE6" w:rsidRPr="00532F19">
        <w:rPr>
          <w:lang w:eastAsia="sk-SK"/>
        </w:rPr>
        <w:fldChar w:fldCharType="separate"/>
      </w:r>
      <w:r w:rsidR="001300F0" w:rsidRPr="001300F0">
        <w:rPr>
          <w:vertAlign w:val="superscript"/>
        </w:rPr>
        <w:t>45</w:t>
      </w:r>
      <w:r w:rsidR="000F1CE6" w:rsidRPr="00532F19">
        <w:rPr>
          <w:lang w:eastAsia="sk-SK"/>
        </w:rPr>
        <w:fldChar w:fldCharType="end"/>
      </w:r>
      <w:r w:rsidR="000F1CE6" w:rsidRPr="00532F19">
        <w:rPr>
          <w:lang w:eastAsia="sk-SK"/>
        </w:rPr>
        <w:t>.</w:t>
      </w:r>
      <w:r w:rsidR="006E09C3" w:rsidRPr="00532F19">
        <w:rPr>
          <w:lang w:eastAsia="sk-SK"/>
        </w:rPr>
        <w:t xml:space="preserve"> </w:t>
      </w:r>
      <w:r w:rsidR="00344A59">
        <w:rPr>
          <w:lang w:eastAsia="sk-SK"/>
        </w:rPr>
        <w:t>N</w:t>
      </w:r>
      <w:r w:rsidR="004C46D3" w:rsidRPr="00532F19">
        <w:rPr>
          <w:lang w:eastAsia="sk-SK"/>
        </w:rPr>
        <w:t xml:space="preserve">arůstající </w:t>
      </w:r>
      <w:r w:rsidR="00C1541B" w:rsidRPr="00532F19">
        <w:rPr>
          <w:lang w:eastAsia="sk-SK"/>
        </w:rPr>
        <w:t>počet seniorních pacientů</w:t>
      </w:r>
      <w:r w:rsidR="007E5298" w:rsidRPr="00532F19">
        <w:rPr>
          <w:lang w:eastAsia="sk-SK"/>
        </w:rPr>
        <w:t xml:space="preserve"> jakožto jeden ze společných rysů dopadů stárnutí populace na urgentní příjmy</w:t>
      </w:r>
      <w:r w:rsidR="00487A34" w:rsidRPr="00532F19">
        <w:rPr>
          <w:lang w:eastAsia="sk-SK"/>
        </w:rPr>
        <w:t xml:space="preserve"> napříč celosvětovým spektrem </w:t>
      </w:r>
      <w:r w:rsidR="00344A59">
        <w:rPr>
          <w:lang w:eastAsia="sk-SK"/>
        </w:rPr>
        <w:t xml:space="preserve">ovšem </w:t>
      </w:r>
      <w:r w:rsidR="00487A34" w:rsidRPr="00532F19">
        <w:rPr>
          <w:lang w:eastAsia="sk-SK"/>
        </w:rPr>
        <w:t>zmiňuj</w:t>
      </w:r>
      <w:r w:rsidR="00E23E3F" w:rsidRPr="00532F19">
        <w:rPr>
          <w:lang w:eastAsia="sk-SK"/>
        </w:rPr>
        <w:t>e</w:t>
      </w:r>
      <w:r w:rsidR="00487A34" w:rsidRPr="00532F19">
        <w:rPr>
          <w:lang w:eastAsia="sk-SK"/>
        </w:rPr>
        <w:t xml:space="preserve"> i</w:t>
      </w:r>
      <w:r w:rsidR="004018F5" w:rsidRPr="00532F19">
        <w:rPr>
          <w:lang w:eastAsia="sk-SK"/>
        </w:rPr>
        <w:t> </w:t>
      </w:r>
      <w:r w:rsidR="00870B67" w:rsidRPr="00532F19">
        <w:rPr>
          <w:lang w:eastAsia="sk-SK"/>
        </w:rPr>
        <w:t xml:space="preserve">řada dalších </w:t>
      </w:r>
      <w:r w:rsidR="00535587" w:rsidRPr="00532F19">
        <w:rPr>
          <w:lang w:eastAsia="sk-SK"/>
        </w:rPr>
        <w:t>auto</w:t>
      </w:r>
      <w:r w:rsidR="00870B67" w:rsidRPr="00532F19">
        <w:rPr>
          <w:lang w:eastAsia="sk-SK"/>
        </w:rPr>
        <w:t>rů</w:t>
      </w:r>
      <w:r w:rsidR="00AF4603" w:rsidRPr="00532F19">
        <w:rPr>
          <w:lang w:eastAsia="sk-SK"/>
        </w:rPr>
        <w:fldChar w:fldCharType="begin"/>
      </w:r>
      <w:r w:rsidR="009B3709">
        <w:rPr>
          <w:lang w:eastAsia="sk-SK"/>
        </w:rPr>
        <w:instrText xml:space="preserve"> ADDIN ZOTERO_ITEM CSL_CITATION {"citationID":"PtPIhd7X","properties":{"formattedCitation":"\\super 46,47\\nosupersub{}","plainCitation":"46,47","noteIndex":0},"citationItems":[{"id":220,"uris":["http://zotero.org/users/9426386/items/2ZXTF9HP"],"itemData":{"id":220,"type":"article-journal","container-title":"BMC Geriatrics","DOI":"10.1186/s12877-024-05429-9","ISSN":"1471-2318","journalAbbreviation":"BMC Geriatr","language":"en","note":"PMID: 39472812\nPMCID: PMC11520431","page":"890","source":"PubMed Central","title":"“The stay here is, of course, not appropriate for an old person”: the perspective of healthcare providers on older patients in the emergency department","title-short":"“The stay here is, of course, not appropriate for an old person”","volume":"24","author":[{"family":"Deutschbein","given":"Johannes"},{"family":"Wagenknecht","given":"Andreas"},{"family":"Gilles","given":"Gabriela"},{"family":"Möckel","given":"Martin"},{"family":"Schenk","given":"Liane"}],"issued":{"date-parts":[["2024",10,29]]}},"label":"page"},{"id":214,"uris":["http://zotero.org/users/9426386/items/SBCH4UM2"],"itemData":{"id":214,"type":"article-journal","container-title":"BMC emergency medicine","DOI":"10.1186/s12873-019-0236-3","ISSN":"1471-227X","issue":"1","journalAbbreviation":"BMC Emerg Med","language":"eng","note":"PMID: 30813898\nPMCID: PMC6391758","page":"20","source":"PubMed","title":"Emergency department visits in older patients: a population-based survey","title-short":"Emergency department visits in older patients","volume":"19","author":[{"family":"Ukkonen","given":"Mika"},{"family":"Jämsen","given":"Esa"},{"family":"Zeitlin","given":"Rainer"},{"family":"Pauniaho","given":"Satu-Liisa"}],"issued":{"date-parts":[["2019",2,27]]}}}],"schema":"https://github.com/citation-style-language/schema/raw/master/csl-citation.json"} </w:instrText>
      </w:r>
      <w:r w:rsidR="00AF4603" w:rsidRPr="00532F19">
        <w:rPr>
          <w:lang w:eastAsia="sk-SK"/>
        </w:rPr>
        <w:fldChar w:fldCharType="separate"/>
      </w:r>
      <w:r w:rsidR="001300F0" w:rsidRPr="001300F0">
        <w:rPr>
          <w:vertAlign w:val="superscript"/>
        </w:rPr>
        <w:t>46,47</w:t>
      </w:r>
      <w:r w:rsidR="00AF4603" w:rsidRPr="00532F19">
        <w:rPr>
          <w:lang w:eastAsia="sk-SK"/>
        </w:rPr>
        <w:fldChar w:fldCharType="end"/>
      </w:r>
      <w:r w:rsidR="00FC7830" w:rsidRPr="00532F19">
        <w:rPr>
          <w:lang w:eastAsia="sk-SK"/>
        </w:rPr>
        <w:t>.</w:t>
      </w:r>
      <w:r w:rsidR="00E502AD" w:rsidRPr="00532F19">
        <w:rPr>
          <w:lang w:eastAsia="sk-SK"/>
        </w:rPr>
        <w:t xml:space="preserve"> </w:t>
      </w:r>
      <w:r w:rsidR="004F23F4" w:rsidRPr="00532F19">
        <w:rPr>
          <w:lang w:eastAsia="sk-SK"/>
        </w:rPr>
        <w:t>Byť byl rozdíl v podílu pacientů ve věkové kategorii 75 a více let ošetřených na NUP FN Brno na hranici statistické významnosti (na základě porovnání konfidenčních intervalů v</w:t>
      </w:r>
      <w:r w:rsidR="00960889">
        <w:rPr>
          <w:lang w:eastAsia="sk-SK"/>
        </w:rPr>
        <w:t> </w:t>
      </w:r>
      <w:r w:rsidR="004F23F4" w:rsidRPr="00532F19">
        <w:rPr>
          <w:lang w:eastAsia="sk-SK"/>
        </w:rPr>
        <w:t>Tabulce</w:t>
      </w:r>
      <w:r w:rsidR="00960889">
        <w:rPr>
          <w:lang w:eastAsia="sk-SK"/>
        </w:rPr>
        <w:t> </w:t>
      </w:r>
      <w:r w:rsidR="004F23F4" w:rsidRPr="00532F19">
        <w:rPr>
          <w:lang w:eastAsia="sk-SK"/>
        </w:rPr>
        <w:t>7), lze konstatovat, že mezi lety 2019 a</w:t>
      </w:r>
      <w:r w:rsidR="00E33348" w:rsidRPr="00532F19">
        <w:rPr>
          <w:lang w:eastAsia="sk-SK"/>
        </w:rPr>
        <w:t> </w:t>
      </w:r>
      <w:r w:rsidR="004F23F4" w:rsidRPr="00532F19">
        <w:rPr>
          <w:lang w:eastAsia="sk-SK"/>
        </w:rPr>
        <w:t>2023 došlo k</w:t>
      </w:r>
      <w:r w:rsidR="005C63DA">
        <w:rPr>
          <w:lang w:eastAsia="sk-SK"/>
        </w:rPr>
        <w:t xml:space="preserve"> jejich </w:t>
      </w:r>
      <w:r w:rsidR="004F23F4" w:rsidRPr="00532F19">
        <w:rPr>
          <w:lang w:eastAsia="sk-SK"/>
        </w:rPr>
        <w:t xml:space="preserve">nárůstu. </w:t>
      </w:r>
      <w:r w:rsidR="00347397" w:rsidRPr="00347397">
        <w:rPr>
          <w:lang w:eastAsia="sk-SK"/>
        </w:rPr>
        <w:t xml:space="preserve">Na meziročním nárůstu podílu pacientů ve věku 75+ se více podíleli muži, u nichž byl tento nárůst výraznější a statisticky významný, jak je uvedeno v Tabulce 8. Přesto však ve všech věkových kategoriích v obou letech převažovaly ženy nad muži a u mužů byl dále patrný nižší průměrný věk, viz Graf 3 a Tabulky 3, 4 a 6. Početní zastoupení pacientů ve věku 75+ v jednotlivých věkových kategoriích klesalo s rostoucím věkem u obou pohlaví, a to v obou sledovaných letech. Popsaná zjištění odpovídají demografickým trendům uvedeným v teoretické části práce, přičemž obdobné výsledky uvádějí i další čeští </w:t>
      </w:r>
      <w:r w:rsidR="00347397" w:rsidRPr="001E6146">
        <w:rPr>
          <w:lang w:eastAsia="sk-SK"/>
        </w:rPr>
        <w:t>autoři</w:t>
      </w:r>
      <w:r w:rsidR="009570FC" w:rsidRPr="001E6146">
        <w:rPr>
          <w:lang w:eastAsia="sk-SK"/>
        </w:rPr>
        <w:fldChar w:fldCharType="begin"/>
      </w:r>
      <w:r w:rsidR="009B3709">
        <w:rPr>
          <w:lang w:eastAsia="sk-SK"/>
        </w:rPr>
        <w:instrText xml:space="preserve"> ADDIN ZOTERO_ITEM CSL_CITATION {"citationID":"gjUIihLd","properties":{"formattedCitation":"\\super 45\\nosupersub{}","plainCitation":"45","noteIndex":0},"citationItems":[{"id":219,"uris":["http://zotero.org/users/9426386/items/G62HNQQB"],"itemData":{"id":219,"type":"article-journal","container-title":"Geri a gero","ISSN":"1805-4684","issue":"2","language":"cs","page":"79-85","title":"Geriatrický pacient na oddělení urgentního příjmu","volume":"5","author":[{"family":"Topinková","given":"E."},{"family":"Berková","given":"M."}],"issued":{"date-parts":[["2016"]]}},"label":"page"}],"schema":"https://github.com/citation-style-language/schema/raw/master/csl-citation.json"} </w:instrText>
      </w:r>
      <w:r w:rsidR="009570FC" w:rsidRPr="001E6146">
        <w:rPr>
          <w:lang w:eastAsia="sk-SK"/>
        </w:rPr>
        <w:fldChar w:fldCharType="separate"/>
      </w:r>
      <w:r w:rsidR="001300F0" w:rsidRPr="001300F0">
        <w:rPr>
          <w:vertAlign w:val="superscript"/>
        </w:rPr>
        <w:t>45</w:t>
      </w:r>
      <w:r w:rsidR="009570FC" w:rsidRPr="001E6146">
        <w:rPr>
          <w:lang w:eastAsia="sk-SK"/>
        </w:rPr>
        <w:fldChar w:fldCharType="end"/>
      </w:r>
      <w:r w:rsidR="00A3198F" w:rsidRPr="001E6146">
        <w:rPr>
          <w:lang w:eastAsia="sk-SK"/>
        </w:rPr>
        <w:t xml:space="preserve">. </w:t>
      </w:r>
      <w:r w:rsidR="00605B9D" w:rsidRPr="001E6146">
        <w:rPr>
          <w:lang w:eastAsia="sk-SK"/>
        </w:rPr>
        <w:t>Odlišná situace byla zaznamenána například ve finském výzkumu</w:t>
      </w:r>
      <w:r w:rsidR="00786F0C" w:rsidRPr="001E6146">
        <w:rPr>
          <w:lang w:eastAsia="sk-SK"/>
        </w:rPr>
        <w:fldChar w:fldCharType="begin"/>
      </w:r>
      <w:r w:rsidR="001300F0">
        <w:rPr>
          <w:lang w:eastAsia="sk-SK"/>
        </w:rPr>
        <w:instrText xml:space="preserve"> ADDIN ZOTERO_ITEM CSL_CITATION {"citationID":"5DTK0nVA","properties":{"formattedCitation":"\\super 47\\nosupersub{}","plainCitation":"47","noteIndex":0},"citationItems":[{"id":214,"uris":["http://zotero.org/users/9426386/items/SBCH4UM2"],"itemData":{"id":214,"type":"article-journal","container-title":"BMC emergency medicine","DOI":"10.1186/s12873-019-0236-3","ISSN":"1471-227X","issue":"1","journalAbbreviation":"BMC Emerg Med","language":"eng","note":"PMID: 30813898\nPMCID: PMC6391758","page":"20","source":"PubMed","title":"Emergency department visits in older patients: a population-based survey","title-short":"Emergency department visits in older patients","volume":"19","author":[{"family":"Ukkonen","given":"Mika"},{"family":"Jämsen","given":"Esa"},{"family":"Zeitlin","given":"Rainer"},{"family":"Pauniaho","given":"Satu-Liisa"}],"issued":{"date-parts":[["2019",2,27]]}},"label":"page"}],"schema":"https://github.com/citation-style-language/schema/raw/master/csl-citation.json"} </w:instrText>
      </w:r>
      <w:r w:rsidR="00786F0C" w:rsidRPr="001E6146">
        <w:rPr>
          <w:lang w:eastAsia="sk-SK"/>
        </w:rPr>
        <w:fldChar w:fldCharType="separate"/>
      </w:r>
      <w:r w:rsidR="001300F0" w:rsidRPr="001300F0">
        <w:rPr>
          <w:vertAlign w:val="superscript"/>
        </w:rPr>
        <w:t>47</w:t>
      </w:r>
      <w:r w:rsidR="00786F0C" w:rsidRPr="001E6146">
        <w:rPr>
          <w:lang w:eastAsia="sk-SK"/>
        </w:rPr>
        <w:fldChar w:fldCharType="end"/>
      </w:r>
      <w:r w:rsidR="003D7C2F" w:rsidRPr="001E6146">
        <w:rPr>
          <w:lang w:eastAsia="sk-SK"/>
        </w:rPr>
        <w:t xml:space="preserve">, </w:t>
      </w:r>
      <w:r w:rsidR="00253B46" w:rsidRPr="001E6146">
        <w:rPr>
          <w:lang w:eastAsia="sk-SK"/>
        </w:rPr>
        <w:t xml:space="preserve">který poukázal na takřka rovnoměrné rozložení návštěvnosti urgentního příjmu u starších pacientů podle pohlaví, což může být důsledkem regionálních rozdílů v demografickém stárnutí </w:t>
      </w:r>
      <w:r w:rsidR="001E6146" w:rsidRPr="001E6146">
        <w:rPr>
          <w:lang w:eastAsia="sk-SK"/>
        </w:rPr>
        <w:t xml:space="preserve">tamější </w:t>
      </w:r>
      <w:r w:rsidR="00253B46" w:rsidRPr="001E6146">
        <w:rPr>
          <w:lang w:eastAsia="sk-SK"/>
        </w:rPr>
        <w:t>populace</w:t>
      </w:r>
      <w:r w:rsidR="001E6146" w:rsidRPr="001E6146">
        <w:rPr>
          <w:lang w:eastAsia="sk-SK"/>
        </w:rPr>
        <w:t>.</w:t>
      </w:r>
    </w:p>
    <w:p w14:paraId="4106C0B3" w14:textId="2F73531B" w:rsidR="00261FF9" w:rsidRDefault="00261FF9" w:rsidP="00261FF9">
      <w:pPr>
        <w:pStyle w:val="Dalodstavce"/>
        <w:rPr>
          <w:lang w:eastAsia="sk-SK"/>
        </w:rPr>
      </w:pPr>
      <w:r w:rsidRPr="00B067BB">
        <w:rPr>
          <w:lang w:eastAsia="sk-SK"/>
        </w:rPr>
        <w:t xml:space="preserve">V roce 2019 byli muži ve věku 75+ častěji zastoupeni v nejmladších věkových kategoriích, zejména ve skupině 74–79 let, zatímco ženy dominovaly v kategorii 80–84 let. V roce 2023 však tyto rozdíly nebyly tak výrazné – nejmladší věkové kategorie pacientů </w:t>
      </w:r>
      <w:r w:rsidR="0001540C">
        <w:rPr>
          <w:lang w:eastAsia="sk-SK"/>
        </w:rPr>
        <w:t xml:space="preserve">ve věku </w:t>
      </w:r>
      <w:r w:rsidRPr="00B067BB">
        <w:rPr>
          <w:lang w:eastAsia="sk-SK"/>
        </w:rPr>
        <w:t>75+ již nebyly tak jasně genderově odlišeny jako v roce 2019.  Výraznější genderový rozdíl byl v roce 2023 patrný zejména v nejvyšších věkových kategoriích, kde ženy převažovaly ve věkové skupině 85–89 let a nadále v kategorii 90 a více let. Tato zjištění naznačují postupný posun v</w:t>
      </w:r>
      <w:r w:rsidR="003137E4" w:rsidRPr="00B067BB">
        <w:rPr>
          <w:lang w:eastAsia="sk-SK"/>
        </w:rPr>
        <w:t> </w:t>
      </w:r>
      <w:r w:rsidRPr="00B067BB">
        <w:rPr>
          <w:lang w:eastAsia="sk-SK"/>
        </w:rPr>
        <w:t>demografickém rozložení pacientů na NUP FN</w:t>
      </w:r>
      <w:r w:rsidR="00F24357" w:rsidRPr="00B067BB">
        <w:rPr>
          <w:lang w:eastAsia="sk-SK"/>
        </w:rPr>
        <w:t> </w:t>
      </w:r>
      <w:r w:rsidRPr="00B067BB">
        <w:rPr>
          <w:lang w:eastAsia="sk-SK"/>
        </w:rPr>
        <w:t>Brno v závislosti na jejich pohlaví.</w:t>
      </w:r>
      <w:r w:rsidR="00120CB4">
        <w:rPr>
          <w:lang w:eastAsia="sk-SK"/>
        </w:rPr>
        <w:t xml:space="preserve"> </w:t>
      </w:r>
    </w:p>
    <w:p w14:paraId="56831CA4" w14:textId="7B70C7E0" w:rsidR="00A632E8" w:rsidRDefault="008F237E" w:rsidP="00261FF9">
      <w:pPr>
        <w:pStyle w:val="Dalodstavce"/>
        <w:rPr>
          <w:lang w:eastAsia="sk-SK"/>
        </w:rPr>
      </w:pPr>
      <w:r w:rsidRPr="002E5EB4">
        <w:rPr>
          <w:lang w:eastAsia="sk-SK"/>
        </w:rPr>
        <w:lastRenderedPageBreak/>
        <w:t>Byť d</w:t>
      </w:r>
      <w:r w:rsidR="00B324AE" w:rsidRPr="002E5EB4">
        <w:rPr>
          <w:lang w:eastAsia="sk-SK"/>
        </w:rPr>
        <w:t>oporučení k ošetření</w:t>
      </w:r>
      <w:r w:rsidR="00B324AE">
        <w:rPr>
          <w:lang w:eastAsia="sk-SK"/>
        </w:rPr>
        <w:t xml:space="preserve"> a </w:t>
      </w:r>
      <w:r w:rsidR="00651BEF">
        <w:rPr>
          <w:lang w:eastAsia="sk-SK"/>
        </w:rPr>
        <w:t xml:space="preserve">zjištěné </w:t>
      </w:r>
      <w:r w:rsidR="00B324AE">
        <w:rPr>
          <w:lang w:eastAsia="sk-SK"/>
        </w:rPr>
        <w:t>pacientské diagnózy nebyly předmětem další statistické analýzy</w:t>
      </w:r>
      <w:r w:rsidR="00651BEF">
        <w:rPr>
          <w:lang w:eastAsia="sk-SK"/>
        </w:rPr>
        <w:t xml:space="preserve">, </w:t>
      </w:r>
      <w:r w:rsidR="00C47DDD">
        <w:rPr>
          <w:lang w:eastAsia="sk-SK"/>
        </w:rPr>
        <w:t>stojí</w:t>
      </w:r>
      <w:r w:rsidR="00201F6F">
        <w:rPr>
          <w:lang w:eastAsia="sk-SK"/>
        </w:rPr>
        <w:t xml:space="preserve"> </w:t>
      </w:r>
      <w:r w:rsidR="00651BEF">
        <w:rPr>
          <w:lang w:eastAsia="sk-SK"/>
        </w:rPr>
        <w:t xml:space="preserve">však za zmínku zejména </w:t>
      </w:r>
      <w:r w:rsidR="00B66099">
        <w:rPr>
          <w:lang w:eastAsia="sk-SK"/>
        </w:rPr>
        <w:t>zdravotní obtíž</w:t>
      </w:r>
      <w:r w:rsidR="00BF6848">
        <w:rPr>
          <w:lang w:eastAsia="sk-SK"/>
        </w:rPr>
        <w:t>e</w:t>
      </w:r>
      <w:r w:rsidR="00B66099">
        <w:rPr>
          <w:lang w:eastAsia="sk-SK"/>
        </w:rPr>
        <w:t>, jež přivá</w:t>
      </w:r>
      <w:r w:rsidR="008E6DB5">
        <w:rPr>
          <w:lang w:eastAsia="sk-SK"/>
        </w:rPr>
        <w:t>d</w:t>
      </w:r>
      <w:r w:rsidR="006723A6">
        <w:rPr>
          <w:lang w:eastAsia="sk-SK"/>
        </w:rPr>
        <w:t>ěly</w:t>
      </w:r>
      <w:r w:rsidR="00B66099">
        <w:rPr>
          <w:lang w:eastAsia="sk-SK"/>
        </w:rPr>
        <w:t xml:space="preserve"> osoby ve věku 75 a více let na</w:t>
      </w:r>
      <w:r w:rsidR="008E6DB5">
        <w:rPr>
          <w:lang w:eastAsia="sk-SK"/>
        </w:rPr>
        <w:t xml:space="preserve"> </w:t>
      </w:r>
      <w:r w:rsidR="005504B1">
        <w:rPr>
          <w:lang w:eastAsia="sk-SK"/>
        </w:rPr>
        <w:t>nízkoprahov</w:t>
      </w:r>
      <w:r w:rsidR="008E6DB5">
        <w:rPr>
          <w:lang w:eastAsia="sk-SK"/>
        </w:rPr>
        <w:t>ý</w:t>
      </w:r>
      <w:r w:rsidR="005504B1">
        <w:rPr>
          <w:lang w:eastAsia="sk-SK"/>
        </w:rPr>
        <w:t xml:space="preserve"> urgentní příj</w:t>
      </w:r>
      <w:r w:rsidR="008E6DB5">
        <w:rPr>
          <w:lang w:eastAsia="sk-SK"/>
        </w:rPr>
        <w:t>e</w:t>
      </w:r>
      <w:r w:rsidR="005504B1">
        <w:rPr>
          <w:lang w:eastAsia="sk-SK"/>
        </w:rPr>
        <w:t>m</w:t>
      </w:r>
      <w:r w:rsidR="008E6DB5">
        <w:rPr>
          <w:lang w:eastAsia="sk-SK"/>
        </w:rPr>
        <w:t xml:space="preserve"> (viz Grafy </w:t>
      </w:r>
      <w:r w:rsidR="007170F4">
        <w:rPr>
          <w:lang w:eastAsia="sk-SK"/>
        </w:rPr>
        <w:t>4</w:t>
      </w:r>
      <w:r w:rsidR="008E6DB5">
        <w:rPr>
          <w:lang w:eastAsia="sk-SK"/>
        </w:rPr>
        <w:t xml:space="preserve"> a </w:t>
      </w:r>
      <w:r w:rsidR="007170F4">
        <w:rPr>
          <w:lang w:eastAsia="sk-SK"/>
        </w:rPr>
        <w:t>5</w:t>
      </w:r>
      <w:r w:rsidR="008E6DB5">
        <w:rPr>
          <w:lang w:eastAsia="sk-SK"/>
        </w:rPr>
        <w:t>)</w:t>
      </w:r>
      <w:r w:rsidR="00874904">
        <w:rPr>
          <w:lang w:eastAsia="sk-SK"/>
        </w:rPr>
        <w:t>.</w:t>
      </w:r>
      <w:r w:rsidR="00AB4891">
        <w:rPr>
          <w:lang w:eastAsia="sk-SK"/>
        </w:rPr>
        <w:t xml:space="preserve"> </w:t>
      </w:r>
      <w:r w:rsidR="00B52A59">
        <w:rPr>
          <w:lang w:eastAsia="sk-SK"/>
        </w:rPr>
        <w:t xml:space="preserve">Mezi specifickými zdravotními stavy </w:t>
      </w:r>
      <w:r w:rsidR="00761232">
        <w:rPr>
          <w:lang w:eastAsia="sk-SK"/>
        </w:rPr>
        <w:t>(</w:t>
      </w:r>
      <w:r w:rsidR="005C508D" w:rsidRPr="004C0B2D">
        <w:rPr>
          <w:lang w:eastAsia="sk-SK"/>
        </w:rPr>
        <w:t xml:space="preserve">bronchopneumonie, </w:t>
      </w:r>
      <w:r w:rsidR="0082480A" w:rsidRPr="004C0B2D">
        <w:rPr>
          <w:lang w:eastAsia="sk-SK"/>
        </w:rPr>
        <w:t>městnavé selhání srdce</w:t>
      </w:r>
      <w:r w:rsidR="00DA1D81" w:rsidRPr="004C0B2D">
        <w:rPr>
          <w:lang w:eastAsia="sk-SK"/>
        </w:rPr>
        <w:t xml:space="preserve">, </w:t>
      </w:r>
      <w:r w:rsidR="005C508D" w:rsidRPr="004C0B2D">
        <w:rPr>
          <w:lang w:eastAsia="sk-SK"/>
        </w:rPr>
        <w:t>cévní mozková příhoda</w:t>
      </w:r>
      <w:r w:rsidR="004C0B2D" w:rsidRPr="004C0B2D">
        <w:rPr>
          <w:lang w:eastAsia="sk-SK"/>
        </w:rPr>
        <w:t xml:space="preserve"> aj.</w:t>
      </w:r>
      <w:r w:rsidR="00761232">
        <w:rPr>
          <w:lang w:eastAsia="sk-SK"/>
        </w:rPr>
        <w:t xml:space="preserve">) </w:t>
      </w:r>
      <w:r w:rsidR="00B52A59">
        <w:rPr>
          <w:lang w:eastAsia="sk-SK"/>
        </w:rPr>
        <w:t>byly významně zastoupeny taktéž nespecifické zdravotní obtíže</w:t>
      </w:r>
      <w:r w:rsidR="004C0B2D">
        <w:rPr>
          <w:lang w:eastAsia="sk-SK"/>
        </w:rPr>
        <w:t xml:space="preserve"> (</w:t>
      </w:r>
      <w:r w:rsidR="00B117A4">
        <w:rPr>
          <w:lang w:eastAsia="sk-SK"/>
        </w:rPr>
        <w:t>např</w:t>
      </w:r>
      <w:r w:rsidR="00B117A4" w:rsidRPr="00FD2ADC">
        <w:rPr>
          <w:lang w:eastAsia="sk-SK"/>
        </w:rPr>
        <w:t xml:space="preserve">. </w:t>
      </w:r>
      <w:r w:rsidR="00711387" w:rsidRPr="00FD2ADC">
        <w:rPr>
          <w:lang w:eastAsia="sk-SK"/>
        </w:rPr>
        <w:t>bolest</w:t>
      </w:r>
      <w:r w:rsidR="00711387">
        <w:rPr>
          <w:lang w:eastAsia="sk-SK"/>
        </w:rPr>
        <w:t xml:space="preserve"> na hrudi</w:t>
      </w:r>
      <w:r w:rsidR="00447801">
        <w:rPr>
          <w:lang w:eastAsia="sk-SK"/>
        </w:rPr>
        <w:t>, dušnost</w:t>
      </w:r>
      <w:r w:rsidR="00B117A4">
        <w:rPr>
          <w:lang w:eastAsia="sk-SK"/>
        </w:rPr>
        <w:t xml:space="preserve"> či </w:t>
      </w:r>
      <w:r w:rsidR="00EC2DC8">
        <w:rPr>
          <w:lang w:eastAsia="sk-SK"/>
        </w:rPr>
        <w:t>synkopa</w:t>
      </w:r>
      <w:r w:rsidR="004C0B2D">
        <w:rPr>
          <w:lang w:eastAsia="sk-SK"/>
        </w:rPr>
        <w:t>)</w:t>
      </w:r>
      <w:r w:rsidR="00E11555">
        <w:rPr>
          <w:lang w:eastAsia="sk-SK"/>
        </w:rPr>
        <w:t xml:space="preserve">. </w:t>
      </w:r>
      <w:r w:rsidR="00551486">
        <w:rPr>
          <w:lang w:eastAsia="sk-SK"/>
        </w:rPr>
        <w:t>Právě n</w:t>
      </w:r>
      <w:r w:rsidR="00E11555">
        <w:rPr>
          <w:lang w:eastAsia="sk-SK"/>
        </w:rPr>
        <w:t xml:space="preserve">especifické zdravotní </w:t>
      </w:r>
      <w:r w:rsidR="009262D6">
        <w:rPr>
          <w:lang w:eastAsia="sk-SK"/>
        </w:rPr>
        <w:t>příznaky</w:t>
      </w:r>
      <w:r w:rsidR="00190BA5">
        <w:rPr>
          <w:lang w:eastAsia="sk-SK"/>
        </w:rPr>
        <w:t xml:space="preserve"> často</w:t>
      </w:r>
      <w:r w:rsidR="00714C2B">
        <w:rPr>
          <w:lang w:eastAsia="sk-SK"/>
        </w:rPr>
        <w:t xml:space="preserve"> </w:t>
      </w:r>
      <w:r w:rsidR="00551486">
        <w:rPr>
          <w:lang w:eastAsia="sk-SK"/>
        </w:rPr>
        <w:t xml:space="preserve">zastávaly </w:t>
      </w:r>
      <w:r w:rsidR="00714C2B">
        <w:rPr>
          <w:lang w:eastAsia="sk-SK"/>
        </w:rPr>
        <w:t xml:space="preserve">mezi zjištěnými diagnózami </w:t>
      </w:r>
      <w:r w:rsidR="00451D49">
        <w:rPr>
          <w:lang w:eastAsia="sk-SK"/>
        </w:rPr>
        <w:t xml:space="preserve">pomyslné nejvyšší příčky </w:t>
      </w:r>
      <w:r w:rsidR="00FD2ADC">
        <w:rPr>
          <w:lang w:eastAsia="sk-SK"/>
        </w:rPr>
        <w:t xml:space="preserve">v </w:t>
      </w:r>
      <w:r w:rsidR="00F02072">
        <w:rPr>
          <w:lang w:eastAsia="sk-SK"/>
        </w:rPr>
        <w:t>h</w:t>
      </w:r>
      <w:r w:rsidR="00BF6848">
        <w:rPr>
          <w:lang w:eastAsia="sk-SK"/>
        </w:rPr>
        <w:t>i</w:t>
      </w:r>
      <w:r w:rsidR="00F02072">
        <w:rPr>
          <w:lang w:eastAsia="sk-SK"/>
        </w:rPr>
        <w:t>erarchi</w:t>
      </w:r>
      <w:r w:rsidR="00FD2ADC">
        <w:rPr>
          <w:lang w:eastAsia="sk-SK"/>
        </w:rPr>
        <w:t>i</w:t>
      </w:r>
      <w:r w:rsidR="00451D49">
        <w:rPr>
          <w:lang w:eastAsia="sk-SK"/>
        </w:rPr>
        <w:t>.</w:t>
      </w:r>
      <w:r w:rsidR="00F02072">
        <w:rPr>
          <w:lang w:eastAsia="sk-SK"/>
        </w:rPr>
        <w:t xml:space="preserve"> O</w:t>
      </w:r>
      <w:r w:rsidR="00BF6848">
        <w:rPr>
          <w:lang w:eastAsia="sk-SK"/>
        </w:rPr>
        <w:t xml:space="preserve">bdobný </w:t>
      </w:r>
      <w:r w:rsidR="001B0CD4">
        <w:rPr>
          <w:lang w:eastAsia="sk-SK"/>
        </w:rPr>
        <w:t xml:space="preserve">trend </w:t>
      </w:r>
      <w:r w:rsidR="00E80FF5">
        <w:rPr>
          <w:lang w:eastAsia="sk-SK"/>
        </w:rPr>
        <w:t>v pacientských diagnózách u osob</w:t>
      </w:r>
      <w:r w:rsidR="00023E52">
        <w:rPr>
          <w:lang w:eastAsia="sk-SK"/>
        </w:rPr>
        <w:t xml:space="preserve"> seniorního věku</w:t>
      </w:r>
      <w:r w:rsidR="00E80FF5">
        <w:rPr>
          <w:lang w:eastAsia="sk-SK"/>
        </w:rPr>
        <w:t xml:space="preserve"> </w:t>
      </w:r>
      <w:r w:rsidR="001B0CD4">
        <w:rPr>
          <w:lang w:eastAsia="sk-SK"/>
        </w:rPr>
        <w:t>lze pozorovat i u jiných zahraničních výzkumů</w:t>
      </w:r>
      <w:r w:rsidR="00F854F4">
        <w:rPr>
          <w:lang w:eastAsia="sk-SK"/>
        </w:rPr>
        <w:fldChar w:fldCharType="begin"/>
      </w:r>
      <w:r w:rsidR="009B3709">
        <w:rPr>
          <w:lang w:eastAsia="sk-SK"/>
        </w:rPr>
        <w:instrText xml:space="preserve"> ADDIN ZOTERO_ITEM CSL_CITATION {"citationID":"RiBaInug","properties":{"formattedCitation":"\\super 5,45,47\\nosupersub{}","plainCitation":"5,45,47","noteIndex":0},"citationItems":[{"id":198,"uris":["http://zotero.org/users/9426386/items/UDG2IEYS"],"itemData":{"id":198,"type":"book","ISBN":"978-1-908911-58-2","language":"en","number-of-pages":"344","publisher":"CRC Press","title":"Acute Medicine in the Frail Elderly","URL":"https://doi.org/10.1201/9781909368330","author":[{"family":"Woodford","given":"Henry"},{"family":"George","given":"James"}],"issued":{"date-parts":[["2013"]]}}},{"id":214,"uris":["http://zotero.org/users/9426386/items/SBCH4UM2"],"itemData":{"id":214,"type":"article-journal","container-title":"BMC emergency medicine","DOI":"10.1186/s12873-019-0236-3","ISSN":"1471-227X","issue":"1","journalAbbreviation":"BMC Emerg Med","language":"eng","note":"PMID: 30813898\nPMCID: PMC6391758","page":"20","source":"PubMed","title":"Emergency department visits in older patients: a population-based survey","title-short":"Emergency department visits in older patients","volume":"19","author":[{"family":"Ukkonen","given":"Mika"},{"family":"Jämsen","given":"Esa"},{"family":"Zeitlin","given":"Rainer"},{"family":"Pauniaho","given":"Satu-Liisa"}],"issued":{"date-parts":[["2019",2,27]]}},"label":"page"},{"id":219,"uris":["http://zotero.org/users/9426386/items/G62HNQQB"],"itemData":{"id":219,"type":"article-journal","container-title":"Geri a gero","ISSN":"1805-4684","issue":"2","language":"cs","page":"79-85","title":"Geriatrický pacient na oddělení urgentního příjmu","volume":"5","author":[{"family":"Topinková","given":"E."},{"family":"Berková","given":"M."}],"issued":{"date-parts":[["2016"]]}},"label":"page"}],"schema":"https://github.com/citation-style-language/schema/raw/master/csl-citation.json"} </w:instrText>
      </w:r>
      <w:r w:rsidR="00F854F4">
        <w:rPr>
          <w:lang w:eastAsia="sk-SK"/>
        </w:rPr>
        <w:fldChar w:fldCharType="separate"/>
      </w:r>
      <w:r w:rsidR="001300F0" w:rsidRPr="001300F0">
        <w:rPr>
          <w:vertAlign w:val="superscript"/>
        </w:rPr>
        <w:t>5,45,47</w:t>
      </w:r>
      <w:r w:rsidR="00F854F4">
        <w:rPr>
          <w:lang w:eastAsia="sk-SK"/>
        </w:rPr>
        <w:fldChar w:fldCharType="end"/>
      </w:r>
      <w:r w:rsidR="00761232">
        <w:rPr>
          <w:lang w:eastAsia="sk-SK"/>
        </w:rPr>
        <w:t>.</w:t>
      </w:r>
      <w:r w:rsidR="00FD2ADC">
        <w:rPr>
          <w:lang w:eastAsia="sk-SK"/>
        </w:rPr>
        <w:t xml:space="preserve"> Domníváme se, že</w:t>
      </w:r>
      <w:r w:rsidR="00E747E5">
        <w:rPr>
          <w:lang w:eastAsia="sk-SK"/>
        </w:rPr>
        <w:t xml:space="preserve"> </w:t>
      </w:r>
      <w:r w:rsidR="00FA4457">
        <w:rPr>
          <w:lang w:eastAsia="sk-SK"/>
        </w:rPr>
        <w:t>pozorovaný trend by mohl být zapříčiněn</w:t>
      </w:r>
      <w:r w:rsidR="00E747E5" w:rsidRPr="00E747E5">
        <w:rPr>
          <w:lang w:eastAsia="sk-SK"/>
        </w:rPr>
        <w:t xml:space="preserve"> </w:t>
      </w:r>
      <w:proofErr w:type="spellStart"/>
      <w:r w:rsidR="00E747E5" w:rsidRPr="00E747E5">
        <w:rPr>
          <w:lang w:eastAsia="sk-SK"/>
        </w:rPr>
        <w:t>multimorbiditou</w:t>
      </w:r>
      <w:proofErr w:type="spellEnd"/>
      <w:r w:rsidR="00E747E5" w:rsidRPr="00E747E5">
        <w:rPr>
          <w:lang w:eastAsia="sk-SK"/>
        </w:rPr>
        <w:t xml:space="preserve">, </w:t>
      </w:r>
      <w:proofErr w:type="spellStart"/>
      <w:r w:rsidR="00E747E5" w:rsidRPr="00E747E5">
        <w:rPr>
          <w:lang w:eastAsia="sk-SK"/>
        </w:rPr>
        <w:t>polypragmazí</w:t>
      </w:r>
      <w:proofErr w:type="spellEnd"/>
      <w:r w:rsidR="00E747E5" w:rsidRPr="00E747E5">
        <w:rPr>
          <w:lang w:eastAsia="sk-SK"/>
        </w:rPr>
        <w:t xml:space="preserve"> a geriatrickými syndromy</w:t>
      </w:r>
      <w:r w:rsidR="0089201D">
        <w:rPr>
          <w:lang w:eastAsia="sk-SK"/>
        </w:rPr>
        <w:t xml:space="preserve"> pacientů vyššího věku.</w:t>
      </w:r>
      <w:r w:rsidR="00163A7E">
        <w:rPr>
          <w:lang w:eastAsia="sk-SK"/>
        </w:rPr>
        <w:t xml:space="preserve"> </w:t>
      </w:r>
      <w:r w:rsidR="003667A9" w:rsidRPr="003667A9">
        <w:rPr>
          <w:lang w:eastAsia="sk-SK"/>
        </w:rPr>
        <w:t xml:space="preserve">Nespecifická symptomatologie u </w:t>
      </w:r>
      <w:r w:rsidR="003667A9">
        <w:rPr>
          <w:lang w:eastAsia="sk-SK"/>
        </w:rPr>
        <w:t xml:space="preserve">pacientů </w:t>
      </w:r>
      <w:r w:rsidR="003667A9" w:rsidRPr="003667A9">
        <w:rPr>
          <w:lang w:eastAsia="sk-SK"/>
        </w:rPr>
        <w:t>senior</w:t>
      </w:r>
      <w:r w:rsidR="003667A9">
        <w:rPr>
          <w:lang w:eastAsia="sk-SK"/>
        </w:rPr>
        <w:t>ního věku</w:t>
      </w:r>
      <w:r w:rsidR="003667A9" w:rsidRPr="003667A9">
        <w:rPr>
          <w:lang w:eastAsia="sk-SK"/>
        </w:rPr>
        <w:t xml:space="preserve"> je </w:t>
      </w:r>
      <w:r w:rsidR="00AD03C2">
        <w:rPr>
          <w:lang w:eastAsia="sk-SK"/>
        </w:rPr>
        <w:t xml:space="preserve">tedy </w:t>
      </w:r>
      <w:r w:rsidR="003667A9" w:rsidRPr="003667A9">
        <w:rPr>
          <w:lang w:eastAsia="sk-SK"/>
        </w:rPr>
        <w:t>velmi častá a dle Topinkové a</w:t>
      </w:r>
      <w:r w:rsidR="00667FE1">
        <w:rPr>
          <w:lang w:eastAsia="sk-SK"/>
        </w:rPr>
        <w:t> </w:t>
      </w:r>
      <w:r w:rsidR="003667A9" w:rsidRPr="003667A9">
        <w:rPr>
          <w:lang w:eastAsia="sk-SK"/>
        </w:rPr>
        <w:t>Berkové</w:t>
      </w:r>
      <w:r w:rsidR="009D145A">
        <w:rPr>
          <w:lang w:eastAsia="sk-SK"/>
        </w:rPr>
        <w:fldChar w:fldCharType="begin"/>
      </w:r>
      <w:r w:rsidR="009B3709">
        <w:rPr>
          <w:lang w:eastAsia="sk-SK"/>
        </w:rPr>
        <w:instrText xml:space="preserve"> ADDIN ZOTERO_ITEM CSL_CITATION {"citationID":"axJs5eWP","properties":{"formattedCitation":"\\super 45\\nosupersub{}","plainCitation":"45","noteIndex":0},"citationItems":[{"id":219,"uris":["http://zotero.org/users/9426386/items/G62HNQQB"],"itemData":{"id":219,"type":"article-journal","container-title":"Geri a gero","ISSN":"1805-4684","issue":"2","language":"cs","page":"79-85","title":"Geriatrický pacient na oddělení urgentního příjmu","volume":"5","author":[{"family":"Topinková","given":"E."},{"family":"Berková","given":"M."}],"issued":{"date-parts":[["2016"]]}},"label":"page"}],"schema":"https://github.com/citation-style-language/schema/raw/master/csl-citation.json"} </w:instrText>
      </w:r>
      <w:r w:rsidR="009D145A">
        <w:rPr>
          <w:lang w:eastAsia="sk-SK"/>
        </w:rPr>
        <w:fldChar w:fldCharType="separate"/>
      </w:r>
      <w:r w:rsidR="001300F0" w:rsidRPr="001300F0">
        <w:rPr>
          <w:vertAlign w:val="superscript"/>
        </w:rPr>
        <w:t>45</w:t>
      </w:r>
      <w:r w:rsidR="009D145A">
        <w:rPr>
          <w:lang w:eastAsia="sk-SK"/>
        </w:rPr>
        <w:fldChar w:fldCharType="end"/>
      </w:r>
      <w:r w:rsidR="003667A9" w:rsidRPr="003667A9">
        <w:rPr>
          <w:lang w:eastAsia="sk-SK"/>
        </w:rPr>
        <w:t xml:space="preserve"> je v této věkové skupině </w:t>
      </w:r>
      <w:r w:rsidR="00A130C7">
        <w:rPr>
          <w:lang w:eastAsia="sk-SK"/>
        </w:rPr>
        <w:t xml:space="preserve">pacientů </w:t>
      </w:r>
      <w:r w:rsidR="003667A9" w:rsidRPr="003667A9">
        <w:rPr>
          <w:lang w:eastAsia="sk-SK"/>
        </w:rPr>
        <w:t>vysoké i riziko nesprávné</w:t>
      </w:r>
      <w:r w:rsidR="00667FE1">
        <w:rPr>
          <w:lang w:eastAsia="sk-SK"/>
        </w:rPr>
        <w:t>ho určení</w:t>
      </w:r>
      <w:r w:rsidR="003667A9" w:rsidRPr="003667A9">
        <w:rPr>
          <w:lang w:eastAsia="sk-SK"/>
        </w:rPr>
        <w:t xml:space="preserve"> </w:t>
      </w:r>
      <w:r w:rsidR="00A24DAD">
        <w:rPr>
          <w:lang w:eastAsia="sk-SK"/>
        </w:rPr>
        <w:t xml:space="preserve">pracovní </w:t>
      </w:r>
      <w:r w:rsidR="003667A9" w:rsidRPr="003667A9">
        <w:rPr>
          <w:lang w:eastAsia="sk-SK"/>
        </w:rPr>
        <w:t>diagnózy a</w:t>
      </w:r>
      <w:r w:rsidR="00A24DAD">
        <w:rPr>
          <w:lang w:eastAsia="sk-SK"/>
        </w:rPr>
        <w:t xml:space="preserve"> možného </w:t>
      </w:r>
      <w:r w:rsidR="003667A9" w:rsidRPr="003667A9">
        <w:rPr>
          <w:lang w:eastAsia="sk-SK"/>
        </w:rPr>
        <w:t xml:space="preserve">podhodnocení závažnosti zdravotního stavu. Považujeme proto za důležité neopomíjet atypické projevy běžných onemocnění </w:t>
      </w:r>
      <w:r w:rsidR="00F12B70">
        <w:rPr>
          <w:lang w:eastAsia="sk-SK"/>
        </w:rPr>
        <w:t xml:space="preserve">ve vyšším věku </w:t>
      </w:r>
      <w:r w:rsidR="003667A9" w:rsidRPr="003667A9">
        <w:rPr>
          <w:lang w:eastAsia="sk-SK"/>
        </w:rPr>
        <w:t>a zachovávat komplexní přístup k pacientovi v</w:t>
      </w:r>
      <w:r w:rsidR="0013201C">
        <w:rPr>
          <w:lang w:eastAsia="sk-SK"/>
        </w:rPr>
        <w:t> </w:t>
      </w:r>
      <w:r w:rsidR="003667A9" w:rsidRPr="003667A9">
        <w:rPr>
          <w:lang w:eastAsia="sk-SK"/>
        </w:rPr>
        <w:t>rámci diagnosticko-terapeutických postupů</w:t>
      </w:r>
      <w:r w:rsidR="0013201C">
        <w:rPr>
          <w:lang w:eastAsia="sk-SK"/>
        </w:rPr>
        <w:t xml:space="preserve"> </w:t>
      </w:r>
      <w:r w:rsidR="00755479">
        <w:rPr>
          <w:lang w:eastAsia="sk-SK"/>
        </w:rPr>
        <w:t xml:space="preserve">nejen </w:t>
      </w:r>
      <w:r w:rsidR="006B38EC">
        <w:rPr>
          <w:lang w:eastAsia="sk-SK"/>
        </w:rPr>
        <w:t>v </w:t>
      </w:r>
      <w:r w:rsidR="006B38EC" w:rsidRPr="00583D11">
        <w:rPr>
          <w:lang w:eastAsia="sk-SK"/>
        </w:rPr>
        <w:t xml:space="preserve">prostředí </w:t>
      </w:r>
      <w:r w:rsidR="0013201C" w:rsidRPr="00583D11">
        <w:rPr>
          <w:lang w:eastAsia="sk-SK"/>
        </w:rPr>
        <w:t>urgentní</w:t>
      </w:r>
      <w:r w:rsidR="006B38EC" w:rsidRPr="00583D11">
        <w:rPr>
          <w:lang w:eastAsia="sk-SK"/>
        </w:rPr>
        <w:t>ho</w:t>
      </w:r>
      <w:r w:rsidR="0013201C" w:rsidRPr="00583D11">
        <w:rPr>
          <w:lang w:eastAsia="sk-SK"/>
        </w:rPr>
        <w:t xml:space="preserve"> příjmu</w:t>
      </w:r>
      <w:r w:rsidR="003667A9" w:rsidRPr="00583D11">
        <w:rPr>
          <w:lang w:eastAsia="sk-SK"/>
        </w:rPr>
        <w:t>.</w:t>
      </w:r>
    </w:p>
    <w:p w14:paraId="11E001F8" w14:textId="77777777" w:rsidR="004970CE" w:rsidRDefault="004970CE" w:rsidP="00F46570">
      <w:pPr>
        <w:pStyle w:val="Dalodstavce"/>
        <w:ind w:firstLine="0"/>
        <w:rPr>
          <w:lang w:eastAsia="sk-SK"/>
        </w:rPr>
      </w:pPr>
    </w:p>
    <w:p w14:paraId="52BF7D86" w14:textId="2F232071" w:rsidR="00F46570" w:rsidRPr="0028073F" w:rsidRDefault="00D23F23" w:rsidP="00F46570">
      <w:pPr>
        <w:pStyle w:val="Dalodstavce"/>
        <w:ind w:firstLine="0"/>
        <w:rPr>
          <w:lang w:eastAsia="sk-SK"/>
        </w:rPr>
      </w:pPr>
      <w:r w:rsidRPr="0028073F">
        <w:rPr>
          <w:lang w:eastAsia="sk-SK"/>
        </w:rPr>
        <w:t xml:space="preserve">V následující části diplomové práce byla </w:t>
      </w:r>
      <w:r w:rsidR="003F0535" w:rsidRPr="0028073F">
        <w:rPr>
          <w:lang w:eastAsia="sk-SK"/>
        </w:rPr>
        <w:t xml:space="preserve">postupně </w:t>
      </w:r>
      <w:r w:rsidRPr="0028073F">
        <w:rPr>
          <w:lang w:eastAsia="sk-SK"/>
        </w:rPr>
        <w:t xml:space="preserve">popsána </w:t>
      </w:r>
      <w:r w:rsidR="00B26708" w:rsidRPr="0028073F">
        <w:rPr>
          <w:lang w:eastAsia="sk-SK"/>
        </w:rPr>
        <w:t xml:space="preserve">nejdříve </w:t>
      </w:r>
      <w:r w:rsidRPr="0028073F">
        <w:rPr>
          <w:lang w:eastAsia="sk-SK"/>
        </w:rPr>
        <w:t xml:space="preserve">trajektorie pacientů ve věku 75 a více let ošetřených na NUP FN Brno v roce 2023 </w:t>
      </w:r>
      <w:r w:rsidR="00A06FE0" w:rsidRPr="0028073F">
        <w:rPr>
          <w:lang w:eastAsia="sk-SK"/>
        </w:rPr>
        <w:t>(Tabulky</w:t>
      </w:r>
      <w:r w:rsidR="005F23E9" w:rsidRPr="0028073F">
        <w:rPr>
          <w:lang w:eastAsia="sk-SK"/>
        </w:rPr>
        <w:t xml:space="preserve"> 17</w:t>
      </w:r>
      <w:r w:rsidR="00827094" w:rsidRPr="0028073F">
        <w:rPr>
          <w:lang w:eastAsia="sk-SK"/>
        </w:rPr>
        <w:t>–</w:t>
      </w:r>
      <w:r w:rsidR="005E622B" w:rsidRPr="0028073F">
        <w:rPr>
          <w:lang w:eastAsia="sk-SK"/>
        </w:rPr>
        <w:t>21</w:t>
      </w:r>
      <w:r w:rsidR="00A06FE0" w:rsidRPr="0028073F">
        <w:rPr>
          <w:lang w:eastAsia="sk-SK"/>
        </w:rPr>
        <w:t xml:space="preserve">) </w:t>
      </w:r>
      <w:r w:rsidRPr="0028073F">
        <w:rPr>
          <w:lang w:eastAsia="sk-SK"/>
        </w:rPr>
        <w:t>a</w:t>
      </w:r>
      <w:r w:rsidR="00827094" w:rsidRPr="0028073F">
        <w:rPr>
          <w:lang w:eastAsia="sk-SK"/>
        </w:rPr>
        <w:t> </w:t>
      </w:r>
      <w:r w:rsidRPr="0028073F">
        <w:rPr>
          <w:lang w:eastAsia="sk-SK"/>
        </w:rPr>
        <w:t>posléze v roce 2019</w:t>
      </w:r>
      <w:r w:rsidR="00A06FE0" w:rsidRPr="0028073F">
        <w:rPr>
          <w:lang w:eastAsia="sk-SK"/>
        </w:rPr>
        <w:t xml:space="preserve"> (Tabulky</w:t>
      </w:r>
      <w:r w:rsidR="00827094" w:rsidRPr="0028073F">
        <w:rPr>
          <w:lang w:eastAsia="sk-SK"/>
        </w:rPr>
        <w:t xml:space="preserve"> 22–2</w:t>
      </w:r>
      <w:r w:rsidR="0017381D">
        <w:rPr>
          <w:lang w:eastAsia="sk-SK"/>
        </w:rPr>
        <w:t>5 a</w:t>
      </w:r>
      <w:r w:rsidR="00E97573">
        <w:rPr>
          <w:lang w:eastAsia="sk-SK"/>
        </w:rPr>
        <w:t xml:space="preserve"> </w:t>
      </w:r>
      <w:r w:rsidR="0017381D">
        <w:rPr>
          <w:lang w:eastAsia="sk-SK"/>
        </w:rPr>
        <w:t>27</w:t>
      </w:r>
      <w:r w:rsidR="00A06FE0" w:rsidRPr="0028073F">
        <w:rPr>
          <w:lang w:eastAsia="sk-SK"/>
        </w:rPr>
        <w:t>)</w:t>
      </w:r>
      <w:r w:rsidRPr="0028073F">
        <w:rPr>
          <w:lang w:eastAsia="sk-SK"/>
        </w:rPr>
        <w:t>.</w:t>
      </w:r>
      <w:r w:rsidR="00D443D9" w:rsidRPr="0028073F">
        <w:rPr>
          <w:lang w:eastAsia="sk-SK"/>
        </w:rPr>
        <w:t xml:space="preserve"> </w:t>
      </w:r>
      <w:r w:rsidR="00F46570" w:rsidRPr="0028073F">
        <w:rPr>
          <w:lang w:eastAsia="sk-SK"/>
        </w:rPr>
        <w:t>Mezi roky 2019 a</w:t>
      </w:r>
      <w:r w:rsidR="00D443D9" w:rsidRPr="0028073F">
        <w:rPr>
          <w:lang w:eastAsia="sk-SK"/>
        </w:rPr>
        <w:t> </w:t>
      </w:r>
      <w:r w:rsidR="00F46570" w:rsidRPr="0028073F">
        <w:rPr>
          <w:lang w:eastAsia="sk-SK"/>
        </w:rPr>
        <w:t>2023 lze v trajektorii pacientů</w:t>
      </w:r>
      <w:r w:rsidR="001450E0" w:rsidRPr="0028073F">
        <w:rPr>
          <w:lang w:eastAsia="sk-SK"/>
        </w:rPr>
        <w:t xml:space="preserve"> </w:t>
      </w:r>
      <w:r w:rsidR="00F46570" w:rsidRPr="0028073F">
        <w:rPr>
          <w:lang w:eastAsia="sk-SK"/>
        </w:rPr>
        <w:t>nalézt jak společné, tak odlišné prvky. Společnými znaky bylo, že věk a spádovost pacienta měly v</w:t>
      </w:r>
      <w:r w:rsidR="001450E0" w:rsidRPr="0028073F">
        <w:rPr>
          <w:lang w:eastAsia="sk-SK"/>
        </w:rPr>
        <w:t> </w:t>
      </w:r>
      <w:r w:rsidR="00F46570" w:rsidRPr="0028073F">
        <w:rPr>
          <w:lang w:eastAsia="sk-SK"/>
        </w:rPr>
        <w:t xml:space="preserve">obou letech statisticky významný vliv na průchod pacienta </w:t>
      </w:r>
      <w:r w:rsidR="00AF1B5B" w:rsidRPr="0028073F">
        <w:rPr>
          <w:lang w:eastAsia="sk-SK"/>
        </w:rPr>
        <w:t>nízkoprahovým urgentním příjmem</w:t>
      </w:r>
      <w:r w:rsidR="00F46570" w:rsidRPr="0028073F">
        <w:rPr>
          <w:lang w:eastAsia="sk-SK"/>
        </w:rPr>
        <w:t xml:space="preserve">, zatímco pohlaví významné nebylo. Rovněž se v obou </w:t>
      </w:r>
      <w:r w:rsidR="00A329B1">
        <w:rPr>
          <w:lang w:eastAsia="sk-SK"/>
        </w:rPr>
        <w:t>letech</w:t>
      </w:r>
      <w:r w:rsidR="00F46570" w:rsidRPr="0028073F">
        <w:rPr>
          <w:lang w:eastAsia="sk-SK"/>
        </w:rPr>
        <w:t xml:space="preserve"> ukázala statisticky významná asociace mezi věkem pacienta</w:t>
      </w:r>
      <w:r w:rsidR="00BA3229" w:rsidRPr="0028073F">
        <w:rPr>
          <w:lang w:eastAsia="sk-SK"/>
        </w:rPr>
        <w:t xml:space="preserve"> </w:t>
      </w:r>
      <w:r w:rsidR="00F46570" w:rsidRPr="0028073F">
        <w:rPr>
          <w:lang w:eastAsia="sk-SK"/>
        </w:rPr>
        <w:t xml:space="preserve">a využitím observačního lůžka. </w:t>
      </w:r>
      <w:r w:rsidR="00984C1F" w:rsidRPr="0028073F">
        <w:rPr>
          <w:lang w:eastAsia="sk-SK"/>
        </w:rPr>
        <w:t xml:space="preserve">V roce 2023 </w:t>
      </w:r>
      <w:r w:rsidR="00A329B1">
        <w:rPr>
          <w:lang w:eastAsia="sk-SK"/>
        </w:rPr>
        <w:t>byla</w:t>
      </w:r>
      <w:r w:rsidR="00984C1F" w:rsidRPr="0028073F">
        <w:rPr>
          <w:lang w:eastAsia="sk-SK"/>
        </w:rPr>
        <w:t xml:space="preserve"> významná </w:t>
      </w:r>
      <w:r w:rsidR="0042648D" w:rsidRPr="0028073F">
        <w:rPr>
          <w:lang w:eastAsia="sk-SK"/>
        </w:rPr>
        <w:t>asociace</w:t>
      </w:r>
      <w:r w:rsidR="00984C1F" w:rsidRPr="0028073F">
        <w:rPr>
          <w:lang w:eastAsia="sk-SK"/>
        </w:rPr>
        <w:t xml:space="preserve"> mezi věkem pacienta a typem ošetřující ambulance, zatímco v roce 2019 byla </w:t>
      </w:r>
      <w:r w:rsidR="007A66F2">
        <w:rPr>
          <w:lang w:eastAsia="sk-SK"/>
        </w:rPr>
        <w:t>tato</w:t>
      </w:r>
      <w:r w:rsidR="00984C1F" w:rsidRPr="0028073F">
        <w:rPr>
          <w:lang w:eastAsia="sk-SK"/>
        </w:rPr>
        <w:t xml:space="preserve"> souvislost pozorována mezi věkem pacienta a způsobem dopravy k ošetření</w:t>
      </w:r>
      <w:r w:rsidR="00BF54FE" w:rsidRPr="0028073F">
        <w:rPr>
          <w:lang w:eastAsia="sk-SK"/>
        </w:rPr>
        <w:t xml:space="preserve">. </w:t>
      </w:r>
      <w:r w:rsidR="00F46570" w:rsidRPr="0028073F">
        <w:rPr>
          <w:lang w:eastAsia="sk-SK"/>
        </w:rPr>
        <w:t>Spádovost pacienta měla v</w:t>
      </w:r>
      <w:r w:rsidR="00CC0731" w:rsidRPr="0028073F">
        <w:rPr>
          <w:lang w:eastAsia="sk-SK"/>
        </w:rPr>
        <w:t> </w:t>
      </w:r>
      <w:r w:rsidR="00F46570" w:rsidRPr="0028073F">
        <w:rPr>
          <w:lang w:eastAsia="sk-SK"/>
        </w:rPr>
        <w:t>obou letech vliv na způsob dopravy k</w:t>
      </w:r>
      <w:r w:rsidR="005E622B" w:rsidRPr="0028073F">
        <w:rPr>
          <w:lang w:eastAsia="sk-SK"/>
        </w:rPr>
        <w:t> </w:t>
      </w:r>
      <w:r w:rsidR="00F46570" w:rsidRPr="0028073F">
        <w:rPr>
          <w:lang w:eastAsia="sk-SK"/>
        </w:rPr>
        <w:t>ošetření i</w:t>
      </w:r>
      <w:r w:rsidR="00984C1F" w:rsidRPr="0028073F">
        <w:rPr>
          <w:lang w:eastAsia="sk-SK"/>
        </w:rPr>
        <w:t> </w:t>
      </w:r>
      <w:r w:rsidR="00F46570" w:rsidRPr="0028073F">
        <w:rPr>
          <w:lang w:eastAsia="sk-SK"/>
        </w:rPr>
        <w:t>na využití observačního lůžka.</w:t>
      </w:r>
    </w:p>
    <w:p w14:paraId="173F586C" w14:textId="710083C1" w:rsidR="00F46570" w:rsidRPr="0028073F" w:rsidRDefault="006C642E" w:rsidP="00F46570">
      <w:pPr>
        <w:pStyle w:val="Dalodstavce"/>
        <w:rPr>
          <w:lang w:eastAsia="sk-SK"/>
        </w:rPr>
      </w:pPr>
      <w:r w:rsidRPr="0028073F">
        <w:rPr>
          <w:lang w:eastAsia="sk-SK"/>
        </w:rPr>
        <w:t>V rozsahu provázanosti jednotlivých služeb</w:t>
      </w:r>
      <w:r w:rsidR="009815B5" w:rsidRPr="0028073F">
        <w:rPr>
          <w:lang w:eastAsia="sk-SK"/>
        </w:rPr>
        <w:t xml:space="preserve"> byly zjištěny statisticky významné vztahy mezi</w:t>
      </w:r>
      <w:r w:rsidR="00144731" w:rsidRPr="0028073F">
        <w:rPr>
          <w:lang w:eastAsia="sk-SK"/>
        </w:rPr>
        <w:t xml:space="preserve"> způsobem dopravy k ošetření a využitím observačního lůžka a zobrazovacích metod</w:t>
      </w:r>
      <w:r w:rsidR="00047C0F" w:rsidRPr="0028073F">
        <w:rPr>
          <w:lang w:eastAsia="sk-SK"/>
        </w:rPr>
        <w:t>, mezi typem ošetřující ambulance a využitím observačního lůžka a dále mezi využitím observačního lůžka a</w:t>
      </w:r>
      <w:r w:rsidR="00EC101B" w:rsidRPr="0028073F">
        <w:rPr>
          <w:lang w:eastAsia="sk-SK"/>
        </w:rPr>
        <w:t xml:space="preserve"> </w:t>
      </w:r>
      <w:r w:rsidR="000E0F84" w:rsidRPr="0028073F">
        <w:rPr>
          <w:lang w:eastAsia="sk-SK"/>
        </w:rPr>
        <w:t xml:space="preserve">zobrazovacích metod. </w:t>
      </w:r>
      <w:r w:rsidR="00F46570" w:rsidRPr="0028073F">
        <w:rPr>
          <w:lang w:eastAsia="sk-SK"/>
        </w:rPr>
        <w:t>V roce 2019 byl významn</w:t>
      </w:r>
      <w:r w:rsidR="00D443EF" w:rsidRPr="0028073F">
        <w:rPr>
          <w:lang w:eastAsia="sk-SK"/>
        </w:rPr>
        <w:t>ý</w:t>
      </w:r>
      <w:r w:rsidR="00F46570" w:rsidRPr="0028073F">
        <w:rPr>
          <w:lang w:eastAsia="sk-SK"/>
        </w:rPr>
        <w:t xml:space="preserve"> vztah</w:t>
      </w:r>
      <w:r w:rsidR="00D443EF" w:rsidRPr="0028073F">
        <w:rPr>
          <w:lang w:eastAsia="sk-SK"/>
        </w:rPr>
        <w:t xml:space="preserve"> </w:t>
      </w:r>
      <w:r w:rsidR="00F46570" w:rsidRPr="0028073F">
        <w:rPr>
          <w:lang w:eastAsia="sk-SK"/>
        </w:rPr>
        <w:t>tak</w:t>
      </w:r>
      <w:r w:rsidR="00D443EF" w:rsidRPr="0028073F">
        <w:rPr>
          <w:lang w:eastAsia="sk-SK"/>
        </w:rPr>
        <w:t>též</w:t>
      </w:r>
      <w:r w:rsidR="00F46570" w:rsidRPr="0028073F">
        <w:rPr>
          <w:lang w:eastAsia="sk-SK"/>
        </w:rPr>
        <w:t xml:space="preserve"> </w:t>
      </w:r>
      <w:r w:rsidR="00667F89" w:rsidRPr="0028073F">
        <w:rPr>
          <w:lang w:eastAsia="sk-SK"/>
        </w:rPr>
        <w:t>mezi typem ošetřující ambulance a využitím zobrazovacích metod</w:t>
      </w:r>
      <w:r w:rsidR="00824605" w:rsidRPr="0028073F">
        <w:rPr>
          <w:lang w:eastAsia="sk-SK"/>
        </w:rPr>
        <w:t xml:space="preserve">, mezi využitím observace </w:t>
      </w:r>
      <w:r w:rsidR="00C52EB5" w:rsidRPr="0028073F">
        <w:rPr>
          <w:lang w:eastAsia="sk-SK"/>
        </w:rPr>
        <w:t xml:space="preserve">či zobrazovacích metod </w:t>
      </w:r>
      <w:r w:rsidR="00824605" w:rsidRPr="0028073F">
        <w:rPr>
          <w:lang w:eastAsia="sk-SK"/>
        </w:rPr>
        <w:t>a konzilii dalšího specialisty</w:t>
      </w:r>
      <w:r w:rsidR="00F46570" w:rsidRPr="0028073F">
        <w:rPr>
          <w:lang w:eastAsia="sk-SK"/>
        </w:rPr>
        <w:t xml:space="preserve">. Mezi </w:t>
      </w:r>
      <w:r w:rsidR="00326396" w:rsidRPr="0028073F">
        <w:rPr>
          <w:lang w:eastAsia="sk-SK"/>
        </w:rPr>
        <w:t>další</w:t>
      </w:r>
      <w:r w:rsidR="00F46570" w:rsidRPr="0028073F">
        <w:rPr>
          <w:lang w:eastAsia="sk-SK"/>
        </w:rPr>
        <w:t xml:space="preserve"> rozdíly patřil i fakt, že prediktory ukončení ošetření </w:t>
      </w:r>
      <w:r w:rsidR="003526AE" w:rsidRPr="0028073F">
        <w:rPr>
          <w:lang w:eastAsia="sk-SK"/>
        </w:rPr>
        <w:t xml:space="preserve">na NUP </w:t>
      </w:r>
      <w:r w:rsidR="00182267">
        <w:rPr>
          <w:lang w:eastAsia="sk-SK"/>
        </w:rPr>
        <w:t xml:space="preserve">FN Brno </w:t>
      </w:r>
      <w:r w:rsidR="00C04D02" w:rsidRPr="0028073F">
        <w:rPr>
          <w:lang w:eastAsia="sk-SK"/>
        </w:rPr>
        <w:t xml:space="preserve">(kterými byly věk pacienta, způsob dopravy k ošetření, typ ošetřující ambulance a využití observace) </w:t>
      </w:r>
      <w:r w:rsidR="00F46570" w:rsidRPr="0028073F">
        <w:rPr>
          <w:lang w:eastAsia="sk-SK"/>
        </w:rPr>
        <w:t xml:space="preserve">se v roce 2023 rozšířily o </w:t>
      </w:r>
      <w:r w:rsidR="00B83F6F" w:rsidRPr="0028073F">
        <w:rPr>
          <w:lang w:eastAsia="sk-SK"/>
        </w:rPr>
        <w:t xml:space="preserve">využití </w:t>
      </w:r>
      <w:r w:rsidR="00F46570" w:rsidRPr="0028073F">
        <w:rPr>
          <w:lang w:eastAsia="sk-SK"/>
        </w:rPr>
        <w:t>zobrazovací</w:t>
      </w:r>
      <w:r w:rsidR="00B83F6F" w:rsidRPr="0028073F">
        <w:rPr>
          <w:lang w:eastAsia="sk-SK"/>
        </w:rPr>
        <w:t>ch</w:t>
      </w:r>
      <w:r w:rsidR="00F46570" w:rsidRPr="0028073F">
        <w:rPr>
          <w:lang w:eastAsia="sk-SK"/>
        </w:rPr>
        <w:t xml:space="preserve"> metod, které v roce 2019 nebyly statisticky významné.</w:t>
      </w:r>
    </w:p>
    <w:p w14:paraId="3D55A90D" w14:textId="77777777" w:rsidR="00745456" w:rsidRDefault="00745456" w:rsidP="00745456">
      <w:pPr>
        <w:pStyle w:val="Dalodstavce"/>
        <w:ind w:firstLine="0"/>
        <w:rPr>
          <w:b/>
          <w:bCs/>
        </w:rPr>
      </w:pPr>
    </w:p>
    <w:p w14:paraId="47F80977" w14:textId="233D6E7B" w:rsidR="00754085" w:rsidRPr="00B84B86" w:rsidRDefault="00567251" w:rsidP="000A7176">
      <w:pPr>
        <w:pStyle w:val="Dalodstavce"/>
        <w:ind w:firstLine="0"/>
        <w:rPr>
          <w:lang w:eastAsia="sk-SK"/>
        </w:rPr>
      </w:pPr>
      <w:r w:rsidRPr="00567251">
        <w:rPr>
          <w:lang w:eastAsia="sk-SK"/>
        </w:rPr>
        <w:t xml:space="preserve">Poslední část výzkumné části a zároveň stěžejní závěr práce se zaměřily na zjištění, zda a k jakým změnám došlo na NUP FN Brno u pacientů ve věku 75 a více let mezi </w:t>
      </w:r>
      <w:r w:rsidR="00C022AD">
        <w:rPr>
          <w:lang w:eastAsia="sk-SK"/>
        </w:rPr>
        <w:t>roky</w:t>
      </w:r>
      <w:r w:rsidRPr="00567251">
        <w:rPr>
          <w:lang w:eastAsia="sk-SK"/>
        </w:rPr>
        <w:t xml:space="preserve"> </w:t>
      </w:r>
      <w:r w:rsidRPr="00567251">
        <w:rPr>
          <w:lang w:eastAsia="sk-SK"/>
        </w:rPr>
        <w:lastRenderedPageBreak/>
        <w:t>2019 a 2023.</w:t>
      </w:r>
      <w:r>
        <w:rPr>
          <w:lang w:eastAsia="sk-SK"/>
        </w:rPr>
        <w:t xml:space="preserve"> </w:t>
      </w:r>
      <w:r w:rsidR="00D15ECD" w:rsidRPr="00583D11">
        <w:rPr>
          <w:lang w:eastAsia="sk-SK"/>
        </w:rPr>
        <w:t>K meziročnímu</w:t>
      </w:r>
      <w:r w:rsidR="00D15ECD" w:rsidRPr="00AD64F0">
        <w:rPr>
          <w:lang w:eastAsia="sk-SK"/>
        </w:rPr>
        <w:t xml:space="preserve"> srovnání byl využit datový soubor z roku 2019, který byl porovnáván se souborem z roku 2023. </w:t>
      </w:r>
      <w:r w:rsidR="00F55637">
        <w:rPr>
          <w:lang w:eastAsia="sk-SK"/>
        </w:rPr>
        <w:t>Výstupy statistické analýzy meziročního srovnání byly prezentovány</w:t>
      </w:r>
      <w:r w:rsidR="00262983">
        <w:rPr>
          <w:lang w:eastAsia="sk-SK"/>
        </w:rPr>
        <w:t xml:space="preserve"> společně s tabulkami za rok 2019</w:t>
      </w:r>
      <w:r w:rsidR="009627F0">
        <w:rPr>
          <w:lang w:eastAsia="sk-SK"/>
        </w:rPr>
        <w:t xml:space="preserve">, </w:t>
      </w:r>
      <w:r w:rsidR="001913A5">
        <w:rPr>
          <w:lang w:eastAsia="sk-SK"/>
        </w:rPr>
        <w:t xml:space="preserve">s </w:t>
      </w:r>
      <w:r w:rsidR="009627F0">
        <w:rPr>
          <w:lang w:eastAsia="sk-SK"/>
        </w:rPr>
        <w:t>v</w:t>
      </w:r>
      <w:r w:rsidR="001913A5">
        <w:rPr>
          <w:lang w:eastAsia="sk-SK"/>
        </w:rPr>
        <w:t>ý</w:t>
      </w:r>
      <w:r w:rsidR="009627F0">
        <w:rPr>
          <w:lang w:eastAsia="sk-SK"/>
        </w:rPr>
        <w:t>j</w:t>
      </w:r>
      <w:r w:rsidR="001913A5">
        <w:rPr>
          <w:lang w:eastAsia="sk-SK"/>
        </w:rPr>
        <w:t>i</w:t>
      </w:r>
      <w:r w:rsidR="009627F0">
        <w:rPr>
          <w:lang w:eastAsia="sk-SK"/>
        </w:rPr>
        <w:t>m</w:t>
      </w:r>
      <w:r w:rsidR="001913A5">
        <w:rPr>
          <w:lang w:eastAsia="sk-SK"/>
        </w:rPr>
        <w:t>kou</w:t>
      </w:r>
      <w:r w:rsidR="009627F0">
        <w:rPr>
          <w:lang w:eastAsia="sk-SK"/>
        </w:rPr>
        <w:t xml:space="preserve"> Tabulk</w:t>
      </w:r>
      <w:r w:rsidR="001913A5">
        <w:rPr>
          <w:lang w:eastAsia="sk-SK"/>
        </w:rPr>
        <w:t>y</w:t>
      </w:r>
      <w:r w:rsidR="009627F0">
        <w:rPr>
          <w:lang w:eastAsia="sk-SK"/>
        </w:rPr>
        <w:t xml:space="preserve"> 26</w:t>
      </w:r>
      <w:r w:rsidR="009E5C19">
        <w:rPr>
          <w:lang w:eastAsia="sk-SK"/>
        </w:rPr>
        <w:t xml:space="preserve"> (viz Tabulky </w:t>
      </w:r>
      <w:r w:rsidR="000F39F0">
        <w:rPr>
          <w:lang w:eastAsia="sk-SK"/>
        </w:rPr>
        <w:t>22–</w:t>
      </w:r>
      <w:r w:rsidR="00E14039">
        <w:rPr>
          <w:lang w:eastAsia="sk-SK"/>
        </w:rPr>
        <w:t xml:space="preserve">24 a </w:t>
      </w:r>
      <w:r w:rsidR="00EB4733">
        <w:rPr>
          <w:lang w:eastAsia="sk-SK"/>
        </w:rPr>
        <w:t>26–</w:t>
      </w:r>
      <w:r w:rsidR="000F39F0">
        <w:rPr>
          <w:lang w:eastAsia="sk-SK"/>
        </w:rPr>
        <w:t>2</w:t>
      </w:r>
      <w:r w:rsidR="00CC5B2D">
        <w:rPr>
          <w:lang w:eastAsia="sk-SK"/>
        </w:rPr>
        <w:t>7</w:t>
      </w:r>
      <w:r w:rsidR="009E5C19">
        <w:rPr>
          <w:lang w:eastAsia="sk-SK"/>
        </w:rPr>
        <w:t>)</w:t>
      </w:r>
      <w:r w:rsidR="00262983">
        <w:rPr>
          <w:lang w:eastAsia="sk-SK"/>
        </w:rPr>
        <w:t>.</w:t>
      </w:r>
      <w:r w:rsidR="00753739">
        <w:rPr>
          <w:lang w:eastAsia="sk-SK"/>
        </w:rPr>
        <w:t xml:space="preserve"> </w:t>
      </w:r>
      <w:r w:rsidR="00753739" w:rsidRPr="00753739">
        <w:rPr>
          <w:lang w:eastAsia="sk-SK"/>
        </w:rPr>
        <w:t>Z výzkumu vyplývá několik klíčových závěrů, které by měly být diskutovány v</w:t>
      </w:r>
      <w:r w:rsidR="0066358C">
        <w:rPr>
          <w:lang w:eastAsia="sk-SK"/>
        </w:rPr>
        <w:t> </w:t>
      </w:r>
      <w:r w:rsidR="00753739" w:rsidRPr="00753739">
        <w:rPr>
          <w:lang w:eastAsia="sk-SK"/>
        </w:rPr>
        <w:t>kontextu organizace péče a faktorů ovlivňujících průběh ošetření, neboť tyto faktory se vzájemně ovlivňují a mohou tak mít dopad na efektivitu poskytované péče. Diskutovány budou pouze výsledky realizovaného výzkumu, na jejichž základě byla formulována doporučení pro klinickou praxi, která jsou uvedena v následující kapitole č. 7.</w:t>
      </w:r>
    </w:p>
    <w:p w14:paraId="05E77149" w14:textId="77777777" w:rsidR="00E10BAA" w:rsidRDefault="00E10BAA" w:rsidP="00E10BAA">
      <w:pPr>
        <w:pStyle w:val="Dalodstavce"/>
        <w:ind w:firstLine="0"/>
        <w:rPr>
          <w:highlight w:val="green"/>
          <w:lang w:eastAsia="sk-SK"/>
        </w:rPr>
      </w:pPr>
    </w:p>
    <w:p w14:paraId="3F97FA4F" w14:textId="00478C24" w:rsidR="00386133" w:rsidRDefault="00386133" w:rsidP="00E10BAA">
      <w:pPr>
        <w:pStyle w:val="Dalodstavce"/>
        <w:ind w:firstLine="0"/>
        <w:rPr>
          <w:lang w:eastAsia="sk-SK"/>
        </w:rPr>
      </w:pPr>
      <w:r w:rsidRPr="00CB24F0">
        <w:rPr>
          <w:b/>
          <w:bCs/>
          <w:lang w:eastAsia="sk-SK"/>
        </w:rPr>
        <w:t>Vliv pohlaví, věku a spádovosti na průchod pacienta ve věku 75 a více let nízkoprahovým urgentním příjmem</w:t>
      </w:r>
      <w:r>
        <w:rPr>
          <w:lang w:eastAsia="sk-SK"/>
        </w:rPr>
        <w:t xml:space="preserve"> (Tabulky </w:t>
      </w:r>
      <w:r w:rsidR="003E4E72">
        <w:rPr>
          <w:lang w:eastAsia="sk-SK"/>
        </w:rPr>
        <w:t>22–</w:t>
      </w:r>
      <w:r w:rsidR="00FE5AAD">
        <w:rPr>
          <w:lang w:eastAsia="sk-SK"/>
        </w:rPr>
        <w:t>24</w:t>
      </w:r>
      <w:r>
        <w:rPr>
          <w:lang w:eastAsia="sk-SK"/>
        </w:rPr>
        <w:t>) – Pohlaví pacienta se ukázalo jako méně významný faktor ovlivňující trajektorii pacienta ve věku 75+ na NUP FN Brno. Naopak jako podstatnější se jevil věk pacienta.</w:t>
      </w:r>
      <w:r w:rsidR="002F0D21">
        <w:rPr>
          <w:lang w:eastAsia="sk-SK"/>
        </w:rPr>
        <w:t xml:space="preserve"> </w:t>
      </w:r>
      <w:r w:rsidR="002F0D21" w:rsidRPr="002F0D21">
        <w:rPr>
          <w:lang w:eastAsia="sk-SK"/>
        </w:rPr>
        <w:t>U pacientů ve věku 75+ byl nejčastějším způsobem dopravy k ošetření na NUP posádka ZZS</w:t>
      </w:r>
      <w:r w:rsidR="002E746F">
        <w:rPr>
          <w:lang w:eastAsia="sk-SK"/>
        </w:rPr>
        <w:t xml:space="preserve"> (</w:t>
      </w:r>
      <w:r w:rsidR="00CC0ED9">
        <w:rPr>
          <w:lang w:eastAsia="sk-SK"/>
        </w:rPr>
        <w:t xml:space="preserve">v obou letech šlo o </w:t>
      </w:r>
      <w:r w:rsidR="002E746F">
        <w:rPr>
          <w:lang w:eastAsia="sk-SK"/>
        </w:rPr>
        <w:t>cca 60 %)</w:t>
      </w:r>
      <w:r w:rsidR="002F0D21" w:rsidRPr="002F0D21">
        <w:rPr>
          <w:lang w:eastAsia="sk-SK"/>
        </w:rPr>
        <w:t xml:space="preserve">, </w:t>
      </w:r>
      <w:r w:rsidR="00E708AB">
        <w:rPr>
          <w:lang w:eastAsia="sk-SK"/>
        </w:rPr>
        <w:t>jak</w:t>
      </w:r>
      <w:r w:rsidR="002F0D21" w:rsidRPr="002F0D21">
        <w:rPr>
          <w:lang w:eastAsia="sk-SK"/>
        </w:rPr>
        <w:t xml:space="preserve"> potvrzují i jiné výzkumy</w:t>
      </w:r>
      <w:r w:rsidR="00BB18F8">
        <w:rPr>
          <w:lang w:eastAsia="sk-SK"/>
        </w:rPr>
        <w:fldChar w:fldCharType="begin"/>
      </w:r>
      <w:r w:rsidR="009B3709">
        <w:rPr>
          <w:lang w:eastAsia="sk-SK"/>
        </w:rPr>
        <w:instrText xml:space="preserve"> ADDIN ZOTERO_ITEM CSL_CITATION {"citationID":"qtnvSR2Q","properties":{"formattedCitation":"\\super 5,45\\nosupersub{}","plainCitation":"5,45","noteIndex":0},"citationItems":[{"id":198,"uris":["http://zotero.org/users/9426386/items/UDG2IEYS"],"itemData":{"id":198,"type":"book","ISBN":"978-1-908911-58-2","language":"en","number-of-pages":"344","publisher":"CRC Press","title":"Acute Medicine in the Frail Elderly","URL":"https://doi.org/10.1201/9781909368330","author":[{"family":"Woodford","given":"Henry"},{"family":"George","given":"James"}],"issued":{"date-parts":[["2013"]]}}},{"id":219,"uris":["http://zotero.org/users/9426386/items/G62HNQQB"],"itemData":{"id":219,"type":"article-journal","container-title":"Geri a gero","ISSN":"1805-4684","issue":"2","language":"cs","page":"79-85","title":"Geriatrický pacient na oddělení urgentního příjmu","volume":"5","author":[{"family":"Topinková","given":"E."},{"family":"Berková","given":"M."}],"issued":{"date-parts":[["2016"]]}},"label":"page"}],"schema":"https://github.com/citation-style-language/schema/raw/master/csl-citation.json"} </w:instrText>
      </w:r>
      <w:r w:rsidR="00BB18F8">
        <w:rPr>
          <w:lang w:eastAsia="sk-SK"/>
        </w:rPr>
        <w:fldChar w:fldCharType="separate"/>
      </w:r>
      <w:r w:rsidR="001300F0" w:rsidRPr="001300F0">
        <w:rPr>
          <w:vertAlign w:val="superscript"/>
        </w:rPr>
        <w:t>5,45</w:t>
      </w:r>
      <w:r w:rsidR="00BB18F8">
        <w:rPr>
          <w:lang w:eastAsia="sk-SK"/>
        </w:rPr>
        <w:fldChar w:fldCharType="end"/>
      </w:r>
      <w:r w:rsidR="002F0D21" w:rsidRPr="002F0D21">
        <w:rPr>
          <w:lang w:eastAsia="sk-SK"/>
        </w:rPr>
        <w:t>.</w:t>
      </w:r>
      <w:r w:rsidR="003D2FA3" w:rsidRPr="003D2FA3">
        <w:rPr>
          <w:lang w:eastAsia="sk-SK"/>
        </w:rPr>
        <w:t xml:space="preserve"> Převoz ZZS byl navíc častější u starších věkových skupin seniorních pacientů. Obdobný trend </w:t>
      </w:r>
      <w:r w:rsidR="00233594">
        <w:rPr>
          <w:lang w:eastAsia="sk-SK"/>
        </w:rPr>
        <w:t>bylo možné</w:t>
      </w:r>
      <w:r w:rsidR="003D2FA3" w:rsidRPr="003D2FA3">
        <w:rPr>
          <w:lang w:eastAsia="sk-SK"/>
        </w:rPr>
        <w:t xml:space="preserve"> pozorovat i u pacientů přivezených ZDS, což </w:t>
      </w:r>
      <w:r w:rsidR="003643CB">
        <w:rPr>
          <w:lang w:eastAsia="sk-SK"/>
        </w:rPr>
        <w:t>(</w:t>
      </w:r>
      <w:r w:rsidR="003D2FA3" w:rsidRPr="003D2FA3">
        <w:rPr>
          <w:lang w:eastAsia="sk-SK"/>
        </w:rPr>
        <w:t>podobně jako v případě převozu ZZS</w:t>
      </w:r>
      <w:r w:rsidR="003643CB">
        <w:rPr>
          <w:lang w:eastAsia="sk-SK"/>
        </w:rPr>
        <w:t>)</w:t>
      </w:r>
      <w:r w:rsidR="003D2FA3" w:rsidRPr="003D2FA3">
        <w:rPr>
          <w:lang w:eastAsia="sk-SK"/>
        </w:rPr>
        <w:t xml:space="preserve"> může souviset se sníženou schopností individuální dopravy </w:t>
      </w:r>
      <w:r w:rsidR="00647D77">
        <w:rPr>
          <w:lang w:eastAsia="sk-SK"/>
        </w:rPr>
        <w:t xml:space="preserve">k ošetření </w:t>
      </w:r>
      <w:r w:rsidR="003D2FA3" w:rsidRPr="003D2FA3">
        <w:rPr>
          <w:lang w:eastAsia="sk-SK"/>
        </w:rPr>
        <w:t>ve vyšším věku. Toto tvrzení dále podporuje zjištění, že mladší senioři se na NUP naopak častěji dopravili sami nebo v doprovodu blízké osoby</w:t>
      </w:r>
      <w:r w:rsidR="00FC4FF5">
        <w:rPr>
          <w:lang w:eastAsia="sk-SK"/>
        </w:rPr>
        <w:t xml:space="preserve"> (viz Tabulka 9)</w:t>
      </w:r>
      <w:r w:rsidR="00A46B97">
        <w:rPr>
          <w:lang w:eastAsia="sk-SK"/>
        </w:rPr>
        <w:t>.</w:t>
      </w:r>
    </w:p>
    <w:p w14:paraId="446A7CB2" w14:textId="056A9E18" w:rsidR="00386133" w:rsidRDefault="00BC700D" w:rsidP="00386133">
      <w:pPr>
        <w:pStyle w:val="Dalodstavce"/>
        <w:rPr>
          <w:lang w:eastAsia="sk-SK"/>
        </w:rPr>
      </w:pPr>
      <w:r>
        <w:rPr>
          <w:lang w:eastAsia="sk-SK"/>
        </w:rPr>
        <w:t xml:space="preserve">Více než tři čtvrtiny </w:t>
      </w:r>
      <w:r w:rsidR="00386133">
        <w:rPr>
          <w:lang w:eastAsia="sk-SK"/>
        </w:rPr>
        <w:t>pacientů vyžadoval</w:t>
      </w:r>
      <w:r>
        <w:rPr>
          <w:lang w:eastAsia="sk-SK"/>
        </w:rPr>
        <w:t xml:space="preserve">i </w:t>
      </w:r>
      <w:r w:rsidR="00386133">
        <w:rPr>
          <w:lang w:eastAsia="sk-SK"/>
        </w:rPr>
        <w:t xml:space="preserve">péči </w:t>
      </w:r>
      <w:r>
        <w:rPr>
          <w:lang w:eastAsia="sk-SK"/>
        </w:rPr>
        <w:t xml:space="preserve">pouze </w:t>
      </w:r>
      <w:r w:rsidR="00386133">
        <w:rPr>
          <w:lang w:eastAsia="sk-SK"/>
        </w:rPr>
        <w:t>internisty</w:t>
      </w:r>
      <w:r w:rsidR="00191AB4">
        <w:rPr>
          <w:lang w:eastAsia="sk-SK"/>
        </w:rPr>
        <w:t xml:space="preserve"> (viz Tabulka 12)</w:t>
      </w:r>
      <w:r w:rsidR="00386133">
        <w:rPr>
          <w:lang w:eastAsia="sk-SK"/>
        </w:rPr>
        <w:t>, která byla častěji poskytována pacientům starších věkových kategorií. Mladší senioři naopak přicházeli na NUP častěji se zdravotními obtížemi neurologického charakteru. V meziročním srovnání se začal</w:t>
      </w:r>
      <w:r w:rsidR="0013710A">
        <w:rPr>
          <w:lang w:eastAsia="sk-SK"/>
        </w:rPr>
        <w:t>o</w:t>
      </w:r>
      <w:r w:rsidR="00386133">
        <w:rPr>
          <w:lang w:eastAsia="sk-SK"/>
        </w:rPr>
        <w:t xml:space="preserve"> více prosazovat současné vyšetření internistou i neurologem u nejstarší věkové kategorie pacientů </w:t>
      </w:r>
      <w:r w:rsidR="00DC4694">
        <w:rPr>
          <w:lang w:eastAsia="sk-SK"/>
        </w:rPr>
        <w:t xml:space="preserve">ve věku </w:t>
      </w:r>
      <w:r w:rsidR="00386133">
        <w:rPr>
          <w:lang w:eastAsia="sk-SK"/>
        </w:rPr>
        <w:t>90+.</w:t>
      </w:r>
      <w:r w:rsidR="00ED3615">
        <w:rPr>
          <w:lang w:eastAsia="sk-SK"/>
        </w:rPr>
        <w:t xml:space="preserve"> </w:t>
      </w:r>
      <w:r w:rsidR="00102E43" w:rsidRPr="00102E43">
        <w:rPr>
          <w:lang w:eastAsia="sk-SK"/>
        </w:rPr>
        <w:t>Seniorní pacienti byli po přijetí na NUP zpravidla umístěni na observaci (viz Tabulka 13), nejčastěji se však tato skutečnost týkala kategorie starších seniorů. Neméně významným zjištěním však zůstává, že zhruba čtvrtina pacientů ve věku 75+ vyčkávala na další diagnosticko-terapeutický postup v čekárně NUP, přičemž častěji šlo o kategorie mladších seniorů.</w:t>
      </w:r>
      <w:r w:rsidR="00EA46C4">
        <w:rPr>
          <w:lang w:eastAsia="sk-SK"/>
        </w:rPr>
        <w:t xml:space="preserve"> </w:t>
      </w:r>
      <w:r w:rsidR="00773EB8" w:rsidRPr="00773EB8">
        <w:rPr>
          <w:lang w:eastAsia="sk-SK"/>
        </w:rPr>
        <w:t>Starší senioři, častěji než mladší věkové kategorie, vyžadovali konzilium dalšího specialisty.</w:t>
      </w:r>
      <w:r w:rsidR="00773EB8">
        <w:rPr>
          <w:lang w:eastAsia="sk-SK"/>
        </w:rPr>
        <w:t xml:space="preserve"> </w:t>
      </w:r>
      <w:r w:rsidR="00301909" w:rsidRPr="00301909">
        <w:rPr>
          <w:lang w:eastAsia="sk-SK"/>
        </w:rPr>
        <w:t>Domníváme se, že specifika spojená s nejstaršími věkovými kategoriemi by mohla souviset s</w:t>
      </w:r>
      <w:r w:rsidR="00BF500C">
        <w:rPr>
          <w:lang w:eastAsia="sk-SK"/>
        </w:rPr>
        <w:t> </w:t>
      </w:r>
      <w:proofErr w:type="spellStart"/>
      <w:r w:rsidR="00301909" w:rsidRPr="00301909">
        <w:rPr>
          <w:lang w:eastAsia="sk-SK"/>
        </w:rPr>
        <w:t>polymorbiditou</w:t>
      </w:r>
      <w:proofErr w:type="spellEnd"/>
      <w:r w:rsidR="00301909" w:rsidRPr="00301909">
        <w:rPr>
          <w:lang w:eastAsia="sk-SK"/>
        </w:rPr>
        <w:t xml:space="preserve"> a obecně se specifickými zvláštnostmi nemocnosti u pacientů vyššího věku.</w:t>
      </w:r>
    </w:p>
    <w:p w14:paraId="443E83E4" w14:textId="47CD0AC1" w:rsidR="00386133" w:rsidRDefault="000E228A" w:rsidP="00386133">
      <w:pPr>
        <w:pStyle w:val="Dalodstavce"/>
        <w:rPr>
          <w:lang w:eastAsia="sk-SK"/>
        </w:rPr>
      </w:pPr>
      <w:r w:rsidRPr="000E228A">
        <w:rPr>
          <w:lang w:eastAsia="sk-SK"/>
        </w:rPr>
        <w:t xml:space="preserve">Faktor spádovosti </w:t>
      </w:r>
      <w:r w:rsidR="009A3EB3">
        <w:rPr>
          <w:lang w:eastAsia="sk-SK"/>
        </w:rPr>
        <w:t>(</w:t>
      </w:r>
      <w:r w:rsidR="002F1AC1">
        <w:rPr>
          <w:lang w:eastAsia="sk-SK"/>
        </w:rPr>
        <w:t>viz Tabulka 10</w:t>
      </w:r>
      <w:r w:rsidR="009A3EB3">
        <w:rPr>
          <w:lang w:eastAsia="sk-SK"/>
        </w:rPr>
        <w:t xml:space="preserve">) </w:t>
      </w:r>
      <w:r w:rsidRPr="000E228A">
        <w:rPr>
          <w:lang w:eastAsia="sk-SK"/>
        </w:rPr>
        <w:t xml:space="preserve">dle našeho úsudku </w:t>
      </w:r>
      <w:r w:rsidR="00065FAD">
        <w:rPr>
          <w:lang w:eastAsia="sk-SK"/>
        </w:rPr>
        <w:t>věrně kopíruje svůj</w:t>
      </w:r>
      <w:r w:rsidRPr="000E228A">
        <w:rPr>
          <w:lang w:eastAsia="sk-SK"/>
        </w:rPr>
        <w:t xml:space="preserve"> primární účel, kterým je </w:t>
      </w:r>
      <w:r w:rsidR="009A4117">
        <w:rPr>
          <w:lang w:eastAsia="sk-SK"/>
        </w:rPr>
        <w:t xml:space="preserve">rozhodování o </w:t>
      </w:r>
      <w:r w:rsidRPr="000E228A">
        <w:rPr>
          <w:lang w:eastAsia="sk-SK"/>
        </w:rPr>
        <w:t>transport</w:t>
      </w:r>
      <w:r w:rsidR="009A4117">
        <w:rPr>
          <w:lang w:eastAsia="sk-SK"/>
        </w:rPr>
        <w:t>u</w:t>
      </w:r>
      <w:r w:rsidRPr="000E228A">
        <w:rPr>
          <w:lang w:eastAsia="sk-SK"/>
        </w:rPr>
        <w:t xml:space="preserve"> pacientů k cílovému poskytovateli akutní lůžkové péče posádk</w:t>
      </w:r>
      <w:r w:rsidR="009A4117">
        <w:rPr>
          <w:lang w:eastAsia="sk-SK"/>
        </w:rPr>
        <w:t>ami</w:t>
      </w:r>
      <w:r w:rsidRPr="000E228A">
        <w:rPr>
          <w:lang w:eastAsia="sk-SK"/>
        </w:rPr>
        <w:t xml:space="preserve"> ZZS a v rámci nemocničního zařízení </w:t>
      </w:r>
      <w:r w:rsidR="00065FAD">
        <w:rPr>
          <w:lang w:eastAsia="sk-SK"/>
        </w:rPr>
        <w:t xml:space="preserve">k </w:t>
      </w:r>
      <w:r w:rsidRPr="000E228A">
        <w:rPr>
          <w:lang w:eastAsia="sk-SK"/>
        </w:rPr>
        <w:t>jejich případné</w:t>
      </w:r>
      <w:r w:rsidR="00065FAD">
        <w:rPr>
          <w:lang w:eastAsia="sk-SK"/>
        </w:rPr>
        <w:t>mu</w:t>
      </w:r>
      <w:r w:rsidRPr="000E228A">
        <w:rPr>
          <w:lang w:eastAsia="sk-SK"/>
        </w:rPr>
        <w:t xml:space="preserve"> směřování k dalšímu ošetření či hospitalizaci.</w:t>
      </w:r>
    </w:p>
    <w:p w14:paraId="2D56A9C1" w14:textId="77777777" w:rsidR="00386133" w:rsidRDefault="00386133" w:rsidP="00386133">
      <w:pPr>
        <w:pStyle w:val="Dalodstavce"/>
        <w:rPr>
          <w:lang w:eastAsia="sk-SK"/>
        </w:rPr>
      </w:pPr>
    </w:p>
    <w:p w14:paraId="70BB287A" w14:textId="14048EE1" w:rsidR="00386133" w:rsidRDefault="00386133" w:rsidP="00CB24F0">
      <w:pPr>
        <w:pStyle w:val="Dalodstavce"/>
        <w:ind w:firstLine="0"/>
        <w:rPr>
          <w:lang w:eastAsia="sk-SK"/>
        </w:rPr>
      </w:pPr>
      <w:r w:rsidRPr="00CB24F0">
        <w:rPr>
          <w:b/>
          <w:bCs/>
          <w:lang w:eastAsia="sk-SK"/>
        </w:rPr>
        <w:t>Provázanost jednotlivých služeb u pacientů ve věku 75 a více let na nízkoprahovém urgentním příjmu</w:t>
      </w:r>
      <w:r w:rsidR="00F775E4">
        <w:rPr>
          <w:lang w:eastAsia="sk-SK"/>
        </w:rPr>
        <w:t xml:space="preserve"> (Tabulk</w:t>
      </w:r>
      <w:r w:rsidR="00DE2132">
        <w:rPr>
          <w:lang w:eastAsia="sk-SK"/>
        </w:rPr>
        <w:t xml:space="preserve">a </w:t>
      </w:r>
      <w:r w:rsidR="00F32BD4">
        <w:rPr>
          <w:lang w:eastAsia="sk-SK"/>
        </w:rPr>
        <w:t>26</w:t>
      </w:r>
      <w:r w:rsidR="00F775E4">
        <w:rPr>
          <w:lang w:eastAsia="sk-SK"/>
        </w:rPr>
        <w:t>)</w:t>
      </w:r>
      <w:r>
        <w:rPr>
          <w:lang w:eastAsia="sk-SK"/>
        </w:rPr>
        <w:t xml:space="preserve"> – Pacienti, kteří byli na NUP dovezeni posádkou </w:t>
      </w:r>
      <w:r>
        <w:rPr>
          <w:lang w:eastAsia="sk-SK"/>
        </w:rPr>
        <w:lastRenderedPageBreak/>
        <w:t>ZZS vyžadovali častěji umístění na observaci a taktéž vyšetření za pomoci zobrazovacích metod</w:t>
      </w:r>
      <w:r w:rsidRPr="00F35885">
        <w:rPr>
          <w:lang w:eastAsia="sk-SK"/>
        </w:rPr>
        <w:t xml:space="preserve">. </w:t>
      </w:r>
      <w:r w:rsidR="003C7153" w:rsidRPr="00F35885">
        <w:rPr>
          <w:lang w:eastAsia="sk-SK"/>
        </w:rPr>
        <w:t>Zmíněný</w:t>
      </w:r>
      <w:r w:rsidR="00E2662F" w:rsidRPr="00F35885">
        <w:rPr>
          <w:lang w:eastAsia="sk-SK"/>
        </w:rPr>
        <w:t xml:space="preserve"> vztah </w:t>
      </w:r>
      <w:r w:rsidR="008A1666" w:rsidRPr="00F35885">
        <w:rPr>
          <w:lang w:eastAsia="sk-SK"/>
        </w:rPr>
        <w:t xml:space="preserve">by mohl </w:t>
      </w:r>
      <w:r w:rsidR="00E6112C" w:rsidRPr="00F35885">
        <w:rPr>
          <w:lang w:eastAsia="sk-SK"/>
        </w:rPr>
        <w:t>korelovat s</w:t>
      </w:r>
      <w:r w:rsidR="00E2662F" w:rsidRPr="00F35885">
        <w:rPr>
          <w:lang w:eastAsia="sk-SK"/>
        </w:rPr>
        <w:t xml:space="preserve"> větší závažnost</w:t>
      </w:r>
      <w:r w:rsidR="00E6112C" w:rsidRPr="00F35885">
        <w:rPr>
          <w:lang w:eastAsia="sk-SK"/>
        </w:rPr>
        <w:t>í</w:t>
      </w:r>
      <w:r w:rsidR="00E2662F" w:rsidRPr="00F35885">
        <w:rPr>
          <w:lang w:eastAsia="sk-SK"/>
        </w:rPr>
        <w:t xml:space="preserve"> zdravotního stavu</w:t>
      </w:r>
      <w:r w:rsidR="00E6112C" w:rsidRPr="00F35885">
        <w:rPr>
          <w:lang w:eastAsia="sk-SK"/>
        </w:rPr>
        <w:t xml:space="preserve"> u</w:t>
      </w:r>
      <w:r w:rsidR="00F35885" w:rsidRPr="00F35885">
        <w:rPr>
          <w:lang w:eastAsia="sk-SK"/>
        </w:rPr>
        <w:t> </w:t>
      </w:r>
      <w:r w:rsidR="00E6112C" w:rsidRPr="00F35885">
        <w:rPr>
          <w:lang w:eastAsia="sk-SK"/>
        </w:rPr>
        <w:t>pacientů ve věku 75+ přivezených ZZS</w:t>
      </w:r>
      <w:r w:rsidR="00E2662F" w:rsidRPr="00F35885">
        <w:rPr>
          <w:lang w:eastAsia="sk-SK"/>
        </w:rPr>
        <w:t xml:space="preserve">, což </w:t>
      </w:r>
      <w:r w:rsidR="00C848AF" w:rsidRPr="00F35885">
        <w:rPr>
          <w:lang w:eastAsia="sk-SK"/>
        </w:rPr>
        <w:t xml:space="preserve">současně </w:t>
      </w:r>
      <w:r w:rsidR="00E2662F" w:rsidRPr="00F35885">
        <w:rPr>
          <w:lang w:eastAsia="sk-SK"/>
        </w:rPr>
        <w:t xml:space="preserve">vyžaduje </w:t>
      </w:r>
      <w:r w:rsidR="00963194" w:rsidRPr="00F35885">
        <w:rPr>
          <w:lang w:eastAsia="sk-SK"/>
        </w:rPr>
        <w:t xml:space="preserve">i </w:t>
      </w:r>
      <w:r w:rsidR="00E2662F" w:rsidRPr="00F35885">
        <w:rPr>
          <w:lang w:eastAsia="sk-SK"/>
        </w:rPr>
        <w:t xml:space="preserve">intenzivnější </w:t>
      </w:r>
      <w:r w:rsidR="00963194" w:rsidRPr="00F35885">
        <w:rPr>
          <w:lang w:eastAsia="sk-SK"/>
        </w:rPr>
        <w:t>m</w:t>
      </w:r>
      <w:r w:rsidR="00963194">
        <w:rPr>
          <w:lang w:eastAsia="sk-SK"/>
        </w:rPr>
        <w:t>onitoraci</w:t>
      </w:r>
      <w:r w:rsidR="00F35885">
        <w:rPr>
          <w:lang w:eastAsia="sk-SK"/>
        </w:rPr>
        <w:t xml:space="preserve"> vitálních funkcí</w:t>
      </w:r>
      <w:r w:rsidR="00963194">
        <w:rPr>
          <w:lang w:eastAsia="sk-SK"/>
        </w:rPr>
        <w:t>.</w:t>
      </w:r>
      <w:r w:rsidR="00E2662F">
        <w:rPr>
          <w:lang w:eastAsia="sk-SK"/>
        </w:rPr>
        <w:t xml:space="preserve"> </w:t>
      </w:r>
      <w:r>
        <w:rPr>
          <w:lang w:eastAsia="sk-SK"/>
        </w:rPr>
        <w:t>Častější vyšetření zobrazovacími metodami vyžadovali i</w:t>
      </w:r>
      <w:r w:rsidR="00FE676A">
        <w:rPr>
          <w:lang w:eastAsia="sk-SK"/>
        </w:rPr>
        <w:t> </w:t>
      </w:r>
      <w:r>
        <w:rPr>
          <w:lang w:eastAsia="sk-SK"/>
        </w:rPr>
        <w:t xml:space="preserve">pacienti přivezeni sanitou ZDS. Méně často tato vyšetření vyžadovali pacienti, kteří byli na NUP odesláni jako konzilium či předání z jiné ambulance FN Brno. </w:t>
      </w:r>
      <w:r w:rsidR="00D573B7">
        <w:rPr>
          <w:lang w:eastAsia="sk-SK"/>
        </w:rPr>
        <w:t>Meziroční p</w:t>
      </w:r>
      <w:r>
        <w:rPr>
          <w:lang w:eastAsia="sk-SK"/>
        </w:rPr>
        <w:t xml:space="preserve">rohloubení tohoto vztahu by mohlo být způsobeno častější indikací </w:t>
      </w:r>
      <w:r w:rsidR="00E47A01">
        <w:rPr>
          <w:lang w:eastAsia="sk-SK"/>
        </w:rPr>
        <w:t xml:space="preserve">diagnostických </w:t>
      </w:r>
      <w:r>
        <w:rPr>
          <w:lang w:eastAsia="sk-SK"/>
        </w:rPr>
        <w:t xml:space="preserve">metod již </w:t>
      </w:r>
      <w:r w:rsidR="006F6080">
        <w:rPr>
          <w:lang w:eastAsia="sk-SK"/>
        </w:rPr>
        <w:t xml:space="preserve">při </w:t>
      </w:r>
      <w:r w:rsidR="00852D8F">
        <w:rPr>
          <w:lang w:eastAsia="sk-SK"/>
        </w:rPr>
        <w:t xml:space="preserve">pacientově primárním kontaktu </w:t>
      </w:r>
      <w:r>
        <w:rPr>
          <w:lang w:eastAsia="sk-SK"/>
        </w:rPr>
        <w:t>na odesílající ambulanci</w:t>
      </w:r>
      <w:r w:rsidR="006F6080">
        <w:rPr>
          <w:lang w:eastAsia="sk-SK"/>
        </w:rPr>
        <w:t xml:space="preserve">, které tak již </w:t>
      </w:r>
      <w:r>
        <w:rPr>
          <w:lang w:eastAsia="sk-SK"/>
        </w:rPr>
        <w:t>nemusely být v takové míře doplňovány na NUP.</w:t>
      </w:r>
    </w:p>
    <w:p w14:paraId="2077C423" w14:textId="15BBFC0D" w:rsidR="00386133" w:rsidRDefault="00386133" w:rsidP="00CB24F0">
      <w:pPr>
        <w:pStyle w:val="Dalodstavce"/>
        <w:rPr>
          <w:lang w:eastAsia="sk-SK"/>
        </w:rPr>
      </w:pPr>
      <w:r>
        <w:rPr>
          <w:lang w:eastAsia="sk-SK"/>
        </w:rPr>
        <w:t>Pacienti umístění na observační lůžko častěji podstupovali vyšetření zobrazovacími metodami nebo konzilium specialisty než ti, kteří zůstali v čekárně NUP.</w:t>
      </w:r>
      <w:r w:rsidR="009853F6" w:rsidRPr="009853F6">
        <w:t xml:space="preserve"> </w:t>
      </w:r>
      <w:r w:rsidR="00625294">
        <w:rPr>
          <w:lang w:eastAsia="sk-SK"/>
        </w:rPr>
        <w:t xml:space="preserve">Domníváme se, že </w:t>
      </w:r>
      <w:r w:rsidR="00B97343">
        <w:rPr>
          <w:lang w:eastAsia="sk-SK"/>
        </w:rPr>
        <w:t>t</w:t>
      </w:r>
      <w:r w:rsidR="00B97343" w:rsidRPr="00B97343">
        <w:rPr>
          <w:lang w:eastAsia="sk-SK"/>
        </w:rPr>
        <w:t>ito pacienti</w:t>
      </w:r>
      <w:r w:rsidR="00514701">
        <w:rPr>
          <w:lang w:eastAsia="sk-SK"/>
        </w:rPr>
        <w:t xml:space="preserve"> </w:t>
      </w:r>
      <w:r w:rsidR="00B97343" w:rsidRPr="00B97343">
        <w:rPr>
          <w:lang w:eastAsia="sk-SK"/>
        </w:rPr>
        <w:t xml:space="preserve">vykazovali závažnější a na diagnostiku </w:t>
      </w:r>
      <w:r w:rsidR="00322FC1">
        <w:rPr>
          <w:lang w:eastAsia="sk-SK"/>
        </w:rPr>
        <w:t>složitější</w:t>
      </w:r>
      <w:r w:rsidR="00B97343" w:rsidRPr="00B97343">
        <w:rPr>
          <w:lang w:eastAsia="sk-SK"/>
        </w:rPr>
        <w:t xml:space="preserve"> zdravotní obtíže, </w:t>
      </w:r>
      <w:r w:rsidR="00126014" w:rsidRPr="00126014">
        <w:rPr>
          <w:lang w:eastAsia="sk-SK"/>
        </w:rPr>
        <w:t>což, spolu s dalšími závěry o predikci ukončení ošetření (viz následující text), podtrhuje význam observačních lůžek pro jejich adekvátní zajištění. Observace by tak umožnila včasnou a cílenou diagnostiku, která by mohla vést k efektivnějšímu a rychlejšímu zahájení adekvátní léčby.</w:t>
      </w:r>
    </w:p>
    <w:p w14:paraId="0AEA35D9" w14:textId="77777777" w:rsidR="000F6706" w:rsidRDefault="000F6706" w:rsidP="000F6706">
      <w:pPr>
        <w:pStyle w:val="Dalodstavce"/>
        <w:ind w:firstLine="0"/>
        <w:rPr>
          <w:lang w:eastAsia="sk-SK"/>
        </w:rPr>
      </w:pPr>
    </w:p>
    <w:p w14:paraId="2DAC3B8C" w14:textId="47D4CA6B" w:rsidR="00386133" w:rsidRDefault="00386133" w:rsidP="000F6706">
      <w:pPr>
        <w:pStyle w:val="Dalodstavce"/>
        <w:ind w:firstLine="0"/>
        <w:rPr>
          <w:lang w:eastAsia="sk-SK"/>
        </w:rPr>
      </w:pPr>
      <w:r w:rsidRPr="000F6706">
        <w:rPr>
          <w:b/>
          <w:bCs/>
          <w:lang w:eastAsia="sk-SK"/>
        </w:rPr>
        <w:t>Proměnné, predik</w:t>
      </w:r>
      <w:r w:rsidR="000F6706">
        <w:rPr>
          <w:b/>
          <w:bCs/>
          <w:lang w:eastAsia="sk-SK"/>
        </w:rPr>
        <w:t>ující</w:t>
      </w:r>
      <w:r w:rsidRPr="000F6706">
        <w:rPr>
          <w:b/>
          <w:bCs/>
          <w:lang w:eastAsia="sk-SK"/>
        </w:rPr>
        <w:t xml:space="preserve"> způsob ukončení návštěvy nízkoprahového urgentního příjmu u pacientů ve věku 75 a více let</w:t>
      </w:r>
      <w:r>
        <w:rPr>
          <w:lang w:eastAsia="sk-SK"/>
        </w:rPr>
        <w:t xml:space="preserve"> </w:t>
      </w:r>
      <w:r w:rsidR="00F775E4">
        <w:rPr>
          <w:lang w:eastAsia="sk-SK"/>
        </w:rPr>
        <w:t>(Tabulka</w:t>
      </w:r>
      <w:r w:rsidR="00BB6145">
        <w:rPr>
          <w:lang w:eastAsia="sk-SK"/>
        </w:rPr>
        <w:t xml:space="preserve"> 2</w:t>
      </w:r>
      <w:r w:rsidR="00DE2132">
        <w:rPr>
          <w:lang w:eastAsia="sk-SK"/>
        </w:rPr>
        <w:t>7</w:t>
      </w:r>
      <w:r w:rsidR="00F775E4">
        <w:rPr>
          <w:lang w:eastAsia="sk-SK"/>
        </w:rPr>
        <w:t xml:space="preserve">) </w:t>
      </w:r>
      <w:r>
        <w:rPr>
          <w:lang w:eastAsia="sk-SK"/>
        </w:rPr>
        <w:t xml:space="preserve">– Věk </w:t>
      </w:r>
      <w:r w:rsidR="000E01CA">
        <w:rPr>
          <w:lang w:eastAsia="sk-SK"/>
        </w:rPr>
        <w:t xml:space="preserve">pacienta </w:t>
      </w:r>
      <w:r>
        <w:rPr>
          <w:lang w:eastAsia="sk-SK"/>
        </w:rPr>
        <w:t xml:space="preserve">se </w:t>
      </w:r>
      <w:r w:rsidR="00CD2B1B">
        <w:rPr>
          <w:lang w:eastAsia="sk-SK"/>
        </w:rPr>
        <w:t xml:space="preserve">rovněž </w:t>
      </w:r>
      <w:r>
        <w:rPr>
          <w:lang w:eastAsia="sk-SK"/>
        </w:rPr>
        <w:t>ukázal</w:t>
      </w:r>
      <w:r w:rsidR="00CD2B1B">
        <w:rPr>
          <w:lang w:eastAsia="sk-SK"/>
        </w:rPr>
        <w:t xml:space="preserve"> </w:t>
      </w:r>
      <w:r>
        <w:rPr>
          <w:lang w:eastAsia="sk-SK"/>
        </w:rPr>
        <w:t>jako významný faktor predikující způsob ukončení návštěvy NUP. Mladší senioři zpravidla méně často vyžadovali převoz sanitou ZDS do domácí či jiné formy péče. V</w:t>
      </w:r>
      <w:r w:rsidR="00E25FC2">
        <w:rPr>
          <w:lang w:eastAsia="sk-SK"/>
        </w:rPr>
        <w:t> </w:t>
      </w:r>
      <w:r>
        <w:rPr>
          <w:lang w:eastAsia="sk-SK"/>
        </w:rPr>
        <w:t>případě hospitalizace byli na standardním oddělení méně často umisťováni pacienti ve věku 75–79 let a na intenzivním lůžku naopak častěji pacienti ve věkové kategorii 80</w:t>
      </w:r>
      <w:r w:rsidR="00C36AB7">
        <w:rPr>
          <w:lang w:eastAsia="sk-SK"/>
        </w:rPr>
        <w:t>––</w:t>
      </w:r>
      <w:r>
        <w:rPr>
          <w:lang w:eastAsia="sk-SK"/>
        </w:rPr>
        <w:t>84 let. Starší senioři v případě propuštění do domácí či jiné formy péče méně často</w:t>
      </w:r>
      <w:r w:rsidR="00C36AB7">
        <w:rPr>
          <w:lang w:eastAsia="sk-SK"/>
        </w:rPr>
        <w:t xml:space="preserve"> </w:t>
      </w:r>
      <w:r>
        <w:rPr>
          <w:lang w:eastAsia="sk-SK"/>
        </w:rPr>
        <w:t>odcházeli po vlastní ose, a naopak častěji vyžadovali převoz sanitou ZDS. U nejstarší věkové skupiny pacientů (90+) byla zjištěna častější hospitalizace na standardním lůžku. V roce 2023 pominula u pacientů této věkové kategorie méně častá hospitalizace na intenzivním lůžku z roku 2019 a současně se objevilo méně časté odesílání do jiných nemocničních zařízení.</w:t>
      </w:r>
      <w:r w:rsidR="00AB47A2">
        <w:rPr>
          <w:lang w:eastAsia="sk-SK"/>
        </w:rPr>
        <w:t xml:space="preserve"> </w:t>
      </w:r>
      <w:r w:rsidR="00E829FB" w:rsidRPr="00E829FB">
        <w:rPr>
          <w:lang w:eastAsia="sk-SK"/>
        </w:rPr>
        <w:t>Tyto skutečnosti mohou naznačovat změny v přístupu k péči, kdy je kladen důraz na intenzivní péči u starších pacientů s vážnějšími zdravotními obtížemi, zatímco u velmi starých pacientů (90+) může být péče více zaměřena na stabilizaci zdravotního stavu, včetně konceptu paliativní péče.</w:t>
      </w:r>
      <w:r w:rsidR="00E829FB">
        <w:rPr>
          <w:lang w:eastAsia="sk-SK"/>
        </w:rPr>
        <w:t xml:space="preserve"> </w:t>
      </w:r>
      <w:r w:rsidR="00F4360E" w:rsidRPr="00F4360E">
        <w:rPr>
          <w:lang w:eastAsia="sk-SK"/>
        </w:rPr>
        <w:t>Zjištění by mohlo také odrážet lepší výsledky u pacientů ve vyšším věku.</w:t>
      </w:r>
      <w:r w:rsidR="00F4360E">
        <w:rPr>
          <w:lang w:eastAsia="sk-SK"/>
        </w:rPr>
        <w:t xml:space="preserve"> </w:t>
      </w:r>
      <w:r w:rsidR="00DE1DCA" w:rsidRPr="00DE1DCA">
        <w:rPr>
          <w:lang w:eastAsia="sk-SK"/>
        </w:rPr>
        <w:t>Častější přijímání seniorních pacientů k hospitalizaci po návštěvě urgentního příjmu, včetně akutní hospitalizace, potvrzuje</w:t>
      </w:r>
      <w:r w:rsidR="009C01E0">
        <w:rPr>
          <w:lang w:eastAsia="sk-SK"/>
        </w:rPr>
        <w:t xml:space="preserve"> </w:t>
      </w:r>
      <w:r w:rsidR="00DE1DCA" w:rsidRPr="00DE1DCA">
        <w:rPr>
          <w:lang w:eastAsia="sk-SK"/>
        </w:rPr>
        <w:t>celá řada dalších výzkumů</w:t>
      </w:r>
      <w:r w:rsidR="001D005E">
        <w:rPr>
          <w:lang w:eastAsia="sk-SK"/>
        </w:rPr>
        <w:fldChar w:fldCharType="begin"/>
      </w:r>
      <w:r w:rsidR="009B3709">
        <w:rPr>
          <w:lang w:eastAsia="sk-SK"/>
        </w:rPr>
        <w:instrText xml:space="preserve"> ADDIN ZOTERO_ITEM CSL_CITATION {"citationID":"h7ugxV4h","properties":{"formattedCitation":"\\super 5,36,45,46\\nosupersub{}","plainCitation":"5,36,45,46","noteIndex":0},"citationItems":[{"id":198,"uris":["http://zotero.org/users/9426386/items/UDG2IEYS"],"itemData":{"id":198,"type":"book","ISBN":"978-1-908911-58-2","language":"en","number-of-pages":"344","publisher":"CRC Press","title":"Acute Medicine in the Frail Elderly","URL":"https://doi.org/10.1201/9781909368330","author":[{"family":"Woodford","given":"Henry"},{"family":"George","given":"James"}],"issued":{"date-parts":[["2013"]]}}},{"id":190,"uris":["http://zotero.org/users/9426386/items/DHY8WFK8"],"itemData":{"id":190,"type":"book","collection-title":"SpringerLink Bücher","event-place":"Cham, Switzerland","ISBN":"978-3-319-19318-2","language":"eng","note":"DOI: 10.1007/978-3-319-19318-2","number-of-pages":"397","publisher":"Springer","publisher-place":"Cham, Switzerland","source":"K10plus ISBN","title":"Geriatric emergency medicine","URL":"https://doi.org/10.1007/978-3-319-19318-2","editor":[{"family":"Nickel","given":"Christian"},{"family":"Bellou","given":"Abdelouahab"},{"family":"Conroy","given":"Simon"}],"issued":{"date-parts":[["2018"]]}},"label":"page"},{"id":219,"uris":["http://zotero.org/users/9426386/items/G62HNQQB"],"itemData":{"id":219,"type":"article-journal","container-title":"Geri a gero","ISSN":"1805-4684","issue":"2","language":"cs","page":"79-85","title":"Geriatrický pacient na oddělení urgentního příjmu","volume":"5","author":[{"family":"Topinková","given":"E."},{"family":"Berková","given":"M."}],"issued":{"date-parts":[["2016"]]}},"label":"page"},{"id":220,"uris":["http://zotero.org/users/9426386/items/2ZXTF9HP"],"itemData":{"id":220,"type":"article-journal","container-title":"BMC Geriatrics","DOI":"10.1186/s12877-024-05429-9","ISSN":"1471-2318","journalAbbreviation":"BMC Geriatr","language":"en","note":"PMID: 39472812\nPMCID: PMC11520431","page":"890","source":"PubMed Central","title":"“The stay here is, of course, not appropriate for an old person”: the perspective of healthcare providers on older patients in the emergency department","title-short":"“The stay here is, of course, not appropriate for an old person”","volume":"24","author":[{"family":"Deutschbein","given":"Johannes"},{"family":"Wagenknecht","given":"Andreas"},{"family":"Gilles","given":"Gabriela"},{"family":"Möckel","given":"Martin"},{"family":"Schenk","given":"Liane"}],"issued":{"date-parts":[["2024",10,29]]}},"label":"page"}],"schema":"https://github.com/citation-style-language/schema/raw/master/csl-citation.json"} </w:instrText>
      </w:r>
      <w:r w:rsidR="001D005E">
        <w:rPr>
          <w:lang w:eastAsia="sk-SK"/>
        </w:rPr>
        <w:fldChar w:fldCharType="separate"/>
      </w:r>
      <w:r w:rsidR="001300F0" w:rsidRPr="001300F0">
        <w:rPr>
          <w:vertAlign w:val="superscript"/>
        </w:rPr>
        <w:t>5,36,45,46</w:t>
      </w:r>
      <w:r w:rsidR="001D005E">
        <w:rPr>
          <w:lang w:eastAsia="sk-SK"/>
        </w:rPr>
        <w:fldChar w:fldCharType="end"/>
      </w:r>
      <w:r w:rsidR="00DE1DCA" w:rsidRPr="00DE1DCA">
        <w:rPr>
          <w:lang w:eastAsia="sk-SK"/>
        </w:rPr>
        <w:t>.</w:t>
      </w:r>
      <w:r w:rsidR="00A10DBD">
        <w:rPr>
          <w:lang w:eastAsia="sk-SK"/>
        </w:rPr>
        <w:t xml:space="preserve"> </w:t>
      </w:r>
      <w:r w:rsidR="00F5231B">
        <w:rPr>
          <w:lang w:eastAsia="sk-SK"/>
        </w:rPr>
        <w:t>R</w:t>
      </w:r>
      <w:r w:rsidR="00FE0E18" w:rsidRPr="00FE0E18">
        <w:rPr>
          <w:lang w:eastAsia="sk-SK"/>
        </w:rPr>
        <w:t>ozdíly by bylo opět možné najít ve finském výzkumu</w:t>
      </w:r>
      <w:r w:rsidR="00682B94">
        <w:rPr>
          <w:lang w:eastAsia="sk-SK"/>
        </w:rPr>
        <w:fldChar w:fldCharType="begin"/>
      </w:r>
      <w:r w:rsidR="001300F0">
        <w:rPr>
          <w:lang w:eastAsia="sk-SK"/>
        </w:rPr>
        <w:instrText xml:space="preserve"> ADDIN ZOTERO_ITEM CSL_CITATION {"citationID":"h6Hfk5JY","properties":{"formattedCitation":"\\super 47\\nosupersub{}","plainCitation":"47","noteIndex":0},"citationItems":[{"id":214,"uris":["http://zotero.org/users/9426386/items/SBCH4UM2"],"itemData":{"id":214,"type":"article-journal","container-title":"BMC emergency medicine","DOI":"10.1186/s12873-019-0236-3","ISSN":"1471-227X","issue":"1","journalAbbreviation":"BMC Emerg Med","language":"eng","note":"PMID: 30813898\nPMCID: PMC6391758","page":"20","source":"PubMed","title":"Emergency department visits in older patients: a population-based survey","title-short":"Emergency department visits in older patients","volume":"19","author":[{"family":"Ukkonen","given":"Mika"},{"family":"Jämsen","given":"Esa"},{"family":"Zeitlin","given":"Rainer"},{"family":"Pauniaho","given":"Satu-Liisa"}],"issued":{"date-parts":[["2019",2,27]]}},"label":"page"}],"schema":"https://github.com/citation-style-language/schema/raw/master/csl-citation.json"} </w:instrText>
      </w:r>
      <w:r w:rsidR="00682B94">
        <w:rPr>
          <w:lang w:eastAsia="sk-SK"/>
        </w:rPr>
        <w:fldChar w:fldCharType="separate"/>
      </w:r>
      <w:r w:rsidR="001300F0" w:rsidRPr="001300F0">
        <w:rPr>
          <w:vertAlign w:val="superscript"/>
        </w:rPr>
        <w:t>47</w:t>
      </w:r>
      <w:r w:rsidR="00682B94">
        <w:rPr>
          <w:lang w:eastAsia="sk-SK"/>
        </w:rPr>
        <w:fldChar w:fldCharType="end"/>
      </w:r>
      <w:r w:rsidR="00FE0E18" w:rsidRPr="00FE0E18">
        <w:rPr>
          <w:lang w:eastAsia="sk-SK"/>
        </w:rPr>
        <w:t xml:space="preserve">, podle kterého byli pacienti vyššího věku výrazně méně často </w:t>
      </w:r>
      <w:r w:rsidR="00244E39">
        <w:rPr>
          <w:lang w:eastAsia="sk-SK"/>
        </w:rPr>
        <w:t>(</w:t>
      </w:r>
      <w:r w:rsidR="00244E39" w:rsidRPr="00FE0E18">
        <w:rPr>
          <w:lang w:eastAsia="sk-SK"/>
        </w:rPr>
        <w:t>oproti našim zjištěním</w:t>
      </w:r>
      <w:r w:rsidR="00244E39">
        <w:rPr>
          <w:lang w:eastAsia="sk-SK"/>
        </w:rPr>
        <w:t xml:space="preserve">) </w:t>
      </w:r>
      <w:r w:rsidR="00FE0E18" w:rsidRPr="00FE0E18">
        <w:rPr>
          <w:lang w:eastAsia="sk-SK"/>
        </w:rPr>
        <w:t>hospitalizováni na intenzivním lůžku</w:t>
      </w:r>
      <w:r w:rsidR="008C100F">
        <w:rPr>
          <w:lang w:eastAsia="sk-SK"/>
        </w:rPr>
        <w:t xml:space="preserve"> </w:t>
      </w:r>
      <w:r w:rsidR="00FE0E18" w:rsidRPr="00FE0E18">
        <w:rPr>
          <w:lang w:eastAsia="sk-SK"/>
        </w:rPr>
        <w:t xml:space="preserve">a naopak výrazně častěji odesíláni do jiných nemocničních zařízení. Míra propouštění pacientů do domácí či jiné formy péče však byla takřka totožná. </w:t>
      </w:r>
      <w:r w:rsidR="009202C5">
        <w:rPr>
          <w:lang w:eastAsia="sk-SK"/>
        </w:rPr>
        <w:t>Bylo předpokládáno, že p</w:t>
      </w:r>
      <w:r w:rsidR="00FE0E18" w:rsidRPr="00FE0E18">
        <w:rPr>
          <w:lang w:eastAsia="sk-SK"/>
        </w:rPr>
        <w:t>opsané rozdíly nejspíše souvise</w:t>
      </w:r>
      <w:r w:rsidR="009202C5">
        <w:rPr>
          <w:lang w:eastAsia="sk-SK"/>
        </w:rPr>
        <w:t>ly</w:t>
      </w:r>
      <w:r w:rsidR="00FE0E18" w:rsidRPr="00FE0E18">
        <w:rPr>
          <w:lang w:eastAsia="sk-SK"/>
        </w:rPr>
        <w:t xml:space="preserve"> s</w:t>
      </w:r>
      <w:r w:rsidR="003F1D00">
        <w:rPr>
          <w:lang w:eastAsia="sk-SK"/>
        </w:rPr>
        <w:t xml:space="preserve"> regionálními </w:t>
      </w:r>
      <w:r w:rsidR="00FE0E18" w:rsidRPr="00FE0E18">
        <w:rPr>
          <w:lang w:eastAsia="sk-SK"/>
        </w:rPr>
        <w:t xml:space="preserve">rozdíly v demografickém stárnutí </w:t>
      </w:r>
      <w:r w:rsidR="003F1D00">
        <w:rPr>
          <w:lang w:eastAsia="sk-SK"/>
        </w:rPr>
        <w:t xml:space="preserve">obou </w:t>
      </w:r>
      <w:r w:rsidR="00FE0E18" w:rsidRPr="00FE0E18">
        <w:rPr>
          <w:lang w:eastAsia="sk-SK"/>
        </w:rPr>
        <w:t>populac</w:t>
      </w:r>
      <w:r w:rsidR="003F1D00">
        <w:rPr>
          <w:lang w:eastAsia="sk-SK"/>
        </w:rPr>
        <w:t>í</w:t>
      </w:r>
      <w:r w:rsidR="00FE0E18" w:rsidRPr="00FE0E18">
        <w:rPr>
          <w:lang w:eastAsia="sk-SK"/>
        </w:rPr>
        <w:t xml:space="preserve">, </w:t>
      </w:r>
      <w:r w:rsidR="0092248B">
        <w:rPr>
          <w:lang w:eastAsia="sk-SK"/>
        </w:rPr>
        <w:t>či</w:t>
      </w:r>
      <w:r w:rsidR="00FE0E18" w:rsidRPr="00FE0E18">
        <w:rPr>
          <w:lang w:eastAsia="sk-SK"/>
        </w:rPr>
        <w:t xml:space="preserve"> s</w:t>
      </w:r>
      <w:r w:rsidR="009202C5">
        <w:rPr>
          <w:lang w:eastAsia="sk-SK"/>
        </w:rPr>
        <w:t> </w:t>
      </w:r>
      <w:r w:rsidR="00FE0E18" w:rsidRPr="00FE0E18">
        <w:rPr>
          <w:lang w:eastAsia="sk-SK"/>
        </w:rPr>
        <w:t>odlišn</w:t>
      </w:r>
      <w:r w:rsidR="009202C5">
        <w:rPr>
          <w:lang w:eastAsia="sk-SK"/>
        </w:rPr>
        <w:t>ě nastaveným</w:t>
      </w:r>
      <w:r w:rsidR="003C3EF4">
        <w:rPr>
          <w:lang w:eastAsia="sk-SK"/>
        </w:rPr>
        <w:t>i</w:t>
      </w:r>
      <w:r w:rsidR="00FE0E18" w:rsidRPr="00FE0E18">
        <w:rPr>
          <w:lang w:eastAsia="sk-SK"/>
        </w:rPr>
        <w:t xml:space="preserve"> zdravotnickým</w:t>
      </w:r>
      <w:r w:rsidR="003C3EF4">
        <w:rPr>
          <w:lang w:eastAsia="sk-SK"/>
        </w:rPr>
        <w:t>i</w:t>
      </w:r>
      <w:r w:rsidR="00FE0E18" w:rsidRPr="00FE0E18">
        <w:rPr>
          <w:lang w:eastAsia="sk-SK"/>
        </w:rPr>
        <w:t xml:space="preserve"> systém</w:t>
      </w:r>
      <w:r w:rsidR="003C3EF4">
        <w:rPr>
          <w:lang w:eastAsia="sk-SK"/>
        </w:rPr>
        <w:t>y</w:t>
      </w:r>
      <w:r w:rsidR="00FE0E18" w:rsidRPr="00FE0E18">
        <w:rPr>
          <w:lang w:eastAsia="sk-SK"/>
        </w:rPr>
        <w:t>.</w:t>
      </w:r>
    </w:p>
    <w:p w14:paraId="4375329D" w14:textId="5ED0EF5B" w:rsidR="00386133" w:rsidRDefault="00386133" w:rsidP="00386133">
      <w:pPr>
        <w:pStyle w:val="Dalodstavce"/>
        <w:rPr>
          <w:lang w:eastAsia="sk-SK"/>
        </w:rPr>
      </w:pPr>
      <w:r>
        <w:rPr>
          <w:lang w:eastAsia="sk-SK"/>
        </w:rPr>
        <w:lastRenderedPageBreak/>
        <w:t xml:space="preserve">U pacientů přivezených ZZS bylo jejich ošetření na NUP častěji ukončeno hospitalizací na intenzivním lůžku a méně často odcházeli do domácí či jiné formy péče po vlastní ose. V roce 2023 dále došlo i k častějším hospitalizacím na standardním lůžku a převozům sanitním vozem do domácí či jiné formy péče. Na </w:t>
      </w:r>
      <w:r w:rsidR="008B48F0">
        <w:rPr>
          <w:lang w:eastAsia="sk-SK"/>
        </w:rPr>
        <w:t xml:space="preserve">standardním </w:t>
      </w:r>
      <w:r>
        <w:rPr>
          <w:lang w:eastAsia="sk-SK"/>
        </w:rPr>
        <w:t>lůžku byl</w:t>
      </w:r>
      <w:r w:rsidR="008B48F0">
        <w:rPr>
          <w:lang w:eastAsia="sk-SK"/>
        </w:rPr>
        <w:t>i</w:t>
      </w:r>
      <w:r>
        <w:rPr>
          <w:lang w:eastAsia="sk-SK"/>
        </w:rPr>
        <w:t xml:space="preserve"> taktéž častěji hospitalizováni pacienti přivezeni ZDS. NUP opouštěli po vlastní ose častěji ti, kteří se k ošetření dostavili sami či v doprovodu blízké osoby.</w:t>
      </w:r>
    </w:p>
    <w:p w14:paraId="02239931" w14:textId="5AB32AF9" w:rsidR="00386133" w:rsidRDefault="00386133" w:rsidP="00386133">
      <w:pPr>
        <w:pStyle w:val="Dalodstavce"/>
        <w:rPr>
          <w:lang w:eastAsia="sk-SK"/>
        </w:rPr>
      </w:pPr>
      <w:r>
        <w:rPr>
          <w:lang w:eastAsia="sk-SK"/>
        </w:rPr>
        <w:t xml:space="preserve">Pacienti vyžadující observaci byli oproti těm, kteří zůstali v čekárně NUP, častěji hospitalizováni na standardním i intenzivním lůžku nebo odjížděli do domácí či jiné formy péče sanitou ZDS. Naopak méně často odcházeli do domácí či jiné formy péče po vlastní ose. V roce 2023 rovněž došlo k častějšímu odesílání </w:t>
      </w:r>
      <w:proofErr w:type="spellStart"/>
      <w:r>
        <w:rPr>
          <w:lang w:eastAsia="sk-SK"/>
        </w:rPr>
        <w:t>observovaných</w:t>
      </w:r>
      <w:proofErr w:type="spellEnd"/>
      <w:r>
        <w:rPr>
          <w:lang w:eastAsia="sk-SK"/>
        </w:rPr>
        <w:t xml:space="preserve"> pacientů z</w:t>
      </w:r>
      <w:r w:rsidR="00C11804">
        <w:rPr>
          <w:lang w:eastAsia="sk-SK"/>
        </w:rPr>
        <w:t> </w:t>
      </w:r>
      <w:r>
        <w:rPr>
          <w:lang w:eastAsia="sk-SK"/>
        </w:rPr>
        <w:t>NUP do jiných nemocničních zařízení.</w:t>
      </w:r>
    </w:p>
    <w:p w14:paraId="0680261D" w14:textId="7A1B04CD" w:rsidR="00353D94" w:rsidRDefault="00386133" w:rsidP="00353D94">
      <w:pPr>
        <w:pStyle w:val="Dalodstavce"/>
        <w:rPr>
          <w:lang w:eastAsia="sk-SK"/>
        </w:rPr>
      </w:pPr>
      <w:r>
        <w:rPr>
          <w:lang w:eastAsia="sk-SK"/>
        </w:rPr>
        <w:t>Pacienti, kteří vyžadovali vyšetření zobrazovacími metodami, méně často odcházeli do domácí či jiné formy péče po vlastní ose. V roce 2023 byli navíc tito pacienti častěji hospitalizováni na standardním lůžku nebo odesláni do jiného nemocničního zařízení.</w:t>
      </w:r>
      <w:r w:rsidR="00DD7737">
        <w:rPr>
          <w:lang w:eastAsia="sk-SK"/>
        </w:rPr>
        <w:t xml:space="preserve"> </w:t>
      </w:r>
      <w:r w:rsidR="00BF52AA">
        <w:rPr>
          <w:lang w:eastAsia="sk-SK"/>
        </w:rPr>
        <w:t>Tento druh vyšetření tak mohl být častěji využíván u pacientů se závažnějšími zdravotními obtížemi</w:t>
      </w:r>
      <w:r w:rsidR="00EB4937">
        <w:rPr>
          <w:lang w:eastAsia="sk-SK"/>
        </w:rPr>
        <w:t>, které posléze vedly k jejich hospitalizaci</w:t>
      </w:r>
      <w:r w:rsidR="00DD7737" w:rsidRPr="00DD7737">
        <w:rPr>
          <w:lang w:eastAsia="sk-SK"/>
        </w:rPr>
        <w:t xml:space="preserve"> nebo převozu do jiných nemocničních zařízení.</w:t>
      </w:r>
    </w:p>
    <w:p w14:paraId="3A92DD76" w14:textId="77777777" w:rsidR="00016AD9" w:rsidRDefault="00016AD9" w:rsidP="00016AD9">
      <w:pPr>
        <w:pStyle w:val="Dalodstavce"/>
        <w:ind w:firstLine="0"/>
        <w:rPr>
          <w:lang w:eastAsia="sk-SK"/>
        </w:rPr>
      </w:pPr>
    </w:p>
    <w:p w14:paraId="25864F54" w14:textId="257034B5" w:rsidR="00976397" w:rsidRPr="00AC77D1" w:rsidRDefault="00262E9A" w:rsidP="00AC77D1">
      <w:pPr>
        <w:pStyle w:val="Dalodstavce"/>
        <w:ind w:firstLine="0"/>
        <w:rPr>
          <w:lang w:eastAsia="sk-SK"/>
        </w:rPr>
      </w:pPr>
      <w:r w:rsidRPr="00262E9A">
        <w:rPr>
          <w:lang w:eastAsia="sk-SK"/>
        </w:rPr>
        <w:t xml:space="preserve">Celkově lze tedy </w:t>
      </w:r>
      <w:proofErr w:type="gramStart"/>
      <w:r w:rsidRPr="00262E9A">
        <w:rPr>
          <w:lang w:eastAsia="sk-SK"/>
        </w:rPr>
        <w:t>říci</w:t>
      </w:r>
      <w:proofErr w:type="gramEnd"/>
      <w:r w:rsidRPr="00262E9A">
        <w:rPr>
          <w:lang w:eastAsia="sk-SK"/>
        </w:rPr>
        <w:t xml:space="preserve">, že i když základní mechanismy zůstaly podobné, v průběhu let došlo ke změnám v souvislostech mezi některými faktory. </w:t>
      </w:r>
      <w:r>
        <w:rPr>
          <w:lang w:eastAsia="sk-SK"/>
        </w:rPr>
        <w:t>Bylo p</w:t>
      </w:r>
      <w:r w:rsidRPr="00262E9A">
        <w:rPr>
          <w:lang w:eastAsia="sk-SK"/>
        </w:rPr>
        <w:t>ředpokládá</w:t>
      </w:r>
      <w:r>
        <w:rPr>
          <w:lang w:eastAsia="sk-SK"/>
        </w:rPr>
        <w:t>no</w:t>
      </w:r>
      <w:r w:rsidRPr="00262E9A">
        <w:rPr>
          <w:lang w:eastAsia="sk-SK"/>
        </w:rPr>
        <w:t xml:space="preserve">, že </w:t>
      </w:r>
      <w:r w:rsidR="00223DA7">
        <w:rPr>
          <w:lang w:eastAsia="sk-SK"/>
        </w:rPr>
        <w:t>popsané</w:t>
      </w:r>
      <w:r w:rsidRPr="00262E9A">
        <w:rPr>
          <w:lang w:eastAsia="sk-SK"/>
        </w:rPr>
        <w:t xml:space="preserve"> změny mohly být důsledkem posunu v</w:t>
      </w:r>
      <w:r w:rsidR="0064692E">
        <w:rPr>
          <w:lang w:eastAsia="sk-SK"/>
        </w:rPr>
        <w:t> </w:t>
      </w:r>
      <w:r w:rsidRPr="00262E9A">
        <w:rPr>
          <w:lang w:eastAsia="sk-SK"/>
        </w:rPr>
        <w:t>demografi</w:t>
      </w:r>
      <w:r w:rsidR="0064692E">
        <w:rPr>
          <w:lang w:eastAsia="sk-SK"/>
        </w:rPr>
        <w:t>ckém stárnutí</w:t>
      </w:r>
      <w:r w:rsidRPr="00262E9A">
        <w:rPr>
          <w:lang w:eastAsia="sk-SK"/>
        </w:rPr>
        <w:t xml:space="preserve"> české populace, což vedlo k</w:t>
      </w:r>
      <w:r w:rsidR="00223DA7">
        <w:rPr>
          <w:lang w:eastAsia="sk-SK"/>
        </w:rPr>
        <w:t> </w:t>
      </w:r>
      <w:r w:rsidRPr="00262E9A">
        <w:rPr>
          <w:lang w:eastAsia="sk-SK"/>
        </w:rPr>
        <w:t xml:space="preserve">většímu podílu geriatricky křehkých pacientů vyžadujících specifický přístup k péči na nízkoprahovém urgentním příjmu. Do této proměny se pravděpodobně promítla kombinace </w:t>
      </w:r>
      <w:r w:rsidR="00C34184">
        <w:rPr>
          <w:lang w:eastAsia="sk-SK"/>
        </w:rPr>
        <w:t xml:space="preserve">řady </w:t>
      </w:r>
      <w:r w:rsidRPr="00262E9A">
        <w:rPr>
          <w:lang w:eastAsia="sk-SK"/>
        </w:rPr>
        <w:t>dalších faktorů, jako byly dopady pandemie COVID-19, změny v organizaci péče</w:t>
      </w:r>
      <w:r w:rsidR="00C34184">
        <w:rPr>
          <w:lang w:eastAsia="sk-SK"/>
        </w:rPr>
        <w:t xml:space="preserve">, </w:t>
      </w:r>
      <w:r w:rsidRPr="00262E9A">
        <w:rPr>
          <w:lang w:eastAsia="sk-SK"/>
        </w:rPr>
        <w:t>pokrok ve zdravotnických technologiích</w:t>
      </w:r>
      <w:r w:rsidR="00C34184">
        <w:rPr>
          <w:lang w:eastAsia="sk-SK"/>
        </w:rPr>
        <w:t xml:space="preserve"> aj</w:t>
      </w:r>
      <w:r w:rsidRPr="00262E9A">
        <w:rPr>
          <w:lang w:eastAsia="sk-SK"/>
        </w:rPr>
        <w:t>.</w:t>
      </w:r>
    </w:p>
    <w:p w14:paraId="4ED8466C" w14:textId="75C1A842" w:rsidR="00AB6BDA" w:rsidRDefault="00A65DD8" w:rsidP="00A65DD8">
      <w:pPr>
        <w:pStyle w:val="Nadpis2"/>
        <w:numPr>
          <w:ilvl w:val="1"/>
          <w:numId w:val="14"/>
        </w:numPr>
      </w:pPr>
      <w:bookmarkStart w:id="64" w:name="_Toc195517119"/>
      <w:r>
        <w:t>Limitace</w:t>
      </w:r>
      <w:r w:rsidR="00054C15">
        <w:t xml:space="preserve"> výzkumu</w:t>
      </w:r>
      <w:bookmarkEnd w:id="64"/>
    </w:p>
    <w:p w14:paraId="41BE75F7" w14:textId="15D2C62E" w:rsidR="00862F25" w:rsidRDefault="009F1A81" w:rsidP="00A72955">
      <w:pPr>
        <w:pStyle w:val="Dalodstavce"/>
        <w:ind w:firstLine="0"/>
      </w:pPr>
      <w:r w:rsidRPr="00241496">
        <w:t>V</w:t>
      </w:r>
      <w:r w:rsidR="00812B41" w:rsidRPr="00241496">
        <w:t>lastní limit</w:t>
      </w:r>
      <w:r w:rsidR="00E70881" w:rsidRPr="00241496">
        <w:t>ací</w:t>
      </w:r>
      <w:r w:rsidR="00812B41" w:rsidRPr="00241496">
        <w:t xml:space="preserve"> práce</w:t>
      </w:r>
      <w:r w:rsidR="00F63259" w:rsidRPr="00241496">
        <w:t xml:space="preserve"> </w:t>
      </w:r>
      <w:r w:rsidR="00DB51B5" w:rsidRPr="00241496">
        <w:t xml:space="preserve">byla nedostupnost některých </w:t>
      </w:r>
      <w:r w:rsidR="00AA3617" w:rsidRPr="00241496">
        <w:t>informací</w:t>
      </w:r>
      <w:r w:rsidR="00F8504B" w:rsidRPr="00241496">
        <w:t>, což souviselo s</w:t>
      </w:r>
      <w:r w:rsidR="00F70726" w:rsidRPr="00241496">
        <w:t> </w:t>
      </w:r>
      <w:r w:rsidR="00C353BA" w:rsidRPr="00241496">
        <w:t>papír</w:t>
      </w:r>
      <w:r w:rsidR="00F70726" w:rsidRPr="00241496">
        <w:t xml:space="preserve">ovou </w:t>
      </w:r>
      <w:r w:rsidR="00C353BA" w:rsidRPr="00241496">
        <w:t>form</w:t>
      </w:r>
      <w:r w:rsidR="00F70726" w:rsidRPr="00241496">
        <w:t>ou zdroje</w:t>
      </w:r>
      <w:r w:rsidR="005901DE" w:rsidRPr="00241496">
        <w:t xml:space="preserve"> </w:t>
      </w:r>
      <w:r w:rsidR="00B01D99" w:rsidRPr="00241496">
        <w:t xml:space="preserve">sekundárních </w:t>
      </w:r>
      <w:r w:rsidR="005901DE" w:rsidRPr="00241496">
        <w:t>dat</w:t>
      </w:r>
      <w:r w:rsidR="00C353BA" w:rsidRPr="00241496">
        <w:t xml:space="preserve">. </w:t>
      </w:r>
      <w:r w:rsidR="00F43754" w:rsidRPr="00241496">
        <w:t xml:space="preserve">Údaje o pacientských diagnózách bylo nutné získávat z NIS AMIS, což umožnilo sledovat diagnózy pouze u omezeného počtu pacientů ze zkoumaného souboru, a to </w:t>
      </w:r>
      <w:r w:rsidR="00105DB7" w:rsidRPr="00241496">
        <w:t xml:space="preserve">převážně </w:t>
      </w:r>
      <w:r w:rsidR="00F43754" w:rsidRPr="00241496">
        <w:t>vzhledem k</w:t>
      </w:r>
      <w:r w:rsidR="00105DB7" w:rsidRPr="00241496">
        <w:t> časové náročnosti</w:t>
      </w:r>
      <w:r w:rsidR="00F43754" w:rsidRPr="00241496">
        <w:t>. T</w:t>
      </w:r>
      <w:r w:rsidR="007149B0" w:rsidRPr="00241496">
        <w:t>ato limitace</w:t>
      </w:r>
      <w:r w:rsidR="00F43754" w:rsidRPr="00241496">
        <w:t xml:space="preserve"> tedy vedl</w:t>
      </w:r>
      <w:r w:rsidR="007149B0" w:rsidRPr="00241496">
        <w:t>a</w:t>
      </w:r>
      <w:r w:rsidR="00F43754" w:rsidRPr="00241496">
        <w:t xml:space="preserve"> k tomu, že výzkumný vzorek byl příliš malý vzhledem k počtu různých diagnóz, což neumožnilo provést smysluplnou analýzu v širším měřítku. </w:t>
      </w:r>
      <w:r w:rsidR="005E6EFA" w:rsidRPr="00241496">
        <w:t>Obdobná situace se týkala</w:t>
      </w:r>
      <w:r w:rsidR="00F43754" w:rsidRPr="00241496">
        <w:t xml:space="preserve"> i analýzy doporučení k ošetření, která byla vystavena</w:t>
      </w:r>
      <w:r w:rsidR="00245445" w:rsidRPr="00241496">
        <w:t xml:space="preserve"> zpravidla</w:t>
      </w:r>
      <w:r w:rsidR="00F43754" w:rsidRPr="00241496">
        <w:t xml:space="preserve"> registrujícími </w:t>
      </w:r>
      <w:r w:rsidR="00245445" w:rsidRPr="00241496">
        <w:t xml:space="preserve">praktickými </w:t>
      </w:r>
      <w:r w:rsidR="00F43754" w:rsidRPr="00241496">
        <w:t>lékaři, ambulantními specialisty či jinými zdravotnickými zařízeními. Z</w:t>
      </w:r>
      <w:r w:rsidR="00241496" w:rsidRPr="00241496">
        <w:t> </w:t>
      </w:r>
      <w:r w:rsidR="00F43754" w:rsidRPr="00241496">
        <w:t>hlediska statisti</w:t>
      </w:r>
      <w:r w:rsidR="00245445" w:rsidRPr="00241496">
        <w:t>ky oddělení</w:t>
      </w:r>
      <w:r w:rsidR="00F43754" w:rsidRPr="00241496">
        <w:t xml:space="preserve"> však bylo doporučení k ošetření chápáno i jako přivezení pacienta posádkou ZZS nebo konzilium</w:t>
      </w:r>
      <w:r w:rsidR="00BF49E9" w:rsidRPr="00241496">
        <w:t>/předání</w:t>
      </w:r>
      <w:r w:rsidR="00EC3B63" w:rsidRPr="00241496">
        <w:t xml:space="preserve"> z jiné ambulance FN Brno</w:t>
      </w:r>
      <w:r w:rsidR="00F43754" w:rsidRPr="00241496">
        <w:t>, což způsobilo zkreslení této charakteristiky. To vedlo k tomu, že tato data neměla pro další analýzu vypovídající hodnotu</w:t>
      </w:r>
      <w:r w:rsidR="00F975B6" w:rsidRPr="00241496">
        <w:t>.</w:t>
      </w:r>
      <w:r w:rsidR="00F975C3" w:rsidRPr="00241496">
        <w:t xml:space="preserve"> </w:t>
      </w:r>
      <w:r w:rsidR="005C7C70" w:rsidRPr="00241496">
        <w:t>Pacientské diagnózy</w:t>
      </w:r>
      <w:r w:rsidR="00B1172E" w:rsidRPr="00241496">
        <w:t xml:space="preserve"> a </w:t>
      </w:r>
      <w:r w:rsidR="005C7C70" w:rsidRPr="00241496">
        <w:t>diagnostické</w:t>
      </w:r>
      <w:r w:rsidR="005C7C70" w:rsidRPr="003E1840">
        <w:t xml:space="preserve"> skupiny (viz grafy 4 a</w:t>
      </w:r>
      <w:r w:rsidR="00241496">
        <w:t> </w:t>
      </w:r>
      <w:r w:rsidR="005C7C70" w:rsidRPr="003E1840">
        <w:t xml:space="preserve">5) </w:t>
      </w:r>
      <w:r w:rsidR="00B1172E">
        <w:lastRenderedPageBreak/>
        <w:t>společně s doporučením k ošetření (viz Tabulka</w:t>
      </w:r>
      <w:r w:rsidR="00A72955">
        <w:t xml:space="preserve"> 11</w:t>
      </w:r>
      <w:r w:rsidR="00B1172E">
        <w:t>)</w:t>
      </w:r>
      <w:r w:rsidR="005C7C70" w:rsidRPr="003E1840">
        <w:t xml:space="preserve"> slouž</w:t>
      </w:r>
      <w:r w:rsidR="006F27A5">
        <w:t>ily</w:t>
      </w:r>
      <w:r w:rsidR="005C7C70" w:rsidRPr="003E1840">
        <w:t xml:space="preserve"> pouze k představení výzkumného souboru pacientů ve věku 75 a více let.</w:t>
      </w:r>
      <w:r w:rsidR="007F2423">
        <w:t xml:space="preserve"> </w:t>
      </w:r>
    </w:p>
    <w:p w14:paraId="53202A17" w14:textId="5A60488E" w:rsidR="00862F25" w:rsidRDefault="001E6742" w:rsidP="002E7188">
      <w:pPr>
        <w:pStyle w:val="Dalodstavce"/>
      </w:pPr>
      <w:r w:rsidRPr="006D077F">
        <w:t>V</w:t>
      </w:r>
      <w:r w:rsidR="003F1C90" w:rsidRPr="006D077F">
        <w:t xml:space="preserve"> rámci výzkumu byla získávána a analyzována data </w:t>
      </w:r>
      <w:r w:rsidR="00190EF6" w:rsidRPr="006D077F">
        <w:t>z jednoho oddělení</w:t>
      </w:r>
      <w:r w:rsidR="003E7C88" w:rsidRPr="006D077F">
        <w:t xml:space="preserve"> – NUP FN Brno</w:t>
      </w:r>
      <w:r w:rsidR="005342D6" w:rsidRPr="006D077F">
        <w:t>,</w:t>
      </w:r>
      <w:r w:rsidR="002D78E2" w:rsidRPr="006D077F">
        <w:t xml:space="preserve"> a proto není možné je zobecnit na celou síť urgentních příjmů v</w:t>
      </w:r>
      <w:r w:rsidR="00901871" w:rsidRPr="006D077F">
        <w:t> </w:t>
      </w:r>
      <w:r w:rsidR="002D78E2" w:rsidRPr="006D077F">
        <w:t>ČR</w:t>
      </w:r>
      <w:r w:rsidR="00901871" w:rsidRPr="006D077F">
        <w:t xml:space="preserve">. </w:t>
      </w:r>
      <w:r w:rsidR="002E7188" w:rsidRPr="006D077F">
        <w:t xml:space="preserve">Navíc nebyla zpracována data z celé fakultní nemocnice, což omezilo šíři výzkumu. Pokud byl pacient na NUP předán či odeslán na konzilium z jiné ambulance FN Brno nebo byl převezen z jiného </w:t>
      </w:r>
      <w:r w:rsidR="00901871" w:rsidRPr="006D077F">
        <w:t>nemocničního</w:t>
      </w:r>
      <w:r w:rsidR="002E7188" w:rsidRPr="006D077F">
        <w:t xml:space="preserve"> zařízení, nebylo možné v knize THP zachytit jeho primární způsob dopravy. To znamená, že nebyla zaznamenána </w:t>
      </w:r>
      <w:r w:rsidR="00843DD3" w:rsidRPr="006D077F">
        <w:t xml:space="preserve">např. </w:t>
      </w:r>
      <w:r w:rsidR="002E7188" w:rsidRPr="006D077F">
        <w:t xml:space="preserve">situace, kdy pacient mohl být přivezen ZZS na jinou ambulanci </w:t>
      </w:r>
      <w:r w:rsidR="00843DD3" w:rsidRPr="006D077F">
        <w:t xml:space="preserve">FN Brno </w:t>
      </w:r>
      <w:r w:rsidR="002E7188" w:rsidRPr="006D077F">
        <w:t>a až odtud byl odeslán na NUP. Tak</w:t>
      </w:r>
      <w:r w:rsidR="00B91B24" w:rsidRPr="006D077F">
        <w:t>též</w:t>
      </w:r>
      <w:r w:rsidR="002E7188" w:rsidRPr="006D077F">
        <w:t xml:space="preserve"> ne</w:t>
      </w:r>
      <w:r w:rsidR="00B91B24" w:rsidRPr="006D077F">
        <w:t>mohly být</w:t>
      </w:r>
      <w:r w:rsidR="002E7188" w:rsidRPr="006D077F">
        <w:t xml:space="preserve"> zaznamenány zobrazovací metody či konzilia, která byla indikována a provedena před přijetím pacienta na NUP nebo po jeho předání z NUP na jiné pracoviště. V případě, že pacient byl odeslán na jinou specializovanou ambulanci FN</w:t>
      </w:r>
      <w:r w:rsidR="00DD3054">
        <w:t> </w:t>
      </w:r>
      <w:r w:rsidR="002E7188" w:rsidRPr="006D077F">
        <w:t>Brno, chyběly údaje o</w:t>
      </w:r>
      <w:r w:rsidR="006E481F" w:rsidRPr="006D077F">
        <w:t xml:space="preserve"> způsobu </w:t>
      </w:r>
      <w:r w:rsidR="002E7188" w:rsidRPr="006D077F">
        <w:t>ukončení</w:t>
      </w:r>
      <w:r w:rsidR="006E481F" w:rsidRPr="006D077F">
        <w:t xml:space="preserve"> jeho ošetření</w:t>
      </w:r>
      <w:r w:rsidR="002E7188" w:rsidRPr="006D077F">
        <w:t>, tedy např</w:t>
      </w:r>
      <w:r w:rsidR="00F011AD" w:rsidRPr="006D077F">
        <w:t>.</w:t>
      </w:r>
      <w:r w:rsidR="002E7188" w:rsidRPr="006D077F">
        <w:t xml:space="preserve"> o tom, zda byl propuštěn do domácí </w:t>
      </w:r>
      <w:r w:rsidR="00F011AD" w:rsidRPr="006D077F">
        <w:t xml:space="preserve">(či jiné formy) </w:t>
      </w:r>
      <w:r w:rsidR="002E7188" w:rsidRPr="006D077F">
        <w:t xml:space="preserve">péče, nebo </w:t>
      </w:r>
      <w:r w:rsidR="00E75772" w:rsidRPr="006D077F">
        <w:t xml:space="preserve">na jakém typu nemocničního lůžka byl </w:t>
      </w:r>
      <w:r w:rsidR="002E7188" w:rsidRPr="006D077F">
        <w:t>hospitalizován.</w:t>
      </w:r>
      <w:r w:rsidR="000D5921">
        <w:t xml:space="preserve"> </w:t>
      </w:r>
      <w:r w:rsidR="002E7188" w:rsidRPr="006D077F">
        <w:t>Výstupy diplomové práce tedy popisují trajektorii pacientů ve věku 75</w:t>
      </w:r>
      <w:r w:rsidR="00164B66">
        <w:t> </w:t>
      </w:r>
      <w:r w:rsidR="002E7188" w:rsidRPr="006D077F">
        <w:t xml:space="preserve">a více </w:t>
      </w:r>
      <w:r w:rsidR="00D42087">
        <w:t xml:space="preserve">let </w:t>
      </w:r>
      <w:r w:rsidR="002E7188" w:rsidRPr="006D077F">
        <w:t>pouze v rámci NUP FN Brno</w:t>
      </w:r>
      <w:r w:rsidR="006D077F" w:rsidRPr="006D077F">
        <w:t>.</w:t>
      </w:r>
    </w:p>
    <w:p w14:paraId="78BA273A" w14:textId="74E38B99" w:rsidR="00C114B7" w:rsidRDefault="00C114B7" w:rsidP="00DD3054">
      <w:pPr>
        <w:pStyle w:val="Dalodstavce"/>
      </w:pPr>
      <w:r w:rsidRPr="00DD3054">
        <w:t>Další limitací byly údaje o konziliárních vyšetřeních, které zachyc</w:t>
      </w:r>
      <w:r w:rsidR="006D077F" w:rsidRPr="00DD3054">
        <w:t>oval</w:t>
      </w:r>
      <w:r w:rsidR="00332ADE" w:rsidRPr="00DD3054">
        <w:t>y</w:t>
      </w:r>
      <w:r w:rsidRPr="00DD3054">
        <w:t xml:space="preserve"> především </w:t>
      </w:r>
      <w:r w:rsidR="00332ADE" w:rsidRPr="00DD3054">
        <w:t xml:space="preserve">ta </w:t>
      </w:r>
      <w:r w:rsidRPr="00DD3054">
        <w:t xml:space="preserve">konzilia, kdy byl pacient převezen z NUP </w:t>
      </w:r>
      <w:r w:rsidR="00DC74A5" w:rsidRPr="00DD3054">
        <w:t xml:space="preserve">na příslušnou ambulanci FN Brno </w:t>
      </w:r>
      <w:r w:rsidRPr="00DD3054">
        <w:t>a následně se vrátil zpět na oddělení. V knihách THP není možné evidovat veškerá uskutečněná konzilia, zejména ta, která prob</w:t>
      </w:r>
      <w:r w:rsidR="00203586" w:rsidRPr="00DD3054">
        <w:t>ěhla</w:t>
      </w:r>
      <w:r w:rsidRPr="00DD3054">
        <w:t xml:space="preserve"> </w:t>
      </w:r>
      <w:r w:rsidR="00203586" w:rsidRPr="00DD3054">
        <w:t xml:space="preserve">pouze </w:t>
      </w:r>
      <w:r w:rsidRPr="00DD3054">
        <w:t>telefonicky na základě zdravotní dokumentace pacienta. Množství reálně uskutečněných konzilií u pacientů ve věkové kategorii 75 let a více, kteří byli ošetřeni na NUP FN Brno, tak může být vyšší, než jak ukázala analýza dat z knih THP. Tato limitace tedy může ovlivnit interpretaci výsledků a zkreslit celkové množství konzilií, která byla součástí klinického rozhodování.</w:t>
      </w:r>
    </w:p>
    <w:p w14:paraId="114000A8" w14:textId="7A145BD0" w:rsidR="003142F1" w:rsidRDefault="003142F1" w:rsidP="002E32D6">
      <w:pPr>
        <w:pStyle w:val="Nadpis1"/>
        <w:numPr>
          <w:ilvl w:val="0"/>
          <w:numId w:val="14"/>
        </w:numPr>
      </w:pPr>
      <w:bookmarkStart w:id="65" w:name="_Toc195517120"/>
      <w:r>
        <w:lastRenderedPageBreak/>
        <w:t>Doporučení pro praxi</w:t>
      </w:r>
      <w:bookmarkEnd w:id="65"/>
    </w:p>
    <w:p w14:paraId="551B4C40" w14:textId="67125AF1" w:rsidR="005D6C3C" w:rsidRDefault="005640F3" w:rsidP="005D6C3C">
      <w:pPr>
        <w:pStyle w:val="Odstavec1"/>
      </w:pPr>
      <w:r>
        <w:t>Na d</w:t>
      </w:r>
      <w:r w:rsidR="00FA3A97">
        <w:t xml:space="preserve">opady </w:t>
      </w:r>
      <w:r w:rsidR="003C27A5">
        <w:t xml:space="preserve">demografického </w:t>
      </w:r>
      <w:r w:rsidR="00FA3A97">
        <w:t xml:space="preserve">stárnutí </w:t>
      </w:r>
      <w:r w:rsidR="00B41704">
        <w:t xml:space="preserve">české </w:t>
      </w:r>
      <w:r w:rsidR="00FA3A97">
        <w:t>populace</w:t>
      </w:r>
      <w:r w:rsidR="0086462F">
        <w:t xml:space="preserve"> </w:t>
      </w:r>
      <w:r w:rsidR="00536909">
        <w:t xml:space="preserve">můžeme </w:t>
      </w:r>
      <w:r w:rsidR="007B40F3">
        <w:t>rů</w:t>
      </w:r>
      <w:r w:rsidR="00EF35E4">
        <w:t>znou</w:t>
      </w:r>
      <w:r w:rsidR="00F636A6">
        <w:t xml:space="preserve"> měrou působit</w:t>
      </w:r>
      <w:r w:rsidR="00863086">
        <w:t xml:space="preserve"> </w:t>
      </w:r>
      <w:r w:rsidR="00F071E1">
        <w:t>ve</w:t>
      </w:r>
      <w:r w:rsidR="00863086">
        <w:t xml:space="preserve"> vícero úrovních</w:t>
      </w:r>
      <w:r w:rsidR="00250C4C">
        <w:t xml:space="preserve"> </w:t>
      </w:r>
      <w:r w:rsidR="00E80C98">
        <w:t>českého zdravotnictví</w:t>
      </w:r>
      <w:r w:rsidR="005B4838">
        <w:t xml:space="preserve"> (od preven</w:t>
      </w:r>
      <w:r w:rsidR="009A0E68">
        <w:t>tivních programů</w:t>
      </w:r>
      <w:r w:rsidR="005B4838">
        <w:t xml:space="preserve"> až po odbornou geriatrickou následnou péči</w:t>
      </w:r>
      <w:r w:rsidR="00A873FB">
        <w:t>,</w:t>
      </w:r>
      <w:r w:rsidR="00F47EF9">
        <w:t xml:space="preserve"> komunitní služby</w:t>
      </w:r>
      <w:r w:rsidR="00A873FB">
        <w:t xml:space="preserve"> a řad</w:t>
      </w:r>
      <w:r w:rsidR="00BA0BCB">
        <w:t>u</w:t>
      </w:r>
      <w:r w:rsidR="00A873FB">
        <w:t xml:space="preserve"> dalších</w:t>
      </w:r>
      <w:r w:rsidR="005B4838">
        <w:t>)</w:t>
      </w:r>
      <w:r w:rsidR="00EF7CFE">
        <w:t>.</w:t>
      </w:r>
      <w:r w:rsidR="00E97F0F">
        <w:fldChar w:fldCharType="begin"/>
      </w:r>
      <w:r w:rsidR="009B3709">
        <w:instrText xml:space="preserve"> ADDIN ZOTERO_ITEM CSL_CITATION {"citationID":"41pOJt3w","properties":{"formattedCitation":"\\super 9(p21)\\nosupersub{}","plainCitation":"9(p21)","noteIndex":0},"citationItems":[{"id":154,"uris":["http://zotero.org/users/9426386/items/7WJBPSRG"],"itemData":{"id":154,"type":"document","language":"cs","publisher":"MPSV ČR","title":"Strategický rámec přípravy na stárnutí společnosti 2021–2025","URL":"https://www.mpsv.cz/strategicky-ramec-pripravy-na-starnuti-spolecnosti-2021-2025","issued":{"date-parts":[["2022",2,2]]}},"locator":"21","label":"page"}],"schema":"https://github.com/citation-style-language/schema/raw/master/csl-citation.json"} </w:instrText>
      </w:r>
      <w:r w:rsidR="00E97F0F">
        <w:fldChar w:fldCharType="separate"/>
      </w:r>
      <w:r w:rsidR="00E87A1C" w:rsidRPr="00E87A1C">
        <w:rPr>
          <w:vertAlign w:val="superscript"/>
        </w:rPr>
        <w:t>9(p21)</w:t>
      </w:r>
      <w:r w:rsidR="00E97F0F">
        <w:fldChar w:fldCharType="end"/>
      </w:r>
      <w:r w:rsidR="003277F9">
        <w:t xml:space="preserve"> </w:t>
      </w:r>
      <w:r w:rsidR="00EF7CFE">
        <w:t>Snaha o</w:t>
      </w:r>
      <w:r w:rsidR="00F636A6">
        <w:t> </w:t>
      </w:r>
      <w:r w:rsidR="002C5A84">
        <w:t xml:space="preserve">sumarizaci </w:t>
      </w:r>
      <w:r w:rsidR="00706C04">
        <w:t>vešker</w:t>
      </w:r>
      <w:r w:rsidR="002C5A84">
        <w:t>ých</w:t>
      </w:r>
      <w:r w:rsidR="00706C04">
        <w:t xml:space="preserve"> možn</w:t>
      </w:r>
      <w:r w:rsidR="002C5A84">
        <w:t>ých</w:t>
      </w:r>
      <w:r w:rsidR="00706C04">
        <w:t xml:space="preserve"> </w:t>
      </w:r>
      <w:r w:rsidR="00F64162">
        <w:t xml:space="preserve">komplexních </w:t>
      </w:r>
      <w:r w:rsidR="00706C04">
        <w:t xml:space="preserve">doporučení, jež by ve svém důsledku </w:t>
      </w:r>
      <w:r w:rsidR="00646815">
        <w:t xml:space="preserve">mohla mít pozitivní výsledky </w:t>
      </w:r>
      <w:r w:rsidR="00F450A9">
        <w:t>na</w:t>
      </w:r>
      <w:r w:rsidR="00F636A6">
        <w:t> </w:t>
      </w:r>
      <w:r w:rsidR="00646815">
        <w:t>oblast urgentních příjmů</w:t>
      </w:r>
      <w:r w:rsidR="00BC3806">
        <w:t xml:space="preserve">, </w:t>
      </w:r>
      <w:r w:rsidR="00305824">
        <w:t>by byla</w:t>
      </w:r>
      <w:r w:rsidR="00334E6F">
        <w:t xml:space="preserve"> </w:t>
      </w:r>
      <w:r w:rsidR="00755E91">
        <w:t>přes</w:t>
      </w:r>
      <w:r w:rsidR="00305824">
        <w:t xml:space="preserve">příliš </w:t>
      </w:r>
      <w:r w:rsidR="00B77181">
        <w:t>rozsáhlá</w:t>
      </w:r>
      <w:r w:rsidR="00CA004A">
        <w:t>. Pro potřeby diplomové práce je však zcela klíčové</w:t>
      </w:r>
      <w:r w:rsidR="00B33D25">
        <w:t xml:space="preserve"> zmínit</w:t>
      </w:r>
      <w:r w:rsidR="00A4220D">
        <w:t xml:space="preserve"> taková </w:t>
      </w:r>
      <w:r w:rsidR="00B33D25">
        <w:t xml:space="preserve">doporučení pro praxi, která </w:t>
      </w:r>
      <w:r w:rsidR="00BC768C">
        <w:t xml:space="preserve">se </w:t>
      </w:r>
      <w:r w:rsidR="00CA21CA">
        <w:t>přímo vztahují</w:t>
      </w:r>
      <w:r w:rsidR="001B6913">
        <w:t xml:space="preserve"> k samotným </w:t>
      </w:r>
      <w:r w:rsidR="00BC768C">
        <w:t>urgentní</w:t>
      </w:r>
      <w:r w:rsidR="001B6913">
        <w:t>m</w:t>
      </w:r>
      <w:r w:rsidR="00BC768C">
        <w:t xml:space="preserve"> příjmů</w:t>
      </w:r>
      <w:r w:rsidR="001B6913">
        <w:t>m</w:t>
      </w:r>
      <w:r w:rsidR="00A5004D">
        <w:t>.</w:t>
      </w:r>
    </w:p>
    <w:p w14:paraId="65FDDC91" w14:textId="6AFBA837" w:rsidR="00AA0794" w:rsidRDefault="00F63FAD" w:rsidP="00AA0794">
      <w:pPr>
        <w:pStyle w:val="Dalodstavce"/>
      </w:pPr>
      <w:r w:rsidRPr="005D3899">
        <w:t>V následujících</w:t>
      </w:r>
      <w:r>
        <w:t xml:space="preserve"> </w:t>
      </w:r>
      <w:r w:rsidR="006101A3">
        <w:t xml:space="preserve">bodech jsou stručně shrnuta doporučení, která byla vyvozena z výsledků </w:t>
      </w:r>
      <w:r w:rsidR="00C33C18">
        <w:t>vlastního výzkum</w:t>
      </w:r>
      <w:r w:rsidR="006E6046">
        <w:t>ného šetření</w:t>
      </w:r>
      <w:r w:rsidR="00C33C18">
        <w:t xml:space="preserve"> k diplomové prác</w:t>
      </w:r>
      <w:r w:rsidR="00C33C18" w:rsidRPr="00365C9F">
        <w:t>i</w:t>
      </w:r>
      <w:r w:rsidR="00F621ED">
        <w:t>:</w:t>
      </w:r>
    </w:p>
    <w:p w14:paraId="48738365" w14:textId="77777777" w:rsidR="00AA0794" w:rsidRDefault="00AA0794" w:rsidP="00AA0794">
      <w:pPr>
        <w:pStyle w:val="Dalodstavce"/>
        <w:ind w:firstLine="0"/>
      </w:pPr>
    </w:p>
    <w:p w14:paraId="69AF0133" w14:textId="0B88894B" w:rsidR="000D714F" w:rsidRPr="00AA0794" w:rsidRDefault="000D714F" w:rsidP="00AA0794">
      <w:pPr>
        <w:pStyle w:val="Dalodstavce"/>
        <w:numPr>
          <w:ilvl w:val="0"/>
          <w:numId w:val="36"/>
        </w:numPr>
        <w:rPr>
          <w:b/>
          <w:bCs/>
        </w:rPr>
      </w:pPr>
      <w:r w:rsidRPr="00AA0794">
        <w:rPr>
          <w:b/>
          <w:bCs/>
        </w:rPr>
        <w:t>Kapacitní a organizační opatření</w:t>
      </w:r>
    </w:p>
    <w:p w14:paraId="6B5F600E" w14:textId="23696B25" w:rsidR="000D714F" w:rsidRPr="00AA0794" w:rsidRDefault="00682074" w:rsidP="00AA0794">
      <w:pPr>
        <w:pStyle w:val="Dalodstavce"/>
        <w:numPr>
          <w:ilvl w:val="0"/>
          <w:numId w:val="37"/>
        </w:numPr>
      </w:pPr>
      <w:r w:rsidRPr="00AA0794">
        <w:t>Zajištění dostatečné kapacity observačních lůžek a adekvátní prostorové (v čekárně i na observaci NUP) a personální kapacity.</w:t>
      </w:r>
    </w:p>
    <w:p w14:paraId="058AD7F1" w14:textId="733D0770" w:rsidR="000D714F" w:rsidRPr="00AA0794" w:rsidRDefault="00C2398D" w:rsidP="00AA0794">
      <w:pPr>
        <w:pStyle w:val="Dalodstavce"/>
        <w:numPr>
          <w:ilvl w:val="0"/>
          <w:numId w:val="37"/>
        </w:numPr>
      </w:pPr>
      <w:r w:rsidRPr="00AA0794">
        <w:t>Zřízení lékařské pohotovostní služby jako součásti nízkoprahového urgentního příjmu, která by přebírala pacienty s</w:t>
      </w:r>
      <w:r w:rsidR="00D7395C" w:rsidRPr="00AA0794">
        <w:t xml:space="preserve"> neakutními či </w:t>
      </w:r>
      <w:r w:rsidRPr="00AA0794">
        <w:t>subakutními zdravotními obtížemi a tím snížila pracovní zátěž tohoto pracoviště.</w:t>
      </w:r>
    </w:p>
    <w:p w14:paraId="011A1CDD" w14:textId="7DC9B9CE" w:rsidR="000D714F" w:rsidRDefault="000D714F" w:rsidP="00AA0794">
      <w:pPr>
        <w:pStyle w:val="Dalodstavce"/>
        <w:numPr>
          <w:ilvl w:val="0"/>
          <w:numId w:val="37"/>
        </w:numPr>
      </w:pPr>
      <w:r w:rsidRPr="00AA0794">
        <w:t>Zajištění</w:t>
      </w:r>
      <w:r w:rsidR="0015166B" w:rsidRPr="00AA0794">
        <w:t xml:space="preserve"> dostatečné lůžkové kapacity pro geriatricky křehké pacienty, včetně krátkodobé geriatrické lůžkové péče, která bude reflektovat demografické změny populace. Do budoucna lze očekávat zejména vyšší poptávku po standardních lůžkách pro muže ve věku 75+.</w:t>
      </w:r>
    </w:p>
    <w:p w14:paraId="4D155978" w14:textId="77777777" w:rsidR="00AA0794" w:rsidRPr="00AA0794" w:rsidRDefault="00AA0794" w:rsidP="00AA0794">
      <w:pPr>
        <w:pStyle w:val="Dalodstavce"/>
        <w:ind w:firstLine="0"/>
      </w:pPr>
    </w:p>
    <w:p w14:paraId="61D1EE8C" w14:textId="76EA7E6A" w:rsidR="000D714F" w:rsidRPr="00AA0794" w:rsidRDefault="000D714F" w:rsidP="00AA0794">
      <w:pPr>
        <w:pStyle w:val="Dalodstavce"/>
        <w:numPr>
          <w:ilvl w:val="0"/>
          <w:numId w:val="36"/>
        </w:numPr>
        <w:rPr>
          <w:b/>
          <w:bCs/>
        </w:rPr>
      </w:pPr>
      <w:r w:rsidRPr="00AA0794">
        <w:rPr>
          <w:b/>
          <w:bCs/>
        </w:rPr>
        <w:t>Diagnostick</w:t>
      </w:r>
      <w:r w:rsidR="00121FAE">
        <w:rPr>
          <w:b/>
          <w:bCs/>
        </w:rPr>
        <w:t>o-terapeutické</w:t>
      </w:r>
      <w:r w:rsidRPr="00AA0794">
        <w:rPr>
          <w:b/>
          <w:bCs/>
        </w:rPr>
        <w:t xml:space="preserve"> procesy</w:t>
      </w:r>
    </w:p>
    <w:p w14:paraId="5DB4D5A3" w14:textId="41B586B8" w:rsidR="000D714F" w:rsidRPr="00AA0794" w:rsidRDefault="007E1D2E" w:rsidP="00AA0794">
      <w:pPr>
        <w:pStyle w:val="Dalodstavce"/>
        <w:numPr>
          <w:ilvl w:val="0"/>
          <w:numId w:val="38"/>
        </w:numPr>
      </w:pPr>
      <w:r w:rsidRPr="00AA0794">
        <w:t>Standardizace poskytované péče se zaměřením na specifické potřeby geriatrických pacientů (např. rychlejší přístup k observačnímu lůžku či umístění k hospitalizaci).</w:t>
      </w:r>
    </w:p>
    <w:p w14:paraId="6E817843" w14:textId="16AA5277" w:rsidR="000D714F" w:rsidRPr="00AA0794" w:rsidRDefault="006D5FC2" w:rsidP="00AA0794">
      <w:pPr>
        <w:pStyle w:val="Dalodstavce"/>
        <w:numPr>
          <w:ilvl w:val="0"/>
          <w:numId w:val="38"/>
        </w:numPr>
      </w:pPr>
      <w:r w:rsidRPr="00AA0794">
        <w:t>Rozšíření diagnostických kapacit, ať už navýšením dostupnosti zobrazovacích metod, nebo pečlivějším zvažováním jejich indikace.</w:t>
      </w:r>
    </w:p>
    <w:p w14:paraId="3B7E4B62" w14:textId="6AB2CD16" w:rsidR="000D714F" w:rsidRDefault="00C76AB6" w:rsidP="00AA0794">
      <w:pPr>
        <w:pStyle w:val="Dalodstavce"/>
        <w:numPr>
          <w:ilvl w:val="0"/>
          <w:numId w:val="38"/>
        </w:numPr>
      </w:pPr>
      <w:r w:rsidRPr="00AA0794">
        <w:t xml:space="preserve">Vytvoření postupů, které by mohly usnadnit rozhodování o využívání zobrazovacích metod, a tím zkrátit čekací doby nebo urychlit zahájení léčby na NUP </w:t>
      </w:r>
      <w:proofErr w:type="gramStart"/>
      <w:r w:rsidRPr="00AA0794">
        <w:t xml:space="preserve">– </w:t>
      </w:r>
      <w:r w:rsidR="00AD2EB6">
        <w:t xml:space="preserve"> –</w:t>
      </w:r>
      <w:proofErr w:type="gramEnd"/>
      <w:r w:rsidR="00AD2EB6">
        <w:t> </w:t>
      </w:r>
      <w:r w:rsidRPr="00AA0794">
        <w:t>zejména u nejčastějších diagnostických skupin.</w:t>
      </w:r>
    </w:p>
    <w:p w14:paraId="4FC9375F" w14:textId="77777777" w:rsidR="00AA0794" w:rsidRPr="00AA0794" w:rsidRDefault="00AA0794" w:rsidP="00AA0794">
      <w:pPr>
        <w:pStyle w:val="Dalodstavce"/>
        <w:ind w:firstLine="0"/>
      </w:pPr>
    </w:p>
    <w:p w14:paraId="771ECD3C" w14:textId="15E2B8DD" w:rsidR="000D714F" w:rsidRPr="00AA0794" w:rsidRDefault="000D714F" w:rsidP="00AA0794">
      <w:pPr>
        <w:pStyle w:val="Dalodstavce"/>
        <w:numPr>
          <w:ilvl w:val="0"/>
          <w:numId w:val="36"/>
        </w:numPr>
        <w:rPr>
          <w:b/>
          <w:bCs/>
        </w:rPr>
      </w:pPr>
      <w:r w:rsidRPr="00AA0794">
        <w:rPr>
          <w:b/>
          <w:bCs/>
        </w:rPr>
        <w:t>Komunikace a spolupráce</w:t>
      </w:r>
    </w:p>
    <w:p w14:paraId="2441DBB0" w14:textId="2C772AE8" w:rsidR="009B5729" w:rsidRDefault="009B5729" w:rsidP="009B5729">
      <w:pPr>
        <w:pStyle w:val="Odstavecseseznamem"/>
        <w:numPr>
          <w:ilvl w:val="0"/>
          <w:numId w:val="39"/>
        </w:numPr>
      </w:pPr>
      <w:r w:rsidRPr="009B5729">
        <w:t>Rychlejší přijetí indikovaných pacientů do lůžkové péče (následná péče, standardní či rehabilitační lůžko apod.), včetně posílení spolupráce se ZZS při rozhodování o další trajektorii pacienta ve snaze zabránit umístění na nízkoprahový urgentní příjem, z něhož by pacient již dále neprofitoval.</w:t>
      </w:r>
    </w:p>
    <w:p w14:paraId="69E4D3BF" w14:textId="7AF85781" w:rsidR="000D714F" w:rsidRPr="00AA0794" w:rsidRDefault="006815A8" w:rsidP="00AA0794">
      <w:pPr>
        <w:pStyle w:val="Dalodstavce"/>
        <w:numPr>
          <w:ilvl w:val="0"/>
          <w:numId w:val="39"/>
        </w:numPr>
      </w:pPr>
      <w:r w:rsidRPr="00AA0794">
        <w:t xml:space="preserve">Zlepšení vzájemné komunikace mezi lékaři s cílem zabránit nadměrnému odesílání pacientů mezi jednotlivými pracovišti a tím zkrátit celkovou dobu pobytu pacienta ve zdravotnickém zařízení. Relevantní odběry krve, zobrazovací </w:t>
      </w:r>
      <w:r w:rsidRPr="00AA0794">
        <w:lastRenderedPageBreak/>
        <w:t>metody a další vyšetření by měly být ideálně iniciovány již v počátečních fázích diagnosticko-terapeutického procesu, aby se předešlo zbytečným časovým prodlevám.</w:t>
      </w:r>
    </w:p>
    <w:p w14:paraId="2680F539" w14:textId="1C515834" w:rsidR="000D714F" w:rsidRDefault="00D452A9" w:rsidP="00AA0794">
      <w:pPr>
        <w:pStyle w:val="Dalodstavce"/>
        <w:numPr>
          <w:ilvl w:val="0"/>
          <w:numId w:val="39"/>
        </w:numPr>
      </w:pPr>
      <w:r w:rsidRPr="00AA0794">
        <w:t>Podpora mezioborové spolupráce při péči o pacienty vyššího věku (např. geriatrické konzilium u pacientů opakovaně navštěvujících NUP).</w:t>
      </w:r>
    </w:p>
    <w:p w14:paraId="5E918CB4" w14:textId="77777777" w:rsidR="00AA0794" w:rsidRPr="00AA0794" w:rsidRDefault="00AA0794" w:rsidP="00AA0794">
      <w:pPr>
        <w:pStyle w:val="Dalodstavce"/>
        <w:ind w:firstLine="0"/>
      </w:pPr>
    </w:p>
    <w:p w14:paraId="3C4C45ED" w14:textId="32E91C41" w:rsidR="000D714F" w:rsidRPr="00AA0794" w:rsidRDefault="000D714F" w:rsidP="00AA0794">
      <w:pPr>
        <w:pStyle w:val="Dalodstavce"/>
        <w:numPr>
          <w:ilvl w:val="0"/>
          <w:numId w:val="36"/>
        </w:numPr>
        <w:rPr>
          <w:b/>
          <w:bCs/>
        </w:rPr>
      </w:pPr>
      <w:r w:rsidRPr="00AA0794">
        <w:rPr>
          <w:b/>
          <w:bCs/>
        </w:rPr>
        <w:t>Koordinace a návaznost péče</w:t>
      </w:r>
    </w:p>
    <w:p w14:paraId="4C2A15EF" w14:textId="1E579150" w:rsidR="000D714F" w:rsidRPr="00AA0794" w:rsidRDefault="007C1CF7" w:rsidP="00AA0794">
      <w:pPr>
        <w:pStyle w:val="Dalodstavce"/>
        <w:numPr>
          <w:ilvl w:val="0"/>
          <w:numId w:val="40"/>
        </w:numPr>
      </w:pPr>
      <w:r w:rsidRPr="00AA0794">
        <w:t>Koordinace péče a návaznost služeb u pacientů propuštěných do domácí či jiné formy péče (vytvoření postupů pro zajištění kontinuální péče; spolupráce s pečovatelskými zařízeními, rodinou, registrujícím praktickým lékařem, geriatrem apod.), včetně dostupnosti koordinátorů péče, sociálních či administrativních pracovníků atd.</w:t>
      </w:r>
    </w:p>
    <w:p w14:paraId="744ACF59" w14:textId="33BE1417" w:rsidR="00305EC4" w:rsidRDefault="00EE5E0C" w:rsidP="00AA0794">
      <w:pPr>
        <w:pStyle w:val="Dalodstavce"/>
        <w:numPr>
          <w:ilvl w:val="0"/>
          <w:numId w:val="40"/>
        </w:numPr>
      </w:pPr>
      <w:r w:rsidRPr="00AA0794">
        <w:t>Navýšení kapacit ZDS – jak v rámci FN Brno, tak u externích dopravců. Zároveň by bylo vhodné nastavit jednoznačná kritéria pro indikaci převozu pacienta vozem ZDS, aby tak nedocházelo k nadužívání této služby.</w:t>
      </w:r>
    </w:p>
    <w:p w14:paraId="0A743A47" w14:textId="77777777" w:rsidR="00076CA6" w:rsidRDefault="00076CA6" w:rsidP="00076CA6">
      <w:pPr>
        <w:pStyle w:val="Dalodstavce"/>
        <w:ind w:firstLine="0"/>
      </w:pPr>
    </w:p>
    <w:p w14:paraId="0126D5A7" w14:textId="18499BFB" w:rsidR="009E1811" w:rsidRDefault="005B58CF" w:rsidP="003E22CC">
      <w:pPr>
        <w:pStyle w:val="Dalodstavce"/>
        <w:ind w:firstLine="0"/>
      </w:pPr>
      <w:r>
        <w:t xml:space="preserve">Oproti předchozímu textu budou dále zmíněna </w:t>
      </w:r>
      <w:r w:rsidR="002D3FE3">
        <w:t xml:space="preserve">doporučení pro praxi, která vycházejí </w:t>
      </w:r>
      <w:r w:rsidR="00EB188C">
        <w:t xml:space="preserve">z dokumentů a </w:t>
      </w:r>
      <w:r w:rsidR="00E01A59">
        <w:t>doporučených postupů</w:t>
      </w:r>
      <w:r w:rsidR="00D8490A">
        <w:t>, jejichž a</w:t>
      </w:r>
      <w:r w:rsidR="001D4014">
        <w:t xml:space="preserve">utory jsou </w:t>
      </w:r>
      <w:r w:rsidR="004D447D">
        <w:t>organizace a pracovní skupiny</w:t>
      </w:r>
      <w:r w:rsidR="003E22CC">
        <w:t xml:space="preserve"> s</w:t>
      </w:r>
      <w:r w:rsidR="00C43E40">
        <w:t xml:space="preserve">e </w:t>
      </w:r>
      <w:r w:rsidR="001D0E77">
        <w:t>záj</w:t>
      </w:r>
      <w:r w:rsidR="00C43E40">
        <w:t>em</w:t>
      </w:r>
      <w:r w:rsidR="001D0E77">
        <w:t xml:space="preserve"> </w:t>
      </w:r>
      <w:r w:rsidR="003E22CC">
        <w:t xml:space="preserve">o </w:t>
      </w:r>
      <w:r w:rsidR="001D0E77">
        <w:t>geriatrick</w:t>
      </w:r>
      <w:r w:rsidR="003E22CC">
        <w:t>ou</w:t>
      </w:r>
      <w:r w:rsidR="001D0E77">
        <w:t xml:space="preserve"> urgentní medicín</w:t>
      </w:r>
      <w:r w:rsidR="003E22CC">
        <w:t>u</w:t>
      </w:r>
      <w:r w:rsidR="001D0E77">
        <w:t xml:space="preserve"> (blíže již byly představeny v kapitole </w:t>
      </w:r>
      <w:r w:rsidR="00D31CDE">
        <w:t>4.1</w:t>
      </w:r>
      <w:r w:rsidR="001D0E77">
        <w:t>)</w:t>
      </w:r>
      <w:r w:rsidR="00A5004D">
        <w:t>.</w:t>
      </w:r>
      <w:r w:rsidR="00D03235">
        <w:t xml:space="preserve"> </w:t>
      </w:r>
      <w:r w:rsidR="0017714D">
        <w:t>D</w:t>
      </w:r>
      <w:r w:rsidR="00262571">
        <w:t>oporučen</w:t>
      </w:r>
      <w:r w:rsidR="00A65EAD">
        <w:t>é postupy</w:t>
      </w:r>
      <w:r w:rsidR="0017714D">
        <w:t xml:space="preserve"> </w:t>
      </w:r>
      <w:r w:rsidR="00262571">
        <w:t>byl</w:t>
      </w:r>
      <w:r w:rsidR="00A65EAD">
        <w:t>y</w:t>
      </w:r>
      <w:r w:rsidR="00262571">
        <w:t xml:space="preserve"> vyhotoven</w:t>
      </w:r>
      <w:r w:rsidR="00A65EAD">
        <w:t>y</w:t>
      </w:r>
      <w:r w:rsidR="00262571">
        <w:t xml:space="preserve"> tak, aby </w:t>
      </w:r>
      <w:r w:rsidR="0017714D">
        <w:t>poskytoval</w:t>
      </w:r>
      <w:r w:rsidR="00A65EAD">
        <w:t>y</w:t>
      </w:r>
      <w:r w:rsidR="0017714D">
        <w:t xml:space="preserve"> </w:t>
      </w:r>
      <w:r w:rsidR="00F16B04">
        <w:t>obecný</w:t>
      </w:r>
      <w:r w:rsidR="0017714D">
        <w:t xml:space="preserve"> rámec</w:t>
      </w:r>
      <w:r w:rsidR="00A65EAD">
        <w:t xml:space="preserve"> doporučení, který by bylo možné implementovat do prostředí urgentních příjmů po celé Evropě.</w:t>
      </w:r>
      <w:r w:rsidR="006D7FA7">
        <w:t xml:space="preserve"> </w:t>
      </w:r>
      <w:r w:rsidR="00FF581E">
        <w:t>Je zcela žádoucí</w:t>
      </w:r>
      <w:r w:rsidR="006D2B45">
        <w:t xml:space="preserve"> v nich dále </w:t>
      </w:r>
      <w:r w:rsidR="00B11EE5">
        <w:t>zohled</w:t>
      </w:r>
      <w:r w:rsidR="006D2B45">
        <w:t>nit</w:t>
      </w:r>
      <w:r w:rsidR="00A22219">
        <w:t xml:space="preserve"> </w:t>
      </w:r>
      <w:r w:rsidR="00C110F5">
        <w:t>místní, národní a regionální faktory</w:t>
      </w:r>
      <w:r w:rsidR="009B7F47">
        <w:t xml:space="preserve">, </w:t>
      </w:r>
      <w:r w:rsidR="000359FD">
        <w:t>tak</w:t>
      </w:r>
      <w:r w:rsidR="006D2B45">
        <w:t xml:space="preserve"> aby</w:t>
      </w:r>
      <w:r w:rsidR="000359FD">
        <w:t xml:space="preserve"> </w:t>
      </w:r>
      <w:r w:rsidR="009B7F47">
        <w:t>co nejvíce odpovídaly potřebám</w:t>
      </w:r>
      <w:r w:rsidR="00AE2F65">
        <w:t xml:space="preserve"> </w:t>
      </w:r>
      <w:r w:rsidR="009B7F47">
        <w:t>českého zdravotnictví.</w:t>
      </w:r>
    </w:p>
    <w:p w14:paraId="0A6F7DE5" w14:textId="69D63FB1" w:rsidR="00076CA6" w:rsidRDefault="00C13A9F" w:rsidP="009E1811">
      <w:pPr>
        <w:pStyle w:val="Dalodstavce"/>
      </w:pPr>
      <w:r>
        <w:t xml:space="preserve">Za účelem </w:t>
      </w:r>
      <w:r w:rsidR="00C57755">
        <w:t xml:space="preserve">zkvalitnění poskytované péče o starší pacienty </w:t>
      </w:r>
      <w:r w:rsidR="007E707E">
        <w:t xml:space="preserve">v prostředí </w:t>
      </w:r>
      <w:r w:rsidR="00C57755">
        <w:t>urgentní</w:t>
      </w:r>
      <w:r w:rsidR="007E707E">
        <w:t>ho</w:t>
      </w:r>
      <w:r w:rsidR="00C57755">
        <w:t xml:space="preserve"> příjmu</w:t>
      </w:r>
      <w:r w:rsidR="008F5608">
        <w:t xml:space="preserve"> se</w:t>
      </w:r>
      <w:r w:rsidR="00162A36">
        <w:t xml:space="preserve"> </w:t>
      </w:r>
      <w:r w:rsidR="002C44DC">
        <w:t xml:space="preserve">nejčastěji </w:t>
      </w:r>
      <w:r w:rsidR="001A6404">
        <w:t>objevují následují</w:t>
      </w:r>
      <w:r w:rsidR="008C30AF">
        <w:t xml:space="preserve"> doporučení</w:t>
      </w:r>
      <w:r w:rsidR="003A6B63">
        <w:t xml:space="preserve">, </w:t>
      </w:r>
      <w:r w:rsidR="00C57755">
        <w:t>modely či změny</w:t>
      </w:r>
      <w:r w:rsidR="00006E3B">
        <w:t xml:space="preserve"> (</w:t>
      </w:r>
      <w:r w:rsidR="00DF3163">
        <w:t xml:space="preserve">blíže </w:t>
      </w:r>
      <w:r w:rsidR="00006E3B">
        <w:t xml:space="preserve">jsou </w:t>
      </w:r>
      <w:r w:rsidR="00DF3163">
        <w:t>představen</w:t>
      </w:r>
      <w:r w:rsidR="00006E3B">
        <w:t>y</w:t>
      </w:r>
      <w:r w:rsidR="00DF3163">
        <w:t xml:space="preserve"> např. ve formě přehledných posterů na webových stránkách geriEM</w:t>
      </w:r>
      <w:r w:rsidR="00FB4C2B">
        <w:fldChar w:fldCharType="begin"/>
      </w:r>
      <w:r w:rsidR="001300F0">
        <w:instrText xml:space="preserve"> ADDIN ZOTERO_ITEM CSL_CITATION {"citationID":"1n3FbVGm","properties":{"formattedCitation":"\\super 38\\nosupersub{}","plainCitation":"38","noteIndex":0},"citationItems":[{"id":197,"uris":["http://zotero.org/users/9426386/items/JGSMGNXZ"],"itemData":{"id":197,"type":"webpage","container-title":"Geriatric Emergency Medicine in Europe","language":"en","title":"geriEM Europe Posters","URL":"https://posters.geriemeurope.eu/","accessed":{"date-parts":[["2024",10,18]]}}}],"schema":"https://github.com/citation-style-language/schema/raw/master/csl-citation.json"} </w:instrText>
      </w:r>
      <w:r w:rsidR="00FB4C2B">
        <w:fldChar w:fldCharType="separate"/>
      </w:r>
      <w:r w:rsidR="001300F0" w:rsidRPr="001300F0">
        <w:rPr>
          <w:vertAlign w:val="superscript"/>
        </w:rPr>
        <w:t>38</w:t>
      </w:r>
      <w:r w:rsidR="00FB4C2B">
        <w:fldChar w:fldCharType="end"/>
      </w:r>
      <w:r w:rsidR="00006E3B">
        <w:t>):</w:t>
      </w:r>
    </w:p>
    <w:p w14:paraId="2E118153" w14:textId="004DBDEA" w:rsidR="00002360" w:rsidRDefault="00AA6581" w:rsidP="00EF62D8">
      <w:pPr>
        <w:pStyle w:val="Dalodstavce"/>
        <w:numPr>
          <w:ilvl w:val="0"/>
          <w:numId w:val="41"/>
        </w:numPr>
      </w:pPr>
      <w:r>
        <w:t>Podpora klinického zlepšování</w:t>
      </w:r>
      <w:r w:rsidR="00C076CB">
        <w:t>, vzdělávání zdravotnického personálu, výzkumu a politiky</w:t>
      </w:r>
      <w:r w:rsidR="00D13EE0">
        <w:t xml:space="preserve"> v oblasti geriatrické urgentní medicíny</w:t>
      </w:r>
      <w:r w:rsidR="00186CF6">
        <w:t>.</w:t>
      </w:r>
      <w:r w:rsidR="00CF34D5">
        <w:t xml:space="preserve"> Dostatek geriatricky </w:t>
      </w:r>
      <w:r w:rsidR="00931C6C">
        <w:t>vzdělaných</w:t>
      </w:r>
      <w:r w:rsidR="00CF34D5">
        <w:t xml:space="preserve"> </w:t>
      </w:r>
      <w:r w:rsidR="009C4E93">
        <w:t>specialistů.</w:t>
      </w:r>
      <w:r w:rsidR="00186CF6">
        <w:t xml:space="preserve"> </w:t>
      </w:r>
      <w:r w:rsidR="0053646D">
        <w:t>Identifikace</w:t>
      </w:r>
      <w:r w:rsidR="00186CF6">
        <w:t xml:space="preserve"> a</w:t>
      </w:r>
      <w:r w:rsidR="003773F5">
        <w:t xml:space="preserve"> shromažď</w:t>
      </w:r>
      <w:r w:rsidR="005F722C">
        <w:t>ování</w:t>
      </w:r>
      <w:r w:rsidR="003773F5">
        <w:t xml:space="preserve"> údaj</w:t>
      </w:r>
      <w:r w:rsidR="005F722C">
        <w:t>ů</w:t>
      </w:r>
      <w:r w:rsidR="00F13AE3">
        <w:t xml:space="preserve"> týkajících se</w:t>
      </w:r>
      <w:r w:rsidR="004545AB">
        <w:t xml:space="preserve"> kvality péče o starší pacienty na urgentním příjmu.</w:t>
      </w:r>
      <w:r w:rsidR="002D6429">
        <w:fldChar w:fldCharType="begin"/>
      </w:r>
      <w:r w:rsidR="009C123F">
        <w:instrText xml:space="preserve"> ADDIN ZOTERO_ITEM CSL_CITATION {"citationID":"LIcqUgUc","properties":{"formattedCitation":"\\super 6(p6),9(p21),36(p8)\\nosupersub{}","plainCitation":"6(p6),9(p21),36(p8)","noteIndex":0},"citationItems":[{"id":196,"uris":["http://zotero.org/users/9426386/items/BXNLYBH5"],"itemData":{"id":196,"type":"book","ISBN":"978-0-9873901-9-6","language":"en","number-of-pages":"11","publisher":"IFEM – Geriatric Emergency Medicine Special Interest Group","source":"Zotero","title":"White Paper on the Care of Older People with Acute illness and Injury in the Emergency Department","URL":"https://assets.nationbuilder.com/ifem/pages/284/attachments/original/1650665462/IFEM-White-Paper-on-the-Care-of-Older-People-with-Acute-Illness-and-Injury-in-the-Emergency-Department-December-2020.pdf?1650665462","author":[{"family":"Ellis","given":"B"},{"family":"Lowthian","given":"J."},{"family":"Melady","given":"D."}],"issued":{"date-parts":[["2020"]]}},"locator":"6","label":"page"},{"id":154,"uris":["http://zotero.org/users/9426386/items/7WJBPSRG"],"itemData":{"id":154,"type":"document","language":"cs","publisher":"MPSV ČR","title":"Strategický rámec přípravy na stárnutí společnosti 2021–2025","URL":"https://www.mpsv.cz/strategicky-ramec-pripravy-na-starnuti-spolecnosti-2021-2025","issued":{"date-parts":[["2022",2,2]]}},"locator":"21","label":"page"},{"id":190,"uris":["http://zotero.org/users/9426386/items/DHY8WFK8"],"itemData":{"id":190,"type":"book","collection-title":"SpringerLink Bücher","event-place":"Cham, Switzerland","ISBN":"978-3-319-19318-2","language":"eng","note":"DOI: 10.1007/978-3-319-19318-2","number-of-pages":"397","publisher":"Springer","publisher-place":"Cham, Switzerland","source":"K10plus ISBN","title":"Geriatric emergency medicine","URL":"https://doi.org/10.1007/978-3-319-19318-2","editor":[{"family":"Nickel","given":"Christian"},{"family":"Bellou","given":"Abdelouahab"},{"family":"Conroy","given":"Simon"}],"issued":{"date-parts":[["2018"]]}},"locator":"8","label":"page"}],"schema":"https://github.com/citation-style-language/schema/raw/master/csl-citation.json"} </w:instrText>
      </w:r>
      <w:r w:rsidR="002D6429">
        <w:fldChar w:fldCharType="separate"/>
      </w:r>
      <w:r w:rsidR="001300F0" w:rsidRPr="001300F0">
        <w:rPr>
          <w:vertAlign w:val="superscript"/>
        </w:rPr>
        <w:t>6(p6),9(p21),36(p8)</w:t>
      </w:r>
      <w:r w:rsidR="002D6429">
        <w:fldChar w:fldCharType="end"/>
      </w:r>
    </w:p>
    <w:p w14:paraId="1BEA501A" w14:textId="4C840449" w:rsidR="006100A1" w:rsidRDefault="00750A08" w:rsidP="00EF62D8">
      <w:pPr>
        <w:pStyle w:val="Dalodstavce"/>
        <w:numPr>
          <w:ilvl w:val="0"/>
          <w:numId w:val="41"/>
        </w:numPr>
      </w:pPr>
      <w:r>
        <w:t>Zlepšení vzájemné</w:t>
      </w:r>
      <w:r w:rsidR="00A149D8">
        <w:t xml:space="preserve"> komunikace a spolupráce mezi </w:t>
      </w:r>
      <w:r w:rsidR="00A56656">
        <w:t>ZZS, urgentními příjmy</w:t>
      </w:r>
      <w:r w:rsidR="0091132E">
        <w:t xml:space="preserve"> a ambulantní</w:t>
      </w:r>
      <w:r w:rsidR="00F44132">
        <w:t xml:space="preserve"> či lůžkovou složkou péče.</w:t>
      </w:r>
      <w:r w:rsidR="005B129A">
        <w:fldChar w:fldCharType="begin"/>
      </w:r>
      <w:r w:rsidR="001300F0">
        <w:instrText xml:space="preserve"> ADDIN ZOTERO_ITEM CSL_CITATION {"citationID":"588aFkP4","properties":{"formattedCitation":"\\super 36(p9)\\nosupersub{}","plainCitation":"36(p9)","noteIndex":0},"citationItems":[{"id":190,"uris":["http://zotero.org/users/9426386/items/DHY8WFK8"],"itemData":{"id":190,"type":"book","collection-title":"SpringerLink Bücher","event-place":"Cham, Switzerland","ISBN":"978-3-319-19318-2","language":"eng","note":"DOI: 10.1007/978-3-319-19318-2","number-of-pages":"397","publisher":"Springer","publisher-place":"Cham, Switzerland","source":"K10plus ISBN","title":"Geriatric emergency medicine","URL":"https://doi.org/10.1007/978-3-319-19318-2","editor":[{"family":"Nickel","given":"Christian"},{"family":"Bellou","given":"Abdelouahab"},{"family":"Conroy","given":"Simon"}],"issued":{"date-parts":[["2018"]]}},"locator":"9","label":"page"}],"schema":"https://github.com/citation-style-language/schema/raw/master/csl-citation.json"} </w:instrText>
      </w:r>
      <w:r w:rsidR="005B129A">
        <w:fldChar w:fldCharType="separate"/>
      </w:r>
      <w:r w:rsidR="001300F0" w:rsidRPr="001300F0">
        <w:rPr>
          <w:vertAlign w:val="superscript"/>
        </w:rPr>
        <w:t>36(p9)</w:t>
      </w:r>
      <w:r w:rsidR="005B129A">
        <w:fldChar w:fldCharType="end"/>
      </w:r>
    </w:p>
    <w:p w14:paraId="2A411048" w14:textId="0A6940B1" w:rsidR="00B144D8" w:rsidRDefault="00DC47A7" w:rsidP="00EF62D8">
      <w:pPr>
        <w:pStyle w:val="Dalodstavce"/>
        <w:numPr>
          <w:ilvl w:val="0"/>
          <w:numId w:val="41"/>
        </w:numPr>
      </w:pPr>
      <w:r>
        <w:t>Přijetí zásad a postupů</w:t>
      </w:r>
      <w:r w:rsidR="00302F89">
        <w:t xml:space="preserve">, které budou </w:t>
      </w:r>
      <w:r w:rsidR="00C20EA4">
        <w:t>holisticky</w:t>
      </w:r>
      <w:r w:rsidR="009E6442">
        <w:t xml:space="preserve"> přistupovat </w:t>
      </w:r>
      <w:r w:rsidR="00737A1B">
        <w:t>k</w:t>
      </w:r>
      <w:r w:rsidR="009E6442">
        <w:t> funkčnímu stavu</w:t>
      </w:r>
      <w:r w:rsidR="00A02D48">
        <w:t xml:space="preserve">, </w:t>
      </w:r>
      <w:r w:rsidR="00D42679">
        <w:t>charakteristi</w:t>
      </w:r>
      <w:r w:rsidR="008A443B">
        <w:t>ck</w:t>
      </w:r>
      <w:r w:rsidR="00FC31F4">
        <w:t>ým</w:t>
      </w:r>
      <w:r w:rsidR="00737A1B">
        <w:t xml:space="preserve"> zdravotní</w:t>
      </w:r>
      <w:r w:rsidR="00FC31F4">
        <w:t>m</w:t>
      </w:r>
      <w:r w:rsidR="00737A1B">
        <w:t xml:space="preserve"> </w:t>
      </w:r>
      <w:r w:rsidR="00FC31F4">
        <w:t>obtížím</w:t>
      </w:r>
      <w:r w:rsidR="00A02D48">
        <w:t xml:space="preserve"> a léčbě</w:t>
      </w:r>
      <w:r w:rsidR="00737A1B">
        <w:t xml:space="preserve"> </w:t>
      </w:r>
      <w:r w:rsidR="002D2F97">
        <w:t xml:space="preserve">geriatrických a </w:t>
      </w:r>
      <w:r w:rsidR="002D4AEC">
        <w:t xml:space="preserve">geriatricky </w:t>
      </w:r>
      <w:r w:rsidR="002D2F97">
        <w:t>křehkých</w:t>
      </w:r>
      <w:r w:rsidR="00737A1B">
        <w:t xml:space="preserve"> pacientů.</w:t>
      </w:r>
      <w:r w:rsidR="006B6DBC">
        <w:t xml:space="preserve"> </w:t>
      </w:r>
      <w:r w:rsidR="008D4925">
        <w:t>P</w:t>
      </w:r>
      <w:r w:rsidR="008D53DC">
        <w:t>oužíván</w:t>
      </w:r>
      <w:r w:rsidR="008D4925">
        <w:t>í</w:t>
      </w:r>
      <w:r w:rsidR="00F32A03">
        <w:t xml:space="preserve"> </w:t>
      </w:r>
      <w:r w:rsidR="00020551">
        <w:t>flexibilní</w:t>
      </w:r>
      <w:r w:rsidR="00F32A03">
        <w:t xml:space="preserve"> metod</w:t>
      </w:r>
      <w:r w:rsidR="008D4925">
        <w:t>y</w:t>
      </w:r>
      <w:r w:rsidR="00F32A03">
        <w:t xml:space="preserve"> zdravotnického třídění, která</w:t>
      </w:r>
      <w:r w:rsidR="004D2946">
        <w:t xml:space="preserve"> bude vhodná i pro rychl</w:t>
      </w:r>
      <w:r w:rsidR="00F300BC">
        <w:t>é</w:t>
      </w:r>
      <w:r w:rsidR="004D2946">
        <w:t xml:space="preserve"> a efektivní</w:t>
      </w:r>
      <w:r w:rsidR="00F300BC">
        <w:t xml:space="preserve"> odhalení rizikových pacientů vyššího věku</w:t>
      </w:r>
      <w:r w:rsidR="002132E8">
        <w:t xml:space="preserve"> (jako</w:t>
      </w:r>
      <w:r w:rsidR="00312994">
        <w:t xml:space="preserve"> jedna z </w:t>
      </w:r>
      <w:r w:rsidR="002132E8">
        <w:t xml:space="preserve">metod </w:t>
      </w:r>
      <w:proofErr w:type="spellStart"/>
      <w:r w:rsidR="002132E8">
        <w:t>triage</w:t>
      </w:r>
      <w:proofErr w:type="spellEnd"/>
      <w:r w:rsidR="00312994">
        <w:t>,</w:t>
      </w:r>
      <w:r w:rsidR="002132E8">
        <w:t xml:space="preserve"> vhodn</w:t>
      </w:r>
      <w:r w:rsidR="00312994">
        <w:t>á</w:t>
      </w:r>
      <w:r w:rsidR="002132E8">
        <w:t xml:space="preserve"> i pro pacienty vyššího věku</w:t>
      </w:r>
      <w:r w:rsidR="00312994">
        <w:t>,</w:t>
      </w:r>
      <w:r w:rsidR="002132E8">
        <w:t xml:space="preserve"> </w:t>
      </w:r>
      <w:r w:rsidR="002F5BD9">
        <w:t xml:space="preserve">bývá </w:t>
      </w:r>
      <w:r w:rsidR="002132E8">
        <w:t xml:space="preserve">často zmiňován tzv. </w:t>
      </w:r>
      <w:proofErr w:type="spellStart"/>
      <w:r w:rsidR="002132E8">
        <w:t>Emergency</w:t>
      </w:r>
      <w:proofErr w:type="spellEnd"/>
      <w:r w:rsidR="002132E8">
        <w:t xml:space="preserve"> </w:t>
      </w:r>
      <w:proofErr w:type="spellStart"/>
      <w:r w:rsidR="002132E8">
        <w:t>Severity</w:t>
      </w:r>
      <w:proofErr w:type="spellEnd"/>
      <w:r w:rsidR="002132E8">
        <w:t xml:space="preserve"> Index)</w:t>
      </w:r>
      <w:r w:rsidR="00F300BC">
        <w:t>.</w:t>
      </w:r>
      <w:r w:rsidR="00B042AA">
        <w:t xml:space="preserve"> </w:t>
      </w:r>
      <w:r w:rsidR="002F5BD9">
        <w:t>H</w:t>
      </w:r>
      <w:r w:rsidR="000F53BF">
        <w:t xml:space="preserve">lavní </w:t>
      </w:r>
      <w:r w:rsidR="00B042AA">
        <w:t xml:space="preserve">benefit </w:t>
      </w:r>
      <w:r w:rsidR="005E20EC">
        <w:t xml:space="preserve">vhodně zvolené metody </w:t>
      </w:r>
      <w:r w:rsidR="00B042AA">
        <w:t xml:space="preserve">tkví především </w:t>
      </w:r>
      <w:r w:rsidR="00C823D2">
        <w:t>v</w:t>
      </w:r>
      <w:r w:rsidR="00647BB0">
        <w:t xml:space="preserve"> </w:t>
      </w:r>
      <w:r w:rsidR="00A51B45">
        <w:t>rozhod</w:t>
      </w:r>
      <w:r w:rsidR="00647BB0">
        <w:t>ování</w:t>
      </w:r>
      <w:r w:rsidR="00A51B45">
        <w:t xml:space="preserve"> </w:t>
      </w:r>
      <w:r w:rsidR="00C823D2">
        <w:t xml:space="preserve">s využitím </w:t>
      </w:r>
      <w:r w:rsidR="00275A9D">
        <w:t>znalostí</w:t>
      </w:r>
      <w:r w:rsidR="00B424A2">
        <w:t xml:space="preserve"> a zkušeností zdravotníka</w:t>
      </w:r>
      <w:r w:rsidR="005C65A1">
        <w:t xml:space="preserve">, zohlednění </w:t>
      </w:r>
      <w:r w:rsidR="004C3974">
        <w:t>atypick</w:t>
      </w:r>
      <w:r w:rsidR="00F44DD9">
        <w:t>ý</w:t>
      </w:r>
      <w:r w:rsidR="005C65A1">
        <w:t>ch</w:t>
      </w:r>
      <w:r w:rsidR="004C3974">
        <w:t xml:space="preserve"> projev</w:t>
      </w:r>
      <w:r w:rsidR="00F44DD9">
        <w:t>ů</w:t>
      </w:r>
      <w:r w:rsidR="004C3974">
        <w:t xml:space="preserve"> nemoci starších lidí,</w:t>
      </w:r>
      <w:r w:rsidR="00B424A2">
        <w:t xml:space="preserve"> </w:t>
      </w:r>
      <w:r w:rsidR="00E1331A">
        <w:t>nedávn</w:t>
      </w:r>
      <w:r w:rsidR="00F44DD9">
        <w:t>é</w:t>
      </w:r>
      <w:r w:rsidR="00E1331A">
        <w:t xml:space="preserve"> anamnéz</w:t>
      </w:r>
      <w:r w:rsidR="00737B81">
        <w:t>y</w:t>
      </w:r>
      <w:r w:rsidR="00E1331A">
        <w:t xml:space="preserve">, relevantní </w:t>
      </w:r>
      <w:r w:rsidR="00905C8E">
        <w:t>užívan</w:t>
      </w:r>
      <w:r w:rsidR="00F44DD9">
        <w:t>é</w:t>
      </w:r>
      <w:r w:rsidR="00905C8E">
        <w:t xml:space="preserve"> </w:t>
      </w:r>
      <w:r w:rsidR="00E1331A">
        <w:t>m</w:t>
      </w:r>
      <w:r w:rsidR="00905C8E">
        <w:t>edikac</w:t>
      </w:r>
      <w:r w:rsidR="00737B81">
        <w:t>e</w:t>
      </w:r>
      <w:r w:rsidR="005E0F7E">
        <w:t xml:space="preserve"> a </w:t>
      </w:r>
      <w:r w:rsidR="00F44DD9">
        <w:t>zjištěný</w:t>
      </w:r>
      <w:r w:rsidR="00737B81">
        <w:t>ch</w:t>
      </w:r>
      <w:r w:rsidR="00F44DD9">
        <w:t xml:space="preserve"> </w:t>
      </w:r>
      <w:r w:rsidR="005E0F7E">
        <w:t>abnormalit</w:t>
      </w:r>
      <w:r w:rsidR="00F44DD9">
        <w:t xml:space="preserve"> </w:t>
      </w:r>
      <w:r w:rsidR="005E0F7E">
        <w:t>vitálních funkcí</w:t>
      </w:r>
      <w:r w:rsidR="00353EE6">
        <w:t>.</w:t>
      </w:r>
      <w:r w:rsidR="00E55D58">
        <w:t xml:space="preserve"> </w:t>
      </w:r>
      <w:r w:rsidR="00D81A31">
        <w:t xml:space="preserve">Zlepšení mobility </w:t>
      </w:r>
      <w:r w:rsidR="00BE2697">
        <w:t xml:space="preserve">starších </w:t>
      </w:r>
      <w:r w:rsidR="00BE2697">
        <w:lastRenderedPageBreak/>
        <w:t xml:space="preserve">pacientů </w:t>
      </w:r>
      <w:r w:rsidR="00D81A31">
        <w:t xml:space="preserve">za pomoci </w:t>
      </w:r>
      <w:r w:rsidR="00BE2697">
        <w:t xml:space="preserve">uplatnění </w:t>
      </w:r>
      <w:r w:rsidR="00D81A31">
        <w:t>standardizovaných postupů</w:t>
      </w:r>
      <w:r w:rsidR="00204039">
        <w:t xml:space="preserve"> pro použití </w:t>
      </w:r>
      <w:r w:rsidR="00086A1A">
        <w:t xml:space="preserve">kontinuální </w:t>
      </w:r>
      <w:r w:rsidR="00AA548E">
        <w:t>monitorace</w:t>
      </w:r>
      <w:r w:rsidR="00086A1A">
        <w:t xml:space="preserve"> vitálních funkcí</w:t>
      </w:r>
      <w:r w:rsidR="00AA548E">
        <w:t>,</w:t>
      </w:r>
      <w:r w:rsidR="00CD6585">
        <w:t xml:space="preserve"> omezovacích prostředků (fyzikálních i farmakologických)</w:t>
      </w:r>
      <w:r w:rsidR="00E369E5">
        <w:t xml:space="preserve"> a zajištění invazivních vstupů (</w:t>
      </w:r>
      <w:r w:rsidR="005C2A0B">
        <w:t>intravenózní kanyly, permanentní močové katetry aj.</w:t>
      </w:r>
      <w:r w:rsidR="00E369E5">
        <w:t>).</w:t>
      </w:r>
      <w:r w:rsidR="00DD07D4">
        <w:fldChar w:fldCharType="begin"/>
      </w:r>
      <w:r w:rsidR="009C123F">
        <w:instrText xml:space="preserve"> ADDIN ZOTERO_ITEM CSL_CITATION {"citationID":"giveWIXV","properties":{"formattedCitation":"\\super 6(p7),36(p9,18-19)\\nosupersub{}","plainCitation":"6(p7),36(p9,18-19)","noteIndex":0},"citationItems":[{"id":196,"uris":["http://zotero.org/users/9426386/items/BXNLYBH5"],"itemData":{"id":196,"type":"book","ISBN":"978-0-9873901-9-6","language":"en","number-of-pages":"11","publisher":"IFEM – Geriatric Emergency Medicine Special Interest Group","source":"Zotero","title":"White Paper on the Care of Older People with Acute illness and Injury in the Emergency Department","URL":"https://assets.nationbuilder.com/ifem/pages/284/attachments/original/1650665462/IFEM-White-Paper-on-the-Care-of-Older-People-with-Acute-Illness-and-Injury-in-the-Emergency-Department-December-2020.pdf?1650665462","author":[{"family":"Ellis","given":"B"},{"family":"Lowthian","given":"J."},{"family":"Melady","given":"D."}],"issued":{"date-parts":[["2020"]]}},"locator":"7","label":"page"},{"id":190,"uris":["http://zotero.org/users/9426386/items/DHY8WFK8"],"itemData":{"id":190,"type":"book","collection-title":"SpringerLink Bücher","event-place":"Cham, Switzerland","ISBN":"978-3-319-19318-2","language":"eng","note":"DOI: 10.1007/978-3-319-19318-2","number-of-pages":"397","publisher":"Springer","publisher-place":"Cham, Switzerland","source":"K10plus ISBN","title":"Geriatric emergency medicine","URL":"https://doi.org/10.1007/978-3-319-19318-2","editor":[{"family":"Nickel","given":"Christian"},{"family":"Bellou","given":"Abdelouahab"},{"family":"Conroy","given":"Simon"}],"issued":{"date-parts":[["2018"]]}},"locator":"9,18-19","label":"page"}],"schema":"https://github.com/citation-style-language/schema/raw/master/csl-citation.json"} </w:instrText>
      </w:r>
      <w:r w:rsidR="00DD07D4">
        <w:fldChar w:fldCharType="separate"/>
      </w:r>
      <w:r w:rsidR="001300F0" w:rsidRPr="001300F0">
        <w:rPr>
          <w:vertAlign w:val="superscript"/>
        </w:rPr>
        <w:t>6(p7),36(p9,18-19)</w:t>
      </w:r>
      <w:r w:rsidR="00DD07D4">
        <w:fldChar w:fldCharType="end"/>
      </w:r>
    </w:p>
    <w:p w14:paraId="4C2CE22A" w14:textId="231D37A2" w:rsidR="000E3288" w:rsidRDefault="00C44858" w:rsidP="00EF62D8">
      <w:pPr>
        <w:pStyle w:val="Dalodstavce"/>
        <w:numPr>
          <w:ilvl w:val="0"/>
          <w:numId w:val="41"/>
        </w:numPr>
      </w:pPr>
      <w:r>
        <w:t xml:space="preserve">Vytvoření </w:t>
      </w:r>
      <w:r w:rsidR="00A42957">
        <w:t>i</w:t>
      </w:r>
      <w:r w:rsidR="000E3288">
        <w:t>nterdisciplinární</w:t>
      </w:r>
      <w:r w:rsidR="00754455">
        <w:t>ho týmu</w:t>
      </w:r>
      <w:r w:rsidR="00F94F53">
        <w:t>, jež by poskytoval</w:t>
      </w:r>
      <w:r w:rsidR="00E74BCF">
        <w:t xml:space="preserve"> odbornou péči a hodnocení funkčního stavu geriatrických</w:t>
      </w:r>
      <w:r w:rsidR="00DA33B9">
        <w:t xml:space="preserve"> pacient</w:t>
      </w:r>
      <w:r w:rsidR="00E74BCF">
        <w:t>ů</w:t>
      </w:r>
      <w:r w:rsidR="00DA33B9">
        <w:t xml:space="preserve"> na urgentním příjmu</w:t>
      </w:r>
      <w:r w:rsidR="00E74BCF">
        <w:t>.</w:t>
      </w:r>
      <w:r w:rsidR="00793DBE">
        <w:t xml:space="preserve"> </w:t>
      </w:r>
      <w:r w:rsidR="00AE55A8">
        <w:t>Multioborový t</w:t>
      </w:r>
      <w:r w:rsidR="00793DBE">
        <w:t>ým by mohl zahrnovat</w:t>
      </w:r>
      <w:r w:rsidR="00B726E6">
        <w:t xml:space="preserve"> zdravotníky proškolené v oblasti geriatrie</w:t>
      </w:r>
      <w:r w:rsidR="006F1309">
        <w:t>, sociální pracovníky, fyzioterapeuty</w:t>
      </w:r>
      <w:r w:rsidR="004F6ED2">
        <w:t>, specialisty na paliativní péči a</w:t>
      </w:r>
      <w:r w:rsidR="00727DF5">
        <w:t> </w:t>
      </w:r>
      <w:r w:rsidR="004F6ED2">
        <w:t>řadu dalších</w:t>
      </w:r>
      <w:r w:rsidR="006E0081">
        <w:t xml:space="preserve"> odborností</w:t>
      </w:r>
      <w:r w:rsidR="004F6ED2">
        <w:t>.</w:t>
      </w:r>
      <w:r w:rsidR="00AB460B">
        <w:fldChar w:fldCharType="begin"/>
      </w:r>
      <w:r w:rsidR="009C123F">
        <w:instrText xml:space="preserve"> ADDIN ZOTERO_ITEM CSL_CITATION {"citationID":"OwjmQfYK","properties":{"formattedCitation":"\\super 6(p6)\\nosupersub{}","plainCitation":"6(p6)","noteIndex":0},"citationItems":[{"id":196,"uris":["http://zotero.org/users/9426386/items/BXNLYBH5"],"itemData":{"id":196,"type":"book","ISBN":"978-0-9873901-9-6","language":"en","number-of-pages":"11","publisher":"IFEM – Geriatric Emergency Medicine Special Interest Group","source":"Zotero","title":"White Paper on the Care of Older People with Acute illness and Injury in the Emergency Department","URL":"https://assets.nationbuilder.com/ifem/pages/284/attachments/original/1650665462/IFEM-White-Paper-on-the-Care-of-Older-People-with-Acute-Illness-and-Injury-in-the-Emergency-Department-December-2020.pdf?1650665462","author":[{"family":"Ellis","given":"B"},{"family":"Lowthian","given":"J."},{"family":"Melady","given":"D."}],"issued":{"date-parts":[["2020"]]}},"locator":"6","label":"page"}],"schema":"https://github.com/citation-style-language/schema/raw/master/csl-citation.json"} </w:instrText>
      </w:r>
      <w:r w:rsidR="00AB460B">
        <w:fldChar w:fldCharType="separate"/>
      </w:r>
      <w:r w:rsidR="00AB460B" w:rsidRPr="00AB460B">
        <w:rPr>
          <w:vertAlign w:val="superscript"/>
        </w:rPr>
        <w:t>6(p6)</w:t>
      </w:r>
      <w:r w:rsidR="00AB460B">
        <w:fldChar w:fldCharType="end"/>
      </w:r>
    </w:p>
    <w:p w14:paraId="79D3009E" w14:textId="48C91AF2" w:rsidR="00727DF5" w:rsidRDefault="00235C8D" w:rsidP="00EF62D8">
      <w:pPr>
        <w:pStyle w:val="Dalodstavce"/>
        <w:numPr>
          <w:ilvl w:val="0"/>
          <w:numId w:val="41"/>
        </w:numPr>
      </w:pPr>
      <w:r>
        <w:t>Upravení prostředí urgentního příjmu tak, aby</w:t>
      </w:r>
      <w:r w:rsidR="00455756">
        <w:t xml:space="preserve"> optimalizovalo mobilitu, nezávislost a</w:t>
      </w:r>
      <w:r w:rsidR="0064219E">
        <w:t xml:space="preserve"> bezpečnost</w:t>
      </w:r>
      <w:r w:rsidR="00795F9D">
        <w:t xml:space="preserve"> starších pacientů</w:t>
      </w:r>
      <w:r w:rsidR="00A2605C">
        <w:t xml:space="preserve"> (</w:t>
      </w:r>
      <w:r w:rsidR="00A0348C">
        <w:t>možnost orientace v</w:t>
      </w:r>
      <w:r w:rsidR="00E57B0D">
        <w:t> </w:t>
      </w:r>
      <w:r w:rsidR="005C0F35">
        <w:t>čase</w:t>
      </w:r>
      <w:r w:rsidR="00E57B0D">
        <w:t xml:space="preserve"> </w:t>
      </w:r>
      <w:r w:rsidR="005C0F35">
        <w:t>a</w:t>
      </w:r>
      <w:r w:rsidR="00E57B0D">
        <w:t> </w:t>
      </w:r>
      <w:r w:rsidR="005C0F35">
        <w:t>prostoru (hodiny</w:t>
      </w:r>
      <w:r w:rsidR="00BB7154">
        <w:t>, značení na oddělení</w:t>
      </w:r>
      <w:r w:rsidR="00463471">
        <w:t>…</w:t>
      </w:r>
      <w:r w:rsidR="00A2605C">
        <w:t>)</w:t>
      </w:r>
      <w:r w:rsidR="00EC1261">
        <w:t>,</w:t>
      </w:r>
      <w:r w:rsidR="003642B8">
        <w:t xml:space="preserve"> </w:t>
      </w:r>
      <w:r w:rsidR="009E5A8C">
        <w:t>přístup ke kompenzačním pomůckám</w:t>
      </w:r>
      <w:r w:rsidR="00430849">
        <w:t xml:space="preserve"> a řada dalších</w:t>
      </w:r>
      <w:r w:rsidR="00AD3AB5">
        <w:t>)</w:t>
      </w:r>
      <w:r w:rsidR="00795F9D">
        <w:t>.</w:t>
      </w:r>
      <w:r w:rsidR="00E97DCC">
        <w:fldChar w:fldCharType="begin"/>
      </w:r>
      <w:r w:rsidR="009C123F">
        <w:instrText xml:space="preserve"> ADDIN ZOTERO_ITEM CSL_CITATION {"citationID":"2VSFQtyS","properties":{"formattedCitation":"\\super 5(pp12-13),6(pp6-7)\\nosupersub{}","plainCitation":"5(pp12-13),6(pp6-7)","noteIndex":0},"citationItems":[{"id":198,"uris":["http://zotero.org/users/9426386/items/UDG2IEYS"],"itemData":{"id":198,"type":"book","ISBN":"978-1-908911-58-2","language":"en","number-of-pages":"344","publisher":"CRC Press","title":"Acute Medicine in the Frail Elderly","URL":"https://doi.org/10.1201/9781909368330","author":[{"family":"Woodford","given":"Henry"},{"family":"George","given":"James"}],"issued":{"date-parts":[["2013"]]}},"locator":"12-13","label":"page"},{"id":196,"uris":["http://zotero.org/users/9426386/items/BXNLYBH5"],"itemData":{"id":196,"type":"book","ISBN":"978-0-9873901-9-6","language":"en","number-of-pages":"11","publisher":"IFEM – Geriatric Emergency Medicine Special Interest Group","source":"Zotero","title":"White Paper on the Care of Older People with Acute illness and Injury in the Emergency Department","URL":"https://assets.nationbuilder.com/ifem/pages/284/attachments/original/1650665462/IFEM-White-Paper-on-the-Care-of-Older-People-with-Acute-Illness-and-Injury-in-the-Emergency-Department-December-2020.pdf?1650665462","author":[{"family":"Ellis","given":"B"},{"family":"Lowthian","given":"J."},{"family":"Melady","given":"D."}],"issued":{"date-parts":[["2020"]]}},"locator":"6-7","label":"page"}],"schema":"https://github.com/citation-style-language/schema/raw/master/csl-citation.json"} </w:instrText>
      </w:r>
      <w:r w:rsidR="00E97DCC">
        <w:fldChar w:fldCharType="separate"/>
      </w:r>
      <w:r w:rsidR="00634C23" w:rsidRPr="00634C23">
        <w:rPr>
          <w:vertAlign w:val="superscript"/>
        </w:rPr>
        <w:t>5(pp12-13),6(pp6-7)</w:t>
      </w:r>
      <w:r w:rsidR="00E97DCC">
        <w:fldChar w:fldCharType="end"/>
      </w:r>
    </w:p>
    <w:p w14:paraId="64007AA6" w14:textId="1E1DE47E" w:rsidR="003142F1" w:rsidRDefault="009873AB" w:rsidP="00EF62D8">
      <w:pPr>
        <w:pStyle w:val="Dalodstavce"/>
        <w:numPr>
          <w:ilvl w:val="0"/>
          <w:numId w:val="41"/>
        </w:numPr>
      </w:pPr>
      <w:r>
        <w:t xml:space="preserve">Při rozhodování </w:t>
      </w:r>
      <w:r w:rsidR="00EB5991">
        <w:t>o dalším smě</w:t>
      </w:r>
      <w:r w:rsidR="00F80064">
        <w:t xml:space="preserve">řování pacienta </w:t>
      </w:r>
      <w:r w:rsidR="00EB276A">
        <w:t>(</w:t>
      </w:r>
      <w:r w:rsidR="009066F5">
        <w:t>přijetí k</w:t>
      </w:r>
      <w:r w:rsidR="00D32634">
        <w:t> </w:t>
      </w:r>
      <w:r w:rsidR="009066F5">
        <w:t>hospitalizaci</w:t>
      </w:r>
      <w:r w:rsidR="00D32634">
        <w:t xml:space="preserve"> nebo propuštění do domácí či jiné formy péče</w:t>
      </w:r>
      <w:r w:rsidR="00EB276A">
        <w:t xml:space="preserve">) </w:t>
      </w:r>
      <w:r w:rsidR="00F80064">
        <w:t xml:space="preserve">by měly být </w:t>
      </w:r>
      <w:r>
        <w:t>brá</w:t>
      </w:r>
      <w:r w:rsidR="00F80064">
        <w:t>ny</w:t>
      </w:r>
      <w:r>
        <w:t xml:space="preserve"> v potaz cíle</w:t>
      </w:r>
      <w:r w:rsidR="00EB5991">
        <w:t xml:space="preserve"> a</w:t>
      </w:r>
      <w:r w:rsidR="00DC6E57">
        <w:t> </w:t>
      </w:r>
      <w:r w:rsidR="00EB5991">
        <w:t>potřeby starší</w:t>
      </w:r>
      <w:r w:rsidR="00273F85">
        <w:t>ho člověka</w:t>
      </w:r>
      <w:r w:rsidR="00EB5991">
        <w:t>.</w:t>
      </w:r>
      <w:r w:rsidR="00EC7279">
        <w:t xml:space="preserve"> </w:t>
      </w:r>
      <w:r w:rsidR="000C322A">
        <w:t>D</w:t>
      </w:r>
      <w:r w:rsidR="00DC6E57">
        <w:t>o</w:t>
      </w:r>
      <w:r w:rsidR="000C322A">
        <w:t xml:space="preserve"> </w:t>
      </w:r>
      <w:r w:rsidR="00EC7279">
        <w:t>příprav</w:t>
      </w:r>
      <w:r w:rsidR="000C322A">
        <w:t>y</w:t>
      </w:r>
      <w:r w:rsidR="007A5B5E">
        <w:t xml:space="preserve"> propouštěcího plánu by </w:t>
      </w:r>
      <w:r w:rsidR="000C322A">
        <w:t>se měly</w:t>
      </w:r>
      <w:r w:rsidR="00FE3045">
        <w:t xml:space="preserve"> </w:t>
      </w:r>
      <w:r w:rsidR="000C322A">
        <w:t xml:space="preserve">promítnout </w:t>
      </w:r>
      <w:r w:rsidR="008D349A">
        <w:t xml:space="preserve">nejen </w:t>
      </w:r>
      <w:r w:rsidR="007A5B5E">
        <w:t>názor</w:t>
      </w:r>
      <w:r w:rsidR="008944AF">
        <w:t xml:space="preserve">y a potřeby samotného pacienta, </w:t>
      </w:r>
      <w:r w:rsidR="008D349A">
        <w:t>ale taktéž j</w:t>
      </w:r>
      <w:r w:rsidR="008944AF">
        <w:t>eho ošetřovatelů.</w:t>
      </w:r>
      <w:r w:rsidR="00246B5C">
        <w:t xml:space="preserve"> </w:t>
      </w:r>
      <w:r w:rsidR="000508DC">
        <w:t xml:space="preserve">Podstatným krokem je </w:t>
      </w:r>
      <w:r w:rsidR="00BB07B8">
        <w:t>vhodné sdělování informací</w:t>
      </w:r>
      <w:r w:rsidR="006726DB">
        <w:t xml:space="preserve"> mezi urgentním příjmem a </w:t>
      </w:r>
      <w:r w:rsidR="00032A84">
        <w:t>osobami či</w:t>
      </w:r>
      <w:r w:rsidR="00830E0F">
        <w:t xml:space="preserve"> zařízeními zapojenými do </w:t>
      </w:r>
      <w:r w:rsidR="003B79C0">
        <w:t>p</w:t>
      </w:r>
      <w:r w:rsidR="00830E0F">
        <w:t>éče o staršího člověka</w:t>
      </w:r>
      <w:r w:rsidR="0077670A">
        <w:t xml:space="preserve"> </w:t>
      </w:r>
      <w:r w:rsidR="009C3959">
        <w:t>(rodinn</w:t>
      </w:r>
      <w:r w:rsidR="00E24B99">
        <w:t>í</w:t>
      </w:r>
      <w:r w:rsidR="009C3959">
        <w:t xml:space="preserve"> příslušní</w:t>
      </w:r>
      <w:r w:rsidR="00E24B99">
        <w:t>ci</w:t>
      </w:r>
      <w:r w:rsidR="009C3959">
        <w:t>, poskytovatel</w:t>
      </w:r>
      <w:r w:rsidR="002B2C10">
        <w:t>é</w:t>
      </w:r>
      <w:r w:rsidR="009C3959">
        <w:t xml:space="preserve"> dlouhodobé </w:t>
      </w:r>
      <w:r w:rsidR="0061020F">
        <w:t xml:space="preserve">či komunitní </w:t>
      </w:r>
      <w:r w:rsidR="009C3959">
        <w:t>péče apod.)</w:t>
      </w:r>
      <w:r w:rsidR="00BB1D39">
        <w:t xml:space="preserve">. </w:t>
      </w:r>
      <w:r w:rsidR="00806F22">
        <w:t>S</w:t>
      </w:r>
      <w:r w:rsidR="00BB1D39">
        <w:t xml:space="preserve"> tím </w:t>
      </w:r>
      <w:r w:rsidR="0011314F">
        <w:t xml:space="preserve">také </w:t>
      </w:r>
      <w:r w:rsidR="002C7CFA">
        <w:t xml:space="preserve">přímo </w:t>
      </w:r>
      <w:r w:rsidR="0011314F">
        <w:t xml:space="preserve">souvisí </w:t>
      </w:r>
      <w:r w:rsidR="002C7CFA">
        <w:t>jasné a</w:t>
      </w:r>
      <w:r w:rsidR="00EF62D8">
        <w:t> </w:t>
      </w:r>
      <w:r w:rsidR="002C7CFA">
        <w:t xml:space="preserve">srozumitelné </w:t>
      </w:r>
      <w:r w:rsidR="00C919AD">
        <w:t>vyhotovení propouštěcí</w:t>
      </w:r>
      <w:r w:rsidR="00806F22">
        <w:t xml:space="preserve"> dokumentace</w:t>
      </w:r>
      <w:r w:rsidR="004B36EB">
        <w:t xml:space="preserve">, </w:t>
      </w:r>
      <w:r w:rsidR="00881A13">
        <w:t xml:space="preserve">která bude mj. obsahovat informace </w:t>
      </w:r>
      <w:r w:rsidR="00601564">
        <w:t xml:space="preserve">o změnách </w:t>
      </w:r>
      <w:r w:rsidR="00BD778B">
        <w:t xml:space="preserve">v dosavadní </w:t>
      </w:r>
      <w:r w:rsidR="00601564">
        <w:t>medikac</w:t>
      </w:r>
      <w:r w:rsidR="00BD778B">
        <w:t>i, či indikac</w:t>
      </w:r>
      <w:r w:rsidR="00E07B42">
        <w:t>emi</w:t>
      </w:r>
      <w:r w:rsidR="00BD778B">
        <w:t xml:space="preserve"> pro případné</w:t>
      </w:r>
      <w:r w:rsidR="00393A3E">
        <w:t xml:space="preserve"> opětovné navštívení urgentního příjmu či </w:t>
      </w:r>
      <w:r w:rsidR="00B60F38">
        <w:t>kontaktování</w:t>
      </w:r>
      <w:r w:rsidR="00393A3E">
        <w:t xml:space="preserve"> ZZS.</w:t>
      </w:r>
      <w:r w:rsidR="009754AD">
        <w:t xml:space="preserve"> V případě hospitaliz</w:t>
      </w:r>
      <w:r w:rsidR="00C0767B">
        <w:t>ace</w:t>
      </w:r>
      <w:r w:rsidR="008B61EC">
        <w:t xml:space="preserve"> </w:t>
      </w:r>
      <w:r w:rsidR="00BA4BBD">
        <w:t>geri</w:t>
      </w:r>
      <w:r w:rsidR="00DB08DD">
        <w:t>atrického</w:t>
      </w:r>
      <w:r w:rsidR="00A67A97">
        <w:t xml:space="preserve"> pacienta </w:t>
      </w:r>
      <w:r w:rsidR="008B61EC">
        <w:t>se jako nej</w:t>
      </w:r>
      <w:r w:rsidR="00343DA3">
        <w:t>v</w:t>
      </w:r>
      <w:r w:rsidR="008B61EC">
        <w:t xml:space="preserve">hodnější </w:t>
      </w:r>
      <w:r w:rsidR="00DB08DD">
        <w:t xml:space="preserve">typ lůžkové péče </w:t>
      </w:r>
      <w:r w:rsidR="008B61EC">
        <w:t>jeví</w:t>
      </w:r>
      <w:r w:rsidR="00343DA3">
        <w:t xml:space="preserve"> </w:t>
      </w:r>
      <w:r w:rsidR="00925656">
        <w:t xml:space="preserve">zpravidla </w:t>
      </w:r>
      <w:r w:rsidR="00343DA3">
        <w:t>geriatricky specializovaná oddělení</w:t>
      </w:r>
      <w:r w:rsidR="00697301">
        <w:t>. Jejich dominantou je</w:t>
      </w:r>
      <w:r w:rsidR="0038232C">
        <w:t>, že</w:t>
      </w:r>
      <w:r w:rsidR="00916703">
        <w:t xml:space="preserve"> </w:t>
      </w:r>
      <w:r w:rsidR="00C730FA">
        <w:t>cíl</w:t>
      </w:r>
      <w:r w:rsidR="0038232C">
        <w:t>í</w:t>
      </w:r>
      <w:r w:rsidR="00C730FA">
        <w:t xml:space="preserve"> na </w:t>
      </w:r>
      <w:r w:rsidR="00EC4A9C">
        <w:t>kratší délk</w:t>
      </w:r>
      <w:r w:rsidR="00C730FA">
        <w:t>u</w:t>
      </w:r>
      <w:r w:rsidR="00EC4A9C">
        <w:t xml:space="preserve"> pobytu</w:t>
      </w:r>
      <w:r w:rsidR="00FA112F">
        <w:t xml:space="preserve"> v nemocničním zařízení</w:t>
      </w:r>
      <w:r w:rsidR="00EC4A9C">
        <w:t xml:space="preserve">, </w:t>
      </w:r>
      <w:r w:rsidR="00C730FA">
        <w:t xml:space="preserve">aby </w:t>
      </w:r>
      <w:r w:rsidR="00DB424B">
        <w:t xml:space="preserve">tím </w:t>
      </w:r>
      <w:r w:rsidR="00933AB5">
        <w:t>docházelo k minimalizaci</w:t>
      </w:r>
      <w:r w:rsidR="00EC4A9C">
        <w:t xml:space="preserve"> funkční</w:t>
      </w:r>
      <w:r w:rsidR="00220832">
        <w:t>ho</w:t>
      </w:r>
      <w:r w:rsidR="00EC4A9C">
        <w:t xml:space="preserve"> pokles</w:t>
      </w:r>
      <w:r w:rsidR="00933AB5">
        <w:t>u</w:t>
      </w:r>
      <w:r w:rsidR="00220832">
        <w:t xml:space="preserve"> a </w:t>
      </w:r>
      <w:proofErr w:type="spellStart"/>
      <w:r w:rsidR="00220832">
        <w:t>iatrogenních</w:t>
      </w:r>
      <w:proofErr w:type="spellEnd"/>
      <w:r w:rsidR="00220832">
        <w:t xml:space="preserve"> účinků hospitalizace</w:t>
      </w:r>
      <w:r w:rsidR="00C110B9">
        <w:t>.</w:t>
      </w:r>
      <w:r w:rsidR="00C268B2">
        <w:fldChar w:fldCharType="begin"/>
      </w:r>
      <w:r w:rsidR="009C123F">
        <w:instrText xml:space="preserve"> ADDIN ZOTERO_ITEM CSL_CITATION {"citationID":"zyYPY7oG","properties":{"formattedCitation":"\\super 5(p13),6(pp7-8),36(p9)\\nosupersub{}","plainCitation":"5(p13),6(pp7-8),36(p9)","noteIndex":0},"citationItems":[{"id":196,"uris":["http://zotero.org/users/9426386/items/BXNLYBH5"],"itemData":{"id":196,"type":"book","ISBN":"978-0-9873901-9-6","language":"en","number-of-pages":"11","publisher":"IFEM – Geriatric Emergency Medicine Special Interest Group","source":"Zotero","title":"White Paper on the Care of Older People with Acute illness and Injury in the Emergency Department","URL":"https://assets.nationbuilder.com/ifem/pages/284/attachments/original/1650665462/IFEM-White-Paper-on-the-Care-of-Older-People-with-Acute-Illness-and-Injury-in-the-Emergency-Department-December-2020.pdf?1650665462","author":[{"family":"Ellis","given":"B"},{"family":"Lowthian","given":"J."},{"family":"Melady","given":"D."}],"issued":{"date-parts":[["2020"]]}},"locator":"7-8","label":"page"},{"id":198,"uris":["http://zotero.org/users/9426386/items/UDG2IEYS"],"itemData":{"id":198,"type":"book","ISBN":"978-1-908911-58-2","language":"en","number-of-pages":"344","publisher":"CRC Press","title":"Acute Medicine in the Frail Elderly","URL":"https://doi.org/10.1201/9781909368330","author":[{"family":"Woodford","given":"Henry"},{"family":"George","given":"James"}],"issued":{"date-parts":[["2013"]]}},"locator":"13","label":"page"},{"id":190,"uris":["http://zotero.org/users/9426386/items/DHY8WFK8"],"itemData":{"id":190,"type":"book","collection-title":"SpringerLink Bücher","event-place":"Cham, Switzerland","ISBN":"978-3-319-19318-2","language":"eng","note":"DOI: 10.1007/978-3-319-19318-2","number-of-pages":"397","publisher":"Springer","publisher-place":"Cham, Switzerland","source":"K10plus ISBN","title":"Geriatric emergency medicine","URL":"https://doi.org/10.1007/978-3-319-19318-2","editor":[{"family":"Nickel","given":"Christian"},{"family":"Bellou","given":"Abdelouahab"},{"family":"Conroy","given":"Simon"}],"issued":{"date-parts":[["2018"]]}},"locator":"9","label":"page"}],"schema":"https://github.com/citation-style-language/schema/raw/master/csl-citation.json"} </w:instrText>
      </w:r>
      <w:r w:rsidR="00C268B2">
        <w:fldChar w:fldCharType="separate"/>
      </w:r>
      <w:r w:rsidR="001300F0" w:rsidRPr="001300F0">
        <w:rPr>
          <w:vertAlign w:val="superscript"/>
        </w:rPr>
        <w:t>5(p13),6(pp7-8),36(p9)</w:t>
      </w:r>
      <w:r w:rsidR="00C268B2">
        <w:fldChar w:fldCharType="end"/>
      </w:r>
    </w:p>
    <w:p w14:paraId="425317F2" w14:textId="77777777" w:rsidR="00C571B4" w:rsidRDefault="00C571B4" w:rsidP="00C571B4">
      <w:pPr>
        <w:pStyle w:val="Dalodstavce"/>
        <w:ind w:left="842" w:firstLine="0"/>
      </w:pPr>
    </w:p>
    <w:p w14:paraId="77867FBB" w14:textId="1B5CCF5F" w:rsidR="006D7136" w:rsidRDefault="006D7136" w:rsidP="002E32D6">
      <w:pPr>
        <w:pStyle w:val="Nadpis1"/>
        <w:numPr>
          <w:ilvl w:val="0"/>
          <w:numId w:val="14"/>
        </w:numPr>
      </w:pPr>
      <w:bookmarkStart w:id="66" w:name="_Toc195517121"/>
      <w:r>
        <w:lastRenderedPageBreak/>
        <w:t>Závěr</w:t>
      </w:r>
      <w:bookmarkEnd w:id="66"/>
    </w:p>
    <w:p w14:paraId="59FA4105" w14:textId="10ED874E" w:rsidR="00F63A2A" w:rsidRDefault="005E2436" w:rsidP="006D7136">
      <w:pPr>
        <w:pStyle w:val="Odstavec1"/>
      </w:pPr>
      <w:r>
        <w:t>Diplomová práce se zabývala</w:t>
      </w:r>
      <w:r w:rsidR="005B5403">
        <w:t xml:space="preserve"> dopady stárnutí české populace na oblast </w:t>
      </w:r>
      <w:r w:rsidR="00397B4C">
        <w:t xml:space="preserve">Nízkoprahového </w:t>
      </w:r>
      <w:r w:rsidR="005B5403">
        <w:t>urgentní</w:t>
      </w:r>
      <w:r w:rsidR="00397B4C">
        <w:t>ho</w:t>
      </w:r>
      <w:r w:rsidR="005B5403">
        <w:t xml:space="preserve"> příjm</w:t>
      </w:r>
      <w:r w:rsidR="00397B4C">
        <w:t>u Fakultní nemocnice Brno</w:t>
      </w:r>
      <w:r w:rsidR="005B5403">
        <w:t>.</w:t>
      </w:r>
      <w:r w:rsidR="006E7364">
        <w:t xml:space="preserve"> </w:t>
      </w:r>
      <w:r w:rsidR="009E4CD4">
        <w:t xml:space="preserve">Práce </w:t>
      </w:r>
      <w:r w:rsidR="005B3C3E">
        <w:t xml:space="preserve">byla </w:t>
      </w:r>
      <w:r w:rsidR="009E4CD4">
        <w:t>tvo</w:t>
      </w:r>
      <w:r w:rsidR="004A1D35">
        <w:t xml:space="preserve">řena dvěma částmi: teoretickou </w:t>
      </w:r>
      <w:r w:rsidR="00F56D9D">
        <w:t>a výzkumnou. Teoretická část práce</w:t>
      </w:r>
      <w:r w:rsidR="00423BF5">
        <w:t xml:space="preserve"> poskytovala </w:t>
      </w:r>
      <w:r w:rsidR="000251D3">
        <w:t>teoretický základ tematiky</w:t>
      </w:r>
      <w:r w:rsidR="00D07F75">
        <w:t xml:space="preserve"> stárnutí a stáří</w:t>
      </w:r>
      <w:r w:rsidR="00667337">
        <w:t>, nemocnosti ve starším věku</w:t>
      </w:r>
      <w:r w:rsidR="005D7033">
        <w:t>, demografického stárnutí lidských populací</w:t>
      </w:r>
      <w:r w:rsidR="006F26FF">
        <w:t xml:space="preserve"> a základní popis prostředí urgentního příjmu vč. </w:t>
      </w:r>
      <w:r w:rsidR="00905D8F">
        <w:t>geriatrické problematiky</w:t>
      </w:r>
      <w:r w:rsidR="00423BF5">
        <w:t>. Ve v</w:t>
      </w:r>
      <w:r w:rsidR="004A1D35">
        <w:t>ýzkumn</w:t>
      </w:r>
      <w:r w:rsidR="00423BF5">
        <w:t>é části</w:t>
      </w:r>
      <w:r w:rsidR="00D47E6C">
        <w:t xml:space="preserve"> probíhalo </w:t>
      </w:r>
      <w:r w:rsidR="000251D3">
        <w:t>mapování</w:t>
      </w:r>
      <w:r w:rsidR="002078FF">
        <w:t xml:space="preserve"> a ověř</w:t>
      </w:r>
      <w:r w:rsidR="00D47E6C">
        <w:t>ování</w:t>
      </w:r>
      <w:r w:rsidR="002078FF">
        <w:t xml:space="preserve"> teorie v</w:t>
      </w:r>
      <w:r w:rsidR="00765D15">
        <w:t xml:space="preserve"> prostředí </w:t>
      </w:r>
      <w:r w:rsidR="002C533F">
        <w:t xml:space="preserve">NUP FN Brno </w:t>
      </w:r>
      <w:r w:rsidR="005741EB">
        <w:t>s</w:t>
      </w:r>
      <w:r w:rsidR="00D47E6C">
        <w:t>krze stanovený výzkumný záměr</w:t>
      </w:r>
      <w:r w:rsidR="004950C7">
        <w:t xml:space="preserve"> a jednotlivé výzkumné cíle</w:t>
      </w:r>
      <w:r w:rsidR="004A1D35">
        <w:t>.</w:t>
      </w:r>
    </w:p>
    <w:p w14:paraId="5505C251" w14:textId="717E8BB5" w:rsidR="006E7364" w:rsidRDefault="00862E44" w:rsidP="000A19A6">
      <w:pPr>
        <w:pStyle w:val="Dalodstavce"/>
      </w:pPr>
      <w:r w:rsidRPr="00723F8A">
        <w:rPr>
          <w:lang w:eastAsia="sk-SK"/>
        </w:rPr>
        <w:t>Výsledky výzkumu ukazuj</w:t>
      </w:r>
      <w:r w:rsidR="00245187" w:rsidRPr="00723F8A">
        <w:rPr>
          <w:lang w:eastAsia="sk-SK"/>
        </w:rPr>
        <w:t>í</w:t>
      </w:r>
      <w:r w:rsidRPr="00723F8A">
        <w:rPr>
          <w:lang w:eastAsia="sk-SK"/>
        </w:rPr>
        <w:t xml:space="preserve">, že </w:t>
      </w:r>
      <w:r w:rsidR="000A19A6" w:rsidRPr="00723F8A">
        <w:rPr>
          <w:lang w:eastAsia="sk-SK"/>
        </w:rPr>
        <w:t xml:space="preserve">stárnutí české populace má významný dopad na </w:t>
      </w:r>
      <w:r w:rsidR="006252B8" w:rsidRPr="00723F8A">
        <w:rPr>
          <w:lang w:eastAsia="sk-SK"/>
        </w:rPr>
        <w:t>N</w:t>
      </w:r>
      <w:r w:rsidR="000A19A6" w:rsidRPr="00723F8A">
        <w:rPr>
          <w:lang w:eastAsia="sk-SK"/>
        </w:rPr>
        <w:t xml:space="preserve">ízkoprahový urgentní příjem FN Brno. </w:t>
      </w:r>
      <w:r w:rsidR="00DA7914" w:rsidRPr="00723F8A">
        <w:rPr>
          <w:lang w:eastAsia="sk-SK"/>
        </w:rPr>
        <w:t>Je možné</w:t>
      </w:r>
      <w:r w:rsidR="000A19A6" w:rsidRPr="00723F8A">
        <w:rPr>
          <w:lang w:eastAsia="sk-SK"/>
        </w:rPr>
        <w:t xml:space="preserve"> konstatovat, že demografické změny v české populaci kladou nové výzvy na urgentní medicínu </w:t>
      </w:r>
      <w:r w:rsidR="004F154E" w:rsidRPr="00723F8A">
        <w:rPr>
          <w:lang w:eastAsia="sk-SK"/>
        </w:rPr>
        <w:t xml:space="preserve">jako takovou </w:t>
      </w:r>
      <w:r w:rsidR="000A19A6" w:rsidRPr="00723F8A">
        <w:rPr>
          <w:lang w:eastAsia="sk-SK"/>
        </w:rPr>
        <w:t xml:space="preserve">a vyžadují </w:t>
      </w:r>
      <w:r w:rsidR="00B82C19" w:rsidRPr="00723F8A">
        <w:rPr>
          <w:lang w:eastAsia="sk-SK"/>
        </w:rPr>
        <w:t xml:space="preserve">tudíž </w:t>
      </w:r>
      <w:r w:rsidR="000A19A6" w:rsidRPr="00723F8A">
        <w:rPr>
          <w:lang w:eastAsia="sk-SK"/>
        </w:rPr>
        <w:t>systematická opatření ke zlepšení kvality a efektivity poskytované péče.</w:t>
      </w:r>
      <w:r w:rsidR="004F154E" w:rsidRPr="00723F8A">
        <w:rPr>
          <w:lang w:eastAsia="sk-SK"/>
        </w:rPr>
        <w:t xml:space="preserve"> T</w:t>
      </w:r>
      <w:r w:rsidRPr="00723F8A">
        <w:rPr>
          <w:lang w:eastAsia="sk-SK"/>
        </w:rPr>
        <w:t xml:space="preserve">rajektorie pacienta </w:t>
      </w:r>
      <w:r w:rsidR="004F154E" w:rsidRPr="00723F8A">
        <w:rPr>
          <w:lang w:eastAsia="sk-SK"/>
        </w:rPr>
        <w:t xml:space="preserve">ve věku 75 a více let </w:t>
      </w:r>
      <w:r w:rsidRPr="00723F8A">
        <w:rPr>
          <w:lang w:eastAsia="sk-SK"/>
        </w:rPr>
        <w:t xml:space="preserve">na </w:t>
      </w:r>
      <w:r w:rsidR="002C7671" w:rsidRPr="00723F8A">
        <w:rPr>
          <w:lang w:eastAsia="sk-SK"/>
        </w:rPr>
        <w:t xml:space="preserve">nízkoprahovém </w:t>
      </w:r>
      <w:r w:rsidRPr="00723F8A">
        <w:rPr>
          <w:lang w:eastAsia="sk-SK"/>
        </w:rPr>
        <w:t>urgentním příjmu je ovlivněna komplexní sítí faktorů. Klíčovými determinantami jsou spádovost, způsob dopravy</w:t>
      </w:r>
      <w:r w:rsidR="00AA1CA4" w:rsidRPr="00723F8A">
        <w:rPr>
          <w:lang w:eastAsia="sk-SK"/>
        </w:rPr>
        <w:t xml:space="preserve"> k ošetření</w:t>
      </w:r>
      <w:r w:rsidRPr="00723F8A">
        <w:rPr>
          <w:lang w:eastAsia="sk-SK"/>
        </w:rPr>
        <w:t>, věk pacienta, typ ošetřující ambulance, potřeba observačního lůžka a využití zobrazovacích metod. Rostoucí podíl starších pacientů a jejich vyšší potřeba observačních lůžek či hospitalizace by měly být zohledněny při plánování kapacit urgentních příjmů a nemocničních lůžek. Stejně tak je důležité zaměřit se na strategii využívání zobrazovacích metod, které hrají klíčovou roli v diagnostice, ale zároveň mohou prodlužovat pobyt pacienta na urgentním příjmu. Celkově vzato, identifikované vztahy poskytují cenné informace pro zlepšení organizace urgentní péče a mohou sloužit jako podklad pro strategická rozhodnutí v oblasti zdravotnického plánování</w:t>
      </w:r>
      <w:r w:rsidR="000F24DD" w:rsidRPr="00723F8A">
        <w:t>.</w:t>
      </w:r>
    </w:p>
    <w:p w14:paraId="375EA540" w14:textId="77777777" w:rsidR="006D7136" w:rsidRDefault="004C5852" w:rsidP="002078FF">
      <w:pPr>
        <w:pStyle w:val="Dalodstavce"/>
      </w:pPr>
      <w:r>
        <w:t xml:space="preserve">Současně výzkum </w:t>
      </w:r>
      <w:r w:rsidR="00415020">
        <w:t xml:space="preserve">poukazuje na </w:t>
      </w:r>
      <w:r w:rsidR="00610E2F">
        <w:t>potřebu digitalizace dat ve zdravotnických zařízeních</w:t>
      </w:r>
      <w:r w:rsidR="00E75155">
        <w:t xml:space="preserve"> (vč. lokální úrovně)</w:t>
      </w:r>
      <w:r w:rsidR="00415020">
        <w:t>,</w:t>
      </w:r>
      <w:r w:rsidR="00F04DD1">
        <w:t xml:space="preserve"> kde by měl </w:t>
      </w:r>
      <w:r w:rsidR="00EF07A4">
        <w:t xml:space="preserve">být </w:t>
      </w:r>
      <w:r w:rsidR="00F04DD1">
        <w:t xml:space="preserve">věk pacienta </w:t>
      </w:r>
      <w:r w:rsidR="00EF07A4">
        <w:t>brán v potaz jako jeden z relevantních faktorů</w:t>
      </w:r>
      <w:r w:rsidR="009D0974">
        <w:t>,</w:t>
      </w:r>
      <w:r w:rsidR="00E75155">
        <w:t xml:space="preserve"> mj. právě s ohledem na</w:t>
      </w:r>
      <w:r w:rsidR="00C76973">
        <w:t xml:space="preserve"> </w:t>
      </w:r>
      <w:r w:rsidR="00E75155">
        <w:t>stárnutí obyvatelstva</w:t>
      </w:r>
      <w:r w:rsidR="00E56E16">
        <w:t xml:space="preserve">. V diplomové práci </w:t>
      </w:r>
      <w:r w:rsidR="00030182">
        <w:t>byla</w:t>
      </w:r>
      <w:r w:rsidR="00E56E16">
        <w:t xml:space="preserve"> taktéž navržen</w:t>
      </w:r>
      <w:r w:rsidR="005004EB">
        <w:t>a doporučení pro klinickou praxi</w:t>
      </w:r>
      <w:r w:rsidR="00D26F6B">
        <w:t xml:space="preserve"> </w:t>
      </w:r>
      <w:r w:rsidR="0063673C">
        <w:t xml:space="preserve">jak </w:t>
      </w:r>
      <w:r w:rsidR="004061C2">
        <w:t xml:space="preserve">v prostředí </w:t>
      </w:r>
      <w:r w:rsidR="004B6334">
        <w:t xml:space="preserve">nízkoprahového </w:t>
      </w:r>
      <w:r w:rsidR="00D26F6B">
        <w:t>urgentní</w:t>
      </w:r>
      <w:r w:rsidR="004061C2">
        <w:t>ho</w:t>
      </w:r>
      <w:r w:rsidR="00D26F6B">
        <w:t xml:space="preserve"> příjmu</w:t>
      </w:r>
      <w:r w:rsidR="0063673C">
        <w:t>, tak i obecná dop</w:t>
      </w:r>
      <w:r w:rsidR="00723F8A">
        <w:t>o</w:t>
      </w:r>
      <w:r w:rsidR="0063673C">
        <w:t>ručení se širší možností implementa</w:t>
      </w:r>
      <w:r w:rsidR="00723F8A">
        <w:t>ce do praxe</w:t>
      </w:r>
      <w:r w:rsidR="004061C2">
        <w:t>.</w:t>
      </w:r>
      <w:r w:rsidR="003135BA">
        <w:t xml:space="preserve"> </w:t>
      </w:r>
      <w:r w:rsidR="001F35D2">
        <w:t xml:space="preserve">Účelem </w:t>
      </w:r>
      <w:r w:rsidR="00362FD9">
        <w:t xml:space="preserve">zvoleného </w:t>
      </w:r>
      <w:r w:rsidR="005D4393">
        <w:t xml:space="preserve">výzkumu formou deskriptivní studie bylo dále </w:t>
      </w:r>
      <w:r w:rsidR="00A77EF4">
        <w:t>vytvořit podklad pro</w:t>
      </w:r>
      <w:r w:rsidR="00367A3E">
        <w:t xml:space="preserve"> další</w:t>
      </w:r>
      <w:r w:rsidR="006D7136">
        <w:t xml:space="preserve"> výzkumn</w:t>
      </w:r>
      <w:r w:rsidR="00367A3E">
        <w:t>á</w:t>
      </w:r>
      <w:r w:rsidR="006D7136">
        <w:t xml:space="preserve"> šetření</w:t>
      </w:r>
      <w:r w:rsidR="00367A3E">
        <w:t>, která by mohla navázat na vlastní výstupy diplomové práce</w:t>
      </w:r>
      <w:r w:rsidR="00997823">
        <w:t>.</w:t>
      </w:r>
    </w:p>
    <w:p w14:paraId="2990FE15" w14:textId="2ED6B15C" w:rsidR="007006DB" w:rsidRDefault="00B70FBF" w:rsidP="002078FF">
      <w:pPr>
        <w:pStyle w:val="Dalodstavce"/>
      </w:pPr>
      <w:r w:rsidRPr="00B70FBF">
        <w:t>Kromě vlastních závěrů je na tomto místě vhodné zmínit také skutečnost, že stárnutí populace neovlivňuje pouze pacientskou složku. Demografické změny se již dnes projevují i v populaci zdravotníků. V kontextu této diplomové práce lze proto očekávat, že společně se stárnoucí populací navštěvující urgentní příjmy stárne i samotný zdravotnický personál, který zajišťuje jejich provoz.</w:t>
      </w:r>
      <w:r w:rsidR="00317D57">
        <w:fldChar w:fldCharType="begin"/>
      </w:r>
      <w:r w:rsidR="001300F0">
        <w:instrText xml:space="preserve"> ADDIN ZOTERO_ITEM CSL_CITATION {"citationID":"OHuKf2l4","properties":{"formattedCitation":"\\super 48(p56)\\nosupersub{}","plainCitation":"48(p56)","noteIndex":0},"citationItems":[{"id":224,"uris":["http://zotero.org/users/9426386/items/55WLYN54"],"itemData":{"id":224,"type":"article-journal","container-title":"Demografie","issue":"1","language":"cs","page":"49-64","source":"Zotero","title":"Kvalitativní faktory stárnutí populace","volume":"59","author":[{"family":"Šimková","given":"Martina"},{"family":"Langhamrová","given":"Jitka"}],"issued":{"date-parts":[["2017"]]}},"locator":"56","label":"page"}],"schema":"https://github.com/citation-style-language/schema/raw/master/csl-citation.json"} </w:instrText>
      </w:r>
      <w:r w:rsidR="00317D57">
        <w:fldChar w:fldCharType="separate"/>
      </w:r>
      <w:r w:rsidR="001300F0" w:rsidRPr="001300F0">
        <w:rPr>
          <w:vertAlign w:val="superscript"/>
        </w:rPr>
        <w:t>48(p56)</w:t>
      </w:r>
      <w:r w:rsidR="00317D57">
        <w:fldChar w:fldCharType="end"/>
      </w:r>
    </w:p>
    <w:p w14:paraId="6AAB6173" w14:textId="77777777" w:rsidR="00C33958" w:rsidRDefault="00C33958" w:rsidP="00C33958">
      <w:pPr>
        <w:pStyle w:val="Dalodstavce"/>
        <w:ind w:firstLine="0"/>
      </w:pPr>
    </w:p>
    <w:p w14:paraId="7CF62C6B" w14:textId="77777777" w:rsidR="00C33958" w:rsidRDefault="00C33958" w:rsidP="00C33958">
      <w:pPr>
        <w:pStyle w:val="Dalodstavce"/>
        <w:ind w:firstLine="0"/>
      </w:pPr>
    </w:p>
    <w:p w14:paraId="459EEF75" w14:textId="67C49219" w:rsidR="007006DB" w:rsidRPr="006D7136" w:rsidRDefault="007006DB" w:rsidP="00C33958">
      <w:pPr>
        <w:pStyle w:val="Dalodstavce"/>
        <w:ind w:firstLine="0"/>
        <w:sectPr w:rsidR="007006DB" w:rsidRPr="006D7136" w:rsidSect="001C5D57">
          <w:pgSz w:w="11906" w:h="16838" w:code="9"/>
          <w:pgMar w:top="1980" w:right="1140" w:bottom="2380" w:left="1140" w:header="1140" w:footer="1420" w:gutter="860"/>
          <w:cols w:space="708"/>
          <w:docGrid w:linePitch="360"/>
        </w:sectPr>
      </w:pPr>
    </w:p>
    <w:p w14:paraId="48F20262" w14:textId="1D200529" w:rsidR="00BF14D0" w:rsidRPr="00F42799" w:rsidRDefault="00D80A2A" w:rsidP="00D043CE">
      <w:pPr>
        <w:pStyle w:val="Nadpis10"/>
      </w:pPr>
      <w:bookmarkStart w:id="67" w:name="_Toc257117031"/>
      <w:bookmarkStart w:id="68" w:name="_Toc381564283"/>
      <w:bookmarkStart w:id="69" w:name="_Toc195517122"/>
      <w:r w:rsidRPr="00746487">
        <w:lastRenderedPageBreak/>
        <w:t>Použité zdroje</w:t>
      </w:r>
      <w:bookmarkEnd w:id="67"/>
      <w:bookmarkEnd w:id="68"/>
      <w:bookmarkEnd w:id="69"/>
    </w:p>
    <w:sdt>
      <w:sdtPr>
        <w:id w:val="111145805"/>
        <w:placeholder>
          <w:docPart w:val="56C83B58E6E04ADBA23547DDFA553D85"/>
        </w:placeholder>
        <w:bibliography/>
      </w:sdtPr>
      <w:sdtContent>
        <w:p w14:paraId="661232D3" w14:textId="77777777" w:rsidR="009C123F" w:rsidRPr="009C123F" w:rsidRDefault="00BF14D0" w:rsidP="009C123F">
          <w:pPr>
            <w:pStyle w:val="Bibliografie"/>
          </w:pPr>
          <w:r>
            <w:fldChar w:fldCharType="begin"/>
          </w:r>
          <w:r w:rsidR="009C123F">
            <w:instrText xml:space="preserve"> ADDIN ZOTERO_BIBL {"uncited":[],"omitted":[],"custom":[]} CSL_BIBLIOGRAPHY </w:instrText>
          </w:r>
          <w:r>
            <w:fldChar w:fldCharType="separate"/>
          </w:r>
          <w:r w:rsidR="009C123F" w:rsidRPr="009C123F">
            <w:t>1.</w:t>
          </w:r>
          <w:r w:rsidR="009C123F" w:rsidRPr="009C123F">
            <w:tab/>
          </w:r>
          <w:proofErr w:type="spellStart"/>
          <w:r w:rsidR="009C123F" w:rsidRPr="009C123F">
            <w:t>Kalvach</w:t>
          </w:r>
          <w:proofErr w:type="spellEnd"/>
          <w:r w:rsidR="009C123F" w:rsidRPr="009C123F">
            <w:t xml:space="preserve"> Z, Zadák Z, Jirák R, Zavázalová H, Sucharda P. </w:t>
          </w:r>
          <w:r w:rsidR="009C123F" w:rsidRPr="009C123F">
            <w:rPr>
              <w:i/>
              <w:iCs/>
            </w:rPr>
            <w:t>Geriatrie a gerontologie</w:t>
          </w:r>
          <w:r w:rsidR="009C123F" w:rsidRPr="009C123F">
            <w:t>. Grada; 2004.</w:t>
          </w:r>
        </w:p>
        <w:p w14:paraId="6334C7A7" w14:textId="77777777" w:rsidR="009C123F" w:rsidRPr="009C123F" w:rsidRDefault="009C123F" w:rsidP="009C123F">
          <w:pPr>
            <w:pStyle w:val="Bibliografie"/>
          </w:pPr>
          <w:r w:rsidRPr="009C123F">
            <w:t>2.</w:t>
          </w:r>
          <w:r w:rsidRPr="009C123F">
            <w:tab/>
          </w:r>
          <w:proofErr w:type="spellStart"/>
          <w:r w:rsidRPr="009C123F">
            <w:t>Dimitrová</w:t>
          </w:r>
          <w:proofErr w:type="spellEnd"/>
          <w:r w:rsidRPr="009C123F">
            <w:t xml:space="preserve"> M. Demografické souvislosti stárnutí. </w:t>
          </w:r>
          <w:r w:rsidRPr="009C123F">
            <w:rPr>
              <w:i/>
              <w:iCs/>
            </w:rPr>
            <w:t>NAŠE Spol</w:t>
          </w:r>
          <w:r w:rsidRPr="009C123F">
            <w:t>. 2007;5(1):24-30.</w:t>
          </w:r>
        </w:p>
        <w:p w14:paraId="7ADC4D4C" w14:textId="77777777" w:rsidR="009C123F" w:rsidRPr="009C123F" w:rsidRDefault="009C123F" w:rsidP="009C123F">
          <w:pPr>
            <w:pStyle w:val="Bibliografie"/>
          </w:pPr>
          <w:r w:rsidRPr="009C123F">
            <w:t>3.</w:t>
          </w:r>
          <w:r w:rsidRPr="009C123F">
            <w:tab/>
            <w:t xml:space="preserve">UN </w:t>
          </w:r>
          <w:proofErr w:type="spellStart"/>
          <w:r w:rsidRPr="009C123F">
            <w:t>Decade</w:t>
          </w:r>
          <w:proofErr w:type="spellEnd"/>
          <w:r w:rsidRPr="009C123F">
            <w:t xml:space="preserve"> </w:t>
          </w:r>
          <w:proofErr w:type="spellStart"/>
          <w:r w:rsidRPr="009C123F">
            <w:t>of</w:t>
          </w:r>
          <w:proofErr w:type="spellEnd"/>
          <w:r w:rsidRPr="009C123F">
            <w:t xml:space="preserve"> </w:t>
          </w:r>
          <w:proofErr w:type="spellStart"/>
          <w:r w:rsidRPr="009C123F">
            <w:t>Healthy</w:t>
          </w:r>
          <w:proofErr w:type="spellEnd"/>
          <w:r w:rsidRPr="009C123F">
            <w:t xml:space="preserve"> </w:t>
          </w:r>
          <w:proofErr w:type="spellStart"/>
          <w:r w:rsidRPr="009C123F">
            <w:t>Ageing</w:t>
          </w:r>
          <w:proofErr w:type="spellEnd"/>
          <w:r w:rsidRPr="009C123F">
            <w:t xml:space="preserve">: </w:t>
          </w:r>
          <w:proofErr w:type="spellStart"/>
          <w:r w:rsidRPr="009C123F">
            <w:t>Plan</w:t>
          </w:r>
          <w:proofErr w:type="spellEnd"/>
          <w:r w:rsidRPr="009C123F">
            <w:t xml:space="preserve"> </w:t>
          </w:r>
          <w:proofErr w:type="spellStart"/>
          <w:r w:rsidRPr="009C123F">
            <w:t>of</w:t>
          </w:r>
          <w:proofErr w:type="spellEnd"/>
          <w:r w:rsidRPr="009C123F">
            <w:t xml:space="preserve"> </w:t>
          </w:r>
          <w:proofErr w:type="spellStart"/>
          <w:r w:rsidRPr="009C123F">
            <w:t>Action</w:t>
          </w:r>
          <w:proofErr w:type="spellEnd"/>
          <w:r w:rsidRPr="009C123F">
            <w:t xml:space="preserve"> 2021-2030. </w:t>
          </w:r>
          <w:proofErr w:type="spellStart"/>
          <w:r w:rsidRPr="009C123F">
            <w:t>Published</w:t>
          </w:r>
          <w:proofErr w:type="spellEnd"/>
          <w:r w:rsidRPr="009C123F">
            <w:t xml:space="preserve"> online </w:t>
          </w:r>
          <w:proofErr w:type="spellStart"/>
          <w:r w:rsidRPr="009C123F">
            <w:t>December</w:t>
          </w:r>
          <w:proofErr w:type="spellEnd"/>
          <w:r w:rsidRPr="009C123F">
            <w:t xml:space="preserve"> 14, 2020. https://www.who.int/initiatives/decade-of-healthy-ageing</w:t>
          </w:r>
        </w:p>
        <w:p w14:paraId="708E5192" w14:textId="77777777" w:rsidR="009C123F" w:rsidRPr="009C123F" w:rsidRDefault="009C123F" w:rsidP="009C123F">
          <w:pPr>
            <w:pStyle w:val="Bibliografie"/>
          </w:pPr>
          <w:r w:rsidRPr="009C123F">
            <w:t>4.</w:t>
          </w:r>
          <w:r w:rsidRPr="009C123F">
            <w:tab/>
            <w:t xml:space="preserve">Macháčová K, Holmerová I. </w:t>
          </w:r>
          <w:r w:rsidRPr="009C123F">
            <w:rPr>
              <w:i/>
              <w:iCs/>
            </w:rPr>
            <w:t>Aktivní gerontologie aneb Jak stárnout dobře</w:t>
          </w:r>
          <w:r w:rsidRPr="009C123F">
            <w:t>. Mladá fronta; 2019.</w:t>
          </w:r>
        </w:p>
        <w:p w14:paraId="1EDC3CB6" w14:textId="77777777" w:rsidR="009C123F" w:rsidRPr="009C123F" w:rsidRDefault="009C123F" w:rsidP="009C123F">
          <w:pPr>
            <w:pStyle w:val="Bibliografie"/>
          </w:pPr>
          <w:r w:rsidRPr="009C123F">
            <w:t>5.</w:t>
          </w:r>
          <w:r w:rsidRPr="009C123F">
            <w:tab/>
          </w:r>
          <w:proofErr w:type="spellStart"/>
          <w:r w:rsidRPr="009C123F">
            <w:t>Woodford</w:t>
          </w:r>
          <w:proofErr w:type="spellEnd"/>
          <w:r w:rsidRPr="009C123F">
            <w:t xml:space="preserve"> H, George J. </w:t>
          </w:r>
          <w:proofErr w:type="spellStart"/>
          <w:r w:rsidRPr="009C123F">
            <w:rPr>
              <w:i/>
              <w:iCs/>
            </w:rPr>
            <w:t>Acute</w:t>
          </w:r>
          <w:proofErr w:type="spellEnd"/>
          <w:r w:rsidRPr="009C123F">
            <w:rPr>
              <w:i/>
              <w:iCs/>
            </w:rPr>
            <w:t xml:space="preserve"> </w:t>
          </w:r>
          <w:proofErr w:type="spellStart"/>
          <w:r w:rsidRPr="009C123F">
            <w:rPr>
              <w:i/>
              <w:iCs/>
            </w:rPr>
            <w:t>Medicine</w:t>
          </w:r>
          <w:proofErr w:type="spellEnd"/>
          <w:r w:rsidRPr="009C123F">
            <w:rPr>
              <w:i/>
              <w:iCs/>
            </w:rPr>
            <w:t xml:space="preserve"> in </w:t>
          </w:r>
          <w:proofErr w:type="spellStart"/>
          <w:r w:rsidRPr="009C123F">
            <w:rPr>
              <w:i/>
              <w:iCs/>
            </w:rPr>
            <w:t>the</w:t>
          </w:r>
          <w:proofErr w:type="spellEnd"/>
          <w:r w:rsidRPr="009C123F">
            <w:rPr>
              <w:i/>
              <w:iCs/>
            </w:rPr>
            <w:t xml:space="preserve"> </w:t>
          </w:r>
          <w:proofErr w:type="spellStart"/>
          <w:r w:rsidRPr="009C123F">
            <w:rPr>
              <w:i/>
              <w:iCs/>
            </w:rPr>
            <w:t>Frail</w:t>
          </w:r>
          <w:proofErr w:type="spellEnd"/>
          <w:r w:rsidRPr="009C123F">
            <w:rPr>
              <w:i/>
              <w:iCs/>
            </w:rPr>
            <w:t xml:space="preserve"> </w:t>
          </w:r>
          <w:proofErr w:type="spellStart"/>
          <w:r w:rsidRPr="009C123F">
            <w:rPr>
              <w:i/>
              <w:iCs/>
            </w:rPr>
            <w:t>Elderly</w:t>
          </w:r>
          <w:proofErr w:type="spellEnd"/>
          <w:r w:rsidRPr="009C123F">
            <w:t xml:space="preserve">. CRC </w:t>
          </w:r>
          <w:proofErr w:type="spellStart"/>
          <w:r w:rsidRPr="009C123F">
            <w:t>Press</w:t>
          </w:r>
          <w:proofErr w:type="spellEnd"/>
          <w:r w:rsidRPr="009C123F">
            <w:t>; 2013. https://doi.org/10.1201/9781909368330</w:t>
          </w:r>
        </w:p>
        <w:p w14:paraId="0211D089" w14:textId="77777777" w:rsidR="009C123F" w:rsidRPr="009C123F" w:rsidRDefault="009C123F" w:rsidP="009C123F">
          <w:pPr>
            <w:pStyle w:val="Bibliografie"/>
          </w:pPr>
          <w:r w:rsidRPr="009C123F">
            <w:t>6.</w:t>
          </w:r>
          <w:r w:rsidRPr="009C123F">
            <w:tab/>
          </w:r>
          <w:proofErr w:type="spellStart"/>
          <w:r w:rsidRPr="009C123F">
            <w:t>Ellis</w:t>
          </w:r>
          <w:proofErr w:type="spellEnd"/>
          <w:r w:rsidRPr="009C123F">
            <w:t xml:space="preserve"> B, </w:t>
          </w:r>
          <w:proofErr w:type="spellStart"/>
          <w:r w:rsidRPr="009C123F">
            <w:t>Lowthian</w:t>
          </w:r>
          <w:proofErr w:type="spellEnd"/>
          <w:r w:rsidRPr="009C123F">
            <w:t xml:space="preserve"> J, </w:t>
          </w:r>
          <w:proofErr w:type="spellStart"/>
          <w:r w:rsidRPr="009C123F">
            <w:t>Melady</w:t>
          </w:r>
          <w:proofErr w:type="spellEnd"/>
          <w:r w:rsidRPr="009C123F">
            <w:t xml:space="preserve"> D. </w:t>
          </w:r>
          <w:proofErr w:type="spellStart"/>
          <w:r w:rsidRPr="009C123F">
            <w:rPr>
              <w:i/>
              <w:iCs/>
            </w:rPr>
            <w:t>White</w:t>
          </w:r>
          <w:proofErr w:type="spellEnd"/>
          <w:r w:rsidRPr="009C123F">
            <w:rPr>
              <w:i/>
              <w:iCs/>
            </w:rPr>
            <w:t xml:space="preserve"> </w:t>
          </w:r>
          <w:proofErr w:type="spellStart"/>
          <w:r w:rsidRPr="009C123F">
            <w:rPr>
              <w:i/>
              <w:iCs/>
            </w:rPr>
            <w:t>Paper</w:t>
          </w:r>
          <w:proofErr w:type="spellEnd"/>
          <w:r w:rsidRPr="009C123F">
            <w:rPr>
              <w:i/>
              <w:iCs/>
            </w:rPr>
            <w:t xml:space="preserve"> on </w:t>
          </w:r>
          <w:proofErr w:type="spellStart"/>
          <w:r w:rsidRPr="009C123F">
            <w:rPr>
              <w:i/>
              <w:iCs/>
            </w:rPr>
            <w:t>the</w:t>
          </w:r>
          <w:proofErr w:type="spellEnd"/>
          <w:r w:rsidRPr="009C123F">
            <w:rPr>
              <w:i/>
              <w:iCs/>
            </w:rPr>
            <w:t xml:space="preserve"> Care </w:t>
          </w:r>
          <w:proofErr w:type="spellStart"/>
          <w:r w:rsidRPr="009C123F">
            <w:rPr>
              <w:i/>
              <w:iCs/>
            </w:rPr>
            <w:t>of</w:t>
          </w:r>
          <w:proofErr w:type="spellEnd"/>
          <w:r w:rsidRPr="009C123F">
            <w:rPr>
              <w:i/>
              <w:iCs/>
            </w:rPr>
            <w:t xml:space="preserve"> </w:t>
          </w:r>
          <w:proofErr w:type="spellStart"/>
          <w:r w:rsidRPr="009C123F">
            <w:rPr>
              <w:i/>
              <w:iCs/>
            </w:rPr>
            <w:t>Older</w:t>
          </w:r>
          <w:proofErr w:type="spellEnd"/>
          <w:r w:rsidRPr="009C123F">
            <w:rPr>
              <w:i/>
              <w:iCs/>
            </w:rPr>
            <w:t xml:space="preserve"> </w:t>
          </w:r>
          <w:proofErr w:type="spellStart"/>
          <w:r w:rsidRPr="009C123F">
            <w:rPr>
              <w:i/>
              <w:iCs/>
            </w:rPr>
            <w:t>People</w:t>
          </w:r>
          <w:proofErr w:type="spellEnd"/>
          <w:r w:rsidRPr="009C123F">
            <w:rPr>
              <w:i/>
              <w:iCs/>
            </w:rPr>
            <w:t xml:space="preserve"> </w:t>
          </w:r>
          <w:proofErr w:type="spellStart"/>
          <w:r w:rsidRPr="009C123F">
            <w:rPr>
              <w:i/>
              <w:iCs/>
            </w:rPr>
            <w:t>with</w:t>
          </w:r>
          <w:proofErr w:type="spellEnd"/>
          <w:r w:rsidRPr="009C123F">
            <w:rPr>
              <w:i/>
              <w:iCs/>
            </w:rPr>
            <w:t xml:space="preserve"> </w:t>
          </w:r>
          <w:proofErr w:type="spellStart"/>
          <w:r w:rsidRPr="009C123F">
            <w:rPr>
              <w:i/>
              <w:iCs/>
            </w:rPr>
            <w:t>Acute</w:t>
          </w:r>
          <w:proofErr w:type="spellEnd"/>
          <w:r w:rsidRPr="009C123F">
            <w:rPr>
              <w:i/>
              <w:iCs/>
            </w:rPr>
            <w:t xml:space="preserve"> </w:t>
          </w:r>
          <w:proofErr w:type="spellStart"/>
          <w:r w:rsidRPr="009C123F">
            <w:rPr>
              <w:i/>
              <w:iCs/>
            </w:rPr>
            <w:t>Illness</w:t>
          </w:r>
          <w:proofErr w:type="spellEnd"/>
          <w:r w:rsidRPr="009C123F">
            <w:rPr>
              <w:i/>
              <w:iCs/>
            </w:rPr>
            <w:t xml:space="preserve"> and </w:t>
          </w:r>
          <w:proofErr w:type="spellStart"/>
          <w:r w:rsidRPr="009C123F">
            <w:rPr>
              <w:i/>
              <w:iCs/>
            </w:rPr>
            <w:t>Injury</w:t>
          </w:r>
          <w:proofErr w:type="spellEnd"/>
          <w:r w:rsidRPr="009C123F">
            <w:rPr>
              <w:i/>
              <w:iCs/>
            </w:rPr>
            <w:t xml:space="preserve"> in </w:t>
          </w:r>
          <w:proofErr w:type="spellStart"/>
          <w:r w:rsidRPr="009C123F">
            <w:rPr>
              <w:i/>
              <w:iCs/>
            </w:rPr>
            <w:t>the</w:t>
          </w:r>
          <w:proofErr w:type="spellEnd"/>
          <w:r w:rsidRPr="009C123F">
            <w:rPr>
              <w:i/>
              <w:iCs/>
            </w:rPr>
            <w:t xml:space="preserve"> </w:t>
          </w:r>
          <w:proofErr w:type="spellStart"/>
          <w:r w:rsidRPr="009C123F">
            <w:rPr>
              <w:i/>
              <w:iCs/>
            </w:rPr>
            <w:t>Emergency</w:t>
          </w:r>
          <w:proofErr w:type="spellEnd"/>
          <w:r w:rsidRPr="009C123F">
            <w:rPr>
              <w:i/>
              <w:iCs/>
            </w:rPr>
            <w:t xml:space="preserve"> Department</w:t>
          </w:r>
          <w:r w:rsidRPr="009C123F">
            <w:t xml:space="preserve">. IFEM – </w:t>
          </w:r>
          <w:proofErr w:type="spellStart"/>
          <w:r w:rsidRPr="009C123F">
            <w:t>Geriatric</w:t>
          </w:r>
          <w:proofErr w:type="spellEnd"/>
          <w:r w:rsidRPr="009C123F">
            <w:t xml:space="preserve"> </w:t>
          </w:r>
          <w:proofErr w:type="spellStart"/>
          <w:r w:rsidRPr="009C123F">
            <w:t>Emergency</w:t>
          </w:r>
          <w:proofErr w:type="spellEnd"/>
          <w:r w:rsidRPr="009C123F">
            <w:t xml:space="preserve"> </w:t>
          </w:r>
          <w:proofErr w:type="spellStart"/>
          <w:r w:rsidRPr="009C123F">
            <w:t>Medicine</w:t>
          </w:r>
          <w:proofErr w:type="spellEnd"/>
          <w:r w:rsidRPr="009C123F">
            <w:t xml:space="preserve"> </w:t>
          </w:r>
          <w:proofErr w:type="spellStart"/>
          <w:r w:rsidRPr="009C123F">
            <w:t>Special</w:t>
          </w:r>
          <w:proofErr w:type="spellEnd"/>
          <w:r w:rsidRPr="009C123F">
            <w:t xml:space="preserve"> </w:t>
          </w:r>
          <w:proofErr w:type="spellStart"/>
          <w:r w:rsidRPr="009C123F">
            <w:t>Interest</w:t>
          </w:r>
          <w:proofErr w:type="spellEnd"/>
          <w:r w:rsidRPr="009C123F">
            <w:t xml:space="preserve"> Group; 2020. https://assets.nationbuilder.com/ifem/pages/284/attachments/original/1650665462/IFEM-White-Paper-on-the-Care-of-Older-People-with-Acute-Illness-and-Injury-in-the-Emergency-Department-December-2020.pdf?1650665462</w:t>
          </w:r>
        </w:p>
        <w:p w14:paraId="0079D703" w14:textId="77777777" w:rsidR="009C123F" w:rsidRPr="009C123F" w:rsidRDefault="009C123F" w:rsidP="009C123F">
          <w:pPr>
            <w:pStyle w:val="Bibliografie"/>
          </w:pPr>
          <w:r w:rsidRPr="009C123F">
            <w:t>7.</w:t>
          </w:r>
          <w:r w:rsidRPr="009C123F">
            <w:tab/>
            <w:t xml:space="preserve">Ptáček R, Ptáčková H. </w:t>
          </w:r>
          <w:r w:rsidRPr="009C123F">
            <w:rPr>
              <w:i/>
              <w:iCs/>
            </w:rPr>
            <w:t>Psychosociální adaptace ve stáří a nemoci</w:t>
          </w:r>
          <w:r w:rsidRPr="009C123F">
            <w:t>. Grada; 2021.</w:t>
          </w:r>
        </w:p>
        <w:p w14:paraId="5D3A4D41" w14:textId="77777777" w:rsidR="009C123F" w:rsidRPr="009C123F" w:rsidRDefault="009C123F" w:rsidP="009C123F">
          <w:pPr>
            <w:pStyle w:val="Bibliografie"/>
          </w:pPr>
          <w:r w:rsidRPr="009C123F">
            <w:t>8.</w:t>
          </w:r>
          <w:r w:rsidRPr="009C123F">
            <w:tab/>
            <w:t xml:space="preserve">Štěpánková H, </w:t>
          </w:r>
          <w:proofErr w:type="spellStart"/>
          <w:r w:rsidRPr="009C123F">
            <w:t>Höschl</w:t>
          </w:r>
          <w:proofErr w:type="spellEnd"/>
          <w:r w:rsidRPr="009C123F">
            <w:t xml:space="preserve"> C, </w:t>
          </w:r>
          <w:proofErr w:type="spellStart"/>
          <w:r w:rsidRPr="009C123F">
            <w:t>Vidovićová</w:t>
          </w:r>
          <w:proofErr w:type="spellEnd"/>
          <w:r w:rsidRPr="009C123F">
            <w:t xml:space="preserve"> L. </w:t>
          </w:r>
          <w:r w:rsidRPr="009C123F">
            <w:rPr>
              <w:i/>
              <w:iCs/>
            </w:rPr>
            <w:t>Gerontologie: Současné otázky z pohledu biomedicíny a společenských věd</w:t>
          </w:r>
          <w:r w:rsidRPr="009C123F">
            <w:t xml:space="preserve">. (Jindrová J, </w:t>
          </w:r>
          <w:proofErr w:type="spellStart"/>
          <w:r w:rsidRPr="009C123F">
            <w:t>ed</w:t>
          </w:r>
          <w:proofErr w:type="spellEnd"/>
          <w:r w:rsidRPr="009C123F">
            <w:t>.). Karolinum; 2014.</w:t>
          </w:r>
        </w:p>
        <w:p w14:paraId="20B2AC2C" w14:textId="77777777" w:rsidR="009C123F" w:rsidRPr="009C123F" w:rsidRDefault="009C123F" w:rsidP="009C123F">
          <w:pPr>
            <w:pStyle w:val="Bibliografie"/>
          </w:pPr>
          <w:r w:rsidRPr="009C123F">
            <w:t>9.</w:t>
          </w:r>
          <w:r w:rsidRPr="009C123F">
            <w:tab/>
            <w:t xml:space="preserve">Strategický rámec přípravy na stárnutí společnosti 2021–2025. </w:t>
          </w:r>
          <w:proofErr w:type="spellStart"/>
          <w:r w:rsidRPr="009C123F">
            <w:t>Published</w:t>
          </w:r>
          <w:proofErr w:type="spellEnd"/>
          <w:r w:rsidRPr="009C123F">
            <w:t xml:space="preserve"> online </w:t>
          </w:r>
          <w:proofErr w:type="spellStart"/>
          <w:r w:rsidRPr="009C123F">
            <w:t>February</w:t>
          </w:r>
          <w:proofErr w:type="spellEnd"/>
          <w:r w:rsidRPr="009C123F">
            <w:t xml:space="preserve"> 2, 2022. https://www.mpsv.cz/strategicky-ramec-pripravy-na-starnuti-spolecnosti-2021-2025</w:t>
          </w:r>
        </w:p>
        <w:p w14:paraId="0183DA7F" w14:textId="77777777" w:rsidR="009C123F" w:rsidRPr="009C123F" w:rsidRDefault="009C123F" w:rsidP="009C123F">
          <w:pPr>
            <w:pStyle w:val="Bibliografie"/>
          </w:pPr>
          <w:r w:rsidRPr="009C123F">
            <w:t>10.</w:t>
          </w:r>
          <w:r w:rsidRPr="009C123F">
            <w:tab/>
            <w:t xml:space="preserve">Senioři v ČR v datech – 2023. </w:t>
          </w:r>
          <w:proofErr w:type="spellStart"/>
          <w:r w:rsidRPr="009C123F">
            <w:t>Published</w:t>
          </w:r>
          <w:proofErr w:type="spellEnd"/>
          <w:r w:rsidRPr="009C123F">
            <w:t xml:space="preserve"> online 2023. https://www.czso.cz/csu/czso/seniori-v-cr-v-datech-ajnoatmxkq</w:t>
          </w:r>
        </w:p>
        <w:p w14:paraId="3A61EAB1" w14:textId="77777777" w:rsidR="009C123F" w:rsidRPr="009C123F" w:rsidRDefault="009C123F" w:rsidP="009C123F">
          <w:pPr>
            <w:pStyle w:val="Bibliografie"/>
          </w:pPr>
          <w:r w:rsidRPr="009C123F">
            <w:t>11.</w:t>
          </w:r>
          <w:r w:rsidRPr="009C123F">
            <w:tab/>
          </w:r>
          <w:proofErr w:type="spellStart"/>
          <w:r w:rsidRPr="009C123F">
            <w:t>Čábela</w:t>
          </w:r>
          <w:proofErr w:type="spellEnd"/>
          <w:r w:rsidRPr="009C123F">
            <w:t xml:space="preserve"> F, Šídlo L. Demografické stárnutí v Česku mezi lety 2012–2022 prostřednictvím vybraných retrospektivních a prospektivních ukazatelů. </w:t>
          </w:r>
          <w:r w:rsidRPr="009C123F">
            <w:rPr>
              <w:i/>
              <w:iCs/>
            </w:rPr>
            <w:t>Demografie</w:t>
          </w:r>
          <w:r w:rsidRPr="009C123F">
            <w:t>. 2024;66(2):154-165. doi:10.54694/dem.0341</w:t>
          </w:r>
        </w:p>
        <w:p w14:paraId="597556C0" w14:textId="77777777" w:rsidR="009C123F" w:rsidRPr="009C123F" w:rsidRDefault="009C123F" w:rsidP="009C123F">
          <w:pPr>
            <w:pStyle w:val="Bibliografie"/>
          </w:pPr>
          <w:r w:rsidRPr="009C123F">
            <w:t>12.</w:t>
          </w:r>
          <w:r w:rsidRPr="009C123F">
            <w:tab/>
          </w:r>
          <w:proofErr w:type="spellStart"/>
          <w:r w:rsidRPr="009C123F">
            <w:t>Šeblová</w:t>
          </w:r>
          <w:proofErr w:type="spellEnd"/>
          <w:r w:rsidRPr="009C123F">
            <w:t xml:space="preserve"> J, </w:t>
          </w:r>
          <w:proofErr w:type="spellStart"/>
          <w:r w:rsidRPr="009C123F">
            <w:t>Knor</w:t>
          </w:r>
          <w:proofErr w:type="spellEnd"/>
          <w:r w:rsidRPr="009C123F">
            <w:t xml:space="preserve"> J. </w:t>
          </w:r>
          <w:r w:rsidRPr="009C123F">
            <w:rPr>
              <w:i/>
              <w:iCs/>
            </w:rPr>
            <w:t>Urgentní medicína v klinické praxi lékaře</w:t>
          </w:r>
          <w:r w:rsidRPr="009C123F">
            <w:t xml:space="preserve">. 2nd </w:t>
          </w:r>
          <w:proofErr w:type="spellStart"/>
          <w:r w:rsidRPr="009C123F">
            <w:t>suppl</w:t>
          </w:r>
          <w:proofErr w:type="spellEnd"/>
          <w:r w:rsidRPr="009C123F">
            <w:t xml:space="preserve">. and </w:t>
          </w:r>
          <w:proofErr w:type="spellStart"/>
          <w:r w:rsidRPr="009C123F">
            <w:t>updated</w:t>
          </w:r>
          <w:proofErr w:type="spellEnd"/>
          <w:r w:rsidRPr="009C123F">
            <w:t xml:space="preserve"> </w:t>
          </w:r>
          <w:proofErr w:type="spellStart"/>
          <w:r w:rsidRPr="009C123F">
            <w:t>ed</w:t>
          </w:r>
          <w:proofErr w:type="spellEnd"/>
          <w:r w:rsidRPr="009C123F">
            <w:t xml:space="preserve">. Grada </w:t>
          </w:r>
          <w:proofErr w:type="spellStart"/>
          <w:r w:rsidRPr="009C123F">
            <w:t>Publishing</w:t>
          </w:r>
          <w:proofErr w:type="spellEnd"/>
          <w:r w:rsidRPr="009C123F">
            <w:t>; 2018.</w:t>
          </w:r>
        </w:p>
        <w:p w14:paraId="058DEFE0" w14:textId="77777777" w:rsidR="009C123F" w:rsidRPr="009C123F" w:rsidRDefault="009C123F" w:rsidP="009C123F">
          <w:pPr>
            <w:pStyle w:val="Bibliografie"/>
          </w:pPr>
          <w:r w:rsidRPr="009C123F">
            <w:t>13.</w:t>
          </w:r>
          <w:r w:rsidRPr="009C123F">
            <w:tab/>
          </w:r>
          <w:r w:rsidRPr="009C123F">
            <w:rPr>
              <w:i/>
              <w:iCs/>
            </w:rPr>
            <w:t>Průvodce vyšším věkem: manuál pro seniory a jejich pečovatele</w:t>
          </w:r>
          <w:r w:rsidRPr="009C123F">
            <w:t>. Mladá fronta; 2014.</w:t>
          </w:r>
        </w:p>
        <w:p w14:paraId="31381BF9" w14:textId="77777777" w:rsidR="009C123F" w:rsidRPr="009C123F" w:rsidRDefault="009C123F" w:rsidP="009C123F">
          <w:pPr>
            <w:pStyle w:val="Bibliografie"/>
          </w:pPr>
          <w:r w:rsidRPr="009C123F">
            <w:lastRenderedPageBreak/>
            <w:t>14.</w:t>
          </w:r>
          <w:r w:rsidRPr="009C123F">
            <w:tab/>
            <w:t xml:space="preserve">Národní akční plán pro Alzheimerovu nemoc a obdobná onemocnění 2020–2030. </w:t>
          </w:r>
          <w:proofErr w:type="spellStart"/>
          <w:r w:rsidRPr="009C123F">
            <w:t>Published</w:t>
          </w:r>
          <w:proofErr w:type="spellEnd"/>
          <w:r w:rsidRPr="009C123F">
            <w:t xml:space="preserve"> online 2021. https://mzd.gov.cz/wp-content/uploads/2021/04/NAPAN-2020-2030.pdf</w:t>
          </w:r>
        </w:p>
        <w:p w14:paraId="5095F0C1" w14:textId="77777777" w:rsidR="009C123F" w:rsidRPr="009C123F" w:rsidRDefault="009C123F" w:rsidP="009C123F">
          <w:pPr>
            <w:pStyle w:val="Bibliografie"/>
          </w:pPr>
          <w:r w:rsidRPr="009C123F">
            <w:t>15.</w:t>
          </w:r>
          <w:r w:rsidRPr="009C123F">
            <w:tab/>
          </w:r>
          <w:proofErr w:type="spellStart"/>
          <w:r w:rsidRPr="009C123F">
            <w:t>Kalvach</w:t>
          </w:r>
          <w:proofErr w:type="spellEnd"/>
          <w:r w:rsidRPr="009C123F">
            <w:t xml:space="preserve"> Z, Zadák Z, Jirák R, Zavázalová H, Holmerová I, Weber P. </w:t>
          </w:r>
          <w:r w:rsidRPr="009C123F">
            <w:rPr>
              <w:i/>
              <w:iCs/>
            </w:rPr>
            <w:t>Geriatrické syndromy a geriatrický pacient</w:t>
          </w:r>
          <w:r w:rsidRPr="009C123F">
            <w:t>.; 2008.</w:t>
          </w:r>
        </w:p>
        <w:p w14:paraId="2341F907" w14:textId="77777777" w:rsidR="009C123F" w:rsidRPr="009C123F" w:rsidRDefault="009C123F" w:rsidP="009C123F">
          <w:pPr>
            <w:pStyle w:val="Bibliografie"/>
          </w:pPr>
          <w:r w:rsidRPr="009C123F">
            <w:t>16.</w:t>
          </w:r>
          <w:r w:rsidRPr="009C123F">
            <w:tab/>
            <w:t xml:space="preserve">Matějovská Kubešová H. </w:t>
          </w:r>
          <w:r w:rsidRPr="009C123F">
            <w:rPr>
              <w:i/>
              <w:iCs/>
            </w:rPr>
            <w:t>Akutní stavy v geriatrii</w:t>
          </w:r>
          <w:r w:rsidRPr="009C123F">
            <w:t xml:space="preserve">. </w:t>
          </w:r>
          <w:proofErr w:type="spellStart"/>
          <w:r w:rsidRPr="009C123F">
            <w:t>Galén</w:t>
          </w:r>
          <w:proofErr w:type="spellEnd"/>
          <w:r w:rsidRPr="009C123F">
            <w:t>; 2009.</w:t>
          </w:r>
        </w:p>
        <w:p w14:paraId="34FB3E03" w14:textId="77777777" w:rsidR="009C123F" w:rsidRPr="009C123F" w:rsidRDefault="009C123F" w:rsidP="009C123F">
          <w:pPr>
            <w:pStyle w:val="Bibliografie"/>
          </w:pPr>
          <w:r w:rsidRPr="009C123F">
            <w:t>17.</w:t>
          </w:r>
          <w:r w:rsidRPr="009C123F">
            <w:tab/>
            <w:t xml:space="preserve">Čeledová L, Čevela R. </w:t>
          </w:r>
          <w:r w:rsidRPr="009C123F">
            <w:rPr>
              <w:i/>
              <w:iCs/>
            </w:rPr>
            <w:t>Člověk ve zdraví i v nemoci: podpora zdraví a prevence nemocí ve stáří</w:t>
          </w:r>
          <w:r w:rsidRPr="009C123F">
            <w:t>. Karolinum; 2017.</w:t>
          </w:r>
        </w:p>
        <w:p w14:paraId="2586C2F9" w14:textId="77777777" w:rsidR="009C123F" w:rsidRPr="009C123F" w:rsidRDefault="009C123F" w:rsidP="009C123F">
          <w:pPr>
            <w:pStyle w:val="Bibliografie"/>
          </w:pPr>
          <w:r w:rsidRPr="009C123F">
            <w:t>18.</w:t>
          </w:r>
          <w:r w:rsidRPr="009C123F">
            <w:tab/>
            <w:t xml:space="preserve">Kabelka L, </w:t>
          </w:r>
          <w:proofErr w:type="spellStart"/>
          <w:r w:rsidRPr="009C123F">
            <w:t>Chvílová-Weberová</w:t>
          </w:r>
          <w:proofErr w:type="spellEnd"/>
          <w:r w:rsidRPr="009C123F">
            <w:t xml:space="preserve"> M. </w:t>
          </w:r>
          <w:r w:rsidRPr="009C123F">
            <w:rPr>
              <w:i/>
              <w:iCs/>
            </w:rPr>
            <w:t>Syndrom křehkosti: indikace péče, podpora života v nemoci, komunikační dovednosti</w:t>
          </w:r>
          <w:r w:rsidRPr="009C123F">
            <w:t xml:space="preserve">. Grada </w:t>
          </w:r>
          <w:proofErr w:type="spellStart"/>
          <w:r w:rsidRPr="009C123F">
            <w:t>Publishing</w:t>
          </w:r>
          <w:proofErr w:type="spellEnd"/>
          <w:r w:rsidRPr="009C123F">
            <w:t>; 2022.</w:t>
          </w:r>
        </w:p>
        <w:p w14:paraId="3DF281AE" w14:textId="77777777" w:rsidR="009C123F" w:rsidRPr="009C123F" w:rsidRDefault="009C123F" w:rsidP="009C123F">
          <w:pPr>
            <w:pStyle w:val="Bibliografie"/>
          </w:pPr>
          <w:r w:rsidRPr="009C123F">
            <w:t>19.</w:t>
          </w:r>
          <w:r w:rsidRPr="009C123F">
            <w:tab/>
            <w:t xml:space="preserve">Čevela R, Čeledová L. </w:t>
          </w:r>
          <w:r w:rsidRPr="009C123F">
            <w:rPr>
              <w:i/>
              <w:iCs/>
            </w:rPr>
            <w:t>Sociální gerontologie: východiska ke zdravotní politice a podpoře zdraví ve stáří</w:t>
          </w:r>
          <w:r w:rsidRPr="009C123F">
            <w:t>. Grada; 2014.</w:t>
          </w:r>
        </w:p>
        <w:p w14:paraId="1B65C508" w14:textId="77777777" w:rsidR="009C123F" w:rsidRPr="009C123F" w:rsidRDefault="009C123F" w:rsidP="009C123F">
          <w:pPr>
            <w:pStyle w:val="Bibliografie"/>
          </w:pPr>
          <w:r w:rsidRPr="009C123F">
            <w:t>20.</w:t>
          </w:r>
          <w:r w:rsidRPr="009C123F">
            <w:tab/>
            <w:t xml:space="preserve">Česká gerontologická a geriatrická společnost – Společnost. </w:t>
          </w:r>
          <w:proofErr w:type="spellStart"/>
          <w:r w:rsidRPr="009C123F">
            <w:t>Accessed</w:t>
          </w:r>
          <w:proofErr w:type="spellEnd"/>
          <w:r w:rsidRPr="009C123F">
            <w:t xml:space="preserve"> </w:t>
          </w:r>
          <w:proofErr w:type="spellStart"/>
          <w:r w:rsidRPr="009C123F">
            <w:t>April</w:t>
          </w:r>
          <w:proofErr w:type="spellEnd"/>
          <w:r w:rsidRPr="009C123F">
            <w:t xml:space="preserve"> 12, 2024. https://www.cggs.cz/spolecnost</w:t>
          </w:r>
        </w:p>
        <w:p w14:paraId="2A448F10" w14:textId="77777777" w:rsidR="009C123F" w:rsidRPr="009C123F" w:rsidRDefault="009C123F" w:rsidP="009C123F">
          <w:pPr>
            <w:pStyle w:val="Bibliografie"/>
          </w:pPr>
          <w:r w:rsidRPr="009C123F">
            <w:t>21.</w:t>
          </w:r>
          <w:r w:rsidRPr="009C123F">
            <w:tab/>
          </w:r>
          <w:proofErr w:type="spellStart"/>
          <w:r w:rsidRPr="009C123F">
            <w:t>Kuckir</w:t>
          </w:r>
          <w:proofErr w:type="spellEnd"/>
          <w:r w:rsidRPr="009C123F">
            <w:t xml:space="preserve"> M, Vaňková H, Holmerová I. </w:t>
          </w:r>
          <w:r w:rsidRPr="009C123F">
            <w:rPr>
              <w:i/>
              <w:iCs/>
            </w:rPr>
            <w:t>Vybrané oblasti a nástroje funkčního geriatrického hodnocení</w:t>
          </w:r>
          <w:r w:rsidRPr="009C123F">
            <w:t xml:space="preserve">. Grada </w:t>
          </w:r>
          <w:proofErr w:type="spellStart"/>
          <w:r w:rsidRPr="009C123F">
            <w:t>Publishing</w:t>
          </w:r>
          <w:proofErr w:type="spellEnd"/>
          <w:r w:rsidRPr="009C123F">
            <w:t>; 2017.</w:t>
          </w:r>
        </w:p>
        <w:p w14:paraId="23311369" w14:textId="77777777" w:rsidR="009C123F" w:rsidRPr="009C123F" w:rsidRDefault="009C123F" w:rsidP="009C123F">
          <w:pPr>
            <w:pStyle w:val="Bibliografie"/>
          </w:pPr>
          <w:r w:rsidRPr="009C123F">
            <w:t>22.</w:t>
          </w:r>
          <w:r w:rsidRPr="009C123F">
            <w:tab/>
            <w:t xml:space="preserve">Zelená kniha o stárnutí: podpora mezigenerační solidarity a odpovědnosti. </w:t>
          </w:r>
          <w:proofErr w:type="spellStart"/>
          <w:r w:rsidRPr="009C123F">
            <w:t>Published</w:t>
          </w:r>
          <w:proofErr w:type="spellEnd"/>
          <w:r w:rsidRPr="009C123F">
            <w:t xml:space="preserve"> online </w:t>
          </w:r>
          <w:proofErr w:type="spellStart"/>
          <w:r w:rsidRPr="009C123F">
            <w:t>January</w:t>
          </w:r>
          <w:proofErr w:type="spellEnd"/>
          <w:r w:rsidRPr="009C123F">
            <w:t xml:space="preserve"> 27, 2021. https://op.europa.eu/s/zJAO</w:t>
          </w:r>
        </w:p>
        <w:p w14:paraId="2CC25845" w14:textId="77777777" w:rsidR="009C123F" w:rsidRPr="009C123F" w:rsidRDefault="009C123F" w:rsidP="009C123F">
          <w:pPr>
            <w:pStyle w:val="Bibliografie"/>
          </w:pPr>
          <w:r w:rsidRPr="009C123F">
            <w:t>23.</w:t>
          </w:r>
          <w:r w:rsidRPr="009C123F">
            <w:tab/>
            <w:t xml:space="preserve">Stárnutí. Demografický informační portál. </w:t>
          </w:r>
          <w:proofErr w:type="spellStart"/>
          <w:r w:rsidRPr="009C123F">
            <w:t>Accessed</w:t>
          </w:r>
          <w:proofErr w:type="spellEnd"/>
          <w:r w:rsidRPr="009C123F">
            <w:t xml:space="preserve"> June 4, 2024. http://www.demografie.info/?cz_starnuti=</w:t>
          </w:r>
        </w:p>
        <w:p w14:paraId="36C12097" w14:textId="77777777" w:rsidR="009C123F" w:rsidRPr="009C123F" w:rsidRDefault="009C123F" w:rsidP="009C123F">
          <w:pPr>
            <w:pStyle w:val="Bibliografie"/>
          </w:pPr>
          <w:r w:rsidRPr="009C123F">
            <w:t>24.</w:t>
          </w:r>
          <w:r w:rsidRPr="009C123F">
            <w:tab/>
            <w:t xml:space="preserve">Kunc J, </w:t>
          </w:r>
          <w:proofErr w:type="spellStart"/>
          <w:r w:rsidRPr="009C123F">
            <w:t>Jaňurová</w:t>
          </w:r>
          <w:proofErr w:type="spellEnd"/>
          <w:r w:rsidRPr="009C123F">
            <w:t xml:space="preserve"> M, Krajíčková A, </w:t>
          </w:r>
          <w:proofErr w:type="spellStart"/>
          <w:r w:rsidRPr="009C123F">
            <w:t>Tonev</w:t>
          </w:r>
          <w:proofErr w:type="spellEnd"/>
          <w:r w:rsidRPr="009C123F">
            <w:t xml:space="preserve"> P, Toušek V. </w:t>
          </w:r>
          <w:r w:rsidRPr="009C123F">
            <w:rPr>
              <w:i/>
              <w:iCs/>
            </w:rPr>
            <w:t>(</w:t>
          </w:r>
          <w:proofErr w:type="spellStart"/>
          <w:r w:rsidRPr="009C123F">
            <w:rPr>
              <w:i/>
              <w:iCs/>
            </w:rPr>
            <w:t>Geo</w:t>
          </w:r>
          <w:proofErr w:type="spellEnd"/>
          <w:r w:rsidRPr="009C123F">
            <w:rPr>
              <w:i/>
              <w:iCs/>
            </w:rPr>
            <w:t>)Demografie nejen pro ekonomy</w:t>
          </w:r>
          <w:r w:rsidRPr="009C123F">
            <w:t>. Masarykova univerzita; 2019.</w:t>
          </w:r>
        </w:p>
        <w:p w14:paraId="2A0C0C4F" w14:textId="77777777" w:rsidR="009C123F" w:rsidRPr="009C123F" w:rsidRDefault="009C123F" w:rsidP="009C123F">
          <w:pPr>
            <w:pStyle w:val="Bibliografie"/>
          </w:pPr>
          <w:r w:rsidRPr="009C123F">
            <w:t>25.</w:t>
          </w:r>
          <w:r w:rsidRPr="009C123F">
            <w:tab/>
          </w:r>
          <w:proofErr w:type="spellStart"/>
          <w:r w:rsidRPr="009C123F">
            <w:t>Global</w:t>
          </w:r>
          <w:proofErr w:type="spellEnd"/>
          <w:r w:rsidRPr="009C123F">
            <w:t xml:space="preserve"> </w:t>
          </w:r>
          <w:proofErr w:type="spellStart"/>
          <w:r w:rsidRPr="009C123F">
            <w:t>Issues</w:t>
          </w:r>
          <w:proofErr w:type="spellEnd"/>
          <w:r w:rsidRPr="009C123F">
            <w:t xml:space="preserve">: </w:t>
          </w:r>
          <w:proofErr w:type="spellStart"/>
          <w:r w:rsidRPr="009C123F">
            <w:t>Ageing</w:t>
          </w:r>
          <w:proofErr w:type="spellEnd"/>
          <w:r w:rsidRPr="009C123F">
            <w:t xml:space="preserve">. United </w:t>
          </w:r>
          <w:proofErr w:type="spellStart"/>
          <w:r w:rsidRPr="009C123F">
            <w:t>Nations</w:t>
          </w:r>
          <w:proofErr w:type="spellEnd"/>
          <w:r w:rsidRPr="009C123F">
            <w:t xml:space="preserve">. </w:t>
          </w:r>
          <w:proofErr w:type="spellStart"/>
          <w:r w:rsidRPr="009C123F">
            <w:t>Accessed</w:t>
          </w:r>
          <w:proofErr w:type="spellEnd"/>
          <w:r w:rsidRPr="009C123F">
            <w:t xml:space="preserve"> June 7, 2024. https://www.un.org/en/global-issues/ageing</w:t>
          </w:r>
        </w:p>
        <w:p w14:paraId="2B41092B" w14:textId="77777777" w:rsidR="009C123F" w:rsidRPr="009C123F" w:rsidRDefault="009C123F" w:rsidP="009C123F">
          <w:pPr>
            <w:pStyle w:val="Bibliografie"/>
          </w:pPr>
          <w:r w:rsidRPr="009C123F">
            <w:t>26.</w:t>
          </w:r>
          <w:r w:rsidRPr="009C123F">
            <w:tab/>
          </w:r>
          <w:proofErr w:type="spellStart"/>
          <w:r w:rsidRPr="009C123F">
            <w:t>World</w:t>
          </w:r>
          <w:proofErr w:type="spellEnd"/>
          <w:r w:rsidRPr="009C123F">
            <w:t xml:space="preserve"> </w:t>
          </w:r>
          <w:proofErr w:type="spellStart"/>
          <w:r w:rsidRPr="009C123F">
            <w:t>Population</w:t>
          </w:r>
          <w:proofErr w:type="spellEnd"/>
          <w:r w:rsidRPr="009C123F">
            <w:t xml:space="preserve"> </w:t>
          </w:r>
          <w:proofErr w:type="spellStart"/>
          <w:r w:rsidRPr="009C123F">
            <w:t>Ageing</w:t>
          </w:r>
          <w:proofErr w:type="spellEnd"/>
          <w:r w:rsidRPr="009C123F">
            <w:t xml:space="preserve"> 2023: </w:t>
          </w:r>
          <w:proofErr w:type="spellStart"/>
          <w:r w:rsidRPr="009C123F">
            <w:t>Challenges</w:t>
          </w:r>
          <w:proofErr w:type="spellEnd"/>
          <w:r w:rsidRPr="009C123F">
            <w:t xml:space="preserve"> and </w:t>
          </w:r>
          <w:proofErr w:type="spellStart"/>
          <w:r w:rsidRPr="009C123F">
            <w:t>Opportunities</w:t>
          </w:r>
          <w:proofErr w:type="spellEnd"/>
          <w:r w:rsidRPr="009C123F">
            <w:t xml:space="preserve"> </w:t>
          </w:r>
          <w:proofErr w:type="spellStart"/>
          <w:r w:rsidRPr="009C123F">
            <w:t>of</w:t>
          </w:r>
          <w:proofErr w:type="spellEnd"/>
          <w:r w:rsidRPr="009C123F">
            <w:t xml:space="preserve"> </w:t>
          </w:r>
          <w:proofErr w:type="spellStart"/>
          <w:r w:rsidRPr="009C123F">
            <w:t>Population</w:t>
          </w:r>
          <w:proofErr w:type="spellEnd"/>
          <w:r w:rsidRPr="009C123F">
            <w:t xml:space="preserve"> </w:t>
          </w:r>
          <w:proofErr w:type="spellStart"/>
          <w:r w:rsidRPr="009C123F">
            <w:t>Ageing</w:t>
          </w:r>
          <w:proofErr w:type="spellEnd"/>
          <w:r w:rsidRPr="009C123F">
            <w:t xml:space="preserve"> in </w:t>
          </w:r>
          <w:proofErr w:type="spellStart"/>
          <w:r w:rsidRPr="009C123F">
            <w:t>the</w:t>
          </w:r>
          <w:proofErr w:type="spellEnd"/>
          <w:r w:rsidRPr="009C123F">
            <w:t xml:space="preserve"> Least </w:t>
          </w:r>
          <w:proofErr w:type="spellStart"/>
          <w:r w:rsidRPr="009C123F">
            <w:t>Developed</w:t>
          </w:r>
          <w:proofErr w:type="spellEnd"/>
          <w:r w:rsidRPr="009C123F">
            <w:t xml:space="preserve"> </w:t>
          </w:r>
          <w:proofErr w:type="spellStart"/>
          <w:r w:rsidRPr="009C123F">
            <w:t>Countries</w:t>
          </w:r>
          <w:proofErr w:type="spellEnd"/>
          <w:r w:rsidRPr="009C123F">
            <w:t xml:space="preserve">. </w:t>
          </w:r>
          <w:proofErr w:type="spellStart"/>
          <w:r w:rsidRPr="009C123F">
            <w:t>Published</w:t>
          </w:r>
          <w:proofErr w:type="spellEnd"/>
          <w:r w:rsidRPr="009C123F">
            <w:t xml:space="preserve"> online 2023. </w:t>
          </w:r>
          <w:proofErr w:type="spellStart"/>
          <w:r w:rsidRPr="009C123F">
            <w:t>Accessed</w:t>
          </w:r>
          <w:proofErr w:type="spellEnd"/>
          <w:r w:rsidRPr="009C123F">
            <w:t xml:space="preserve"> June 7, 2024. https://www.un-ilibrary.org/content/books/9789213586747/read</w:t>
          </w:r>
        </w:p>
        <w:p w14:paraId="7909819F" w14:textId="77777777" w:rsidR="009C123F" w:rsidRPr="009C123F" w:rsidRDefault="009C123F" w:rsidP="009C123F">
          <w:pPr>
            <w:pStyle w:val="Bibliografie"/>
          </w:pPr>
          <w:r w:rsidRPr="009C123F">
            <w:t>27.</w:t>
          </w:r>
          <w:r w:rsidRPr="009C123F">
            <w:tab/>
            <w:t xml:space="preserve">Projekce obyvatelstva České republiky 2023-2100. </w:t>
          </w:r>
          <w:proofErr w:type="spellStart"/>
          <w:r w:rsidRPr="009C123F">
            <w:t>Published</w:t>
          </w:r>
          <w:proofErr w:type="spellEnd"/>
          <w:r w:rsidRPr="009C123F">
            <w:t xml:space="preserve"> online </w:t>
          </w:r>
          <w:proofErr w:type="spellStart"/>
          <w:r w:rsidRPr="009C123F">
            <w:t>November</w:t>
          </w:r>
          <w:proofErr w:type="spellEnd"/>
          <w:r w:rsidRPr="009C123F">
            <w:t xml:space="preserve"> 30, 2023. https://www.czso.cz/documents/10180/191186777/13013923.pdf</w:t>
          </w:r>
        </w:p>
        <w:p w14:paraId="7CBEAA24" w14:textId="77777777" w:rsidR="009C123F" w:rsidRPr="009C123F" w:rsidRDefault="009C123F" w:rsidP="009C123F">
          <w:pPr>
            <w:pStyle w:val="Bibliografie"/>
          </w:pPr>
          <w:r w:rsidRPr="009C123F">
            <w:t>28.</w:t>
          </w:r>
          <w:r w:rsidRPr="009C123F">
            <w:tab/>
            <w:t xml:space="preserve">Zpráva Komise Evropskému parlamentu, Radě, Evropskému hospodářskému a sociálnímu výboru a Výboru regionů o dopadu demografických změn. </w:t>
          </w:r>
          <w:proofErr w:type="spellStart"/>
          <w:r w:rsidRPr="009C123F">
            <w:t>Published</w:t>
          </w:r>
          <w:proofErr w:type="spellEnd"/>
          <w:r w:rsidRPr="009C123F">
            <w:t xml:space="preserve"> </w:t>
          </w:r>
          <w:r w:rsidRPr="009C123F">
            <w:lastRenderedPageBreak/>
            <w:t>online June 17, 2020. https://eur-lex.europa.eu/legal-content/CS/TXT/PDF/?uri=CELEX:52020DC0241</w:t>
          </w:r>
        </w:p>
        <w:p w14:paraId="3992312C" w14:textId="77777777" w:rsidR="009C123F" w:rsidRPr="009C123F" w:rsidRDefault="009C123F" w:rsidP="009C123F">
          <w:pPr>
            <w:pStyle w:val="Bibliografie"/>
          </w:pPr>
          <w:r w:rsidRPr="009C123F">
            <w:t>29.</w:t>
          </w:r>
          <w:r w:rsidRPr="009C123F">
            <w:tab/>
            <w:t>Veřejná databáze. Český statistický úřad. https://vdb.czso.cz/vdbvo2/</w:t>
          </w:r>
        </w:p>
        <w:p w14:paraId="387535D5" w14:textId="77777777" w:rsidR="009C123F" w:rsidRPr="009C123F" w:rsidRDefault="009C123F" w:rsidP="009C123F">
          <w:pPr>
            <w:pStyle w:val="Bibliografie"/>
          </w:pPr>
          <w:r w:rsidRPr="009C123F">
            <w:t>30.</w:t>
          </w:r>
          <w:r w:rsidRPr="009C123F">
            <w:tab/>
            <w:t xml:space="preserve">Zpráva o stavu důchodového systému České republiky a o jeho předpokládaném vývoji se zřetelem na demografickou situaci České republiky a na očekávaný populační a ekonomický vývoj. </w:t>
          </w:r>
          <w:proofErr w:type="spellStart"/>
          <w:r w:rsidRPr="009C123F">
            <w:t>Published</w:t>
          </w:r>
          <w:proofErr w:type="spellEnd"/>
          <w:r w:rsidRPr="009C123F">
            <w:t xml:space="preserve"> online 2024. https://www.mpsv.cz/documents/20142/7095934/Zpráva+2024.pdf</w:t>
          </w:r>
        </w:p>
        <w:p w14:paraId="039F05D9" w14:textId="77777777" w:rsidR="009C123F" w:rsidRPr="009C123F" w:rsidRDefault="009C123F" w:rsidP="009C123F">
          <w:pPr>
            <w:pStyle w:val="Bibliografie"/>
          </w:pPr>
          <w:r w:rsidRPr="009C123F">
            <w:t>31.</w:t>
          </w:r>
          <w:r w:rsidRPr="009C123F">
            <w:tab/>
            <w:t xml:space="preserve">Zpráva o očekávaném vývoji úmrtnosti, plodnosti a migrace v České republice 2023–2100. </w:t>
          </w:r>
          <w:proofErr w:type="spellStart"/>
          <w:r w:rsidRPr="009C123F">
            <w:t>Published</w:t>
          </w:r>
          <w:proofErr w:type="spellEnd"/>
          <w:r w:rsidRPr="009C123F">
            <w:t xml:space="preserve"> online </w:t>
          </w:r>
          <w:proofErr w:type="spellStart"/>
          <w:r w:rsidRPr="009C123F">
            <w:t>December</w:t>
          </w:r>
          <w:proofErr w:type="spellEnd"/>
          <w:r w:rsidRPr="009C123F">
            <w:t xml:space="preserve"> 22, 2023. https://csu.gov.cz/docs/107516/7321a486-8f06-8318-8c09-7d3e53f56d67/zprava_o_ocekavanem_%20vyvoji.pdf</w:t>
          </w:r>
        </w:p>
        <w:p w14:paraId="06B004AB" w14:textId="77777777" w:rsidR="009C123F" w:rsidRPr="009C123F" w:rsidRDefault="009C123F" w:rsidP="009C123F">
          <w:pPr>
            <w:pStyle w:val="Bibliografie"/>
          </w:pPr>
          <w:r w:rsidRPr="009C123F">
            <w:t>32.</w:t>
          </w:r>
          <w:r w:rsidRPr="009C123F">
            <w:tab/>
            <w:t xml:space="preserve">Kubalčíková K, Rabušic L, Zlatušková I, et al. </w:t>
          </w:r>
          <w:r w:rsidRPr="009C123F">
            <w:rPr>
              <w:i/>
              <w:iCs/>
            </w:rPr>
            <w:t>Sociální práce se seniory v kontextu kritické gerontologie</w:t>
          </w:r>
          <w:r w:rsidRPr="009C123F">
            <w:t>. Masarykova univerzita; 2015.</w:t>
          </w:r>
        </w:p>
        <w:p w14:paraId="29AFB564" w14:textId="77777777" w:rsidR="009C123F" w:rsidRPr="009C123F" w:rsidRDefault="009C123F" w:rsidP="009C123F">
          <w:pPr>
            <w:pStyle w:val="Bibliografie"/>
          </w:pPr>
          <w:r w:rsidRPr="009C123F">
            <w:t>33.</w:t>
          </w:r>
          <w:r w:rsidRPr="009C123F">
            <w:tab/>
            <w:t xml:space="preserve">Database. </w:t>
          </w:r>
          <w:proofErr w:type="spellStart"/>
          <w:r w:rsidRPr="009C123F">
            <w:t>Eurostat</w:t>
          </w:r>
          <w:proofErr w:type="spellEnd"/>
          <w:r w:rsidRPr="009C123F">
            <w:t>. https://ec.europa.eu/eurostat/web/main/data/database</w:t>
          </w:r>
        </w:p>
        <w:p w14:paraId="54CE89AE" w14:textId="77777777" w:rsidR="009C123F" w:rsidRPr="009C123F" w:rsidRDefault="009C123F" w:rsidP="009C123F">
          <w:pPr>
            <w:pStyle w:val="Bibliografie"/>
          </w:pPr>
          <w:r w:rsidRPr="009C123F">
            <w:t>34.</w:t>
          </w:r>
          <w:r w:rsidRPr="009C123F">
            <w:tab/>
          </w:r>
          <w:r w:rsidRPr="009C123F">
            <w:rPr>
              <w:i/>
              <w:iCs/>
            </w:rPr>
            <w:t>Věstník č. 9/2020</w:t>
          </w:r>
          <w:r w:rsidRPr="009C123F">
            <w:t>.; 2020. https://mzd.gov.cz/vestnik/vestnik-c-9-2020/</w:t>
          </w:r>
        </w:p>
        <w:p w14:paraId="1284B593" w14:textId="77777777" w:rsidR="009C123F" w:rsidRPr="009C123F" w:rsidRDefault="009C123F" w:rsidP="009C123F">
          <w:pPr>
            <w:pStyle w:val="Bibliografie"/>
          </w:pPr>
          <w:r w:rsidRPr="009C123F">
            <w:t>35.</w:t>
          </w:r>
          <w:r w:rsidRPr="009C123F">
            <w:tab/>
            <w:t xml:space="preserve">Remeš R, Trnovská S. </w:t>
          </w:r>
          <w:r w:rsidRPr="009C123F">
            <w:rPr>
              <w:i/>
              <w:iCs/>
            </w:rPr>
            <w:t>Praktická příručka přednemocniční urgentní medicíny</w:t>
          </w:r>
          <w:r w:rsidRPr="009C123F">
            <w:t>. Grada; 2013.</w:t>
          </w:r>
        </w:p>
        <w:p w14:paraId="08368852" w14:textId="77777777" w:rsidR="009C123F" w:rsidRPr="009C123F" w:rsidRDefault="009C123F" w:rsidP="009C123F">
          <w:pPr>
            <w:pStyle w:val="Bibliografie"/>
          </w:pPr>
          <w:r w:rsidRPr="009C123F">
            <w:t>36.</w:t>
          </w:r>
          <w:r w:rsidRPr="009C123F">
            <w:tab/>
          </w:r>
          <w:proofErr w:type="spellStart"/>
          <w:r w:rsidRPr="009C123F">
            <w:t>Nickel</w:t>
          </w:r>
          <w:proofErr w:type="spellEnd"/>
          <w:r w:rsidRPr="009C123F">
            <w:t xml:space="preserve"> C, Bellou A, </w:t>
          </w:r>
          <w:proofErr w:type="spellStart"/>
          <w:r w:rsidRPr="009C123F">
            <w:t>Conroy</w:t>
          </w:r>
          <w:proofErr w:type="spellEnd"/>
          <w:r w:rsidRPr="009C123F">
            <w:t xml:space="preserve"> S, </w:t>
          </w:r>
          <w:proofErr w:type="spellStart"/>
          <w:r w:rsidRPr="009C123F">
            <w:t>eds</w:t>
          </w:r>
          <w:proofErr w:type="spellEnd"/>
          <w:r w:rsidRPr="009C123F">
            <w:t xml:space="preserve">. </w:t>
          </w:r>
          <w:proofErr w:type="spellStart"/>
          <w:r w:rsidRPr="009C123F">
            <w:rPr>
              <w:i/>
              <w:iCs/>
            </w:rPr>
            <w:t>Geriatric</w:t>
          </w:r>
          <w:proofErr w:type="spellEnd"/>
          <w:r w:rsidRPr="009C123F">
            <w:rPr>
              <w:i/>
              <w:iCs/>
            </w:rPr>
            <w:t xml:space="preserve"> </w:t>
          </w:r>
          <w:proofErr w:type="spellStart"/>
          <w:r w:rsidRPr="009C123F">
            <w:rPr>
              <w:i/>
              <w:iCs/>
            </w:rPr>
            <w:t>Emergency</w:t>
          </w:r>
          <w:proofErr w:type="spellEnd"/>
          <w:r w:rsidRPr="009C123F">
            <w:rPr>
              <w:i/>
              <w:iCs/>
            </w:rPr>
            <w:t xml:space="preserve"> </w:t>
          </w:r>
          <w:proofErr w:type="spellStart"/>
          <w:r w:rsidRPr="009C123F">
            <w:rPr>
              <w:i/>
              <w:iCs/>
            </w:rPr>
            <w:t>Medicine</w:t>
          </w:r>
          <w:proofErr w:type="spellEnd"/>
          <w:r w:rsidRPr="009C123F">
            <w:t xml:space="preserve">. </w:t>
          </w:r>
          <w:proofErr w:type="spellStart"/>
          <w:r w:rsidRPr="009C123F">
            <w:t>Springer</w:t>
          </w:r>
          <w:proofErr w:type="spellEnd"/>
          <w:r w:rsidRPr="009C123F">
            <w:t>; 2018. doi:10.1007/978-3-319-19318-2</w:t>
          </w:r>
        </w:p>
        <w:p w14:paraId="2F1862F2" w14:textId="77777777" w:rsidR="009C123F" w:rsidRPr="009C123F" w:rsidRDefault="009C123F" w:rsidP="009C123F">
          <w:pPr>
            <w:pStyle w:val="Bibliografie"/>
          </w:pPr>
          <w:r w:rsidRPr="009C123F">
            <w:t>37.</w:t>
          </w:r>
          <w:r w:rsidRPr="009C123F">
            <w:tab/>
          </w:r>
          <w:proofErr w:type="spellStart"/>
          <w:r w:rsidRPr="009C123F">
            <w:t>About</w:t>
          </w:r>
          <w:proofErr w:type="spellEnd"/>
          <w:r w:rsidRPr="009C123F">
            <w:t xml:space="preserve">. </w:t>
          </w:r>
          <w:proofErr w:type="spellStart"/>
          <w:r w:rsidRPr="009C123F">
            <w:t>Geriatric</w:t>
          </w:r>
          <w:proofErr w:type="spellEnd"/>
          <w:r w:rsidRPr="009C123F">
            <w:t xml:space="preserve"> </w:t>
          </w:r>
          <w:proofErr w:type="spellStart"/>
          <w:r w:rsidRPr="009C123F">
            <w:t>Emergency</w:t>
          </w:r>
          <w:proofErr w:type="spellEnd"/>
          <w:r w:rsidRPr="009C123F">
            <w:t xml:space="preserve"> </w:t>
          </w:r>
          <w:proofErr w:type="spellStart"/>
          <w:r w:rsidRPr="009C123F">
            <w:t>Medicine</w:t>
          </w:r>
          <w:proofErr w:type="spellEnd"/>
          <w:r w:rsidRPr="009C123F">
            <w:t xml:space="preserve"> in </w:t>
          </w:r>
          <w:proofErr w:type="spellStart"/>
          <w:r w:rsidRPr="009C123F">
            <w:t>Europe</w:t>
          </w:r>
          <w:proofErr w:type="spellEnd"/>
          <w:r w:rsidRPr="009C123F">
            <w:t xml:space="preserve">. </w:t>
          </w:r>
          <w:proofErr w:type="spellStart"/>
          <w:r w:rsidRPr="009C123F">
            <w:t>Accessed</w:t>
          </w:r>
          <w:proofErr w:type="spellEnd"/>
          <w:r w:rsidRPr="009C123F">
            <w:t xml:space="preserve"> </w:t>
          </w:r>
          <w:proofErr w:type="spellStart"/>
          <w:r w:rsidRPr="009C123F">
            <w:t>October</w:t>
          </w:r>
          <w:proofErr w:type="spellEnd"/>
          <w:r w:rsidRPr="009C123F">
            <w:t xml:space="preserve"> 18, 2024. https://geriemeurope.eu/about/</w:t>
          </w:r>
        </w:p>
        <w:p w14:paraId="55989762" w14:textId="77777777" w:rsidR="009C123F" w:rsidRPr="009C123F" w:rsidRDefault="009C123F" w:rsidP="009C123F">
          <w:pPr>
            <w:pStyle w:val="Bibliografie"/>
          </w:pPr>
          <w:r w:rsidRPr="009C123F">
            <w:t>38.</w:t>
          </w:r>
          <w:r w:rsidRPr="009C123F">
            <w:tab/>
          </w:r>
          <w:proofErr w:type="spellStart"/>
          <w:r w:rsidRPr="009C123F">
            <w:t>geriEM</w:t>
          </w:r>
          <w:proofErr w:type="spellEnd"/>
          <w:r w:rsidRPr="009C123F">
            <w:t xml:space="preserve"> </w:t>
          </w:r>
          <w:proofErr w:type="spellStart"/>
          <w:r w:rsidRPr="009C123F">
            <w:t>Europe</w:t>
          </w:r>
          <w:proofErr w:type="spellEnd"/>
          <w:r w:rsidRPr="009C123F">
            <w:t xml:space="preserve"> </w:t>
          </w:r>
          <w:proofErr w:type="spellStart"/>
          <w:r w:rsidRPr="009C123F">
            <w:t>Posters</w:t>
          </w:r>
          <w:proofErr w:type="spellEnd"/>
          <w:r w:rsidRPr="009C123F">
            <w:t xml:space="preserve">. </w:t>
          </w:r>
          <w:proofErr w:type="spellStart"/>
          <w:r w:rsidRPr="009C123F">
            <w:t>Geriatric</w:t>
          </w:r>
          <w:proofErr w:type="spellEnd"/>
          <w:r w:rsidRPr="009C123F">
            <w:t xml:space="preserve"> </w:t>
          </w:r>
          <w:proofErr w:type="spellStart"/>
          <w:r w:rsidRPr="009C123F">
            <w:t>Emergency</w:t>
          </w:r>
          <w:proofErr w:type="spellEnd"/>
          <w:r w:rsidRPr="009C123F">
            <w:t xml:space="preserve"> </w:t>
          </w:r>
          <w:proofErr w:type="spellStart"/>
          <w:r w:rsidRPr="009C123F">
            <w:t>Medicine</w:t>
          </w:r>
          <w:proofErr w:type="spellEnd"/>
          <w:r w:rsidRPr="009C123F">
            <w:t xml:space="preserve"> in </w:t>
          </w:r>
          <w:proofErr w:type="spellStart"/>
          <w:r w:rsidRPr="009C123F">
            <w:t>Europe</w:t>
          </w:r>
          <w:proofErr w:type="spellEnd"/>
          <w:r w:rsidRPr="009C123F">
            <w:t xml:space="preserve">. </w:t>
          </w:r>
          <w:proofErr w:type="spellStart"/>
          <w:r w:rsidRPr="009C123F">
            <w:t>Accessed</w:t>
          </w:r>
          <w:proofErr w:type="spellEnd"/>
          <w:r w:rsidRPr="009C123F">
            <w:t xml:space="preserve"> </w:t>
          </w:r>
          <w:proofErr w:type="spellStart"/>
          <w:r w:rsidRPr="009C123F">
            <w:t>October</w:t>
          </w:r>
          <w:proofErr w:type="spellEnd"/>
          <w:r w:rsidRPr="009C123F">
            <w:t xml:space="preserve"> 18, 2024. https://posters.geriemeurope.eu/</w:t>
          </w:r>
        </w:p>
        <w:p w14:paraId="59F470A7" w14:textId="77777777" w:rsidR="009C123F" w:rsidRPr="009C123F" w:rsidRDefault="009C123F" w:rsidP="009C123F">
          <w:pPr>
            <w:pStyle w:val="Bibliografie"/>
          </w:pPr>
          <w:r w:rsidRPr="009C123F">
            <w:t>39.</w:t>
          </w:r>
          <w:r w:rsidRPr="009C123F">
            <w:tab/>
            <w:t xml:space="preserve">Akutní ambulance. Fakultní nemocnice Brno. </w:t>
          </w:r>
          <w:proofErr w:type="spellStart"/>
          <w:r w:rsidRPr="009C123F">
            <w:t>Accessed</w:t>
          </w:r>
          <w:proofErr w:type="spellEnd"/>
          <w:r w:rsidRPr="009C123F">
            <w:t xml:space="preserve"> </w:t>
          </w:r>
          <w:proofErr w:type="spellStart"/>
          <w:r w:rsidRPr="009C123F">
            <w:t>October</w:t>
          </w:r>
          <w:proofErr w:type="spellEnd"/>
          <w:r w:rsidRPr="009C123F">
            <w:t xml:space="preserve"> 29, 2024. https://www.fnbrno.cz/areal-bohunice/interni-gastroenterologicka-klinika/akutni-ambulance/t7368</w:t>
          </w:r>
        </w:p>
        <w:p w14:paraId="11929FA5" w14:textId="77777777" w:rsidR="009C123F" w:rsidRPr="009C123F" w:rsidRDefault="009C123F" w:rsidP="009C123F">
          <w:pPr>
            <w:pStyle w:val="Bibliografie"/>
          </w:pPr>
          <w:r w:rsidRPr="009C123F">
            <w:t>40.</w:t>
          </w:r>
          <w:r w:rsidRPr="009C123F">
            <w:tab/>
            <w:t xml:space="preserve">Interní ambulance. Fakultní nemocnice Brno. </w:t>
          </w:r>
          <w:proofErr w:type="spellStart"/>
          <w:r w:rsidRPr="009C123F">
            <w:t>Accessed</w:t>
          </w:r>
          <w:proofErr w:type="spellEnd"/>
          <w:r w:rsidRPr="009C123F">
            <w:t xml:space="preserve"> </w:t>
          </w:r>
          <w:proofErr w:type="spellStart"/>
          <w:r w:rsidRPr="009C123F">
            <w:t>October</w:t>
          </w:r>
          <w:proofErr w:type="spellEnd"/>
          <w:r w:rsidRPr="009C123F">
            <w:t xml:space="preserve"> 29, 2024. https://www.fnbrno.cz/areal-bohunice/interni-hematologicka-a-onkologicka-klinika/interni-ambulance/t1289</w:t>
          </w:r>
        </w:p>
        <w:p w14:paraId="410342C6" w14:textId="77777777" w:rsidR="009C123F" w:rsidRPr="009C123F" w:rsidRDefault="009C123F" w:rsidP="009C123F">
          <w:pPr>
            <w:pStyle w:val="Bibliografie"/>
          </w:pPr>
          <w:r w:rsidRPr="009C123F">
            <w:t>41.</w:t>
          </w:r>
          <w:r w:rsidRPr="009C123F">
            <w:tab/>
            <w:t xml:space="preserve">Oddělení urgentního příjmu – Účel oddělení. Fakultní nemocnice Brno. </w:t>
          </w:r>
          <w:proofErr w:type="spellStart"/>
          <w:r w:rsidRPr="009C123F">
            <w:t>Accessed</w:t>
          </w:r>
          <w:proofErr w:type="spellEnd"/>
          <w:r w:rsidRPr="009C123F">
            <w:t xml:space="preserve"> </w:t>
          </w:r>
          <w:proofErr w:type="spellStart"/>
          <w:r w:rsidRPr="009C123F">
            <w:t>October</w:t>
          </w:r>
          <w:proofErr w:type="spellEnd"/>
          <w:r w:rsidRPr="009C123F">
            <w:t xml:space="preserve"> 29, 2024. https://www.fnbrno.cz/areal-bohunice/klinika-anesteziologie-resuscitace-a-intenz-med/ucel-oddeleni/t3834</w:t>
          </w:r>
        </w:p>
        <w:p w14:paraId="35258ADC" w14:textId="77777777" w:rsidR="009C123F" w:rsidRPr="009C123F" w:rsidRDefault="009C123F" w:rsidP="009C123F">
          <w:pPr>
            <w:pStyle w:val="Bibliografie"/>
          </w:pPr>
          <w:r w:rsidRPr="009C123F">
            <w:lastRenderedPageBreak/>
            <w:t>42.</w:t>
          </w:r>
          <w:r w:rsidRPr="009C123F">
            <w:tab/>
            <w:t xml:space="preserve">MKN-10 klasifikace. MKN-10 2024. </w:t>
          </w:r>
          <w:proofErr w:type="spellStart"/>
          <w:r w:rsidRPr="009C123F">
            <w:t>Accessed</w:t>
          </w:r>
          <w:proofErr w:type="spellEnd"/>
          <w:r w:rsidRPr="009C123F">
            <w:t xml:space="preserve"> </w:t>
          </w:r>
          <w:proofErr w:type="spellStart"/>
          <w:r w:rsidRPr="009C123F">
            <w:t>November</w:t>
          </w:r>
          <w:proofErr w:type="spellEnd"/>
          <w:r w:rsidRPr="009C123F">
            <w:t xml:space="preserve"> 5, 2024. https://mkn10.uzis.cz/</w:t>
          </w:r>
        </w:p>
        <w:p w14:paraId="7C4CE718" w14:textId="77777777" w:rsidR="009C123F" w:rsidRPr="009C123F" w:rsidRDefault="009C123F" w:rsidP="009C123F">
          <w:pPr>
            <w:pStyle w:val="Bibliografie"/>
          </w:pPr>
          <w:r w:rsidRPr="009C123F">
            <w:t>43.</w:t>
          </w:r>
          <w:r w:rsidRPr="009C123F">
            <w:tab/>
            <w:t xml:space="preserve">IBM SPSS </w:t>
          </w:r>
          <w:proofErr w:type="spellStart"/>
          <w:r w:rsidRPr="009C123F">
            <w:t>Statistics</w:t>
          </w:r>
          <w:proofErr w:type="spellEnd"/>
          <w:r w:rsidRPr="009C123F">
            <w:t xml:space="preserve">. IT služby Masarykovy univerzity. </w:t>
          </w:r>
          <w:proofErr w:type="spellStart"/>
          <w:r w:rsidRPr="009C123F">
            <w:t>Accessed</w:t>
          </w:r>
          <w:proofErr w:type="spellEnd"/>
          <w:r w:rsidRPr="009C123F">
            <w:t xml:space="preserve"> </w:t>
          </w:r>
          <w:proofErr w:type="spellStart"/>
          <w:r w:rsidRPr="009C123F">
            <w:t>February</w:t>
          </w:r>
          <w:proofErr w:type="spellEnd"/>
          <w:r w:rsidRPr="009C123F">
            <w:t xml:space="preserve"> 16, 2025. https://it.muni.cz/sluzby/software/ibm-spss-statistics</w:t>
          </w:r>
        </w:p>
        <w:p w14:paraId="2D4A875F" w14:textId="77777777" w:rsidR="009C123F" w:rsidRPr="009C123F" w:rsidRDefault="009C123F" w:rsidP="009C123F">
          <w:pPr>
            <w:pStyle w:val="Bibliografie"/>
          </w:pPr>
          <w:r w:rsidRPr="009C123F">
            <w:t>44.</w:t>
          </w:r>
          <w:r w:rsidRPr="009C123F">
            <w:tab/>
            <w:t xml:space="preserve">Rabušic L, Mareš P, Soukup P. </w:t>
          </w:r>
          <w:r w:rsidRPr="009C123F">
            <w:rPr>
              <w:i/>
              <w:iCs/>
            </w:rPr>
            <w:t xml:space="preserve">Statistická analýza </w:t>
          </w:r>
          <w:proofErr w:type="spellStart"/>
          <w:r w:rsidRPr="009C123F">
            <w:rPr>
              <w:i/>
              <w:iCs/>
            </w:rPr>
            <w:t>sociálněvědních</w:t>
          </w:r>
          <w:proofErr w:type="spellEnd"/>
          <w:r w:rsidRPr="009C123F">
            <w:rPr>
              <w:i/>
              <w:iCs/>
            </w:rPr>
            <w:t xml:space="preserve"> dat (prostřednictvím SPSS)</w:t>
          </w:r>
          <w:r w:rsidRPr="009C123F">
            <w:t xml:space="preserve">. 2nd </w:t>
          </w:r>
          <w:proofErr w:type="spellStart"/>
          <w:r w:rsidRPr="009C123F">
            <w:t>rev</w:t>
          </w:r>
          <w:proofErr w:type="spellEnd"/>
          <w:r w:rsidRPr="009C123F">
            <w:t xml:space="preserve">. </w:t>
          </w:r>
          <w:proofErr w:type="spellStart"/>
          <w:r w:rsidRPr="009C123F">
            <w:t>ed</w:t>
          </w:r>
          <w:proofErr w:type="spellEnd"/>
          <w:r w:rsidRPr="009C123F">
            <w:t>. Masarykova univerzita; 2019.</w:t>
          </w:r>
        </w:p>
        <w:p w14:paraId="1F380089" w14:textId="77777777" w:rsidR="009C123F" w:rsidRPr="009C123F" w:rsidRDefault="009C123F" w:rsidP="009C123F">
          <w:pPr>
            <w:pStyle w:val="Bibliografie"/>
          </w:pPr>
          <w:r w:rsidRPr="009C123F">
            <w:t>45.</w:t>
          </w:r>
          <w:r w:rsidRPr="009C123F">
            <w:tab/>
            <w:t xml:space="preserve">Topinková E, Berková M. Geriatrický pacient na oddělení urgentního příjmu. </w:t>
          </w:r>
          <w:proofErr w:type="spellStart"/>
          <w:r w:rsidRPr="009C123F">
            <w:rPr>
              <w:i/>
              <w:iCs/>
            </w:rPr>
            <w:t>Geri</w:t>
          </w:r>
          <w:proofErr w:type="spellEnd"/>
          <w:r w:rsidRPr="009C123F">
            <w:rPr>
              <w:i/>
              <w:iCs/>
            </w:rPr>
            <w:t xml:space="preserve"> Gero</w:t>
          </w:r>
          <w:r w:rsidRPr="009C123F">
            <w:t>. 2016;5(2):79-85.</w:t>
          </w:r>
        </w:p>
        <w:p w14:paraId="42794403" w14:textId="77777777" w:rsidR="009C123F" w:rsidRPr="009C123F" w:rsidRDefault="009C123F" w:rsidP="009C123F">
          <w:pPr>
            <w:pStyle w:val="Bibliografie"/>
          </w:pPr>
          <w:r w:rsidRPr="009C123F">
            <w:t>46.</w:t>
          </w:r>
          <w:r w:rsidRPr="009C123F">
            <w:tab/>
          </w:r>
          <w:proofErr w:type="spellStart"/>
          <w:r w:rsidRPr="009C123F">
            <w:t>Deutschbein</w:t>
          </w:r>
          <w:proofErr w:type="spellEnd"/>
          <w:r w:rsidRPr="009C123F">
            <w:t xml:space="preserve"> J, </w:t>
          </w:r>
          <w:proofErr w:type="spellStart"/>
          <w:r w:rsidRPr="009C123F">
            <w:t>Wagenknecht</w:t>
          </w:r>
          <w:proofErr w:type="spellEnd"/>
          <w:r w:rsidRPr="009C123F">
            <w:t xml:space="preserve"> A, </w:t>
          </w:r>
          <w:proofErr w:type="spellStart"/>
          <w:r w:rsidRPr="009C123F">
            <w:t>Gilles</w:t>
          </w:r>
          <w:proofErr w:type="spellEnd"/>
          <w:r w:rsidRPr="009C123F">
            <w:t xml:space="preserve"> G, </w:t>
          </w:r>
          <w:proofErr w:type="spellStart"/>
          <w:r w:rsidRPr="009C123F">
            <w:t>Möckel</w:t>
          </w:r>
          <w:proofErr w:type="spellEnd"/>
          <w:r w:rsidRPr="009C123F">
            <w:t xml:space="preserve"> M, Schenk L. “</w:t>
          </w:r>
          <w:proofErr w:type="spellStart"/>
          <w:r w:rsidRPr="009C123F">
            <w:t>The</w:t>
          </w:r>
          <w:proofErr w:type="spellEnd"/>
          <w:r w:rsidRPr="009C123F">
            <w:t xml:space="preserve"> </w:t>
          </w:r>
          <w:proofErr w:type="spellStart"/>
          <w:r w:rsidRPr="009C123F">
            <w:t>stay</w:t>
          </w:r>
          <w:proofErr w:type="spellEnd"/>
          <w:r w:rsidRPr="009C123F">
            <w:t xml:space="preserve"> </w:t>
          </w:r>
          <w:proofErr w:type="spellStart"/>
          <w:r w:rsidRPr="009C123F">
            <w:t>here</w:t>
          </w:r>
          <w:proofErr w:type="spellEnd"/>
          <w:r w:rsidRPr="009C123F">
            <w:t xml:space="preserve"> </w:t>
          </w:r>
          <w:proofErr w:type="spellStart"/>
          <w:r w:rsidRPr="009C123F">
            <w:t>is</w:t>
          </w:r>
          <w:proofErr w:type="spellEnd"/>
          <w:r w:rsidRPr="009C123F">
            <w:t xml:space="preserve">, </w:t>
          </w:r>
          <w:proofErr w:type="spellStart"/>
          <w:r w:rsidRPr="009C123F">
            <w:t>of</w:t>
          </w:r>
          <w:proofErr w:type="spellEnd"/>
          <w:r w:rsidRPr="009C123F">
            <w:t xml:space="preserve"> </w:t>
          </w:r>
          <w:proofErr w:type="spellStart"/>
          <w:r w:rsidRPr="009C123F">
            <w:t>course</w:t>
          </w:r>
          <w:proofErr w:type="spellEnd"/>
          <w:r w:rsidRPr="009C123F">
            <w:t xml:space="preserve">, not </w:t>
          </w:r>
          <w:proofErr w:type="spellStart"/>
          <w:r w:rsidRPr="009C123F">
            <w:t>appropriate</w:t>
          </w:r>
          <w:proofErr w:type="spellEnd"/>
          <w:r w:rsidRPr="009C123F">
            <w:t xml:space="preserve"> </w:t>
          </w:r>
          <w:proofErr w:type="spellStart"/>
          <w:r w:rsidRPr="009C123F">
            <w:t>for</w:t>
          </w:r>
          <w:proofErr w:type="spellEnd"/>
          <w:r w:rsidRPr="009C123F">
            <w:t xml:space="preserve"> </w:t>
          </w:r>
          <w:proofErr w:type="spellStart"/>
          <w:r w:rsidRPr="009C123F">
            <w:t>an</w:t>
          </w:r>
          <w:proofErr w:type="spellEnd"/>
          <w:r w:rsidRPr="009C123F">
            <w:t xml:space="preserve"> </w:t>
          </w:r>
          <w:proofErr w:type="spellStart"/>
          <w:r w:rsidRPr="009C123F">
            <w:t>old</w:t>
          </w:r>
          <w:proofErr w:type="spellEnd"/>
          <w:r w:rsidRPr="009C123F">
            <w:t xml:space="preserve"> person”: </w:t>
          </w:r>
          <w:proofErr w:type="spellStart"/>
          <w:r w:rsidRPr="009C123F">
            <w:t>the</w:t>
          </w:r>
          <w:proofErr w:type="spellEnd"/>
          <w:r w:rsidRPr="009C123F">
            <w:t xml:space="preserve"> </w:t>
          </w:r>
          <w:proofErr w:type="spellStart"/>
          <w:r w:rsidRPr="009C123F">
            <w:t>perspective</w:t>
          </w:r>
          <w:proofErr w:type="spellEnd"/>
          <w:r w:rsidRPr="009C123F">
            <w:t xml:space="preserve"> </w:t>
          </w:r>
          <w:proofErr w:type="spellStart"/>
          <w:r w:rsidRPr="009C123F">
            <w:t>of</w:t>
          </w:r>
          <w:proofErr w:type="spellEnd"/>
          <w:r w:rsidRPr="009C123F">
            <w:t xml:space="preserve"> </w:t>
          </w:r>
          <w:proofErr w:type="spellStart"/>
          <w:r w:rsidRPr="009C123F">
            <w:t>healthcare</w:t>
          </w:r>
          <w:proofErr w:type="spellEnd"/>
          <w:r w:rsidRPr="009C123F">
            <w:t xml:space="preserve"> </w:t>
          </w:r>
          <w:proofErr w:type="spellStart"/>
          <w:r w:rsidRPr="009C123F">
            <w:t>providers</w:t>
          </w:r>
          <w:proofErr w:type="spellEnd"/>
          <w:r w:rsidRPr="009C123F">
            <w:t xml:space="preserve"> on </w:t>
          </w:r>
          <w:proofErr w:type="spellStart"/>
          <w:r w:rsidRPr="009C123F">
            <w:t>older</w:t>
          </w:r>
          <w:proofErr w:type="spellEnd"/>
          <w:r w:rsidRPr="009C123F">
            <w:t xml:space="preserve"> </w:t>
          </w:r>
          <w:proofErr w:type="spellStart"/>
          <w:r w:rsidRPr="009C123F">
            <w:t>patients</w:t>
          </w:r>
          <w:proofErr w:type="spellEnd"/>
          <w:r w:rsidRPr="009C123F">
            <w:t xml:space="preserve"> in </w:t>
          </w:r>
          <w:proofErr w:type="spellStart"/>
          <w:r w:rsidRPr="009C123F">
            <w:t>the</w:t>
          </w:r>
          <w:proofErr w:type="spellEnd"/>
          <w:r w:rsidRPr="009C123F">
            <w:t xml:space="preserve"> </w:t>
          </w:r>
          <w:proofErr w:type="spellStart"/>
          <w:r w:rsidRPr="009C123F">
            <w:t>emergency</w:t>
          </w:r>
          <w:proofErr w:type="spellEnd"/>
          <w:r w:rsidRPr="009C123F">
            <w:t xml:space="preserve"> department. </w:t>
          </w:r>
          <w:r w:rsidRPr="009C123F">
            <w:rPr>
              <w:i/>
              <w:iCs/>
            </w:rPr>
            <w:t>BMC Geriatr</w:t>
          </w:r>
          <w:r w:rsidRPr="009C123F">
            <w:t xml:space="preserve">. </w:t>
          </w:r>
          <w:proofErr w:type="gramStart"/>
          <w:r w:rsidRPr="009C123F">
            <w:t>2024;24:890</w:t>
          </w:r>
          <w:proofErr w:type="gramEnd"/>
          <w:r w:rsidRPr="009C123F">
            <w:t>. doi:10.1186/s12877-024-05429-9</w:t>
          </w:r>
        </w:p>
        <w:p w14:paraId="4133026D" w14:textId="77777777" w:rsidR="009C123F" w:rsidRPr="009C123F" w:rsidRDefault="009C123F" w:rsidP="009C123F">
          <w:pPr>
            <w:pStyle w:val="Bibliografie"/>
          </w:pPr>
          <w:r w:rsidRPr="009C123F">
            <w:t>47.</w:t>
          </w:r>
          <w:r w:rsidRPr="009C123F">
            <w:tab/>
          </w:r>
          <w:proofErr w:type="spellStart"/>
          <w:r w:rsidRPr="009C123F">
            <w:t>Ukkonen</w:t>
          </w:r>
          <w:proofErr w:type="spellEnd"/>
          <w:r w:rsidRPr="009C123F">
            <w:t xml:space="preserve"> M, </w:t>
          </w:r>
          <w:proofErr w:type="spellStart"/>
          <w:r w:rsidRPr="009C123F">
            <w:t>Jämsen</w:t>
          </w:r>
          <w:proofErr w:type="spellEnd"/>
          <w:r w:rsidRPr="009C123F">
            <w:t xml:space="preserve"> E, </w:t>
          </w:r>
          <w:proofErr w:type="spellStart"/>
          <w:r w:rsidRPr="009C123F">
            <w:t>Zeitlin</w:t>
          </w:r>
          <w:proofErr w:type="spellEnd"/>
          <w:r w:rsidRPr="009C123F">
            <w:t xml:space="preserve"> R, </w:t>
          </w:r>
          <w:proofErr w:type="spellStart"/>
          <w:r w:rsidRPr="009C123F">
            <w:t>Pauniaho</w:t>
          </w:r>
          <w:proofErr w:type="spellEnd"/>
          <w:r w:rsidRPr="009C123F">
            <w:t xml:space="preserve"> SL. </w:t>
          </w:r>
          <w:proofErr w:type="spellStart"/>
          <w:r w:rsidRPr="009C123F">
            <w:t>Emergency</w:t>
          </w:r>
          <w:proofErr w:type="spellEnd"/>
          <w:r w:rsidRPr="009C123F">
            <w:t xml:space="preserve"> department </w:t>
          </w:r>
          <w:proofErr w:type="spellStart"/>
          <w:r w:rsidRPr="009C123F">
            <w:t>visits</w:t>
          </w:r>
          <w:proofErr w:type="spellEnd"/>
          <w:r w:rsidRPr="009C123F">
            <w:t xml:space="preserve"> in </w:t>
          </w:r>
          <w:proofErr w:type="spellStart"/>
          <w:r w:rsidRPr="009C123F">
            <w:t>older</w:t>
          </w:r>
          <w:proofErr w:type="spellEnd"/>
          <w:r w:rsidRPr="009C123F">
            <w:t xml:space="preserve"> </w:t>
          </w:r>
          <w:proofErr w:type="spellStart"/>
          <w:r w:rsidRPr="009C123F">
            <w:t>patients</w:t>
          </w:r>
          <w:proofErr w:type="spellEnd"/>
          <w:r w:rsidRPr="009C123F">
            <w:t xml:space="preserve">: a </w:t>
          </w:r>
          <w:proofErr w:type="spellStart"/>
          <w:r w:rsidRPr="009C123F">
            <w:t>population-based</w:t>
          </w:r>
          <w:proofErr w:type="spellEnd"/>
          <w:r w:rsidRPr="009C123F">
            <w:t xml:space="preserve"> </w:t>
          </w:r>
          <w:proofErr w:type="spellStart"/>
          <w:r w:rsidRPr="009C123F">
            <w:t>survey</w:t>
          </w:r>
          <w:proofErr w:type="spellEnd"/>
          <w:r w:rsidRPr="009C123F">
            <w:t xml:space="preserve">. </w:t>
          </w:r>
          <w:r w:rsidRPr="009C123F">
            <w:rPr>
              <w:i/>
              <w:iCs/>
            </w:rPr>
            <w:t xml:space="preserve">BMC </w:t>
          </w:r>
          <w:proofErr w:type="spellStart"/>
          <w:r w:rsidRPr="009C123F">
            <w:rPr>
              <w:i/>
              <w:iCs/>
            </w:rPr>
            <w:t>Emerg</w:t>
          </w:r>
          <w:proofErr w:type="spellEnd"/>
          <w:r w:rsidRPr="009C123F">
            <w:rPr>
              <w:i/>
              <w:iCs/>
            </w:rPr>
            <w:t xml:space="preserve"> Med</w:t>
          </w:r>
          <w:r w:rsidRPr="009C123F">
            <w:t>. 2019;19(1):20. doi:10.1186/s12873-019-0236-3</w:t>
          </w:r>
        </w:p>
        <w:p w14:paraId="5CF0F98B" w14:textId="77777777" w:rsidR="009C123F" w:rsidRPr="009C123F" w:rsidRDefault="009C123F" w:rsidP="009C123F">
          <w:pPr>
            <w:pStyle w:val="Bibliografie"/>
          </w:pPr>
          <w:r w:rsidRPr="009C123F">
            <w:t>48.</w:t>
          </w:r>
          <w:r w:rsidRPr="009C123F">
            <w:tab/>
            <w:t xml:space="preserve">Šimková M, </w:t>
          </w:r>
          <w:proofErr w:type="spellStart"/>
          <w:r w:rsidRPr="009C123F">
            <w:t>Langhamrová</w:t>
          </w:r>
          <w:proofErr w:type="spellEnd"/>
          <w:r w:rsidRPr="009C123F">
            <w:t xml:space="preserve"> J. Kvalitativní faktory stárnutí populace. </w:t>
          </w:r>
          <w:r w:rsidRPr="009C123F">
            <w:rPr>
              <w:i/>
              <w:iCs/>
            </w:rPr>
            <w:t>Demografie</w:t>
          </w:r>
          <w:r w:rsidRPr="009C123F">
            <w:t>. 2017;59(1):49-64.</w:t>
          </w:r>
        </w:p>
        <w:p w14:paraId="78A4A6B9" w14:textId="2306744E" w:rsidR="00BF14D0" w:rsidRDefault="00BF14D0" w:rsidP="003C3B34">
          <w:pPr>
            <w:pStyle w:val="Bibliografie"/>
          </w:pPr>
          <w:r>
            <w:fldChar w:fldCharType="end"/>
          </w:r>
        </w:p>
        <w:p w14:paraId="5F9CF247" w14:textId="77777777" w:rsidR="005E4C2C" w:rsidRPr="00F57FBB" w:rsidRDefault="00000000" w:rsidP="006D4F47">
          <w:pPr>
            <w:pStyle w:val="Bibliografie"/>
          </w:pPr>
        </w:p>
      </w:sdtContent>
    </w:sdt>
    <w:p w14:paraId="23077D5D" w14:textId="77777777" w:rsidR="005E4C2C" w:rsidRPr="00746487" w:rsidRDefault="005E4C2C" w:rsidP="005E4C2C">
      <w:pPr>
        <w:pStyle w:val="ZPLiteratura"/>
        <w:numPr>
          <w:ilvl w:val="0"/>
          <w:numId w:val="0"/>
        </w:numPr>
        <w:ind w:left="720" w:hanging="360"/>
        <w:sectPr w:rsidR="005E4C2C" w:rsidRPr="00746487" w:rsidSect="002005DB">
          <w:headerReference w:type="even" r:id="rId39"/>
          <w:headerReference w:type="default" r:id="rId40"/>
          <w:type w:val="oddPage"/>
          <w:pgSz w:w="11906" w:h="16838" w:code="9"/>
          <w:pgMar w:top="1980" w:right="1140" w:bottom="2380" w:left="1140" w:header="1140" w:footer="1420" w:gutter="860"/>
          <w:cols w:space="708"/>
          <w:docGrid w:linePitch="360"/>
        </w:sectPr>
      </w:pPr>
    </w:p>
    <w:p w14:paraId="71611E04" w14:textId="171A40CF" w:rsidR="009F057F" w:rsidRDefault="005C1B44" w:rsidP="00940DA7">
      <w:pPr>
        <w:pStyle w:val="Ploha1"/>
      </w:pPr>
      <w:bookmarkStart w:id="70" w:name="_Toc73693983"/>
      <w:bookmarkStart w:id="71" w:name="_Toc73694019"/>
      <w:bookmarkStart w:id="72" w:name="_Toc89961851"/>
      <w:bookmarkStart w:id="73" w:name="_Toc195517123"/>
      <w:bookmarkStart w:id="74" w:name="_Toc195517158"/>
      <w:r>
        <w:lastRenderedPageBreak/>
        <w:t>Ž</w:t>
      </w:r>
      <w:bookmarkEnd w:id="70"/>
      <w:bookmarkEnd w:id="71"/>
      <w:bookmarkEnd w:id="72"/>
      <w:r>
        <w:t>ádost o sběr dat</w:t>
      </w:r>
      <w:r w:rsidR="00834AF3">
        <w:t xml:space="preserve"> pro studijní účely</w:t>
      </w:r>
      <w:bookmarkEnd w:id="73"/>
      <w:bookmarkEnd w:id="74"/>
    </w:p>
    <w:p w14:paraId="35C9795D" w14:textId="04670643" w:rsidR="00BD14B8" w:rsidRDefault="004E0CC3" w:rsidP="00BD14B8">
      <w:pPr>
        <w:pStyle w:val="Odstavec1"/>
        <w:rPr>
          <w:lang w:val="en-GB"/>
        </w:rPr>
      </w:pPr>
      <w:r>
        <w:rPr>
          <w:noProof/>
        </w:rPr>
        <w:drawing>
          <wp:inline distT="0" distB="0" distL="0" distR="0" wp14:anchorId="7F67F76D" wp14:editId="22BE30E0">
            <wp:extent cx="5184775" cy="7378557"/>
            <wp:effectExtent l="0" t="0" r="0" b="0"/>
            <wp:docPr id="774212304" name="Obrázek 3" descr="Obsah obrázku text, snímek obrazovky, Písmo, dokument&#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212304" name="Obrázek 3" descr="Obsah obrázku text, snímek obrazovky, Písmo, dokument&#10;&#10;Obsah vygenerovaný umělou inteligencí může být nesprávný."/>
                    <pic:cNvPicPr>
                      <a:picLocks noChangeAspect="1" noChangeArrowheads="1"/>
                    </pic:cNvPicPr>
                  </pic:nvPicPr>
                  <pic:blipFill rotWithShape="1">
                    <a:blip r:embed="rId41">
                      <a:extLst>
                        <a:ext uri="{28A0092B-C50C-407E-A947-70E740481C1C}">
                          <a14:useLocalDpi xmlns:a14="http://schemas.microsoft.com/office/drawing/2010/main" val="0"/>
                        </a:ext>
                      </a:extLst>
                    </a:blip>
                    <a:srcRect l="1284" t="902" r="1200" b="1662"/>
                    <a:stretch/>
                  </pic:blipFill>
                  <pic:spPr bwMode="auto">
                    <a:xfrm>
                      <a:off x="0" y="0"/>
                      <a:ext cx="5185812" cy="7380033"/>
                    </a:xfrm>
                    <a:prstGeom prst="rect">
                      <a:avLst/>
                    </a:prstGeom>
                    <a:noFill/>
                    <a:ln>
                      <a:noFill/>
                    </a:ln>
                    <a:extLst>
                      <a:ext uri="{53640926-AAD7-44D8-BBD7-CCE9431645EC}">
                        <a14:shadowObscured xmlns:a14="http://schemas.microsoft.com/office/drawing/2010/main"/>
                      </a:ext>
                    </a:extLst>
                  </pic:spPr>
                </pic:pic>
              </a:graphicData>
            </a:graphic>
          </wp:inline>
        </w:drawing>
      </w:r>
    </w:p>
    <w:p w14:paraId="3F8C12BD" w14:textId="4D83CDE5" w:rsidR="007C0619" w:rsidRDefault="003D07C6" w:rsidP="00B625B3">
      <w:pPr>
        <w:pStyle w:val="Dalodstavce"/>
        <w:rPr>
          <w:b/>
          <w:bCs/>
        </w:rPr>
      </w:pPr>
      <w:r>
        <w:rPr>
          <w:noProof/>
        </w:rPr>
        <w:lastRenderedPageBreak/>
        <w:drawing>
          <wp:inline distT="0" distB="0" distL="0" distR="0" wp14:anchorId="7F2FA199" wp14:editId="77C9E398">
            <wp:extent cx="5308600" cy="7548425"/>
            <wp:effectExtent l="0" t="0" r="6350" b="0"/>
            <wp:docPr id="725583163" name="Obrázek 4" descr="Obsah obrázku text, snímek obrazovky, Písmo, čísl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583163" name="Obrázek 4" descr="Obsah obrázku text, snímek obrazovky, Písmo, číslo&#10;&#10;Obsah vygenerovaný umělou inteligencí může být nesprávný."/>
                    <pic:cNvPicPr>
                      <a:picLocks noChangeAspect="1" noChangeArrowheads="1"/>
                    </pic:cNvPicPr>
                  </pic:nvPicPr>
                  <pic:blipFill rotWithShape="1">
                    <a:blip r:embed="rId42">
                      <a:extLst>
                        <a:ext uri="{28A0092B-C50C-407E-A947-70E740481C1C}">
                          <a14:useLocalDpi xmlns:a14="http://schemas.microsoft.com/office/drawing/2010/main" val="0"/>
                        </a:ext>
                      </a:extLst>
                    </a:blip>
                    <a:srcRect l="1284" t="904" r="747" b="980"/>
                    <a:stretch/>
                  </pic:blipFill>
                  <pic:spPr bwMode="auto">
                    <a:xfrm>
                      <a:off x="0" y="0"/>
                      <a:ext cx="5407718" cy="7689363"/>
                    </a:xfrm>
                    <a:prstGeom prst="rect">
                      <a:avLst/>
                    </a:prstGeom>
                    <a:noFill/>
                    <a:ln>
                      <a:noFill/>
                    </a:ln>
                    <a:extLst>
                      <a:ext uri="{53640926-AAD7-44D8-BBD7-CCE9431645EC}">
                        <a14:shadowObscured xmlns:a14="http://schemas.microsoft.com/office/drawing/2010/main"/>
                      </a:ext>
                    </a:extLst>
                  </pic:spPr>
                </pic:pic>
              </a:graphicData>
            </a:graphic>
          </wp:inline>
        </w:drawing>
      </w:r>
    </w:p>
    <w:sectPr w:rsidR="007C0619" w:rsidSect="002005DB">
      <w:headerReference w:type="even" r:id="rId43"/>
      <w:headerReference w:type="default" r:id="rId44"/>
      <w:pgSz w:w="11906" w:h="16838" w:code="9"/>
      <w:pgMar w:top="1980" w:right="1140" w:bottom="2380" w:left="1140" w:header="1140" w:footer="1420" w:gutter="8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CCEA3" w14:textId="77777777" w:rsidR="009A28C7" w:rsidRDefault="009A28C7">
      <w:r>
        <w:separator/>
      </w:r>
    </w:p>
    <w:p w14:paraId="1C1005C1" w14:textId="77777777" w:rsidR="009A28C7" w:rsidRDefault="009A28C7"/>
    <w:p w14:paraId="2DB97BFB" w14:textId="77777777" w:rsidR="009A28C7" w:rsidRDefault="009A28C7"/>
    <w:p w14:paraId="3FD60EDF" w14:textId="77777777" w:rsidR="009A28C7" w:rsidRDefault="009A28C7"/>
    <w:p w14:paraId="12054DD1" w14:textId="77777777" w:rsidR="009A28C7" w:rsidRDefault="009A28C7"/>
    <w:p w14:paraId="7087055E" w14:textId="77777777" w:rsidR="009A28C7" w:rsidRDefault="009A28C7"/>
  </w:endnote>
  <w:endnote w:type="continuationSeparator" w:id="0">
    <w:p w14:paraId="3B11CEA7" w14:textId="77777777" w:rsidR="009A28C7" w:rsidRDefault="009A28C7">
      <w:r>
        <w:continuationSeparator/>
      </w:r>
    </w:p>
    <w:p w14:paraId="3531AE57" w14:textId="77777777" w:rsidR="009A28C7" w:rsidRDefault="009A28C7"/>
    <w:p w14:paraId="4DFA18FF" w14:textId="77777777" w:rsidR="009A28C7" w:rsidRDefault="009A28C7"/>
    <w:p w14:paraId="0E9DBCDD" w14:textId="77777777" w:rsidR="009A28C7" w:rsidRDefault="009A28C7"/>
    <w:p w14:paraId="54633609" w14:textId="77777777" w:rsidR="009A28C7" w:rsidRDefault="009A28C7"/>
    <w:p w14:paraId="7D1CE99B" w14:textId="77777777" w:rsidR="009A28C7" w:rsidRDefault="009A28C7"/>
  </w:endnote>
  <w:endnote w:type="continuationNotice" w:id="1">
    <w:p w14:paraId="43ABAA2E" w14:textId="77777777" w:rsidR="009A28C7" w:rsidRDefault="009A28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DD8F1" w14:textId="77777777" w:rsidR="00E41640" w:rsidRDefault="00E41640" w:rsidP="0095124B">
    <w:pPr>
      <w:pStyle w:val="ZPZaptsud"/>
    </w:pPr>
    <w:r>
      <w:fldChar w:fldCharType="begin"/>
    </w:r>
    <w:r>
      <w:instrText xml:space="preserve"> PAGE  \* Arabic  \* MERGEFORMAT </w:instrText>
    </w:r>
    <w:r>
      <w:fldChar w:fldCharType="separate"/>
    </w:r>
    <w:r w:rsidR="002155EC">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ADF35" w14:textId="77777777" w:rsidR="00387B07" w:rsidRPr="00920AB6" w:rsidRDefault="00387B07" w:rsidP="00920AB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0550" w14:textId="77777777" w:rsidR="002155EC" w:rsidRDefault="002155EC" w:rsidP="0095124B">
    <w:pPr>
      <w:pStyle w:val="ZPZaptsud"/>
    </w:pPr>
    <w:r>
      <w:fldChar w:fldCharType="begin"/>
    </w:r>
    <w:r>
      <w:instrText xml:space="preserve"> PAGE  \* Arabic  \* MERGEFORMAT </w:instrText>
    </w:r>
    <w:r>
      <w:fldChar w:fldCharType="separate"/>
    </w:r>
    <w:r w:rsidR="00A05FCE">
      <w:rPr>
        <w:noProof/>
      </w:rPr>
      <w:t>14</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58FBA" w14:textId="77777777" w:rsidR="002155EC" w:rsidRDefault="002155EC" w:rsidP="0095124B">
    <w:pPr>
      <w:pStyle w:val="ZPZapatlich"/>
    </w:pPr>
    <w:r>
      <w:fldChar w:fldCharType="begin"/>
    </w:r>
    <w:r>
      <w:instrText>PAGE   \* MERGEFORMAT</w:instrText>
    </w:r>
    <w:r>
      <w:fldChar w:fldCharType="separate"/>
    </w:r>
    <w:r w:rsidR="00A05FCE">
      <w:rPr>
        <w:noProof/>
      </w:rPr>
      <w:t>7</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A4C24" w14:textId="77777777" w:rsidR="00F02FCC" w:rsidRPr="0089154B" w:rsidRDefault="00F02FCC" w:rsidP="00F02FCC">
    <w:pPr>
      <w:pStyle w:val="Zpat"/>
      <w:rPr>
        <w:color w:val="BFBFBF" w:themeColor="background1" w:themeShade="BF"/>
        <w:sz w:val="16"/>
        <w:szCs w:val="16"/>
      </w:rPr>
    </w:pPr>
    <w:r w:rsidRPr="0089154B">
      <w:rPr>
        <w:color w:val="BFBFBF" w:themeColor="background1" w:themeShade="BF"/>
        <w:sz w:val="16"/>
        <w:szCs w:val="16"/>
      </w:rPr>
      <w:t>Š</w:t>
    </w:r>
    <w:r>
      <w:rPr>
        <w:color w:val="BFBFBF" w:themeColor="background1" w:themeShade="BF"/>
        <w:sz w:val="16"/>
        <w:szCs w:val="16"/>
      </w:rPr>
      <w:t xml:space="preserve">ablona DP </w:t>
    </w:r>
    <w:r w:rsidR="00BF14D0">
      <w:rPr>
        <w:color w:val="BFBFBF" w:themeColor="background1" w:themeShade="BF"/>
        <w:sz w:val="16"/>
        <w:szCs w:val="16"/>
        <w:lang w:val="en-US"/>
      </w:rPr>
      <w:t>3.4.1</w:t>
    </w:r>
    <w:r w:rsidR="006959C8">
      <w:rPr>
        <w:color w:val="BFBFBF" w:themeColor="background1" w:themeShade="BF"/>
        <w:sz w:val="16"/>
        <w:szCs w:val="16"/>
      </w:rPr>
      <w:t>-</w:t>
    </w:r>
    <w:r w:rsidR="00BF14D0">
      <w:rPr>
        <w:color w:val="BFBFBF" w:themeColor="background1" w:themeShade="BF"/>
        <w:sz w:val="16"/>
        <w:szCs w:val="16"/>
        <w:lang w:val="en-US"/>
      </w:rPr>
      <w:t>MED-</w:t>
    </w:r>
    <w:proofErr w:type="spellStart"/>
    <w:r w:rsidR="00BF14D0">
      <w:rPr>
        <w:color w:val="BFBFBF" w:themeColor="background1" w:themeShade="BF"/>
        <w:sz w:val="16"/>
        <w:szCs w:val="16"/>
        <w:lang w:val="en-US"/>
      </w:rPr>
      <w:t>dipl</w:t>
    </w:r>
    <w:proofErr w:type="spellEnd"/>
    <w:r w:rsidR="00BF14D0">
      <w:rPr>
        <w:color w:val="BFBFBF" w:themeColor="background1" w:themeShade="BF"/>
        <w:sz w:val="16"/>
        <w:szCs w:val="16"/>
        <w:lang w:val="en-US"/>
      </w:rPr>
      <w:t>-</w:t>
    </w:r>
    <w:proofErr w:type="spellStart"/>
    <w:r w:rsidR="00BF14D0">
      <w:rPr>
        <w:color w:val="BFBFBF" w:themeColor="background1" w:themeShade="BF"/>
        <w:sz w:val="16"/>
        <w:szCs w:val="16"/>
        <w:lang w:val="en-US"/>
      </w:rPr>
      <w:t>cesky</w:t>
    </w:r>
    <w:proofErr w:type="spellEnd"/>
    <w:r>
      <w:rPr>
        <w:color w:val="BFBFBF" w:themeColor="background1" w:themeShade="BF"/>
        <w:sz w:val="16"/>
        <w:szCs w:val="16"/>
      </w:rPr>
      <w:t xml:space="preserve"> (</w:t>
    </w:r>
    <w:r w:rsidR="00BF14D0">
      <w:rPr>
        <w:color w:val="BFBFBF" w:themeColor="background1" w:themeShade="BF"/>
        <w:sz w:val="16"/>
        <w:szCs w:val="16"/>
      </w:rPr>
      <w:t>2022-11-10</w:t>
    </w:r>
    <w:r w:rsidRPr="0089154B">
      <w:rPr>
        <w:color w:val="BFBFBF" w:themeColor="background1" w:themeShade="BF"/>
        <w:sz w:val="16"/>
        <w:szCs w:val="16"/>
      </w:rPr>
      <w:t>) © 2014, 2016</w:t>
    </w:r>
    <w:r>
      <w:rPr>
        <w:color w:val="BFBFBF" w:themeColor="background1" w:themeShade="BF"/>
        <w:sz w:val="16"/>
        <w:szCs w:val="16"/>
      </w:rPr>
      <w:t>, 2018</w:t>
    </w:r>
    <w:r w:rsidR="005904F8">
      <w:rPr>
        <w:color w:val="BFBFBF" w:themeColor="background1" w:themeShade="BF"/>
        <w:sz w:val="16"/>
        <w:szCs w:val="16"/>
      </w:rPr>
      <w:t>–202</w:t>
    </w:r>
    <w:r w:rsidR="00504943">
      <w:rPr>
        <w:color w:val="BFBFBF" w:themeColor="background1" w:themeShade="BF"/>
        <w:sz w:val="16"/>
        <w:szCs w:val="16"/>
      </w:rPr>
      <w:t>1</w:t>
    </w:r>
    <w:r w:rsidRPr="0089154B">
      <w:rPr>
        <w:color w:val="BFBFBF" w:themeColor="background1" w:themeShade="BF"/>
        <w:sz w:val="16"/>
        <w:szCs w:val="16"/>
      </w:rPr>
      <w:t xml:space="preserve"> </w:t>
    </w:r>
    <w:r w:rsidR="00C63745">
      <w:rPr>
        <w:color w:val="BFBFBF" w:themeColor="background1" w:themeShade="BF"/>
        <w:sz w:val="16"/>
        <w:szCs w:val="16"/>
      </w:rPr>
      <w:t>Masarykova univerzita</w:t>
    </w:r>
    <w:r w:rsidR="006A6C98">
      <w:rPr>
        <w:color w:val="BFBFBF" w:themeColor="background1" w:themeShade="BF"/>
        <w:sz w:val="16"/>
        <w:szCs w:val="16"/>
      </w:rPr>
      <w:tab/>
    </w:r>
    <w:r w:rsidR="006A6C98">
      <w:rPr>
        <w:smallCaps/>
        <w:noProof/>
      </w:rPr>
      <w:fldChar w:fldCharType="begin"/>
    </w:r>
    <w:r w:rsidR="006A6C98">
      <w:rPr>
        <w:smallCaps/>
        <w:noProof/>
      </w:rPr>
      <w:instrText>PAGE   \* MERGEFORMAT</w:instrText>
    </w:r>
    <w:r w:rsidR="006A6C98">
      <w:rPr>
        <w:smallCaps/>
        <w:noProof/>
      </w:rPr>
      <w:fldChar w:fldCharType="separate"/>
    </w:r>
    <w:r w:rsidR="00A05FCE">
      <w:rPr>
        <w:smallCaps/>
        <w:noProof/>
      </w:rPr>
      <w:t>9</w:t>
    </w:r>
    <w:r w:rsidR="006A6C98">
      <w:rPr>
        <w:smallCaps/>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2FE00" w14:textId="77777777" w:rsidR="0089154B" w:rsidRPr="0089154B" w:rsidRDefault="008B5E98" w:rsidP="00920AB6">
    <w:pPr>
      <w:pStyle w:val="Zpat"/>
      <w:rPr>
        <w:color w:val="BFBFBF" w:themeColor="background1" w:themeShade="BF"/>
        <w:sz w:val="16"/>
        <w:szCs w:val="16"/>
      </w:rPr>
    </w:pPr>
    <w:r w:rsidRPr="0089154B">
      <w:rPr>
        <w:color w:val="BFBFBF" w:themeColor="background1" w:themeShade="BF"/>
        <w:sz w:val="16"/>
        <w:szCs w:val="16"/>
      </w:rPr>
      <w:t>Š</w:t>
    </w:r>
    <w:r>
      <w:rPr>
        <w:color w:val="BFBFBF" w:themeColor="background1" w:themeShade="BF"/>
        <w:sz w:val="16"/>
        <w:szCs w:val="16"/>
      </w:rPr>
      <w:t>ablona DP 2.0.1 (9</w:t>
    </w:r>
    <w:r w:rsidRPr="0089154B">
      <w:rPr>
        <w:color w:val="BFBFBF" w:themeColor="background1" w:themeShade="BF"/>
        <w:sz w:val="16"/>
        <w:szCs w:val="16"/>
      </w:rPr>
      <w:t xml:space="preserve">. </w:t>
    </w:r>
    <w:r>
      <w:rPr>
        <w:color w:val="BFBFBF" w:themeColor="background1" w:themeShade="BF"/>
        <w:sz w:val="16"/>
        <w:szCs w:val="16"/>
      </w:rPr>
      <w:t>ledna 2018</w:t>
    </w:r>
    <w:r w:rsidRPr="0089154B">
      <w:rPr>
        <w:color w:val="BFBFBF" w:themeColor="background1" w:themeShade="BF"/>
        <w:sz w:val="16"/>
        <w:szCs w:val="16"/>
      </w:rPr>
      <w:t>) © 2014, 2016</w:t>
    </w:r>
    <w:r>
      <w:rPr>
        <w:color w:val="BFBFBF" w:themeColor="background1" w:themeShade="BF"/>
        <w:sz w:val="16"/>
        <w:szCs w:val="16"/>
      </w:rPr>
      <w:t>, 2018</w:t>
    </w:r>
    <w:r w:rsidRPr="0089154B">
      <w:rPr>
        <w:color w:val="BFBFBF" w:themeColor="background1" w:themeShade="BF"/>
        <w:sz w:val="16"/>
        <w:szCs w:val="16"/>
      </w:rPr>
      <w:t xml:space="preserve"> Právnická fakulta Masarykovy univerzity</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70CAB" w14:textId="77777777" w:rsidR="0089154B" w:rsidRDefault="00E41640" w:rsidP="0095124B">
    <w:pPr>
      <w:pStyle w:val="ZPZapatlich"/>
    </w:pPr>
    <w:r>
      <w:fldChar w:fldCharType="begin"/>
    </w:r>
    <w:r>
      <w:instrText xml:space="preserve"> PAGE  \* Arabic  \* MERGEFORMAT </w:instrText>
    </w:r>
    <w:r>
      <w:fldChar w:fldCharType="separate"/>
    </w:r>
    <w:r w:rsidR="00A05FCE">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A336F" w14:textId="77777777" w:rsidR="009A28C7" w:rsidRDefault="009A28C7">
      <w:r>
        <w:separator/>
      </w:r>
    </w:p>
  </w:footnote>
  <w:footnote w:type="continuationSeparator" w:id="0">
    <w:p w14:paraId="7EA1AB05" w14:textId="77777777" w:rsidR="009A28C7" w:rsidRDefault="009A28C7">
      <w:r>
        <w:continuationSeparator/>
      </w:r>
    </w:p>
  </w:footnote>
  <w:footnote w:type="continuationNotice" w:id="1">
    <w:p w14:paraId="554AA51E" w14:textId="77777777" w:rsidR="009A28C7" w:rsidRDefault="009A28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159B4" w14:textId="49C3E4EC" w:rsidR="00013C69" w:rsidRDefault="00000000" w:rsidP="00013C69">
    <w:pPr>
      <w:pStyle w:val="ZPZhlavvlevo"/>
    </w:pPr>
    <w:sdt>
      <w:sdtPr>
        <w:alias w:val="Název"/>
        <w:tag w:val=""/>
        <w:id w:val="-1020700601"/>
        <w:placeholder>
          <w:docPart w:val="9729234533D441BD9542CED1A20D8267"/>
        </w:placeholder>
        <w:dataBinding w:prefixMappings="xmlns:ns0='http://purl.org/dc/elements/1.1/' xmlns:ns1='http://schemas.openxmlformats.org/package/2006/metadata/core-properties' " w:xpath="/ns1:coreProperties[1]/ns0:title[1]" w:storeItemID="{6C3C8BC8-F283-45AE-878A-BAB7291924A1}"/>
        <w:text/>
      </w:sdtPr>
      <w:sdtContent>
        <w:r w:rsidR="00B55ACA">
          <w:t>Stárnutí české populace a jeho dopady na urgentní příjmy</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13EFC" w14:textId="0AC8F25E" w:rsidR="00387B07" w:rsidRPr="00B90C89" w:rsidRDefault="00181CDB" w:rsidP="00C612F9">
    <w:pPr>
      <w:pStyle w:val="ZPZhlavvpravo"/>
    </w:pPr>
    <w:r w:rsidRPr="00B90C89">
      <w:rPr>
        <w:noProof/>
      </w:rPr>
      <w:fldChar w:fldCharType="begin"/>
    </w:r>
    <w:r w:rsidRPr="00B90C89">
      <w:rPr>
        <w:noProof/>
      </w:rPr>
      <w:instrText xml:space="preserve"> STYLEREF  </w:instrText>
    </w:r>
    <w:r w:rsidR="00B04FEC" w:rsidRPr="00B90C89">
      <w:rPr>
        <w:noProof/>
      </w:rPr>
      <w:instrText>1</w:instrText>
    </w:r>
    <w:r w:rsidRPr="00B90C89">
      <w:rPr>
        <w:noProof/>
      </w:rPr>
      <w:instrText xml:space="preserve">  \* MERGEFORMAT </w:instrText>
    </w:r>
    <w:r w:rsidRPr="00B90C89">
      <w:rPr>
        <w:noProof/>
      </w:rPr>
      <w:fldChar w:fldCharType="separate"/>
    </w:r>
    <w:r w:rsidR="009C123F">
      <w:rPr>
        <w:noProof/>
      </w:rPr>
      <w:t>Závěr</w:t>
    </w:r>
    <w:r w:rsidRPr="00B90C89">
      <w:rPr>
        <w:noProof/>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4E971" w14:textId="0783694A" w:rsidR="00B04FEC" w:rsidRPr="009951BF" w:rsidRDefault="00B04FEC" w:rsidP="00D063DA">
    <w:pPr>
      <w:pStyle w:val="ZPZhlavvlevo"/>
      <w:tabs>
        <w:tab w:val="left" w:pos="4740"/>
      </w:tabs>
    </w:pPr>
    <w:r>
      <w:rPr>
        <w:noProof/>
      </w:rPr>
      <w:fldChar w:fldCharType="begin"/>
    </w:r>
    <w:r>
      <w:rPr>
        <w:noProof/>
      </w:rPr>
      <w:instrText xml:space="preserve"> STYLEREF  "Nadpis 1*"  \* MERGEFORMAT </w:instrText>
    </w:r>
    <w:r>
      <w:rPr>
        <w:noProof/>
      </w:rPr>
      <w:fldChar w:fldCharType="separate"/>
    </w:r>
    <w:r w:rsidR="009C123F">
      <w:rPr>
        <w:noProof/>
      </w:rPr>
      <w:t>Použité zdroje</w:t>
    </w:r>
    <w:r>
      <w:rPr>
        <w:noProof/>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29191" w14:textId="3DFFDBFD" w:rsidR="00747FF7" w:rsidRPr="009951BF" w:rsidRDefault="00747FF7" w:rsidP="00C612F9">
    <w:pPr>
      <w:pStyle w:val="ZPZhlavvpravo"/>
    </w:pPr>
    <w:r>
      <w:rPr>
        <w:noProof/>
      </w:rPr>
      <w:fldChar w:fldCharType="begin"/>
    </w:r>
    <w:r>
      <w:rPr>
        <w:noProof/>
      </w:rPr>
      <w:instrText xml:space="preserve"> STYLEREF  "Nadpis 1*"  \* MERGEFORMAT </w:instrText>
    </w:r>
    <w:r>
      <w:rPr>
        <w:noProof/>
      </w:rPr>
      <w:fldChar w:fldCharType="separate"/>
    </w:r>
    <w:r w:rsidR="009C123F">
      <w:rPr>
        <w:noProof/>
      </w:rPr>
      <w:t>Použité zdroje</w:t>
    </w:r>
    <w:r>
      <w:rPr>
        <w:noProof/>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F31B3" w14:textId="7D3EBFB6" w:rsidR="00FE1A2F" w:rsidRPr="00083FB7" w:rsidRDefault="00FE1A2F" w:rsidP="00380E1B">
    <w:pPr>
      <w:pStyle w:val="ZPZhlavvlevo"/>
      <w:rPr>
        <w:noProof/>
      </w:rPr>
    </w:pPr>
    <w:r>
      <w:rPr>
        <w:noProof/>
      </w:rPr>
      <w:fldChar w:fldCharType="begin"/>
    </w:r>
    <w:r>
      <w:rPr>
        <w:noProof/>
      </w:rPr>
      <w:instrText xml:space="preserve"> STYLEREF  "Nadpis 1*"  \* MERGEFORMAT </w:instrText>
    </w:r>
    <w:r>
      <w:rPr>
        <w:noProof/>
      </w:rPr>
      <w:fldChar w:fldCharType="separate"/>
    </w:r>
    <w:r w:rsidR="009C123F">
      <w:rPr>
        <w:noProof/>
      </w:rPr>
      <w:t>Použité zdroje</w:t>
    </w:r>
    <w:r>
      <w:rPr>
        <w:noProof/>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D616C" w14:textId="52666B86" w:rsidR="00362604" w:rsidRPr="009951BF" w:rsidRDefault="00362604" w:rsidP="00C612F9">
    <w:pPr>
      <w:pStyle w:val="ZPZhlavvpravo"/>
    </w:pPr>
    <w:r>
      <w:rPr>
        <w:noProof/>
      </w:rPr>
      <w:fldChar w:fldCharType="begin"/>
    </w:r>
    <w:r>
      <w:rPr>
        <w:noProof/>
      </w:rPr>
      <w:instrText xml:space="preserve"> STYLEREF  "Nadpis 1*"  \* MERGEFORMAT </w:instrText>
    </w:r>
    <w:r>
      <w:rPr>
        <w:noProof/>
      </w:rPr>
      <w:fldChar w:fldCharType="separate"/>
    </w:r>
    <w:r w:rsidR="009C123F" w:rsidRPr="009C123F">
      <w:rPr>
        <w:b/>
        <w:bCs/>
        <w:noProof/>
      </w:rPr>
      <w:t>Použité</w:t>
    </w:r>
    <w:r w:rsidR="009C123F">
      <w:rPr>
        <w:noProof/>
      </w:rPr>
      <w:t xml:space="preserve"> zdroje</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61699" w14:textId="77777777" w:rsidR="00685DD9" w:rsidRPr="00CE1A04" w:rsidRDefault="00685DD9" w:rsidP="00CE1A0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136B1" w14:textId="77777777" w:rsidR="00387B07" w:rsidRPr="00825B26" w:rsidRDefault="00387B07" w:rsidP="00825B26">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A3E53" w14:textId="189A931D" w:rsidR="00CE1A04" w:rsidRPr="00533A95" w:rsidRDefault="00000000" w:rsidP="00685DD9">
    <w:pPr>
      <w:pStyle w:val="ZPZhlavvpravo"/>
    </w:pPr>
    <w:sdt>
      <w:sdtPr>
        <w:alias w:val="Název"/>
        <w:tag w:val=""/>
        <w:id w:val="1468394446"/>
        <w:placeholder>
          <w:docPart w:val="89A648D50CAD42F78E927A74BB72F6EB"/>
        </w:placeholder>
        <w:dataBinding w:prefixMappings="xmlns:ns0='http://purl.org/dc/elements/1.1/' xmlns:ns1='http://schemas.openxmlformats.org/package/2006/metadata/core-properties' " w:xpath="/ns1:coreProperties[1]/ns0:title[1]" w:storeItemID="{6C3C8BC8-F283-45AE-878A-BAB7291924A1}"/>
        <w:text/>
      </w:sdtPr>
      <w:sdtContent>
        <w:r w:rsidR="00B55ACA">
          <w:t>Stárnutí české populace a jeho dopady na urgentní příjmy</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6B9A3" w14:textId="77777777" w:rsidR="00A639A6" w:rsidRPr="009951BF" w:rsidRDefault="00A639A6" w:rsidP="00C612F9">
    <w:pPr>
      <w:pStyle w:val="ZPZhlavvlevo"/>
    </w:pPr>
    <w:r>
      <w:t>Obsah</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430CF" w14:textId="77777777" w:rsidR="00A639A6" w:rsidRPr="009951BF" w:rsidRDefault="00A639A6" w:rsidP="00C612F9">
    <w:pPr>
      <w:pStyle w:val="ZPZhlavvpravo"/>
    </w:pPr>
    <w:r>
      <w:t>Obsah</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E64F0" w14:textId="0259211C" w:rsidR="00387B07" w:rsidRPr="009951BF" w:rsidRDefault="007B4235" w:rsidP="00C612F9">
    <w:pPr>
      <w:pStyle w:val="ZPZhlavvlevo"/>
    </w:pPr>
    <w:r>
      <w:fldChar w:fldCharType="begin"/>
    </w:r>
    <w:r>
      <w:instrText xml:space="preserve"> STYLEREF  "Nadpis 1</w:instrText>
    </w:r>
    <w:r w:rsidR="00A639A6">
      <w:instrText>*</w:instrText>
    </w:r>
    <w:r>
      <w:instrText xml:space="preserve">"  \* MERGEFORMAT </w:instrText>
    </w:r>
    <w:r>
      <w:fldChar w:fldCharType="separate"/>
    </w:r>
    <w:r w:rsidR="009C123F">
      <w:rPr>
        <w:noProof/>
      </w:rPr>
      <w:t>Seznam příloh</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07679" w14:textId="0694763D" w:rsidR="00387B07" w:rsidRPr="009951BF" w:rsidRDefault="00181CDB" w:rsidP="00C612F9">
    <w:pPr>
      <w:pStyle w:val="ZPZhlavvpravo"/>
    </w:pPr>
    <w:r>
      <w:rPr>
        <w:noProof/>
      </w:rPr>
      <w:fldChar w:fldCharType="begin"/>
    </w:r>
    <w:r>
      <w:rPr>
        <w:noProof/>
      </w:rPr>
      <w:instrText xml:space="preserve"> STYLEREF  "Nadpis 1*"  \* MERGEFORMAT </w:instrText>
    </w:r>
    <w:r>
      <w:rPr>
        <w:noProof/>
      </w:rPr>
      <w:fldChar w:fldCharType="separate"/>
    </w:r>
    <w:r w:rsidR="009C123F">
      <w:rPr>
        <w:noProof/>
      </w:rPr>
      <w:t>Seznam pojmů a zkratek</w:t>
    </w:r>
    <w:r>
      <w:rPr>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ECD02" w14:textId="1CA5C3B0" w:rsidR="00D063DA" w:rsidRPr="00B90C89" w:rsidRDefault="00181CDB" w:rsidP="00D063DA">
    <w:pPr>
      <w:pStyle w:val="ZPZhlavvlevo"/>
      <w:tabs>
        <w:tab w:val="left" w:pos="4740"/>
      </w:tabs>
    </w:pPr>
    <w:r w:rsidRPr="00B90C89">
      <w:rPr>
        <w:noProof/>
      </w:rPr>
      <w:fldChar w:fldCharType="begin"/>
    </w:r>
    <w:r w:rsidRPr="00B90C89">
      <w:rPr>
        <w:noProof/>
      </w:rPr>
      <w:instrText xml:space="preserve"> STYLEREF  </w:instrText>
    </w:r>
    <w:r w:rsidR="00B04FEC" w:rsidRPr="00B90C89">
      <w:rPr>
        <w:noProof/>
      </w:rPr>
      <w:instrText>1</w:instrText>
    </w:r>
    <w:r w:rsidRPr="00B90C89">
      <w:rPr>
        <w:noProof/>
      </w:rPr>
      <w:instrText xml:space="preserve">  \* MERGEFORMAT </w:instrText>
    </w:r>
    <w:r w:rsidRPr="00B90C89">
      <w:rPr>
        <w:noProof/>
      </w:rPr>
      <w:fldChar w:fldCharType="separate"/>
    </w:r>
    <w:r w:rsidR="009C123F">
      <w:rPr>
        <w:noProof/>
      </w:rPr>
      <w:t>Doporučení pro praxi</w:t>
    </w:r>
    <w:r w:rsidRPr="00B90C89">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207D44"/>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C5EC9D8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037A9D64"/>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FF1803D0"/>
    <w:lvl w:ilvl="0">
      <w:start w:val="1"/>
      <w:numFmt w:val="decimal"/>
      <w:pStyle w:val="slovanseznam2"/>
      <w:lvlText w:val="%1."/>
      <w:lvlJc w:val="left"/>
      <w:pPr>
        <w:tabs>
          <w:tab w:val="num" w:pos="643"/>
        </w:tabs>
        <w:ind w:left="643" w:hanging="360"/>
      </w:pPr>
    </w:lvl>
  </w:abstractNum>
  <w:abstractNum w:abstractNumId="4" w15:restartNumberingAfterBreak="0">
    <w:nsid w:val="FFFFFF88"/>
    <w:multiLevelType w:val="singleLevel"/>
    <w:tmpl w:val="3392EF40"/>
    <w:lvl w:ilvl="0">
      <w:start w:val="1"/>
      <w:numFmt w:val="decimal"/>
      <w:pStyle w:val="slovanseznam"/>
      <w:lvlText w:val="%1."/>
      <w:lvlJc w:val="right"/>
      <w:pPr>
        <w:ind w:left="540" w:hanging="60"/>
      </w:pPr>
      <w:rPr>
        <w:rFonts w:hint="default"/>
      </w:rPr>
    </w:lvl>
  </w:abstractNum>
  <w:abstractNum w:abstractNumId="5" w15:restartNumberingAfterBreak="0">
    <w:nsid w:val="FFFFFF89"/>
    <w:multiLevelType w:val="singleLevel"/>
    <w:tmpl w:val="2F4CF4A0"/>
    <w:lvl w:ilvl="0">
      <w:start w:val="1"/>
      <w:numFmt w:val="bullet"/>
      <w:pStyle w:val="Seznamsodrkami"/>
      <w:lvlText w:val=""/>
      <w:lvlJc w:val="left"/>
      <w:pPr>
        <w:tabs>
          <w:tab w:val="num" w:pos="539"/>
        </w:tabs>
        <w:ind w:left="540" w:hanging="60"/>
      </w:pPr>
      <w:rPr>
        <w:rFonts w:ascii="Symbol" w:hAnsi="Symbol" w:hint="default"/>
      </w:rPr>
    </w:lvl>
  </w:abstractNum>
  <w:abstractNum w:abstractNumId="6" w15:restartNumberingAfterBreak="0">
    <w:nsid w:val="027B4507"/>
    <w:multiLevelType w:val="hybridMultilevel"/>
    <w:tmpl w:val="396E85DA"/>
    <w:lvl w:ilvl="0" w:tplc="0405000B">
      <w:start w:val="1"/>
      <w:numFmt w:val="bullet"/>
      <w:lvlText w:val=""/>
      <w:lvlJc w:val="left"/>
      <w:pPr>
        <w:ind w:left="1202" w:hanging="360"/>
      </w:pPr>
      <w:rPr>
        <w:rFonts w:ascii="Wingdings" w:hAnsi="Wingdings" w:hint="default"/>
      </w:rPr>
    </w:lvl>
    <w:lvl w:ilvl="1" w:tplc="04050003" w:tentative="1">
      <w:start w:val="1"/>
      <w:numFmt w:val="bullet"/>
      <w:lvlText w:val="o"/>
      <w:lvlJc w:val="left"/>
      <w:pPr>
        <w:ind w:left="1922" w:hanging="360"/>
      </w:pPr>
      <w:rPr>
        <w:rFonts w:ascii="Courier New" w:hAnsi="Courier New" w:cs="Courier New" w:hint="default"/>
      </w:rPr>
    </w:lvl>
    <w:lvl w:ilvl="2" w:tplc="04050005" w:tentative="1">
      <w:start w:val="1"/>
      <w:numFmt w:val="bullet"/>
      <w:lvlText w:val=""/>
      <w:lvlJc w:val="left"/>
      <w:pPr>
        <w:ind w:left="2642" w:hanging="360"/>
      </w:pPr>
      <w:rPr>
        <w:rFonts w:ascii="Wingdings" w:hAnsi="Wingdings" w:hint="default"/>
      </w:rPr>
    </w:lvl>
    <w:lvl w:ilvl="3" w:tplc="04050001" w:tentative="1">
      <w:start w:val="1"/>
      <w:numFmt w:val="bullet"/>
      <w:lvlText w:val=""/>
      <w:lvlJc w:val="left"/>
      <w:pPr>
        <w:ind w:left="3362" w:hanging="360"/>
      </w:pPr>
      <w:rPr>
        <w:rFonts w:ascii="Symbol" w:hAnsi="Symbol" w:hint="default"/>
      </w:rPr>
    </w:lvl>
    <w:lvl w:ilvl="4" w:tplc="04050003" w:tentative="1">
      <w:start w:val="1"/>
      <w:numFmt w:val="bullet"/>
      <w:lvlText w:val="o"/>
      <w:lvlJc w:val="left"/>
      <w:pPr>
        <w:ind w:left="4082" w:hanging="360"/>
      </w:pPr>
      <w:rPr>
        <w:rFonts w:ascii="Courier New" w:hAnsi="Courier New" w:cs="Courier New" w:hint="default"/>
      </w:rPr>
    </w:lvl>
    <w:lvl w:ilvl="5" w:tplc="04050005" w:tentative="1">
      <w:start w:val="1"/>
      <w:numFmt w:val="bullet"/>
      <w:lvlText w:val=""/>
      <w:lvlJc w:val="left"/>
      <w:pPr>
        <w:ind w:left="4802" w:hanging="360"/>
      </w:pPr>
      <w:rPr>
        <w:rFonts w:ascii="Wingdings" w:hAnsi="Wingdings" w:hint="default"/>
      </w:rPr>
    </w:lvl>
    <w:lvl w:ilvl="6" w:tplc="04050001" w:tentative="1">
      <w:start w:val="1"/>
      <w:numFmt w:val="bullet"/>
      <w:lvlText w:val=""/>
      <w:lvlJc w:val="left"/>
      <w:pPr>
        <w:ind w:left="5522" w:hanging="360"/>
      </w:pPr>
      <w:rPr>
        <w:rFonts w:ascii="Symbol" w:hAnsi="Symbol" w:hint="default"/>
      </w:rPr>
    </w:lvl>
    <w:lvl w:ilvl="7" w:tplc="04050003" w:tentative="1">
      <w:start w:val="1"/>
      <w:numFmt w:val="bullet"/>
      <w:lvlText w:val="o"/>
      <w:lvlJc w:val="left"/>
      <w:pPr>
        <w:ind w:left="6242" w:hanging="360"/>
      </w:pPr>
      <w:rPr>
        <w:rFonts w:ascii="Courier New" w:hAnsi="Courier New" w:cs="Courier New" w:hint="default"/>
      </w:rPr>
    </w:lvl>
    <w:lvl w:ilvl="8" w:tplc="04050005" w:tentative="1">
      <w:start w:val="1"/>
      <w:numFmt w:val="bullet"/>
      <w:lvlText w:val=""/>
      <w:lvlJc w:val="left"/>
      <w:pPr>
        <w:ind w:left="6962" w:hanging="360"/>
      </w:pPr>
      <w:rPr>
        <w:rFonts w:ascii="Wingdings" w:hAnsi="Wingdings" w:hint="default"/>
      </w:rPr>
    </w:lvl>
  </w:abstractNum>
  <w:abstractNum w:abstractNumId="7" w15:restartNumberingAfterBreak="0">
    <w:nsid w:val="03323B6D"/>
    <w:multiLevelType w:val="hybridMultilevel"/>
    <w:tmpl w:val="297E492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6616E0E"/>
    <w:multiLevelType w:val="multilevel"/>
    <w:tmpl w:val="AEBA885E"/>
    <w:styleLink w:val="slovnkapitol"/>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720" w:hanging="720"/>
      </w:pPr>
      <w:rPr>
        <w:rFonts w:hint="default"/>
      </w:rPr>
    </w:lvl>
    <w:lvl w:ilvl="2">
      <w:start w:val="1"/>
      <w:numFmt w:val="decimal"/>
      <w:pStyle w:val="Nadpis3"/>
      <w:lvlText w:val="%1.%2.%3"/>
      <w:lvlJc w:val="left"/>
      <w:pPr>
        <w:ind w:left="1080" w:hanging="1080"/>
      </w:pPr>
      <w:rPr>
        <w:rFonts w:hint="default"/>
      </w:rPr>
    </w:lvl>
    <w:lvl w:ilvl="3">
      <w:start w:val="1"/>
      <w:numFmt w:val="decimal"/>
      <w:pStyle w:val="Nadpis4"/>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6A81670"/>
    <w:multiLevelType w:val="hybridMultilevel"/>
    <w:tmpl w:val="FA20440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74E6C5C"/>
    <w:multiLevelType w:val="hybridMultilevel"/>
    <w:tmpl w:val="7EAAB71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90C37B8"/>
    <w:multiLevelType w:val="multilevel"/>
    <w:tmpl w:val="CE424708"/>
    <w:styleLink w:val="Ptirovovsmenseznam"/>
    <w:lvl w:ilvl="0">
      <w:start w:val="1"/>
      <w:numFmt w:val="upperLetter"/>
      <w:lvlText w:val="%1."/>
      <w:lvlJc w:val="right"/>
      <w:pPr>
        <w:tabs>
          <w:tab w:val="num" w:pos="13608"/>
        </w:tabs>
        <w:ind w:left="540" w:hanging="60"/>
      </w:pPr>
      <w:rPr>
        <w:rFonts w:hint="default"/>
      </w:rPr>
    </w:lvl>
    <w:lvl w:ilvl="1">
      <w:start w:val="1"/>
      <w:numFmt w:val="upperRoman"/>
      <w:lvlText w:val="%2."/>
      <w:lvlJc w:val="right"/>
      <w:pPr>
        <w:tabs>
          <w:tab w:val="num" w:pos="27216"/>
        </w:tabs>
        <w:ind w:left="1020" w:hanging="60"/>
      </w:pPr>
      <w:rPr>
        <w:rFonts w:hint="default"/>
      </w:rPr>
    </w:lvl>
    <w:lvl w:ilvl="2">
      <w:start w:val="1"/>
      <w:numFmt w:val="decimal"/>
      <w:lvlText w:val="%3."/>
      <w:lvlJc w:val="right"/>
      <w:pPr>
        <w:tabs>
          <w:tab w:val="num" w:pos="3969"/>
        </w:tabs>
        <w:ind w:left="1500" w:hanging="60"/>
      </w:pPr>
      <w:rPr>
        <w:rFonts w:hint="default"/>
      </w:rPr>
    </w:lvl>
    <w:lvl w:ilvl="3">
      <w:start w:val="1"/>
      <w:numFmt w:val="lowerLetter"/>
      <w:lvlText w:val="%4)"/>
      <w:lvlJc w:val="right"/>
      <w:pPr>
        <w:tabs>
          <w:tab w:val="num" w:pos="5103"/>
        </w:tabs>
        <w:ind w:left="1980" w:hanging="60"/>
      </w:pPr>
      <w:rPr>
        <w:rFonts w:hint="default"/>
      </w:rPr>
    </w:lvl>
    <w:lvl w:ilvl="4">
      <w:start w:val="1"/>
      <w:numFmt w:val="lowerRoman"/>
      <w:lvlText w:val="%5."/>
      <w:lvlJc w:val="right"/>
      <w:pPr>
        <w:tabs>
          <w:tab w:val="num" w:pos="6804"/>
        </w:tabs>
        <w:ind w:left="2460" w:hanging="60"/>
      </w:pPr>
      <w:rPr>
        <w:rFonts w:hint="default"/>
      </w:rPr>
    </w:lvl>
    <w:lvl w:ilvl="5">
      <w:start w:val="1"/>
      <w:numFmt w:val="bullet"/>
      <w:lvlText w:val=""/>
      <w:lvlJc w:val="left"/>
      <w:pPr>
        <w:ind w:left="3120" w:hanging="240"/>
      </w:pPr>
      <w:rPr>
        <w:rFonts w:ascii="Symbol" w:hAnsi="Symbol" w:hint="default"/>
        <w:color w:val="auto"/>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lowerRoman"/>
      <w:suff w:val="nothing"/>
      <w:lvlText w:val="%9."/>
      <w:lvlJc w:val="right"/>
      <w:pPr>
        <w:ind w:left="4320" w:firstLine="0"/>
      </w:pPr>
      <w:rPr>
        <w:rFonts w:hint="default"/>
      </w:rPr>
    </w:lvl>
  </w:abstractNum>
  <w:abstractNum w:abstractNumId="12" w15:restartNumberingAfterBreak="0">
    <w:nsid w:val="0C2B0FEB"/>
    <w:multiLevelType w:val="hybridMultilevel"/>
    <w:tmpl w:val="502E4F36"/>
    <w:lvl w:ilvl="0" w:tplc="245E9204">
      <w:start w:val="1"/>
      <w:numFmt w:val="lowerLetter"/>
      <w:lvlText w:val="%1)"/>
      <w:lvlJc w:val="left"/>
      <w:pPr>
        <w:ind w:left="842" w:hanging="360"/>
      </w:pPr>
      <w:rPr>
        <w:rFonts w:hint="default"/>
        <w:b/>
        <w:bCs/>
      </w:rPr>
    </w:lvl>
    <w:lvl w:ilvl="1" w:tplc="04050019" w:tentative="1">
      <w:start w:val="1"/>
      <w:numFmt w:val="lowerLetter"/>
      <w:lvlText w:val="%2."/>
      <w:lvlJc w:val="left"/>
      <w:pPr>
        <w:ind w:left="1562" w:hanging="360"/>
      </w:pPr>
    </w:lvl>
    <w:lvl w:ilvl="2" w:tplc="0405001B" w:tentative="1">
      <w:start w:val="1"/>
      <w:numFmt w:val="lowerRoman"/>
      <w:lvlText w:val="%3."/>
      <w:lvlJc w:val="right"/>
      <w:pPr>
        <w:ind w:left="2282" w:hanging="180"/>
      </w:pPr>
    </w:lvl>
    <w:lvl w:ilvl="3" w:tplc="0405000F" w:tentative="1">
      <w:start w:val="1"/>
      <w:numFmt w:val="decimal"/>
      <w:lvlText w:val="%4."/>
      <w:lvlJc w:val="left"/>
      <w:pPr>
        <w:ind w:left="3002" w:hanging="360"/>
      </w:pPr>
    </w:lvl>
    <w:lvl w:ilvl="4" w:tplc="04050019" w:tentative="1">
      <w:start w:val="1"/>
      <w:numFmt w:val="lowerLetter"/>
      <w:lvlText w:val="%5."/>
      <w:lvlJc w:val="left"/>
      <w:pPr>
        <w:ind w:left="3722" w:hanging="360"/>
      </w:pPr>
    </w:lvl>
    <w:lvl w:ilvl="5" w:tplc="0405001B" w:tentative="1">
      <w:start w:val="1"/>
      <w:numFmt w:val="lowerRoman"/>
      <w:lvlText w:val="%6."/>
      <w:lvlJc w:val="right"/>
      <w:pPr>
        <w:ind w:left="4442" w:hanging="180"/>
      </w:pPr>
    </w:lvl>
    <w:lvl w:ilvl="6" w:tplc="0405000F" w:tentative="1">
      <w:start w:val="1"/>
      <w:numFmt w:val="decimal"/>
      <w:lvlText w:val="%7."/>
      <w:lvlJc w:val="left"/>
      <w:pPr>
        <w:ind w:left="5162" w:hanging="360"/>
      </w:pPr>
    </w:lvl>
    <w:lvl w:ilvl="7" w:tplc="04050019" w:tentative="1">
      <w:start w:val="1"/>
      <w:numFmt w:val="lowerLetter"/>
      <w:lvlText w:val="%8."/>
      <w:lvlJc w:val="left"/>
      <w:pPr>
        <w:ind w:left="5882" w:hanging="360"/>
      </w:pPr>
    </w:lvl>
    <w:lvl w:ilvl="8" w:tplc="0405001B" w:tentative="1">
      <w:start w:val="1"/>
      <w:numFmt w:val="lowerRoman"/>
      <w:lvlText w:val="%9."/>
      <w:lvlJc w:val="right"/>
      <w:pPr>
        <w:ind w:left="6602" w:hanging="180"/>
      </w:pPr>
    </w:lvl>
  </w:abstractNum>
  <w:abstractNum w:abstractNumId="13" w15:restartNumberingAfterBreak="0">
    <w:nsid w:val="12241FB5"/>
    <w:multiLevelType w:val="hybridMultilevel"/>
    <w:tmpl w:val="3E48C5D2"/>
    <w:lvl w:ilvl="0" w:tplc="0405000B">
      <w:start w:val="1"/>
      <w:numFmt w:val="bullet"/>
      <w:lvlText w:val=""/>
      <w:lvlJc w:val="left"/>
      <w:pPr>
        <w:ind w:left="1202" w:hanging="360"/>
      </w:pPr>
      <w:rPr>
        <w:rFonts w:ascii="Wingdings" w:hAnsi="Wingdings" w:hint="default"/>
      </w:rPr>
    </w:lvl>
    <w:lvl w:ilvl="1" w:tplc="04050003" w:tentative="1">
      <w:start w:val="1"/>
      <w:numFmt w:val="bullet"/>
      <w:lvlText w:val="o"/>
      <w:lvlJc w:val="left"/>
      <w:pPr>
        <w:ind w:left="1922" w:hanging="360"/>
      </w:pPr>
      <w:rPr>
        <w:rFonts w:ascii="Courier New" w:hAnsi="Courier New" w:cs="Courier New" w:hint="default"/>
      </w:rPr>
    </w:lvl>
    <w:lvl w:ilvl="2" w:tplc="04050005" w:tentative="1">
      <w:start w:val="1"/>
      <w:numFmt w:val="bullet"/>
      <w:lvlText w:val=""/>
      <w:lvlJc w:val="left"/>
      <w:pPr>
        <w:ind w:left="2642" w:hanging="360"/>
      </w:pPr>
      <w:rPr>
        <w:rFonts w:ascii="Wingdings" w:hAnsi="Wingdings" w:hint="default"/>
      </w:rPr>
    </w:lvl>
    <w:lvl w:ilvl="3" w:tplc="04050001" w:tentative="1">
      <w:start w:val="1"/>
      <w:numFmt w:val="bullet"/>
      <w:lvlText w:val=""/>
      <w:lvlJc w:val="left"/>
      <w:pPr>
        <w:ind w:left="3362" w:hanging="360"/>
      </w:pPr>
      <w:rPr>
        <w:rFonts w:ascii="Symbol" w:hAnsi="Symbol" w:hint="default"/>
      </w:rPr>
    </w:lvl>
    <w:lvl w:ilvl="4" w:tplc="04050003" w:tentative="1">
      <w:start w:val="1"/>
      <w:numFmt w:val="bullet"/>
      <w:lvlText w:val="o"/>
      <w:lvlJc w:val="left"/>
      <w:pPr>
        <w:ind w:left="4082" w:hanging="360"/>
      </w:pPr>
      <w:rPr>
        <w:rFonts w:ascii="Courier New" w:hAnsi="Courier New" w:cs="Courier New" w:hint="default"/>
      </w:rPr>
    </w:lvl>
    <w:lvl w:ilvl="5" w:tplc="04050005" w:tentative="1">
      <w:start w:val="1"/>
      <w:numFmt w:val="bullet"/>
      <w:lvlText w:val=""/>
      <w:lvlJc w:val="left"/>
      <w:pPr>
        <w:ind w:left="4802" w:hanging="360"/>
      </w:pPr>
      <w:rPr>
        <w:rFonts w:ascii="Wingdings" w:hAnsi="Wingdings" w:hint="default"/>
      </w:rPr>
    </w:lvl>
    <w:lvl w:ilvl="6" w:tplc="04050001" w:tentative="1">
      <w:start w:val="1"/>
      <w:numFmt w:val="bullet"/>
      <w:lvlText w:val=""/>
      <w:lvlJc w:val="left"/>
      <w:pPr>
        <w:ind w:left="5522" w:hanging="360"/>
      </w:pPr>
      <w:rPr>
        <w:rFonts w:ascii="Symbol" w:hAnsi="Symbol" w:hint="default"/>
      </w:rPr>
    </w:lvl>
    <w:lvl w:ilvl="7" w:tplc="04050003" w:tentative="1">
      <w:start w:val="1"/>
      <w:numFmt w:val="bullet"/>
      <w:lvlText w:val="o"/>
      <w:lvlJc w:val="left"/>
      <w:pPr>
        <w:ind w:left="6242" w:hanging="360"/>
      </w:pPr>
      <w:rPr>
        <w:rFonts w:ascii="Courier New" w:hAnsi="Courier New" w:cs="Courier New" w:hint="default"/>
      </w:rPr>
    </w:lvl>
    <w:lvl w:ilvl="8" w:tplc="04050005" w:tentative="1">
      <w:start w:val="1"/>
      <w:numFmt w:val="bullet"/>
      <w:lvlText w:val=""/>
      <w:lvlJc w:val="left"/>
      <w:pPr>
        <w:ind w:left="6962" w:hanging="360"/>
      </w:pPr>
      <w:rPr>
        <w:rFonts w:ascii="Wingdings" w:hAnsi="Wingdings" w:hint="default"/>
      </w:rPr>
    </w:lvl>
  </w:abstractNum>
  <w:abstractNum w:abstractNumId="14" w15:restartNumberingAfterBreak="0">
    <w:nsid w:val="183F6896"/>
    <w:multiLevelType w:val="hybridMultilevel"/>
    <w:tmpl w:val="8B329F6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99B17BD"/>
    <w:multiLevelType w:val="hybridMultilevel"/>
    <w:tmpl w:val="502E4F36"/>
    <w:lvl w:ilvl="0" w:tplc="FFFFFFFF">
      <w:start w:val="1"/>
      <w:numFmt w:val="lowerLetter"/>
      <w:lvlText w:val="%1)"/>
      <w:lvlJc w:val="left"/>
      <w:pPr>
        <w:ind w:left="842" w:hanging="360"/>
      </w:pPr>
      <w:rPr>
        <w:rFonts w:hint="default"/>
        <w:b/>
        <w:bCs/>
      </w:rPr>
    </w:lvl>
    <w:lvl w:ilvl="1" w:tplc="FFFFFFFF" w:tentative="1">
      <w:start w:val="1"/>
      <w:numFmt w:val="lowerLetter"/>
      <w:lvlText w:val="%2."/>
      <w:lvlJc w:val="left"/>
      <w:pPr>
        <w:ind w:left="1562" w:hanging="360"/>
      </w:pPr>
    </w:lvl>
    <w:lvl w:ilvl="2" w:tplc="FFFFFFFF" w:tentative="1">
      <w:start w:val="1"/>
      <w:numFmt w:val="lowerRoman"/>
      <w:lvlText w:val="%3."/>
      <w:lvlJc w:val="right"/>
      <w:pPr>
        <w:ind w:left="2282" w:hanging="180"/>
      </w:pPr>
    </w:lvl>
    <w:lvl w:ilvl="3" w:tplc="FFFFFFFF" w:tentative="1">
      <w:start w:val="1"/>
      <w:numFmt w:val="decimal"/>
      <w:lvlText w:val="%4."/>
      <w:lvlJc w:val="left"/>
      <w:pPr>
        <w:ind w:left="3002" w:hanging="360"/>
      </w:pPr>
    </w:lvl>
    <w:lvl w:ilvl="4" w:tplc="FFFFFFFF" w:tentative="1">
      <w:start w:val="1"/>
      <w:numFmt w:val="lowerLetter"/>
      <w:lvlText w:val="%5."/>
      <w:lvlJc w:val="left"/>
      <w:pPr>
        <w:ind w:left="3722" w:hanging="360"/>
      </w:pPr>
    </w:lvl>
    <w:lvl w:ilvl="5" w:tplc="FFFFFFFF" w:tentative="1">
      <w:start w:val="1"/>
      <w:numFmt w:val="lowerRoman"/>
      <w:lvlText w:val="%6."/>
      <w:lvlJc w:val="right"/>
      <w:pPr>
        <w:ind w:left="4442" w:hanging="180"/>
      </w:pPr>
    </w:lvl>
    <w:lvl w:ilvl="6" w:tplc="FFFFFFFF" w:tentative="1">
      <w:start w:val="1"/>
      <w:numFmt w:val="decimal"/>
      <w:lvlText w:val="%7."/>
      <w:lvlJc w:val="left"/>
      <w:pPr>
        <w:ind w:left="5162" w:hanging="360"/>
      </w:pPr>
    </w:lvl>
    <w:lvl w:ilvl="7" w:tplc="FFFFFFFF" w:tentative="1">
      <w:start w:val="1"/>
      <w:numFmt w:val="lowerLetter"/>
      <w:lvlText w:val="%8."/>
      <w:lvlJc w:val="left"/>
      <w:pPr>
        <w:ind w:left="5882" w:hanging="360"/>
      </w:pPr>
    </w:lvl>
    <w:lvl w:ilvl="8" w:tplc="FFFFFFFF" w:tentative="1">
      <w:start w:val="1"/>
      <w:numFmt w:val="lowerRoman"/>
      <w:lvlText w:val="%9."/>
      <w:lvlJc w:val="right"/>
      <w:pPr>
        <w:ind w:left="6602" w:hanging="180"/>
      </w:pPr>
    </w:lvl>
  </w:abstractNum>
  <w:abstractNum w:abstractNumId="16" w15:restartNumberingAfterBreak="0">
    <w:nsid w:val="1F151D4A"/>
    <w:multiLevelType w:val="multilevel"/>
    <w:tmpl w:val="EEB07E02"/>
    <w:lvl w:ilvl="0">
      <w:start w:val="1"/>
      <w:numFmt w:val="decimal"/>
      <w:lvlText w:val="%1"/>
      <w:lvlJc w:val="left"/>
      <w:pPr>
        <w:tabs>
          <w:tab w:val="num" w:pos="432"/>
        </w:tabs>
        <w:ind w:left="432" w:hanging="432"/>
      </w:pPr>
      <w:rPr>
        <w:rFonts w:hint="default"/>
      </w:rPr>
    </w:lvl>
    <w:lvl w:ilvl="1">
      <w:start w:val="1"/>
      <w:numFmt w:val="decimal"/>
      <w:pStyle w:val="podnadpis"/>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08C5371"/>
    <w:multiLevelType w:val="hybridMultilevel"/>
    <w:tmpl w:val="008A0974"/>
    <w:lvl w:ilvl="0" w:tplc="FF6C8AEC">
      <w:start w:val="1"/>
      <w:numFmt w:val="lowerLetter"/>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4463E55"/>
    <w:multiLevelType w:val="hybridMultilevel"/>
    <w:tmpl w:val="8BC8EC4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598727D"/>
    <w:multiLevelType w:val="hybridMultilevel"/>
    <w:tmpl w:val="C8620880"/>
    <w:lvl w:ilvl="0" w:tplc="0405000B">
      <w:start w:val="1"/>
      <w:numFmt w:val="bullet"/>
      <w:lvlText w:val=""/>
      <w:lvlJc w:val="left"/>
      <w:pPr>
        <w:ind w:left="1202" w:hanging="360"/>
      </w:pPr>
      <w:rPr>
        <w:rFonts w:ascii="Wingdings" w:hAnsi="Wingdings" w:hint="default"/>
      </w:rPr>
    </w:lvl>
    <w:lvl w:ilvl="1" w:tplc="04050003" w:tentative="1">
      <w:start w:val="1"/>
      <w:numFmt w:val="bullet"/>
      <w:lvlText w:val="o"/>
      <w:lvlJc w:val="left"/>
      <w:pPr>
        <w:ind w:left="1922" w:hanging="360"/>
      </w:pPr>
      <w:rPr>
        <w:rFonts w:ascii="Courier New" w:hAnsi="Courier New" w:cs="Courier New" w:hint="default"/>
      </w:rPr>
    </w:lvl>
    <w:lvl w:ilvl="2" w:tplc="04050005" w:tentative="1">
      <w:start w:val="1"/>
      <w:numFmt w:val="bullet"/>
      <w:lvlText w:val=""/>
      <w:lvlJc w:val="left"/>
      <w:pPr>
        <w:ind w:left="2642" w:hanging="360"/>
      </w:pPr>
      <w:rPr>
        <w:rFonts w:ascii="Wingdings" w:hAnsi="Wingdings" w:hint="default"/>
      </w:rPr>
    </w:lvl>
    <w:lvl w:ilvl="3" w:tplc="04050001" w:tentative="1">
      <w:start w:val="1"/>
      <w:numFmt w:val="bullet"/>
      <w:lvlText w:val=""/>
      <w:lvlJc w:val="left"/>
      <w:pPr>
        <w:ind w:left="3362" w:hanging="360"/>
      </w:pPr>
      <w:rPr>
        <w:rFonts w:ascii="Symbol" w:hAnsi="Symbol" w:hint="default"/>
      </w:rPr>
    </w:lvl>
    <w:lvl w:ilvl="4" w:tplc="04050003" w:tentative="1">
      <w:start w:val="1"/>
      <w:numFmt w:val="bullet"/>
      <w:lvlText w:val="o"/>
      <w:lvlJc w:val="left"/>
      <w:pPr>
        <w:ind w:left="4082" w:hanging="360"/>
      </w:pPr>
      <w:rPr>
        <w:rFonts w:ascii="Courier New" w:hAnsi="Courier New" w:cs="Courier New" w:hint="default"/>
      </w:rPr>
    </w:lvl>
    <w:lvl w:ilvl="5" w:tplc="04050005" w:tentative="1">
      <w:start w:val="1"/>
      <w:numFmt w:val="bullet"/>
      <w:lvlText w:val=""/>
      <w:lvlJc w:val="left"/>
      <w:pPr>
        <w:ind w:left="4802" w:hanging="360"/>
      </w:pPr>
      <w:rPr>
        <w:rFonts w:ascii="Wingdings" w:hAnsi="Wingdings" w:hint="default"/>
      </w:rPr>
    </w:lvl>
    <w:lvl w:ilvl="6" w:tplc="04050001" w:tentative="1">
      <w:start w:val="1"/>
      <w:numFmt w:val="bullet"/>
      <w:lvlText w:val=""/>
      <w:lvlJc w:val="left"/>
      <w:pPr>
        <w:ind w:left="5522" w:hanging="360"/>
      </w:pPr>
      <w:rPr>
        <w:rFonts w:ascii="Symbol" w:hAnsi="Symbol" w:hint="default"/>
      </w:rPr>
    </w:lvl>
    <w:lvl w:ilvl="7" w:tplc="04050003" w:tentative="1">
      <w:start w:val="1"/>
      <w:numFmt w:val="bullet"/>
      <w:lvlText w:val="o"/>
      <w:lvlJc w:val="left"/>
      <w:pPr>
        <w:ind w:left="6242" w:hanging="360"/>
      </w:pPr>
      <w:rPr>
        <w:rFonts w:ascii="Courier New" w:hAnsi="Courier New" w:cs="Courier New" w:hint="default"/>
      </w:rPr>
    </w:lvl>
    <w:lvl w:ilvl="8" w:tplc="04050005" w:tentative="1">
      <w:start w:val="1"/>
      <w:numFmt w:val="bullet"/>
      <w:lvlText w:val=""/>
      <w:lvlJc w:val="left"/>
      <w:pPr>
        <w:ind w:left="6962" w:hanging="360"/>
      </w:pPr>
      <w:rPr>
        <w:rFonts w:ascii="Wingdings" w:hAnsi="Wingdings" w:hint="default"/>
      </w:rPr>
    </w:lvl>
  </w:abstractNum>
  <w:abstractNum w:abstractNumId="20" w15:restartNumberingAfterBreak="0">
    <w:nsid w:val="27216687"/>
    <w:multiLevelType w:val="hybridMultilevel"/>
    <w:tmpl w:val="9354912C"/>
    <w:lvl w:ilvl="0" w:tplc="0405000B">
      <w:start w:val="1"/>
      <w:numFmt w:val="bullet"/>
      <w:lvlText w:val=""/>
      <w:lvlJc w:val="left"/>
      <w:pPr>
        <w:ind w:left="1202" w:hanging="360"/>
      </w:pPr>
      <w:rPr>
        <w:rFonts w:ascii="Wingdings" w:hAnsi="Wingdings" w:hint="default"/>
      </w:rPr>
    </w:lvl>
    <w:lvl w:ilvl="1" w:tplc="04050003" w:tentative="1">
      <w:start w:val="1"/>
      <w:numFmt w:val="bullet"/>
      <w:lvlText w:val="o"/>
      <w:lvlJc w:val="left"/>
      <w:pPr>
        <w:ind w:left="1922" w:hanging="360"/>
      </w:pPr>
      <w:rPr>
        <w:rFonts w:ascii="Courier New" w:hAnsi="Courier New" w:cs="Courier New" w:hint="default"/>
      </w:rPr>
    </w:lvl>
    <w:lvl w:ilvl="2" w:tplc="04050005" w:tentative="1">
      <w:start w:val="1"/>
      <w:numFmt w:val="bullet"/>
      <w:lvlText w:val=""/>
      <w:lvlJc w:val="left"/>
      <w:pPr>
        <w:ind w:left="2642" w:hanging="360"/>
      </w:pPr>
      <w:rPr>
        <w:rFonts w:ascii="Wingdings" w:hAnsi="Wingdings" w:hint="default"/>
      </w:rPr>
    </w:lvl>
    <w:lvl w:ilvl="3" w:tplc="04050001" w:tentative="1">
      <w:start w:val="1"/>
      <w:numFmt w:val="bullet"/>
      <w:lvlText w:val=""/>
      <w:lvlJc w:val="left"/>
      <w:pPr>
        <w:ind w:left="3362" w:hanging="360"/>
      </w:pPr>
      <w:rPr>
        <w:rFonts w:ascii="Symbol" w:hAnsi="Symbol" w:hint="default"/>
      </w:rPr>
    </w:lvl>
    <w:lvl w:ilvl="4" w:tplc="04050003" w:tentative="1">
      <w:start w:val="1"/>
      <w:numFmt w:val="bullet"/>
      <w:lvlText w:val="o"/>
      <w:lvlJc w:val="left"/>
      <w:pPr>
        <w:ind w:left="4082" w:hanging="360"/>
      </w:pPr>
      <w:rPr>
        <w:rFonts w:ascii="Courier New" w:hAnsi="Courier New" w:cs="Courier New" w:hint="default"/>
      </w:rPr>
    </w:lvl>
    <w:lvl w:ilvl="5" w:tplc="04050005" w:tentative="1">
      <w:start w:val="1"/>
      <w:numFmt w:val="bullet"/>
      <w:lvlText w:val=""/>
      <w:lvlJc w:val="left"/>
      <w:pPr>
        <w:ind w:left="4802" w:hanging="360"/>
      </w:pPr>
      <w:rPr>
        <w:rFonts w:ascii="Wingdings" w:hAnsi="Wingdings" w:hint="default"/>
      </w:rPr>
    </w:lvl>
    <w:lvl w:ilvl="6" w:tplc="04050001" w:tentative="1">
      <w:start w:val="1"/>
      <w:numFmt w:val="bullet"/>
      <w:lvlText w:val=""/>
      <w:lvlJc w:val="left"/>
      <w:pPr>
        <w:ind w:left="5522" w:hanging="360"/>
      </w:pPr>
      <w:rPr>
        <w:rFonts w:ascii="Symbol" w:hAnsi="Symbol" w:hint="default"/>
      </w:rPr>
    </w:lvl>
    <w:lvl w:ilvl="7" w:tplc="04050003" w:tentative="1">
      <w:start w:val="1"/>
      <w:numFmt w:val="bullet"/>
      <w:lvlText w:val="o"/>
      <w:lvlJc w:val="left"/>
      <w:pPr>
        <w:ind w:left="6242" w:hanging="360"/>
      </w:pPr>
      <w:rPr>
        <w:rFonts w:ascii="Courier New" w:hAnsi="Courier New" w:cs="Courier New" w:hint="default"/>
      </w:rPr>
    </w:lvl>
    <w:lvl w:ilvl="8" w:tplc="04050005" w:tentative="1">
      <w:start w:val="1"/>
      <w:numFmt w:val="bullet"/>
      <w:lvlText w:val=""/>
      <w:lvlJc w:val="left"/>
      <w:pPr>
        <w:ind w:left="6962" w:hanging="360"/>
      </w:pPr>
      <w:rPr>
        <w:rFonts w:ascii="Wingdings" w:hAnsi="Wingdings" w:hint="default"/>
      </w:rPr>
    </w:lvl>
  </w:abstractNum>
  <w:abstractNum w:abstractNumId="21" w15:restartNumberingAfterBreak="0">
    <w:nsid w:val="380D7F94"/>
    <w:multiLevelType w:val="hybridMultilevel"/>
    <w:tmpl w:val="ED325D0C"/>
    <w:lvl w:ilvl="0" w:tplc="0405000B">
      <w:start w:val="1"/>
      <w:numFmt w:val="bullet"/>
      <w:lvlText w:val=""/>
      <w:lvlJc w:val="left"/>
      <w:pPr>
        <w:ind w:left="1202" w:hanging="360"/>
      </w:pPr>
      <w:rPr>
        <w:rFonts w:ascii="Wingdings" w:hAnsi="Wingdings" w:hint="default"/>
      </w:rPr>
    </w:lvl>
    <w:lvl w:ilvl="1" w:tplc="04050003" w:tentative="1">
      <w:start w:val="1"/>
      <w:numFmt w:val="bullet"/>
      <w:lvlText w:val="o"/>
      <w:lvlJc w:val="left"/>
      <w:pPr>
        <w:ind w:left="1922" w:hanging="360"/>
      </w:pPr>
      <w:rPr>
        <w:rFonts w:ascii="Courier New" w:hAnsi="Courier New" w:cs="Courier New" w:hint="default"/>
      </w:rPr>
    </w:lvl>
    <w:lvl w:ilvl="2" w:tplc="04050005" w:tentative="1">
      <w:start w:val="1"/>
      <w:numFmt w:val="bullet"/>
      <w:lvlText w:val=""/>
      <w:lvlJc w:val="left"/>
      <w:pPr>
        <w:ind w:left="2642" w:hanging="360"/>
      </w:pPr>
      <w:rPr>
        <w:rFonts w:ascii="Wingdings" w:hAnsi="Wingdings" w:hint="default"/>
      </w:rPr>
    </w:lvl>
    <w:lvl w:ilvl="3" w:tplc="04050001" w:tentative="1">
      <w:start w:val="1"/>
      <w:numFmt w:val="bullet"/>
      <w:lvlText w:val=""/>
      <w:lvlJc w:val="left"/>
      <w:pPr>
        <w:ind w:left="3362" w:hanging="360"/>
      </w:pPr>
      <w:rPr>
        <w:rFonts w:ascii="Symbol" w:hAnsi="Symbol" w:hint="default"/>
      </w:rPr>
    </w:lvl>
    <w:lvl w:ilvl="4" w:tplc="04050003" w:tentative="1">
      <w:start w:val="1"/>
      <w:numFmt w:val="bullet"/>
      <w:lvlText w:val="o"/>
      <w:lvlJc w:val="left"/>
      <w:pPr>
        <w:ind w:left="4082" w:hanging="360"/>
      </w:pPr>
      <w:rPr>
        <w:rFonts w:ascii="Courier New" w:hAnsi="Courier New" w:cs="Courier New" w:hint="default"/>
      </w:rPr>
    </w:lvl>
    <w:lvl w:ilvl="5" w:tplc="04050005" w:tentative="1">
      <w:start w:val="1"/>
      <w:numFmt w:val="bullet"/>
      <w:lvlText w:val=""/>
      <w:lvlJc w:val="left"/>
      <w:pPr>
        <w:ind w:left="4802" w:hanging="360"/>
      </w:pPr>
      <w:rPr>
        <w:rFonts w:ascii="Wingdings" w:hAnsi="Wingdings" w:hint="default"/>
      </w:rPr>
    </w:lvl>
    <w:lvl w:ilvl="6" w:tplc="04050001" w:tentative="1">
      <w:start w:val="1"/>
      <w:numFmt w:val="bullet"/>
      <w:lvlText w:val=""/>
      <w:lvlJc w:val="left"/>
      <w:pPr>
        <w:ind w:left="5522" w:hanging="360"/>
      </w:pPr>
      <w:rPr>
        <w:rFonts w:ascii="Symbol" w:hAnsi="Symbol" w:hint="default"/>
      </w:rPr>
    </w:lvl>
    <w:lvl w:ilvl="7" w:tplc="04050003" w:tentative="1">
      <w:start w:val="1"/>
      <w:numFmt w:val="bullet"/>
      <w:lvlText w:val="o"/>
      <w:lvlJc w:val="left"/>
      <w:pPr>
        <w:ind w:left="6242" w:hanging="360"/>
      </w:pPr>
      <w:rPr>
        <w:rFonts w:ascii="Courier New" w:hAnsi="Courier New" w:cs="Courier New" w:hint="default"/>
      </w:rPr>
    </w:lvl>
    <w:lvl w:ilvl="8" w:tplc="04050005" w:tentative="1">
      <w:start w:val="1"/>
      <w:numFmt w:val="bullet"/>
      <w:lvlText w:val=""/>
      <w:lvlJc w:val="left"/>
      <w:pPr>
        <w:ind w:left="6962" w:hanging="360"/>
      </w:pPr>
      <w:rPr>
        <w:rFonts w:ascii="Wingdings" w:hAnsi="Wingdings" w:hint="default"/>
      </w:rPr>
    </w:lvl>
  </w:abstractNum>
  <w:abstractNum w:abstractNumId="22" w15:restartNumberingAfterBreak="0">
    <w:nsid w:val="3D8E3D15"/>
    <w:multiLevelType w:val="multilevel"/>
    <w:tmpl w:val="C84A64D6"/>
    <w:styleLink w:val="ZPVetsodrkami"/>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E754F81"/>
    <w:multiLevelType w:val="hybridMultilevel"/>
    <w:tmpl w:val="2E7EEA8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EA16F3B"/>
    <w:multiLevelType w:val="multilevel"/>
    <w:tmpl w:val="748A675E"/>
    <w:numStyleLink w:val="slovnploh"/>
  </w:abstractNum>
  <w:abstractNum w:abstractNumId="25" w15:restartNumberingAfterBreak="0">
    <w:nsid w:val="400A11CE"/>
    <w:multiLevelType w:val="multilevel"/>
    <w:tmpl w:val="748A675E"/>
    <w:styleLink w:val="slovnploh"/>
    <w:lvl w:ilvl="0">
      <w:start w:val="1"/>
      <w:numFmt w:val="upperLetter"/>
      <w:pStyle w:val="Ploha1"/>
      <w:lvlText w:val="Příloha %1"/>
      <w:lvlJc w:val="left"/>
      <w:pPr>
        <w:ind w:left="1701" w:hanging="1701"/>
      </w:pPr>
      <w:rPr>
        <w:rFonts w:hint="default"/>
      </w:rPr>
    </w:lvl>
    <w:lvl w:ilvl="1">
      <w:start w:val="1"/>
      <w:numFmt w:val="decimal"/>
      <w:pStyle w:val="Ploha2"/>
      <w:lvlText w:val="%1.%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0A364E4"/>
    <w:multiLevelType w:val="multilevel"/>
    <w:tmpl w:val="3034A504"/>
    <w:styleLink w:val="Decimlnslovn"/>
    <w:lvl w:ilvl="0">
      <w:start w:val="1"/>
      <w:numFmt w:val="decimal"/>
      <w:lvlText w:val="%1"/>
      <w:lvlJc w:val="left"/>
      <w:pPr>
        <w:ind w:left="1701" w:hanging="1701"/>
      </w:pPr>
      <w:rPr>
        <w:rFonts w:hint="default"/>
      </w:rPr>
    </w:lvl>
    <w:lvl w:ilvl="1">
      <w:start w:val="1"/>
      <w:numFmt w:val="decimal"/>
      <w:lvlText w:val="%1.%2"/>
      <w:lvlJc w:val="left"/>
      <w:pPr>
        <w:ind w:left="1701" w:hanging="1701"/>
      </w:pPr>
      <w:rPr>
        <w:rFonts w:hint="default"/>
      </w:rPr>
    </w:lvl>
    <w:lvl w:ilvl="2">
      <w:start w:val="1"/>
      <w:numFmt w:val="decimal"/>
      <w:lvlText w:val="%1.%2.%3"/>
      <w:lvlJc w:val="left"/>
      <w:pPr>
        <w:ind w:left="1701" w:hanging="1701"/>
      </w:pPr>
      <w:rPr>
        <w:rFonts w:hint="default"/>
      </w:rPr>
    </w:lvl>
    <w:lvl w:ilvl="3">
      <w:start w:val="1"/>
      <w:numFmt w:val="decimal"/>
      <w:lvlText w:val="%1.%2.%3.%4"/>
      <w:lvlJc w:val="left"/>
      <w:pPr>
        <w:ind w:left="1701" w:hanging="1701"/>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27" w15:restartNumberingAfterBreak="0">
    <w:nsid w:val="470E1626"/>
    <w:multiLevelType w:val="hybridMultilevel"/>
    <w:tmpl w:val="E0A83A9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7607F7A"/>
    <w:multiLevelType w:val="hybridMultilevel"/>
    <w:tmpl w:val="85E89D20"/>
    <w:lvl w:ilvl="0" w:tplc="04050017">
      <w:start w:val="1"/>
      <w:numFmt w:val="lowerLetter"/>
      <w:lvlText w:val="%1)"/>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B2E7B3F"/>
    <w:multiLevelType w:val="hybridMultilevel"/>
    <w:tmpl w:val="502E4F36"/>
    <w:lvl w:ilvl="0" w:tplc="FFFFFFFF">
      <w:start w:val="1"/>
      <w:numFmt w:val="lowerLetter"/>
      <w:lvlText w:val="%1)"/>
      <w:lvlJc w:val="left"/>
      <w:pPr>
        <w:ind w:left="842" w:hanging="360"/>
      </w:pPr>
      <w:rPr>
        <w:rFonts w:hint="default"/>
        <w:b/>
        <w:bCs/>
      </w:rPr>
    </w:lvl>
    <w:lvl w:ilvl="1" w:tplc="FFFFFFFF" w:tentative="1">
      <w:start w:val="1"/>
      <w:numFmt w:val="lowerLetter"/>
      <w:lvlText w:val="%2."/>
      <w:lvlJc w:val="left"/>
      <w:pPr>
        <w:ind w:left="1562" w:hanging="360"/>
      </w:pPr>
    </w:lvl>
    <w:lvl w:ilvl="2" w:tplc="FFFFFFFF" w:tentative="1">
      <w:start w:val="1"/>
      <w:numFmt w:val="lowerRoman"/>
      <w:lvlText w:val="%3."/>
      <w:lvlJc w:val="right"/>
      <w:pPr>
        <w:ind w:left="2282" w:hanging="180"/>
      </w:pPr>
    </w:lvl>
    <w:lvl w:ilvl="3" w:tplc="FFFFFFFF" w:tentative="1">
      <w:start w:val="1"/>
      <w:numFmt w:val="decimal"/>
      <w:lvlText w:val="%4."/>
      <w:lvlJc w:val="left"/>
      <w:pPr>
        <w:ind w:left="3002" w:hanging="360"/>
      </w:pPr>
    </w:lvl>
    <w:lvl w:ilvl="4" w:tplc="FFFFFFFF" w:tentative="1">
      <w:start w:val="1"/>
      <w:numFmt w:val="lowerLetter"/>
      <w:lvlText w:val="%5."/>
      <w:lvlJc w:val="left"/>
      <w:pPr>
        <w:ind w:left="3722" w:hanging="360"/>
      </w:pPr>
    </w:lvl>
    <w:lvl w:ilvl="5" w:tplc="FFFFFFFF" w:tentative="1">
      <w:start w:val="1"/>
      <w:numFmt w:val="lowerRoman"/>
      <w:lvlText w:val="%6."/>
      <w:lvlJc w:val="right"/>
      <w:pPr>
        <w:ind w:left="4442" w:hanging="180"/>
      </w:pPr>
    </w:lvl>
    <w:lvl w:ilvl="6" w:tplc="FFFFFFFF" w:tentative="1">
      <w:start w:val="1"/>
      <w:numFmt w:val="decimal"/>
      <w:lvlText w:val="%7."/>
      <w:lvlJc w:val="left"/>
      <w:pPr>
        <w:ind w:left="5162" w:hanging="360"/>
      </w:pPr>
    </w:lvl>
    <w:lvl w:ilvl="7" w:tplc="FFFFFFFF" w:tentative="1">
      <w:start w:val="1"/>
      <w:numFmt w:val="lowerLetter"/>
      <w:lvlText w:val="%8."/>
      <w:lvlJc w:val="left"/>
      <w:pPr>
        <w:ind w:left="5882" w:hanging="360"/>
      </w:pPr>
    </w:lvl>
    <w:lvl w:ilvl="8" w:tplc="FFFFFFFF" w:tentative="1">
      <w:start w:val="1"/>
      <w:numFmt w:val="lowerRoman"/>
      <w:lvlText w:val="%9."/>
      <w:lvlJc w:val="right"/>
      <w:pPr>
        <w:ind w:left="6602" w:hanging="180"/>
      </w:pPr>
    </w:lvl>
  </w:abstractNum>
  <w:abstractNum w:abstractNumId="30" w15:restartNumberingAfterBreak="0">
    <w:nsid w:val="4EB24B54"/>
    <w:multiLevelType w:val="hybridMultilevel"/>
    <w:tmpl w:val="9AE022BE"/>
    <w:lvl w:ilvl="0" w:tplc="56F427F8">
      <w:start w:val="1"/>
      <w:numFmt w:val="decimal"/>
      <w:pStyle w:val="ZPLiteratura"/>
      <w:lvlText w:val="%1. "/>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8E16BEE"/>
    <w:multiLevelType w:val="multilevel"/>
    <w:tmpl w:val="BA9C7C44"/>
    <w:lvl w:ilvl="0">
      <w:start w:val="1"/>
      <w:numFmt w:val="decimal"/>
      <w:pStyle w:val="7C5D38C841C7463A9DD7C17FE250AFA711"/>
      <w:lvlText w:val="%1."/>
      <w:lvlJc w:val="left"/>
      <w:pPr>
        <w:tabs>
          <w:tab w:val="num" w:pos="720"/>
        </w:tabs>
        <w:ind w:left="720" w:hanging="720"/>
      </w:pPr>
    </w:lvl>
    <w:lvl w:ilvl="1">
      <w:start w:val="1"/>
      <w:numFmt w:val="decimal"/>
      <w:pStyle w:val="8A8A910B8AA34CD7A42465204528F8A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BA2222F"/>
    <w:multiLevelType w:val="multilevel"/>
    <w:tmpl w:val="AEBA885E"/>
    <w:numStyleLink w:val="slovnkapitol"/>
  </w:abstractNum>
  <w:abstractNum w:abstractNumId="33" w15:restartNumberingAfterBreak="0">
    <w:nsid w:val="5C404C53"/>
    <w:multiLevelType w:val="hybridMultilevel"/>
    <w:tmpl w:val="7CC2A2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4AD1D4C"/>
    <w:multiLevelType w:val="multilevel"/>
    <w:tmpl w:val="188893A0"/>
    <w:styleLink w:val="Vcerovovseznam"/>
    <w:lvl w:ilvl="0">
      <w:start w:val="1"/>
      <w:numFmt w:val="decimal"/>
      <w:lvlText w:val="%1."/>
      <w:lvlJc w:val="right"/>
      <w:pPr>
        <w:ind w:left="540" w:hanging="60"/>
      </w:pPr>
      <w:rPr>
        <w:rFonts w:hint="default"/>
      </w:rPr>
    </w:lvl>
    <w:lvl w:ilvl="1">
      <w:start w:val="1"/>
      <w:numFmt w:val="lowerLetter"/>
      <w:lvlText w:val="%2)"/>
      <w:lvlJc w:val="right"/>
      <w:pPr>
        <w:ind w:left="1021" w:hanging="57"/>
      </w:pPr>
      <w:rPr>
        <w:rFonts w:hint="default"/>
      </w:rPr>
    </w:lvl>
    <w:lvl w:ilvl="2">
      <w:start w:val="1"/>
      <w:numFmt w:val="lowerRoman"/>
      <w:lvlText w:val="%3."/>
      <w:lvlJc w:val="right"/>
      <w:pPr>
        <w:ind w:left="1503" w:hanging="57"/>
      </w:pPr>
      <w:rPr>
        <w:rFonts w:hint="default"/>
      </w:rPr>
    </w:lvl>
    <w:lvl w:ilvl="3">
      <w:start w:val="1"/>
      <w:numFmt w:val="bullet"/>
      <w:lvlText w:val=""/>
      <w:lvlJc w:val="left"/>
      <w:pPr>
        <w:ind w:left="1980" w:hanging="60"/>
      </w:pPr>
      <w:rPr>
        <w:rFonts w:ascii="Symbol" w:hAnsi="Symbol" w:hint="default"/>
        <w:color w:val="auto"/>
      </w:rPr>
    </w:lvl>
    <w:lvl w:ilvl="4">
      <w:start w:val="1"/>
      <w:numFmt w:val="none"/>
      <w:suff w:val="nothing"/>
      <w:lvlText w:val=""/>
      <w:lvlJc w:val="left"/>
      <w:pPr>
        <w:ind w:left="2400" w:firstLine="0"/>
      </w:pPr>
      <w:rPr>
        <w:rFonts w:hint="default"/>
      </w:rPr>
    </w:lvl>
    <w:lvl w:ilvl="5">
      <w:start w:val="1"/>
      <w:numFmt w:val="none"/>
      <w:suff w:val="nothing"/>
      <w:lvlText w:val=""/>
      <w:lvlJc w:val="right"/>
      <w:pPr>
        <w:ind w:left="4320" w:hanging="1440"/>
      </w:pPr>
      <w:rPr>
        <w:rFonts w:hint="default"/>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none"/>
      <w:suff w:val="nothing"/>
      <w:lvlText w:val=""/>
      <w:lvlJc w:val="right"/>
      <w:pPr>
        <w:ind w:left="4320" w:firstLine="0"/>
      </w:pPr>
      <w:rPr>
        <w:rFonts w:hint="default"/>
      </w:rPr>
    </w:lvl>
  </w:abstractNum>
  <w:abstractNum w:abstractNumId="35" w15:restartNumberingAfterBreak="0">
    <w:nsid w:val="70826D49"/>
    <w:multiLevelType w:val="hybridMultilevel"/>
    <w:tmpl w:val="3616595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2C00B05"/>
    <w:multiLevelType w:val="multilevel"/>
    <w:tmpl w:val="A6D47DB6"/>
    <w:lvl w:ilvl="0">
      <w:start w:val="1"/>
      <w:numFmt w:val="upperLetter"/>
      <w:pStyle w:val="ZPHlavnnadpis--plohy"/>
      <w:lvlText w:val="%1"/>
      <w:lvlJc w:val="left"/>
      <w:pPr>
        <w:tabs>
          <w:tab w:val="num" w:pos="567"/>
        </w:tabs>
        <w:ind w:left="567" w:hanging="567"/>
      </w:pPr>
      <w:rPr>
        <w:rFonts w:hint="default"/>
      </w:rPr>
    </w:lvl>
    <w:lvl w:ilvl="1">
      <w:start w:val="1"/>
      <w:numFmt w:val="decimal"/>
      <w:lvlText w:val="%1.%2."/>
      <w:lvlJc w:val="left"/>
      <w:pPr>
        <w:tabs>
          <w:tab w:val="num" w:pos="764"/>
        </w:tabs>
        <w:ind w:left="764" w:hanging="482"/>
      </w:pPr>
      <w:rPr>
        <w:rFonts w:hint="default"/>
      </w:rPr>
    </w:lvl>
    <w:lvl w:ilvl="2">
      <w:start w:val="1"/>
      <w:numFmt w:val="decimal"/>
      <w:lvlText w:val="%1.%2.%3."/>
      <w:lvlJc w:val="left"/>
      <w:pPr>
        <w:tabs>
          <w:tab w:val="num" w:pos="1501"/>
        </w:tabs>
        <w:ind w:left="1501" w:hanging="737"/>
      </w:pPr>
      <w:rPr>
        <w:rFonts w:hint="default"/>
      </w:rPr>
    </w:lvl>
    <w:lvl w:ilvl="3">
      <w:start w:val="1"/>
      <w:numFmt w:val="decimal"/>
      <w:lvlText w:val="%1.%2.%3.%4"/>
      <w:lvlJc w:val="left"/>
      <w:pPr>
        <w:tabs>
          <w:tab w:val="num" w:pos="904"/>
        </w:tabs>
        <w:ind w:left="904" w:hanging="864"/>
      </w:pPr>
      <w:rPr>
        <w:rFonts w:hint="default"/>
      </w:rPr>
    </w:lvl>
    <w:lvl w:ilvl="4">
      <w:start w:val="1"/>
      <w:numFmt w:val="decimal"/>
      <w:lvlText w:val="%1.%2.%3.%4.%5"/>
      <w:lvlJc w:val="left"/>
      <w:pPr>
        <w:tabs>
          <w:tab w:val="num" w:pos="1048"/>
        </w:tabs>
        <w:ind w:left="1048" w:hanging="1008"/>
      </w:pPr>
      <w:rPr>
        <w:rFonts w:hint="default"/>
      </w:rPr>
    </w:lvl>
    <w:lvl w:ilvl="5">
      <w:start w:val="1"/>
      <w:numFmt w:val="decimal"/>
      <w:lvlText w:val="%1.%2.%3.%4.%5.%6"/>
      <w:lvlJc w:val="left"/>
      <w:pPr>
        <w:tabs>
          <w:tab w:val="num" w:pos="1192"/>
        </w:tabs>
        <w:ind w:left="1192" w:hanging="1152"/>
      </w:pPr>
      <w:rPr>
        <w:rFonts w:hint="default"/>
      </w:rPr>
    </w:lvl>
    <w:lvl w:ilvl="6">
      <w:start w:val="1"/>
      <w:numFmt w:val="decimal"/>
      <w:lvlText w:val="%1.%2.%3.%4.%5.%6.%7"/>
      <w:lvlJc w:val="left"/>
      <w:pPr>
        <w:tabs>
          <w:tab w:val="num" w:pos="1336"/>
        </w:tabs>
        <w:ind w:left="1336" w:hanging="1296"/>
      </w:pPr>
      <w:rPr>
        <w:rFonts w:hint="default"/>
      </w:rPr>
    </w:lvl>
    <w:lvl w:ilvl="7">
      <w:start w:val="1"/>
      <w:numFmt w:val="decimal"/>
      <w:lvlText w:val="%1.%2.%3.%4.%5.%6.%7.%8"/>
      <w:lvlJc w:val="left"/>
      <w:pPr>
        <w:tabs>
          <w:tab w:val="num" w:pos="1480"/>
        </w:tabs>
        <w:ind w:left="1480" w:hanging="1440"/>
      </w:pPr>
      <w:rPr>
        <w:rFonts w:hint="default"/>
      </w:rPr>
    </w:lvl>
    <w:lvl w:ilvl="8">
      <w:start w:val="1"/>
      <w:numFmt w:val="decimal"/>
      <w:lvlText w:val="%1.%2.%3.%4.%5.%6.%7.%8.%9"/>
      <w:lvlJc w:val="left"/>
      <w:pPr>
        <w:tabs>
          <w:tab w:val="num" w:pos="1624"/>
        </w:tabs>
        <w:ind w:left="1624" w:hanging="1584"/>
      </w:pPr>
      <w:rPr>
        <w:rFonts w:hint="default"/>
      </w:rPr>
    </w:lvl>
  </w:abstractNum>
  <w:abstractNum w:abstractNumId="37" w15:restartNumberingAfterBreak="0">
    <w:nsid w:val="75AB6741"/>
    <w:multiLevelType w:val="multilevel"/>
    <w:tmpl w:val="AEBA885E"/>
    <w:numStyleLink w:val="slovnkapitol"/>
  </w:abstractNum>
  <w:abstractNum w:abstractNumId="38" w15:restartNumberingAfterBreak="0">
    <w:nsid w:val="77210730"/>
    <w:multiLevelType w:val="hybridMultilevel"/>
    <w:tmpl w:val="CEA4008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7512861"/>
    <w:multiLevelType w:val="hybridMultilevel"/>
    <w:tmpl w:val="8904EAB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89B2AB2"/>
    <w:multiLevelType w:val="hybridMultilevel"/>
    <w:tmpl w:val="2C3411AE"/>
    <w:lvl w:ilvl="0" w:tplc="0405000B">
      <w:start w:val="1"/>
      <w:numFmt w:val="bullet"/>
      <w:lvlText w:val=""/>
      <w:lvlJc w:val="left"/>
      <w:pPr>
        <w:ind w:left="1202" w:hanging="360"/>
      </w:pPr>
      <w:rPr>
        <w:rFonts w:ascii="Wingdings" w:hAnsi="Wingdings" w:hint="default"/>
      </w:rPr>
    </w:lvl>
    <w:lvl w:ilvl="1" w:tplc="04050003" w:tentative="1">
      <w:start w:val="1"/>
      <w:numFmt w:val="bullet"/>
      <w:lvlText w:val="o"/>
      <w:lvlJc w:val="left"/>
      <w:pPr>
        <w:ind w:left="1922" w:hanging="360"/>
      </w:pPr>
      <w:rPr>
        <w:rFonts w:ascii="Courier New" w:hAnsi="Courier New" w:cs="Courier New" w:hint="default"/>
      </w:rPr>
    </w:lvl>
    <w:lvl w:ilvl="2" w:tplc="04050005" w:tentative="1">
      <w:start w:val="1"/>
      <w:numFmt w:val="bullet"/>
      <w:lvlText w:val=""/>
      <w:lvlJc w:val="left"/>
      <w:pPr>
        <w:ind w:left="2642" w:hanging="360"/>
      </w:pPr>
      <w:rPr>
        <w:rFonts w:ascii="Wingdings" w:hAnsi="Wingdings" w:hint="default"/>
      </w:rPr>
    </w:lvl>
    <w:lvl w:ilvl="3" w:tplc="04050001" w:tentative="1">
      <w:start w:val="1"/>
      <w:numFmt w:val="bullet"/>
      <w:lvlText w:val=""/>
      <w:lvlJc w:val="left"/>
      <w:pPr>
        <w:ind w:left="3362" w:hanging="360"/>
      </w:pPr>
      <w:rPr>
        <w:rFonts w:ascii="Symbol" w:hAnsi="Symbol" w:hint="default"/>
      </w:rPr>
    </w:lvl>
    <w:lvl w:ilvl="4" w:tplc="04050003" w:tentative="1">
      <w:start w:val="1"/>
      <w:numFmt w:val="bullet"/>
      <w:lvlText w:val="o"/>
      <w:lvlJc w:val="left"/>
      <w:pPr>
        <w:ind w:left="4082" w:hanging="360"/>
      </w:pPr>
      <w:rPr>
        <w:rFonts w:ascii="Courier New" w:hAnsi="Courier New" w:cs="Courier New" w:hint="default"/>
      </w:rPr>
    </w:lvl>
    <w:lvl w:ilvl="5" w:tplc="04050005" w:tentative="1">
      <w:start w:val="1"/>
      <w:numFmt w:val="bullet"/>
      <w:lvlText w:val=""/>
      <w:lvlJc w:val="left"/>
      <w:pPr>
        <w:ind w:left="4802" w:hanging="360"/>
      </w:pPr>
      <w:rPr>
        <w:rFonts w:ascii="Wingdings" w:hAnsi="Wingdings" w:hint="default"/>
      </w:rPr>
    </w:lvl>
    <w:lvl w:ilvl="6" w:tplc="04050001" w:tentative="1">
      <w:start w:val="1"/>
      <w:numFmt w:val="bullet"/>
      <w:lvlText w:val=""/>
      <w:lvlJc w:val="left"/>
      <w:pPr>
        <w:ind w:left="5522" w:hanging="360"/>
      </w:pPr>
      <w:rPr>
        <w:rFonts w:ascii="Symbol" w:hAnsi="Symbol" w:hint="default"/>
      </w:rPr>
    </w:lvl>
    <w:lvl w:ilvl="7" w:tplc="04050003" w:tentative="1">
      <w:start w:val="1"/>
      <w:numFmt w:val="bullet"/>
      <w:lvlText w:val="o"/>
      <w:lvlJc w:val="left"/>
      <w:pPr>
        <w:ind w:left="6242" w:hanging="360"/>
      </w:pPr>
      <w:rPr>
        <w:rFonts w:ascii="Courier New" w:hAnsi="Courier New" w:cs="Courier New" w:hint="default"/>
      </w:rPr>
    </w:lvl>
    <w:lvl w:ilvl="8" w:tplc="04050005" w:tentative="1">
      <w:start w:val="1"/>
      <w:numFmt w:val="bullet"/>
      <w:lvlText w:val=""/>
      <w:lvlJc w:val="left"/>
      <w:pPr>
        <w:ind w:left="6962" w:hanging="360"/>
      </w:pPr>
      <w:rPr>
        <w:rFonts w:ascii="Wingdings" w:hAnsi="Wingdings" w:hint="default"/>
      </w:rPr>
    </w:lvl>
  </w:abstractNum>
  <w:num w:numId="1" w16cid:durableId="1097363860">
    <w:abstractNumId w:val="16"/>
  </w:num>
  <w:num w:numId="2" w16cid:durableId="904492286">
    <w:abstractNumId w:val="36"/>
  </w:num>
  <w:num w:numId="3" w16cid:durableId="1466464189">
    <w:abstractNumId w:val="30"/>
  </w:num>
  <w:num w:numId="4" w16cid:durableId="291445763">
    <w:abstractNumId w:val="22"/>
  </w:num>
  <w:num w:numId="5" w16cid:durableId="613098320">
    <w:abstractNumId w:val="8"/>
  </w:num>
  <w:num w:numId="6" w16cid:durableId="469133740">
    <w:abstractNumId w:val="25"/>
  </w:num>
  <w:num w:numId="7" w16cid:durableId="302660731">
    <w:abstractNumId w:val="4"/>
  </w:num>
  <w:num w:numId="8" w16cid:durableId="602156295">
    <w:abstractNumId w:val="3"/>
  </w:num>
  <w:num w:numId="9" w16cid:durableId="1419716720">
    <w:abstractNumId w:val="2"/>
  </w:num>
  <w:num w:numId="10" w16cid:durableId="943194946">
    <w:abstractNumId w:val="1"/>
  </w:num>
  <w:num w:numId="11" w16cid:durableId="1394154154">
    <w:abstractNumId w:val="0"/>
  </w:num>
  <w:num w:numId="12" w16cid:durableId="1163399359">
    <w:abstractNumId w:val="5"/>
  </w:num>
  <w:num w:numId="13" w16cid:durableId="980303310">
    <w:abstractNumId w:val="34"/>
  </w:num>
  <w:num w:numId="14" w16cid:durableId="1156871547">
    <w:abstractNumId w:val="3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20" w:hanging="720"/>
        </w:pPr>
        <w:rPr>
          <w:rFonts w:hint="default"/>
        </w:rPr>
      </w:lvl>
    </w:lvlOverride>
    <w:lvlOverride w:ilvl="2">
      <w:lvl w:ilvl="2">
        <w:start w:val="1"/>
        <w:numFmt w:val="decimal"/>
        <w:lvlText w:val="%1.%2.%3"/>
        <w:lvlJc w:val="left"/>
        <w:pPr>
          <w:ind w:left="1080" w:hanging="1080"/>
        </w:pPr>
        <w:rPr>
          <w:rFonts w:hint="default"/>
        </w:rPr>
      </w:lvl>
    </w:lvlOverride>
    <w:lvlOverride w:ilvl="3">
      <w:lvl w:ilvl="3">
        <w:start w:val="1"/>
        <w:numFmt w:val="decimal"/>
        <w:lvlText w:val="%1.%2.%3.%4"/>
        <w:lvlJc w:val="left"/>
        <w:pPr>
          <w:ind w:left="1440" w:hanging="144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5" w16cid:durableId="727264167">
    <w:abstractNumId w:val="31"/>
  </w:num>
  <w:num w:numId="16" w16cid:durableId="1117023703">
    <w:abstractNumId w:val="24"/>
  </w:num>
  <w:num w:numId="17" w16cid:durableId="1766655208">
    <w:abstractNumId w:val="11"/>
  </w:num>
  <w:num w:numId="18" w16cid:durableId="57360605">
    <w:abstractNumId w:val="26"/>
  </w:num>
  <w:num w:numId="19" w16cid:durableId="1674842208">
    <w:abstractNumId w:val="32"/>
  </w:num>
  <w:num w:numId="20" w16cid:durableId="1951232755">
    <w:abstractNumId w:val="19"/>
  </w:num>
  <w:num w:numId="21" w16cid:durableId="319580603">
    <w:abstractNumId w:val="40"/>
  </w:num>
  <w:num w:numId="22" w16cid:durableId="90010828">
    <w:abstractNumId w:val="6"/>
  </w:num>
  <w:num w:numId="23" w16cid:durableId="1712413793">
    <w:abstractNumId w:val="21"/>
  </w:num>
  <w:num w:numId="24" w16cid:durableId="1988434385">
    <w:abstractNumId w:val="20"/>
  </w:num>
  <w:num w:numId="25" w16cid:durableId="1818496316">
    <w:abstractNumId w:val="35"/>
  </w:num>
  <w:num w:numId="26" w16cid:durableId="736366343">
    <w:abstractNumId w:val="12"/>
  </w:num>
  <w:num w:numId="27" w16cid:durableId="1966500039">
    <w:abstractNumId w:val="38"/>
  </w:num>
  <w:num w:numId="28" w16cid:durableId="255133339">
    <w:abstractNumId w:val="13"/>
  </w:num>
  <w:num w:numId="29" w16cid:durableId="1681816328">
    <w:abstractNumId w:val="18"/>
  </w:num>
  <w:num w:numId="30" w16cid:durableId="103111200">
    <w:abstractNumId w:val="17"/>
  </w:num>
  <w:num w:numId="31" w16cid:durableId="1820804284">
    <w:abstractNumId w:val="29"/>
  </w:num>
  <w:num w:numId="32" w16cid:durableId="1678071063">
    <w:abstractNumId w:val="15"/>
  </w:num>
  <w:num w:numId="33" w16cid:durableId="909733591">
    <w:abstractNumId w:val="9"/>
  </w:num>
  <w:num w:numId="34" w16cid:durableId="943002254">
    <w:abstractNumId w:val="39"/>
  </w:num>
  <w:num w:numId="35" w16cid:durableId="1437679678">
    <w:abstractNumId w:val="28"/>
  </w:num>
  <w:num w:numId="36" w16cid:durableId="1998144304">
    <w:abstractNumId w:val="33"/>
  </w:num>
  <w:num w:numId="37" w16cid:durableId="927925152">
    <w:abstractNumId w:val="27"/>
  </w:num>
  <w:num w:numId="38" w16cid:durableId="968824849">
    <w:abstractNumId w:val="7"/>
  </w:num>
  <w:num w:numId="39" w16cid:durableId="28265476">
    <w:abstractNumId w:val="10"/>
  </w:num>
  <w:num w:numId="40" w16cid:durableId="1035812017">
    <w:abstractNumId w:val="14"/>
  </w:num>
  <w:num w:numId="41" w16cid:durableId="349600981">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mirrorMargins/>
  <w:proofState w:spelling="clean" w:grammar="clean"/>
  <w:attachedTemplate r:id="rId1"/>
  <w:stylePaneFormatFilter w:val="3824" w:allStyles="0" w:customStyles="0" w:latentStyles="1"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styleLockTheme/>
  <w:styleLockQFSet/>
  <w:defaultTabStop w:val="709"/>
  <w:autoHyphenation/>
  <w:hyphenationZone w:val="425"/>
  <w:evenAndOddHeader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DCF"/>
    <w:rsid w:val="000008D4"/>
    <w:rsid w:val="000009B7"/>
    <w:rsid w:val="00000AD4"/>
    <w:rsid w:val="00000DBC"/>
    <w:rsid w:val="000017F4"/>
    <w:rsid w:val="00002049"/>
    <w:rsid w:val="0000211B"/>
    <w:rsid w:val="00002238"/>
    <w:rsid w:val="00002360"/>
    <w:rsid w:val="00002879"/>
    <w:rsid w:val="0000295B"/>
    <w:rsid w:val="00002A91"/>
    <w:rsid w:val="00002E3E"/>
    <w:rsid w:val="000031E3"/>
    <w:rsid w:val="000035B2"/>
    <w:rsid w:val="000038B6"/>
    <w:rsid w:val="00003C17"/>
    <w:rsid w:val="00003C82"/>
    <w:rsid w:val="00003E15"/>
    <w:rsid w:val="000040D0"/>
    <w:rsid w:val="00004127"/>
    <w:rsid w:val="0000444A"/>
    <w:rsid w:val="000046C0"/>
    <w:rsid w:val="000046C4"/>
    <w:rsid w:val="0000481C"/>
    <w:rsid w:val="0000495E"/>
    <w:rsid w:val="00004C8D"/>
    <w:rsid w:val="00004FD7"/>
    <w:rsid w:val="00005964"/>
    <w:rsid w:val="00005F29"/>
    <w:rsid w:val="000060F0"/>
    <w:rsid w:val="00006134"/>
    <w:rsid w:val="00006293"/>
    <w:rsid w:val="00006358"/>
    <w:rsid w:val="00006682"/>
    <w:rsid w:val="00006912"/>
    <w:rsid w:val="00006A66"/>
    <w:rsid w:val="00006AC9"/>
    <w:rsid w:val="00006DA4"/>
    <w:rsid w:val="00006E3B"/>
    <w:rsid w:val="00006F17"/>
    <w:rsid w:val="00006F7B"/>
    <w:rsid w:val="00007AF6"/>
    <w:rsid w:val="00007DDF"/>
    <w:rsid w:val="00007E42"/>
    <w:rsid w:val="000108A2"/>
    <w:rsid w:val="000113F8"/>
    <w:rsid w:val="000114E8"/>
    <w:rsid w:val="00011843"/>
    <w:rsid w:val="00011DE2"/>
    <w:rsid w:val="0001265C"/>
    <w:rsid w:val="00012885"/>
    <w:rsid w:val="00012D8B"/>
    <w:rsid w:val="00012EAB"/>
    <w:rsid w:val="00013002"/>
    <w:rsid w:val="00013390"/>
    <w:rsid w:val="00013A98"/>
    <w:rsid w:val="00013C69"/>
    <w:rsid w:val="00013EA1"/>
    <w:rsid w:val="00013F73"/>
    <w:rsid w:val="000145D5"/>
    <w:rsid w:val="000147A0"/>
    <w:rsid w:val="0001496C"/>
    <w:rsid w:val="00014EAD"/>
    <w:rsid w:val="0001540C"/>
    <w:rsid w:val="000158CD"/>
    <w:rsid w:val="000158FB"/>
    <w:rsid w:val="000161FF"/>
    <w:rsid w:val="00016390"/>
    <w:rsid w:val="000165B2"/>
    <w:rsid w:val="00016805"/>
    <w:rsid w:val="0001689A"/>
    <w:rsid w:val="00016A04"/>
    <w:rsid w:val="00016AD9"/>
    <w:rsid w:val="00016DE6"/>
    <w:rsid w:val="00017150"/>
    <w:rsid w:val="000178DC"/>
    <w:rsid w:val="0001791B"/>
    <w:rsid w:val="00017E11"/>
    <w:rsid w:val="00017FCE"/>
    <w:rsid w:val="0002004F"/>
    <w:rsid w:val="00020138"/>
    <w:rsid w:val="00020185"/>
    <w:rsid w:val="00020551"/>
    <w:rsid w:val="00020575"/>
    <w:rsid w:val="000209D7"/>
    <w:rsid w:val="00020BD2"/>
    <w:rsid w:val="00020D35"/>
    <w:rsid w:val="0002104E"/>
    <w:rsid w:val="00021CED"/>
    <w:rsid w:val="00022487"/>
    <w:rsid w:val="000225B8"/>
    <w:rsid w:val="000230D3"/>
    <w:rsid w:val="00023850"/>
    <w:rsid w:val="000238A7"/>
    <w:rsid w:val="00023B44"/>
    <w:rsid w:val="00023E52"/>
    <w:rsid w:val="00023F26"/>
    <w:rsid w:val="00024505"/>
    <w:rsid w:val="000247CC"/>
    <w:rsid w:val="000249CF"/>
    <w:rsid w:val="00024A72"/>
    <w:rsid w:val="00024B47"/>
    <w:rsid w:val="000251D3"/>
    <w:rsid w:val="000254F2"/>
    <w:rsid w:val="00025622"/>
    <w:rsid w:val="000258C6"/>
    <w:rsid w:val="0002592C"/>
    <w:rsid w:val="0002597E"/>
    <w:rsid w:val="00025C96"/>
    <w:rsid w:val="00025C97"/>
    <w:rsid w:val="00025DBB"/>
    <w:rsid w:val="0002609D"/>
    <w:rsid w:val="000260A1"/>
    <w:rsid w:val="00026314"/>
    <w:rsid w:val="00026C0F"/>
    <w:rsid w:val="00026CCF"/>
    <w:rsid w:val="00026FE2"/>
    <w:rsid w:val="00027059"/>
    <w:rsid w:val="000275AB"/>
    <w:rsid w:val="0002762E"/>
    <w:rsid w:val="00027983"/>
    <w:rsid w:val="00027A39"/>
    <w:rsid w:val="000300E0"/>
    <w:rsid w:val="00030131"/>
    <w:rsid w:val="00030182"/>
    <w:rsid w:val="00030229"/>
    <w:rsid w:val="000302D1"/>
    <w:rsid w:val="000307F1"/>
    <w:rsid w:val="000311FE"/>
    <w:rsid w:val="0003139D"/>
    <w:rsid w:val="00031455"/>
    <w:rsid w:val="00032032"/>
    <w:rsid w:val="000321DC"/>
    <w:rsid w:val="0003276D"/>
    <w:rsid w:val="000329DE"/>
    <w:rsid w:val="00032A84"/>
    <w:rsid w:val="00032C82"/>
    <w:rsid w:val="00032EBD"/>
    <w:rsid w:val="00032F3E"/>
    <w:rsid w:val="000330E1"/>
    <w:rsid w:val="0003313D"/>
    <w:rsid w:val="000331F5"/>
    <w:rsid w:val="00033256"/>
    <w:rsid w:val="000332E7"/>
    <w:rsid w:val="00033887"/>
    <w:rsid w:val="0003397F"/>
    <w:rsid w:val="00033D24"/>
    <w:rsid w:val="000341DF"/>
    <w:rsid w:val="000342DA"/>
    <w:rsid w:val="000345B6"/>
    <w:rsid w:val="00034612"/>
    <w:rsid w:val="00034863"/>
    <w:rsid w:val="00034CF6"/>
    <w:rsid w:val="00034FD5"/>
    <w:rsid w:val="000356FE"/>
    <w:rsid w:val="000357D5"/>
    <w:rsid w:val="000359FD"/>
    <w:rsid w:val="00036015"/>
    <w:rsid w:val="00036379"/>
    <w:rsid w:val="000371D5"/>
    <w:rsid w:val="000372BD"/>
    <w:rsid w:val="00037B4B"/>
    <w:rsid w:val="00037FCD"/>
    <w:rsid w:val="00040355"/>
    <w:rsid w:val="00040739"/>
    <w:rsid w:val="00040A9E"/>
    <w:rsid w:val="00040DBB"/>
    <w:rsid w:val="00041067"/>
    <w:rsid w:val="00041084"/>
    <w:rsid w:val="000414DF"/>
    <w:rsid w:val="00041665"/>
    <w:rsid w:val="0004183D"/>
    <w:rsid w:val="00041A7A"/>
    <w:rsid w:val="00042260"/>
    <w:rsid w:val="00042574"/>
    <w:rsid w:val="000425C9"/>
    <w:rsid w:val="000425FC"/>
    <w:rsid w:val="00042887"/>
    <w:rsid w:val="00042905"/>
    <w:rsid w:val="00042B2A"/>
    <w:rsid w:val="00043C5E"/>
    <w:rsid w:val="00043CAB"/>
    <w:rsid w:val="000446A5"/>
    <w:rsid w:val="000448F9"/>
    <w:rsid w:val="0004509E"/>
    <w:rsid w:val="0004523B"/>
    <w:rsid w:val="00045288"/>
    <w:rsid w:val="000459B0"/>
    <w:rsid w:val="00045B52"/>
    <w:rsid w:val="00045B86"/>
    <w:rsid w:val="00045C44"/>
    <w:rsid w:val="00045CF7"/>
    <w:rsid w:val="000466FC"/>
    <w:rsid w:val="00046789"/>
    <w:rsid w:val="0004727B"/>
    <w:rsid w:val="00047363"/>
    <w:rsid w:val="00047AC8"/>
    <w:rsid w:val="00047C0F"/>
    <w:rsid w:val="00047D59"/>
    <w:rsid w:val="0005075F"/>
    <w:rsid w:val="00050780"/>
    <w:rsid w:val="000508DC"/>
    <w:rsid w:val="0005096B"/>
    <w:rsid w:val="00050B16"/>
    <w:rsid w:val="00050D40"/>
    <w:rsid w:val="00051147"/>
    <w:rsid w:val="00051178"/>
    <w:rsid w:val="00051287"/>
    <w:rsid w:val="0005132A"/>
    <w:rsid w:val="00051643"/>
    <w:rsid w:val="00051F02"/>
    <w:rsid w:val="00052026"/>
    <w:rsid w:val="00052C94"/>
    <w:rsid w:val="00052E64"/>
    <w:rsid w:val="0005319F"/>
    <w:rsid w:val="000536A2"/>
    <w:rsid w:val="000537B4"/>
    <w:rsid w:val="00053D21"/>
    <w:rsid w:val="00053E57"/>
    <w:rsid w:val="00053FB4"/>
    <w:rsid w:val="0005407C"/>
    <w:rsid w:val="000541EB"/>
    <w:rsid w:val="000542E2"/>
    <w:rsid w:val="00054A8C"/>
    <w:rsid w:val="00054C15"/>
    <w:rsid w:val="0005583E"/>
    <w:rsid w:val="00055A97"/>
    <w:rsid w:val="00055B20"/>
    <w:rsid w:val="00055BBE"/>
    <w:rsid w:val="00055C48"/>
    <w:rsid w:val="00055D16"/>
    <w:rsid w:val="00056287"/>
    <w:rsid w:val="0005656A"/>
    <w:rsid w:val="000568E5"/>
    <w:rsid w:val="000569BF"/>
    <w:rsid w:val="00056BDB"/>
    <w:rsid w:val="00056D7F"/>
    <w:rsid w:val="00056EFC"/>
    <w:rsid w:val="0005719E"/>
    <w:rsid w:val="0005799A"/>
    <w:rsid w:val="000579BE"/>
    <w:rsid w:val="00057C24"/>
    <w:rsid w:val="00057E3B"/>
    <w:rsid w:val="00057E84"/>
    <w:rsid w:val="000602B2"/>
    <w:rsid w:val="00060906"/>
    <w:rsid w:val="00060E63"/>
    <w:rsid w:val="000616DD"/>
    <w:rsid w:val="00061B8E"/>
    <w:rsid w:val="00061E43"/>
    <w:rsid w:val="00061EC6"/>
    <w:rsid w:val="0006203C"/>
    <w:rsid w:val="00062429"/>
    <w:rsid w:val="0006260F"/>
    <w:rsid w:val="0006298E"/>
    <w:rsid w:val="0006299E"/>
    <w:rsid w:val="00062C11"/>
    <w:rsid w:val="00062E26"/>
    <w:rsid w:val="00062FB0"/>
    <w:rsid w:val="00062FD2"/>
    <w:rsid w:val="0006353C"/>
    <w:rsid w:val="00063AD7"/>
    <w:rsid w:val="00064052"/>
    <w:rsid w:val="000643CE"/>
    <w:rsid w:val="000651EF"/>
    <w:rsid w:val="00065797"/>
    <w:rsid w:val="00065D44"/>
    <w:rsid w:val="00065FAD"/>
    <w:rsid w:val="0006632C"/>
    <w:rsid w:val="00066368"/>
    <w:rsid w:val="000664F6"/>
    <w:rsid w:val="00066B48"/>
    <w:rsid w:val="00066E1F"/>
    <w:rsid w:val="000671C1"/>
    <w:rsid w:val="000675EA"/>
    <w:rsid w:val="00067722"/>
    <w:rsid w:val="00067C23"/>
    <w:rsid w:val="00067EEB"/>
    <w:rsid w:val="00070400"/>
    <w:rsid w:val="0007070E"/>
    <w:rsid w:val="00070847"/>
    <w:rsid w:val="00070F31"/>
    <w:rsid w:val="00071124"/>
    <w:rsid w:val="00071481"/>
    <w:rsid w:val="00071712"/>
    <w:rsid w:val="00071C7E"/>
    <w:rsid w:val="00071CA4"/>
    <w:rsid w:val="00071D88"/>
    <w:rsid w:val="00071FF0"/>
    <w:rsid w:val="00072202"/>
    <w:rsid w:val="0007250A"/>
    <w:rsid w:val="00072523"/>
    <w:rsid w:val="000727C1"/>
    <w:rsid w:val="00072E72"/>
    <w:rsid w:val="00073340"/>
    <w:rsid w:val="00073549"/>
    <w:rsid w:val="0007354F"/>
    <w:rsid w:val="00073DCB"/>
    <w:rsid w:val="00073DF3"/>
    <w:rsid w:val="0007427B"/>
    <w:rsid w:val="00074289"/>
    <w:rsid w:val="000749DC"/>
    <w:rsid w:val="00074E7A"/>
    <w:rsid w:val="0007517F"/>
    <w:rsid w:val="0007518D"/>
    <w:rsid w:val="000751C3"/>
    <w:rsid w:val="000755AD"/>
    <w:rsid w:val="00075CC1"/>
    <w:rsid w:val="00075DB0"/>
    <w:rsid w:val="00075F3B"/>
    <w:rsid w:val="00076334"/>
    <w:rsid w:val="00076811"/>
    <w:rsid w:val="00076843"/>
    <w:rsid w:val="00076A15"/>
    <w:rsid w:val="00076CA6"/>
    <w:rsid w:val="00077331"/>
    <w:rsid w:val="00077504"/>
    <w:rsid w:val="0007770D"/>
    <w:rsid w:val="00077805"/>
    <w:rsid w:val="0007798D"/>
    <w:rsid w:val="000779F7"/>
    <w:rsid w:val="00077A96"/>
    <w:rsid w:val="00080045"/>
    <w:rsid w:val="0008019D"/>
    <w:rsid w:val="00080999"/>
    <w:rsid w:val="00080CA2"/>
    <w:rsid w:val="00080F80"/>
    <w:rsid w:val="00080FEA"/>
    <w:rsid w:val="00081750"/>
    <w:rsid w:val="000825D1"/>
    <w:rsid w:val="000826C0"/>
    <w:rsid w:val="0008271D"/>
    <w:rsid w:val="00082B90"/>
    <w:rsid w:val="000832D1"/>
    <w:rsid w:val="00083462"/>
    <w:rsid w:val="00083B11"/>
    <w:rsid w:val="00083EFF"/>
    <w:rsid w:val="00083FB7"/>
    <w:rsid w:val="000840F0"/>
    <w:rsid w:val="0008412A"/>
    <w:rsid w:val="00084357"/>
    <w:rsid w:val="00084384"/>
    <w:rsid w:val="00084478"/>
    <w:rsid w:val="0008467F"/>
    <w:rsid w:val="0008479B"/>
    <w:rsid w:val="000847C1"/>
    <w:rsid w:val="000849F3"/>
    <w:rsid w:val="00084E13"/>
    <w:rsid w:val="00084FC2"/>
    <w:rsid w:val="00085169"/>
    <w:rsid w:val="0008525E"/>
    <w:rsid w:val="000857D7"/>
    <w:rsid w:val="00085AA2"/>
    <w:rsid w:val="00086835"/>
    <w:rsid w:val="00086A1A"/>
    <w:rsid w:val="00086A69"/>
    <w:rsid w:val="0008715E"/>
    <w:rsid w:val="000877AE"/>
    <w:rsid w:val="00087B23"/>
    <w:rsid w:val="00090643"/>
    <w:rsid w:val="00090A3F"/>
    <w:rsid w:val="00090C28"/>
    <w:rsid w:val="00090D1D"/>
    <w:rsid w:val="00090D7F"/>
    <w:rsid w:val="00090F02"/>
    <w:rsid w:val="00091379"/>
    <w:rsid w:val="000913CF"/>
    <w:rsid w:val="00091460"/>
    <w:rsid w:val="0009147B"/>
    <w:rsid w:val="00091895"/>
    <w:rsid w:val="00091E57"/>
    <w:rsid w:val="00091FDC"/>
    <w:rsid w:val="00092251"/>
    <w:rsid w:val="000923D7"/>
    <w:rsid w:val="00092FD1"/>
    <w:rsid w:val="000931D9"/>
    <w:rsid w:val="000935F5"/>
    <w:rsid w:val="000936FB"/>
    <w:rsid w:val="00093CFB"/>
    <w:rsid w:val="00093E22"/>
    <w:rsid w:val="00094302"/>
    <w:rsid w:val="00094336"/>
    <w:rsid w:val="00094459"/>
    <w:rsid w:val="000947C3"/>
    <w:rsid w:val="00094833"/>
    <w:rsid w:val="00094A68"/>
    <w:rsid w:val="00094CB0"/>
    <w:rsid w:val="00095067"/>
    <w:rsid w:val="000953F4"/>
    <w:rsid w:val="00095544"/>
    <w:rsid w:val="0009554A"/>
    <w:rsid w:val="00095636"/>
    <w:rsid w:val="000957EB"/>
    <w:rsid w:val="0009595D"/>
    <w:rsid w:val="00095EBD"/>
    <w:rsid w:val="00095F96"/>
    <w:rsid w:val="00095FBC"/>
    <w:rsid w:val="00095FF1"/>
    <w:rsid w:val="0009602E"/>
    <w:rsid w:val="00096036"/>
    <w:rsid w:val="00096075"/>
    <w:rsid w:val="00096676"/>
    <w:rsid w:val="00096875"/>
    <w:rsid w:val="000969DC"/>
    <w:rsid w:val="00096EA0"/>
    <w:rsid w:val="000973DF"/>
    <w:rsid w:val="00097496"/>
    <w:rsid w:val="000974B5"/>
    <w:rsid w:val="000A0203"/>
    <w:rsid w:val="000A0556"/>
    <w:rsid w:val="000A0CA8"/>
    <w:rsid w:val="000A0D90"/>
    <w:rsid w:val="000A1346"/>
    <w:rsid w:val="000A14E4"/>
    <w:rsid w:val="000A1643"/>
    <w:rsid w:val="000A1771"/>
    <w:rsid w:val="000A19A6"/>
    <w:rsid w:val="000A1AD7"/>
    <w:rsid w:val="000A2C5E"/>
    <w:rsid w:val="000A2EB5"/>
    <w:rsid w:val="000A3ABB"/>
    <w:rsid w:val="000A3DBF"/>
    <w:rsid w:val="000A3EBC"/>
    <w:rsid w:val="000A4067"/>
    <w:rsid w:val="000A4CBD"/>
    <w:rsid w:val="000A4E5F"/>
    <w:rsid w:val="000A4F8A"/>
    <w:rsid w:val="000A50DD"/>
    <w:rsid w:val="000A5417"/>
    <w:rsid w:val="000A54CD"/>
    <w:rsid w:val="000A56A2"/>
    <w:rsid w:val="000A5B94"/>
    <w:rsid w:val="000A5B96"/>
    <w:rsid w:val="000A5E64"/>
    <w:rsid w:val="000A61FC"/>
    <w:rsid w:val="000A6737"/>
    <w:rsid w:val="000A6797"/>
    <w:rsid w:val="000A6FD6"/>
    <w:rsid w:val="000A7176"/>
    <w:rsid w:val="000A75A3"/>
    <w:rsid w:val="000A76F9"/>
    <w:rsid w:val="000A7784"/>
    <w:rsid w:val="000A7EF2"/>
    <w:rsid w:val="000B0300"/>
    <w:rsid w:val="000B06E2"/>
    <w:rsid w:val="000B073E"/>
    <w:rsid w:val="000B1384"/>
    <w:rsid w:val="000B1462"/>
    <w:rsid w:val="000B205F"/>
    <w:rsid w:val="000B2830"/>
    <w:rsid w:val="000B2873"/>
    <w:rsid w:val="000B2C78"/>
    <w:rsid w:val="000B2E12"/>
    <w:rsid w:val="000B2FE1"/>
    <w:rsid w:val="000B3309"/>
    <w:rsid w:val="000B35CE"/>
    <w:rsid w:val="000B3CD4"/>
    <w:rsid w:val="000B3DF2"/>
    <w:rsid w:val="000B402A"/>
    <w:rsid w:val="000B4819"/>
    <w:rsid w:val="000B4D68"/>
    <w:rsid w:val="000B5084"/>
    <w:rsid w:val="000B518D"/>
    <w:rsid w:val="000B5224"/>
    <w:rsid w:val="000B53D6"/>
    <w:rsid w:val="000B5697"/>
    <w:rsid w:val="000B56B8"/>
    <w:rsid w:val="000B5A44"/>
    <w:rsid w:val="000B5D62"/>
    <w:rsid w:val="000B5DBB"/>
    <w:rsid w:val="000B5E31"/>
    <w:rsid w:val="000B6531"/>
    <w:rsid w:val="000B6A24"/>
    <w:rsid w:val="000B6CE2"/>
    <w:rsid w:val="000B6F13"/>
    <w:rsid w:val="000B7407"/>
    <w:rsid w:val="000B7498"/>
    <w:rsid w:val="000B7594"/>
    <w:rsid w:val="000B787F"/>
    <w:rsid w:val="000B7D03"/>
    <w:rsid w:val="000B7FBA"/>
    <w:rsid w:val="000C0EF5"/>
    <w:rsid w:val="000C1111"/>
    <w:rsid w:val="000C1A01"/>
    <w:rsid w:val="000C1A91"/>
    <w:rsid w:val="000C1D63"/>
    <w:rsid w:val="000C1EEA"/>
    <w:rsid w:val="000C1EF3"/>
    <w:rsid w:val="000C2063"/>
    <w:rsid w:val="000C215D"/>
    <w:rsid w:val="000C2689"/>
    <w:rsid w:val="000C2891"/>
    <w:rsid w:val="000C2A54"/>
    <w:rsid w:val="000C2AA4"/>
    <w:rsid w:val="000C2AB4"/>
    <w:rsid w:val="000C317F"/>
    <w:rsid w:val="000C322A"/>
    <w:rsid w:val="000C34B8"/>
    <w:rsid w:val="000C3547"/>
    <w:rsid w:val="000C3BC4"/>
    <w:rsid w:val="000C3C6B"/>
    <w:rsid w:val="000C3CB1"/>
    <w:rsid w:val="000C47E3"/>
    <w:rsid w:val="000C4BD1"/>
    <w:rsid w:val="000C507A"/>
    <w:rsid w:val="000C50CF"/>
    <w:rsid w:val="000C5FF1"/>
    <w:rsid w:val="000C6C7D"/>
    <w:rsid w:val="000C6E46"/>
    <w:rsid w:val="000C6F81"/>
    <w:rsid w:val="000C6FA5"/>
    <w:rsid w:val="000C7334"/>
    <w:rsid w:val="000C799D"/>
    <w:rsid w:val="000C7E10"/>
    <w:rsid w:val="000D0184"/>
    <w:rsid w:val="000D0609"/>
    <w:rsid w:val="000D091C"/>
    <w:rsid w:val="000D09BC"/>
    <w:rsid w:val="000D0D0A"/>
    <w:rsid w:val="000D0F07"/>
    <w:rsid w:val="000D0F10"/>
    <w:rsid w:val="000D17CD"/>
    <w:rsid w:val="000D18CE"/>
    <w:rsid w:val="000D1BD3"/>
    <w:rsid w:val="000D1FEF"/>
    <w:rsid w:val="000D2FF0"/>
    <w:rsid w:val="000D31F9"/>
    <w:rsid w:val="000D342B"/>
    <w:rsid w:val="000D385C"/>
    <w:rsid w:val="000D39D4"/>
    <w:rsid w:val="000D3DE5"/>
    <w:rsid w:val="000D41A0"/>
    <w:rsid w:val="000D46A4"/>
    <w:rsid w:val="000D4858"/>
    <w:rsid w:val="000D4E95"/>
    <w:rsid w:val="000D5636"/>
    <w:rsid w:val="000D5921"/>
    <w:rsid w:val="000D599C"/>
    <w:rsid w:val="000D5A69"/>
    <w:rsid w:val="000D5B4A"/>
    <w:rsid w:val="000D5D56"/>
    <w:rsid w:val="000D5F26"/>
    <w:rsid w:val="000D611D"/>
    <w:rsid w:val="000D618D"/>
    <w:rsid w:val="000D63C1"/>
    <w:rsid w:val="000D67AB"/>
    <w:rsid w:val="000D68D7"/>
    <w:rsid w:val="000D6977"/>
    <w:rsid w:val="000D6BCB"/>
    <w:rsid w:val="000D6BE1"/>
    <w:rsid w:val="000D6DA2"/>
    <w:rsid w:val="000D6E14"/>
    <w:rsid w:val="000D714F"/>
    <w:rsid w:val="000D74EB"/>
    <w:rsid w:val="000D7947"/>
    <w:rsid w:val="000D79C5"/>
    <w:rsid w:val="000D7A70"/>
    <w:rsid w:val="000E01CA"/>
    <w:rsid w:val="000E0528"/>
    <w:rsid w:val="000E07DB"/>
    <w:rsid w:val="000E07E2"/>
    <w:rsid w:val="000E0834"/>
    <w:rsid w:val="000E0875"/>
    <w:rsid w:val="000E08F2"/>
    <w:rsid w:val="000E090D"/>
    <w:rsid w:val="000E0BB5"/>
    <w:rsid w:val="000E0DD5"/>
    <w:rsid w:val="000E0F84"/>
    <w:rsid w:val="000E146D"/>
    <w:rsid w:val="000E17C7"/>
    <w:rsid w:val="000E1807"/>
    <w:rsid w:val="000E198B"/>
    <w:rsid w:val="000E228A"/>
    <w:rsid w:val="000E2574"/>
    <w:rsid w:val="000E2C7E"/>
    <w:rsid w:val="000E3071"/>
    <w:rsid w:val="000E30AF"/>
    <w:rsid w:val="000E3253"/>
    <w:rsid w:val="000E3288"/>
    <w:rsid w:val="000E3360"/>
    <w:rsid w:val="000E339D"/>
    <w:rsid w:val="000E39F4"/>
    <w:rsid w:val="000E3A6D"/>
    <w:rsid w:val="000E4126"/>
    <w:rsid w:val="000E44B5"/>
    <w:rsid w:val="000E4EF6"/>
    <w:rsid w:val="000E4FC8"/>
    <w:rsid w:val="000E51A3"/>
    <w:rsid w:val="000E539A"/>
    <w:rsid w:val="000E54CC"/>
    <w:rsid w:val="000E5BAD"/>
    <w:rsid w:val="000E5CEE"/>
    <w:rsid w:val="000E5F16"/>
    <w:rsid w:val="000E680F"/>
    <w:rsid w:val="000E7044"/>
    <w:rsid w:val="000E74E5"/>
    <w:rsid w:val="000E751F"/>
    <w:rsid w:val="000E7937"/>
    <w:rsid w:val="000E7B22"/>
    <w:rsid w:val="000E7FBC"/>
    <w:rsid w:val="000F00B3"/>
    <w:rsid w:val="000F01D6"/>
    <w:rsid w:val="000F01F3"/>
    <w:rsid w:val="000F1078"/>
    <w:rsid w:val="000F127A"/>
    <w:rsid w:val="000F1517"/>
    <w:rsid w:val="000F183A"/>
    <w:rsid w:val="000F1A31"/>
    <w:rsid w:val="000F1C94"/>
    <w:rsid w:val="000F1CE6"/>
    <w:rsid w:val="000F1E83"/>
    <w:rsid w:val="000F21F2"/>
    <w:rsid w:val="000F24DD"/>
    <w:rsid w:val="000F2C58"/>
    <w:rsid w:val="000F3399"/>
    <w:rsid w:val="000F36B1"/>
    <w:rsid w:val="000F3995"/>
    <w:rsid w:val="000F39F0"/>
    <w:rsid w:val="000F45E4"/>
    <w:rsid w:val="000F52DB"/>
    <w:rsid w:val="000F53BF"/>
    <w:rsid w:val="000F5441"/>
    <w:rsid w:val="000F55E2"/>
    <w:rsid w:val="000F5652"/>
    <w:rsid w:val="000F5C8E"/>
    <w:rsid w:val="000F64D6"/>
    <w:rsid w:val="000F6706"/>
    <w:rsid w:val="000F6CF5"/>
    <w:rsid w:val="000F71B3"/>
    <w:rsid w:val="000F73FE"/>
    <w:rsid w:val="000F79CE"/>
    <w:rsid w:val="000F7DB8"/>
    <w:rsid w:val="000F7DFF"/>
    <w:rsid w:val="00100257"/>
    <w:rsid w:val="00100295"/>
    <w:rsid w:val="00100381"/>
    <w:rsid w:val="001004A0"/>
    <w:rsid w:val="00100606"/>
    <w:rsid w:val="0010060E"/>
    <w:rsid w:val="00100850"/>
    <w:rsid w:val="00100A2E"/>
    <w:rsid w:val="00100B9F"/>
    <w:rsid w:val="0010164D"/>
    <w:rsid w:val="00101772"/>
    <w:rsid w:val="001017C3"/>
    <w:rsid w:val="001017E4"/>
    <w:rsid w:val="00101850"/>
    <w:rsid w:val="00101B5B"/>
    <w:rsid w:val="00101C0C"/>
    <w:rsid w:val="001024BA"/>
    <w:rsid w:val="00102774"/>
    <w:rsid w:val="00102972"/>
    <w:rsid w:val="00102C0A"/>
    <w:rsid w:val="00102E43"/>
    <w:rsid w:val="00102F31"/>
    <w:rsid w:val="00103088"/>
    <w:rsid w:val="001031DF"/>
    <w:rsid w:val="00103268"/>
    <w:rsid w:val="001035B3"/>
    <w:rsid w:val="001037DB"/>
    <w:rsid w:val="00103F86"/>
    <w:rsid w:val="00104009"/>
    <w:rsid w:val="00104278"/>
    <w:rsid w:val="00104496"/>
    <w:rsid w:val="001045CF"/>
    <w:rsid w:val="00104707"/>
    <w:rsid w:val="001047F9"/>
    <w:rsid w:val="001051E6"/>
    <w:rsid w:val="00105258"/>
    <w:rsid w:val="00105629"/>
    <w:rsid w:val="00105974"/>
    <w:rsid w:val="00105A4B"/>
    <w:rsid w:val="00105B1F"/>
    <w:rsid w:val="00105BB6"/>
    <w:rsid w:val="00105DB7"/>
    <w:rsid w:val="0010613F"/>
    <w:rsid w:val="001061C1"/>
    <w:rsid w:val="00106540"/>
    <w:rsid w:val="00106B02"/>
    <w:rsid w:val="0010714E"/>
    <w:rsid w:val="0010758A"/>
    <w:rsid w:val="00107596"/>
    <w:rsid w:val="001079B5"/>
    <w:rsid w:val="00107A46"/>
    <w:rsid w:val="00107A6D"/>
    <w:rsid w:val="00107AE7"/>
    <w:rsid w:val="00107E23"/>
    <w:rsid w:val="0011057D"/>
    <w:rsid w:val="00110B52"/>
    <w:rsid w:val="00110C33"/>
    <w:rsid w:val="00110C69"/>
    <w:rsid w:val="00110D6E"/>
    <w:rsid w:val="001111C9"/>
    <w:rsid w:val="001113B5"/>
    <w:rsid w:val="001114E3"/>
    <w:rsid w:val="00111AF4"/>
    <w:rsid w:val="00111DFA"/>
    <w:rsid w:val="00112254"/>
    <w:rsid w:val="0011226B"/>
    <w:rsid w:val="001123D8"/>
    <w:rsid w:val="00112574"/>
    <w:rsid w:val="00112AB9"/>
    <w:rsid w:val="00112B30"/>
    <w:rsid w:val="0011303C"/>
    <w:rsid w:val="0011305D"/>
    <w:rsid w:val="0011314F"/>
    <w:rsid w:val="00113385"/>
    <w:rsid w:val="00113683"/>
    <w:rsid w:val="00113A1C"/>
    <w:rsid w:val="001150D5"/>
    <w:rsid w:val="00115804"/>
    <w:rsid w:val="0011593F"/>
    <w:rsid w:val="00115B19"/>
    <w:rsid w:val="00115C2E"/>
    <w:rsid w:val="00115E04"/>
    <w:rsid w:val="00116083"/>
    <w:rsid w:val="001165B2"/>
    <w:rsid w:val="00116982"/>
    <w:rsid w:val="0011707E"/>
    <w:rsid w:val="00117CC9"/>
    <w:rsid w:val="0012013C"/>
    <w:rsid w:val="0012033E"/>
    <w:rsid w:val="00120459"/>
    <w:rsid w:val="00120724"/>
    <w:rsid w:val="00120947"/>
    <w:rsid w:val="00120B78"/>
    <w:rsid w:val="00120C3F"/>
    <w:rsid w:val="00120CB4"/>
    <w:rsid w:val="00120E23"/>
    <w:rsid w:val="00121296"/>
    <w:rsid w:val="001214B5"/>
    <w:rsid w:val="001214CA"/>
    <w:rsid w:val="00121917"/>
    <w:rsid w:val="00121966"/>
    <w:rsid w:val="00121A3B"/>
    <w:rsid w:val="00121C4A"/>
    <w:rsid w:val="00121FAE"/>
    <w:rsid w:val="00121FE6"/>
    <w:rsid w:val="001220D5"/>
    <w:rsid w:val="0012229C"/>
    <w:rsid w:val="00122D6C"/>
    <w:rsid w:val="00122E93"/>
    <w:rsid w:val="00122F2B"/>
    <w:rsid w:val="00123134"/>
    <w:rsid w:val="001231B9"/>
    <w:rsid w:val="00123461"/>
    <w:rsid w:val="0012362F"/>
    <w:rsid w:val="0012380C"/>
    <w:rsid w:val="00123EC9"/>
    <w:rsid w:val="00123ED1"/>
    <w:rsid w:val="00123FFC"/>
    <w:rsid w:val="00124015"/>
    <w:rsid w:val="00124093"/>
    <w:rsid w:val="001240E6"/>
    <w:rsid w:val="00124663"/>
    <w:rsid w:val="00124684"/>
    <w:rsid w:val="00124937"/>
    <w:rsid w:val="001249B1"/>
    <w:rsid w:val="001253B4"/>
    <w:rsid w:val="00125666"/>
    <w:rsid w:val="001259DA"/>
    <w:rsid w:val="00125C12"/>
    <w:rsid w:val="00125F8E"/>
    <w:rsid w:val="00126014"/>
    <w:rsid w:val="00126065"/>
    <w:rsid w:val="001261DB"/>
    <w:rsid w:val="00126C86"/>
    <w:rsid w:val="00127018"/>
    <w:rsid w:val="001274C1"/>
    <w:rsid w:val="0012757D"/>
    <w:rsid w:val="001276D1"/>
    <w:rsid w:val="00127CB8"/>
    <w:rsid w:val="00127DB9"/>
    <w:rsid w:val="00127EAD"/>
    <w:rsid w:val="001300F0"/>
    <w:rsid w:val="001303DD"/>
    <w:rsid w:val="00130C24"/>
    <w:rsid w:val="00130CDD"/>
    <w:rsid w:val="0013114F"/>
    <w:rsid w:val="001313D7"/>
    <w:rsid w:val="0013143E"/>
    <w:rsid w:val="00131560"/>
    <w:rsid w:val="0013158E"/>
    <w:rsid w:val="00131749"/>
    <w:rsid w:val="0013178D"/>
    <w:rsid w:val="00131E61"/>
    <w:rsid w:val="0013201C"/>
    <w:rsid w:val="00132538"/>
    <w:rsid w:val="001328FF"/>
    <w:rsid w:val="00132B96"/>
    <w:rsid w:val="00133061"/>
    <w:rsid w:val="0013321D"/>
    <w:rsid w:val="001333D4"/>
    <w:rsid w:val="00133417"/>
    <w:rsid w:val="001334BD"/>
    <w:rsid w:val="00133A5A"/>
    <w:rsid w:val="00133A5C"/>
    <w:rsid w:val="001346A9"/>
    <w:rsid w:val="00134C80"/>
    <w:rsid w:val="0013531E"/>
    <w:rsid w:val="00135482"/>
    <w:rsid w:val="001360CE"/>
    <w:rsid w:val="00136354"/>
    <w:rsid w:val="0013640E"/>
    <w:rsid w:val="00136A13"/>
    <w:rsid w:val="00136E3C"/>
    <w:rsid w:val="0013710A"/>
    <w:rsid w:val="00137541"/>
    <w:rsid w:val="0013769F"/>
    <w:rsid w:val="00137753"/>
    <w:rsid w:val="001379F0"/>
    <w:rsid w:val="00137A7E"/>
    <w:rsid w:val="00137B3D"/>
    <w:rsid w:val="00137D00"/>
    <w:rsid w:val="00137E44"/>
    <w:rsid w:val="001405D3"/>
    <w:rsid w:val="00140E36"/>
    <w:rsid w:val="00140F4B"/>
    <w:rsid w:val="001417EB"/>
    <w:rsid w:val="00141984"/>
    <w:rsid w:val="001419A4"/>
    <w:rsid w:val="00141AB1"/>
    <w:rsid w:val="00141B74"/>
    <w:rsid w:val="00141C47"/>
    <w:rsid w:val="00141E8C"/>
    <w:rsid w:val="00142217"/>
    <w:rsid w:val="001425F1"/>
    <w:rsid w:val="00142A01"/>
    <w:rsid w:val="00142B2F"/>
    <w:rsid w:val="00142B35"/>
    <w:rsid w:val="00143067"/>
    <w:rsid w:val="0014364E"/>
    <w:rsid w:val="001437D2"/>
    <w:rsid w:val="00143EE4"/>
    <w:rsid w:val="001446B5"/>
    <w:rsid w:val="00144731"/>
    <w:rsid w:val="00144D48"/>
    <w:rsid w:val="001450E0"/>
    <w:rsid w:val="001456C5"/>
    <w:rsid w:val="00145737"/>
    <w:rsid w:val="00145A1B"/>
    <w:rsid w:val="00145C73"/>
    <w:rsid w:val="00145CED"/>
    <w:rsid w:val="00145D45"/>
    <w:rsid w:val="00145E76"/>
    <w:rsid w:val="0014637F"/>
    <w:rsid w:val="00146B64"/>
    <w:rsid w:val="001475D4"/>
    <w:rsid w:val="00147740"/>
    <w:rsid w:val="0014777D"/>
    <w:rsid w:val="00147BC7"/>
    <w:rsid w:val="00147BF1"/>
    <w:rsid w:val="00150017"/>
    <w:rsid w:val="0015006B"/>
    <w:rsid w:val="00150827"/>
    <w:rsid w:val="00150999"/>
    <w:rsid w:val="00150F2C"/>
    <w:rsid w:val="001512ED"/>
    <w:rsid w:val="0015166B"/>
    <w:rsid w:val="00151BE5"/>
    <w:rsid w:val="00151C6B"/>
    <w:rsid w:val="00151DB2"/>
    <w:rsid w:val="00152133"/>
    <w:rsid w:val="0015244C"/>
    <w:rsid w:val="001525D5"/>
    <w:rsid w:val="001533CB"/>
    <w:rsid w:val="00153FD3"/>
    <w:rsid w:val="001547C3"/>
    <w:rsid w:val="00154884"/>
    <w:rsid w:val="00154985"/>
    <w:rsid w:val="001549D5"/>
    <w:rsid w:val="00154A62"/>
    <w:rsid w:val="00154D6A"/>
    <w:rsid w:val="00154DD3"/>
    <w:rsid w:val="00155396"/>
    <w:rsid w:val="0015546D"/>
    <w:rsid w:val="0015579C"/>
    <w:rsid w:val="001559A4"/>
    <w:rsid w:val="00155D81"/>
    <w:rsid w:val="00155E41"/>
    <w:rsid w:val="001560DE"/>
    <w:rsid w:val="001564CB"/>
    <w:rsid w:val="0015779C"/>
    <w:rsid w:val="001577FD"/>
    <w:rsid w:val="00157BBE"/>
    <w:rsid w:val="00157BF4"/>
    <w:rsid w:val="0016082C"/>
    <w:rsid w:val="00161059"/>
    <w:rsid w:val="0016109B"/>
    <w:rsid w:val="0016178E"/>
    <w:rsid w:val="00161A11"/>
    <w:rsid w:val="00161B7C"/>
    <w:rsid w:val="00161E5E"/>
    <w:rsid w:val="00161F70"/>
    <w:rsid w:val="00162067"/>
    <w:rsid w:val="0016207E"/>
    <w:rsid w:val="001623E1"/>
    <w:rsid w:val="00162588"/>
    <w:rsid w:val="0016271B"/>
    <w:rsid w:val="00162A36"/>
    <w:rsid w:val="00162A5D"/>
    <w:rsid w:val="00162B45"/>
    <w:rsid w:val="00162CE3"/>
    <w:rsid w:val="0016330D"/>
    <w:rsid w:val="00163481"/>
    <w:rsid w:val="001637A0"/>
    <w:rsid w:val="00163A07"/>
    <w:rsid w:val="00163A7E"/>
    <w:rsid w:val="00163B32"/>
    <w:rsid w:val="00163DDA"/>
    <w:rsid w:val="001640AF"/>
    <w:rsid w:val="00164104"/>
    <w:rsid w:val="001641A3"/>
    <w:rsid w:val="001644B9"/>
    <w:rsid w:val="001644EC"/>
    <w:rsid w:val="001647B6"/>
    <w:rsid w:val="001649D1"/>
    <w:rsid w:val="00164A19"/>
    <w:rsid w:val="00164AA8"/>
    <w:rsid w:val="00164B66"/>
    <w:rsid w:val="001650E9"/>
    <w:rsid w:val="00165184"/>
    <w:rsid w:val="001652E2"/>
    <w:rsid w:val="001657D8"/>
    <w:rsid w:val="00165AB0"/>
    <w:rsid w:val="00165B04"/>
    <w:rsid w:val="00165D22"/>
    <w:rsid w:val="00166040"/>
    <w:rsid w:val="00166182"/>
    <w:rsid w:val="00166301"/>
    <w:rsid w:val="00166437"/>
    <w:rsid w:val="00166709"/>
    <w:rsid w:val="00166978"/>
    <w:rsid w:val="001669A3"/>
    <w:rsid w:val="00166C15"/>
    <w:rsid w:val="00167332"/>
    <w:rsid w:val="001673EB"/>
    <w:rsid w:val="00167632"/>
    <w:rsid w:val="00167676"/>
    <w:rsid w:val="001676A7"/>
    <w:rsid w:val="001679E1"/>
    <w:rsid w:val="00167B0D"/>
    <w:rsid w:val="00170724"/>
    <w:rsid w:val="001707B3"/>
    <w:rsid w:val="0017096B"/>
    <w:rsid w:val="00170998"/>
    <w:rsid w:val="00170D1C"/>
    <w:rsid w:val="00170DE0"/>
    <w:rsid w:val="00170E49"/>
    <w:rsid w:val="00170E55"/>
    <w:rsid w:val="00170F37"/>
    <w:rsid w:val="0017145C"/>
    <w:rsid w:val="0017145F"/>
    <w:rsid w:val="001718F8"/>
    <w:rsid w:val="001719D1"/>
    <w:rsid w:val="001719F6"/>
    <w:rsid w:val="00171BEB"/>
    <w:rsid w:val="00171E22"/>
    <w:rsid w:val="00171E55"/>
    <w:rsid w:val="001721E2"/>
    <w:rsid w:val="00172980"/>
    <w:rsid w:val="00172B41"/>
    <w:rsid w:val="00172DF9"/>
    <w:rsid w:val="00173646"/>
    <w:rsid w:val="0017381D"/>
    <w:rsid w:val="00173C55"/>
    <w:rsid w:val="0017414E"/>
    <w:rsid w:val="0017415E"/>
    <w:rsid w:val="001743DC"/>
    <w:rsid w:val="00174F05"/>
    <w:rsid w:val="00175264"/>
    <w:rsid w:val="001754A7"/>
    <w:rsid w:val="0017552E"/>
    <w:rsid w:val="001755A8"/>
    <w:rsid w:val="001759CA"/>
    <w:rsid w:val="00175AE7"/>
    <w:rsid w:val="00175BBD"/>
    <w:rsid w:val="00176187"/>
    <w:rsid w:val="001761E7"/>
    <w:rsid w:val="0017653E"/>
    <w:rsid w:val="00176656"/>
    <w:rsid w:val="00176CA0"/>
    <w:rsid w:val="00176D79"/>
    <w:rsid w:val="00176FD1"/>
    <w:rsid w:val="00177036"/>
    <w:rsid w:val="0017714D"/>
    <w:rsid w:val="00177205"/>
    <w:rsid w:val="00177293"/>
    <w:rsid w:val="00177482"/>
    <w:rsid w:val="001775ED"/>
    <w:rsid w:val="00177AA6"/>
    <w:rsid w:val="00180085"/>
    <w:rsid w:val="001804CD"/>
    <w:rsid w:val="001804F8"/>
    <w:rsid w:val="001806B3"/>
    <w:rsid w:val="00180846"/>
    <w:rsid w:val="0018094D"/>
    <w:rsid w:val="00180A1D"/>
    <w:rsid w:val="00180C6F"/>
    <w:rsid w:val="00181534"/>
    <w:rsid w:val="0018154F"/>
    <w:rsid w:val="001815E4"/>
    <w:rsid w:val="00181950"/>
    <w:rsid w:val="00181CDB"/>
    <w:rsid w:val="00181E12"/>
    <w:rsid w:val="00181F9A"/>
    <w:rsid w:val="00182267"/>
    <w:rsid w:val="001825BE"/>
    <w:rsid w:val="001827B6"/>
    <w:rsid w:val="0018288F"/>
    <w:rsid w:val="00182899"/>
    <w:rsid w:val="00182D24"/>
    <w:rsid w:val="00182E49"/>
    <w:rsid w:val="00183150"/>
    <w:rsid w:val="0018339F"/>
    <w:rsid w:val="00183955"/>
    <w:rsid w:val="0018396A"/>
    <w:rsid w:val="00183B4B"/>
    <w:rsid w:val="00183C64"/>
    <w:rsid w:val="00183C8A"/>
    <w:rsid w:val="00184A4B"/>
    <w:rsid w:val="00184AF4"/>
    <w:rsid w:val="00184F20"/>
    <w:rsid w:val="00184FF4"/>
    <w:rsid w:val="0018502C"/>
    <w:rsid w:val="00185206"/>
    <w:rsid w:val="00185676"/>
    <w:rsid w:val="00185E68"/>
    <w:rsid w:val="00185F29"/>
    <w:rsid w:val="001861CE"/>
    <w:rsid w:val="001862DB"/>
    <w:rsid w:val="00186BEB"/>
    <w:rsid w:val="00186BED"/>
    <w:rsid w:val="00186CF6"/>
    <w:rsid w:val="00186DF6"/>
    <w:rsid w:val="00187378"/>
    <w:rsid w:val="0018737D"/>
    <w:rsid w:val="00187689"/>
    <w:rsid w:val="00190093"/>
    <w:rsid w:val="001901A9"/>
    <w:rsid w:val="0019024B"/>
    <w:rsid w:val="0019080D"/>
    <w:rsid w:val="00190BA5"/>
    <w:rsid w:val="00190EF6"/>
    <w:rsid w:val="00190F5B"/>
    <w:rsid w:val="00191075"/>
    <w:rsid w:val="001913A5"/>
    <w:rsid w:val="0019165C"/>
    <w:rsid w:val="00191875"/>
    <w:rsid w:val="0019189F"/>
    <w:rsid w:val="00191936"/>
    <w:rsid w:val="00191A87"/>
    <w:rsid w:val="00191AB4"/>
    <w:rsid w:val="00191BB3"/>
    <w:rsid w:val="001926F2"/>
    <w:rsid w:val="001928A6"/>
    <w:rsid w:val="00192E07"/>
    <w:rsid w:val="00193634"/>
    <w:rsid w:val="00193C29"/>
    <w:rsid w:val="00193D54"/>
    <w:rsid w:val="00193D5F"/>
    <w:rsid w:val="00193DE4"/>
    <w:rsid w:val="00193F4E"/>
    <w:rsid w:val="0019438C"/>
    <w:rsid w:val="00194596"/>
    <w:rsid w:val="001947AE"/>
    <w:rsid w:val="0019514E"/>
    <w:rsid w:val="001953AA"/>
    <w:rsid w:val="00195687"/>
    <w:rsid w:val="001958E9"/>
    <w:rsid w:val="00195991"/>
    <w:rsid w:val="00195B49"/>
    <w:rsid w:val="00195BB6"/>
    <w:rsid w:val="00195C49"/>
    <w:rsid w:val="00195E0D"/>
    <w:rsid w:val="00196431"/>
    <w:rsid w:val="0019669B"/>
    <w:rsid w:val="00196AF9"/>
    <w:rsid w:val="00196CE0"/>
    <w:rsid w:val="00196D0F"/>
    <w:rsid w:val="00196F45"/>
    <w:rsid w:val="0019713D"/>
    <w:rsid w:val="001977CA"/>
    <w:rsid w:val="001A0051"/>
    <w:rsid w:val="001A0806"/>
    <w:rsid w:val="001A0815"/>
    <w:rsid w:val="001A0B74"/>
    <w:rsid w:val="001A0C5E"/>
    <w:rsid w:val="001A1091"/>
    <w:rsid w:val="001A11D9"/>
    <w:rsid w:val="001A1302"/>
    <w:rsid w:val="001A1336"/>
    <w:rsid w:val="001A13D8"/>
    <w:rsid w:val="001A16C7"/>
    <w:rsid w:val="001A246F"/>
    <w:rsid w:val="001A2784"/>
    <w:rsid w:val="001A2AEB"/>
    <w:rsid w:val="001A2BA2"/>
    <w:rsid w:val="001A2D86"/>
    <w:rsid w:val="001A2FD4"/>
    <w:rsid w:val="001A371F"/>
    <w:rsid w:val="001A380C"/>
    <w:rsid w:val="001A39EF"/>
    <w:rsid w:val="001A3C25"/>
    <w:rsid w:val="001A4273"/>
    <w:rsid w:val="001A44AE"/>
    <w:rsid w:val="001A480F"/>
    <w:rsid w:val="001A4C9A"/>
    <w:rsid w:val="001A5267"/>
    <w:rsid w:val="001A5AA3"/>
    <w:rsid w:val="001A5AD2"/>
    <w:rsid w:val="001A5AF5"/>
    <w:rsid w:val="001A5BC7"/>
    <w:rsid w:val="001A5DB5"/>
    <w:rsid w:val="001A5F0E"/>
    <w:rsid w:val="001A62E2"/>
    <w:rsid w:val="001A6404"/>
    <w:rsid w:val="001A64D8"/>
    <w:rsid w:val="001A692B"/>
    <w:rsid w:val="001A6ECF"/>
    <w:rsid w:val="001A74C7"/>
    <w:rsid w:val="001A785E"/>
    <w:rsid w:val="001A7AD2"/>
    <w:rsid w:val="001A7E52"/>
    <w:rsid w:val="001B00EC"/>
    <w:rsid w:val="001B09BD"/>
    <w:rsid w:val="001B0CD4"/>
    <w:rsid w:val="001B0EA7"/>
    <w:rsid w:val="001B0FAF"/>
    <w:rsid w:val="001B14A3"/>
    <w:rsid w:val="001B14AF"/>
    <w:rsid w:val="001B16DE"/>
    <w:rsid w:val="001B1C1C"/>
    <w:rsid w:val="001B1E81"/>
    <w:rsid w:val="001B2199"/>
    <w:rsid w:val="001B21C2"/>
    <w:rsid w:val="001B25E4"/>
    <w:rsid w:val="001B2F9D"/>
    <w:rsid w:val="001B3427"/>
    <w:rsid w:val="001B3B90"/>
    <w:rsid w:val="001B4203"/>
    <w:rsid w:val="001B43CD"/>
    <w:rsid w:val="001B5170"/>
    <w:rsid w:val="001B5559"/>
    <w:rsid w:val="001B56D7"/>
    <w:rsid w:val="001B5A5F"/>
    <w:rsid w:val="001B5B93"/>
    <w:rsid w:val="001B5EA4"/>
    <w:rsid w:val="001B5F58"/>
    <w:rsid w:val="001B6146"/>
    <w:rsid w:val="001B6208"/>
    <w:rsid w:val="001B63C8"/>
    <w:rsid w:val="001B6762"/>
    <w:rsid w:val="001B67E5"/>
    <w:rsid w:val="001B6913"/>
    <w:rsid w:val="001B70B1"/>
    <w:rsid w:val="001B7329"/>
    <w:rsid w:val="001B74E5"/>
    <w:rsid w:val="001B7578"/>
    <w:rsid w:val="001B76B5"/>
    <w:rsid w:val="001B7C33"/>
    <w:rsid w:val="001C01DC"/>
    <w:rsid w:val="001C0674"/>
    <w:rsid w:val="001C07E0"/>
    <w:rsid w:val="001C07F6"/>
    <w:rsid w:val="001C0D7D"/>
    <w:rsid w:val="001C0DA4"/>
    <w:rsid w:val="001C0DCA"/>
    <w:rsid w:val="001C14C4"/>
    <w:rsid w:val="001C1B48"/>
    <w:rsid w:val="001C2510"/>
    <w:rsid w:val="001C2B6C"/>
    <w:rsid w:val="001C2BE3"/>
    <w:rsid w:val="001C2C1C"/>
    <w:rsid w:val="001C2C8B"/>
    <w:rsid w:val="001C2FF2"/>
    <w:rsid w:val="001C3421"/>
    <w:rsid w:val="001C3896"/>
    <w:rsid w:val="001C3922"/>
    <w:rsid w:val="001C3AB6"/>
    <w:rsid w:val="001C3BA6"/>
    <w:rsid w:val="001C3E67"/>
    <w:rsid w:val="001C40A8"/>
    <w:rsid w:val="001C4A66"/>
    <w:rsid w:val="001C4CAD"/>
    <w:rsid w:val="001C4EC8"/>
    <w:rsid w:val="001C50FF"/>
    <w:rsid w:val="001C53D2"/>
    <w:rsid w:val="001C5660"/>
    <w:rsid w:val="001C595B"/>
    <w:rsid w:val="001C5D57"/>
    <w:rsid w:val="001C607B"/>
    <w:rsid w:val="001C6264"/>
    <w:rsid w:val="001C64A5"/>
    <w:rsid w:val="001C653A"/>
    <w:rsid w:val="001C6546"/>
    <w:rsid w:val="001C6700"/>
    <w:rsid w:val="001C696D"/>
    <w:rsid w:val="001C6D36"/>
    <w:rsid w:val="001C6E76"/>
    <w:rsid w:val="001C7095"/>
    <w:rsid w:val="001C7A6B"/>
    <w:rsid w:val="001C7BBA"/>
    <w:rsid w:val="001C7C6A"/>
    <w:rsid w:val="001C7D3E"/>
    <w:rsid w:val="001D0054"/>
    <w:rsid w:val="001D005E"/>
    <w:rsid w:val="001D0120"/>
    <w:rsid w:val="001D021C"/>
    <w:rsid w:val="001D045A"/>
    <w:rsid w:val="001D0835"/>
    <w:rsid w:val="001D0B6F"/>
    <w:rsid w:val="001D0B89"/>
    <w:rsid w:val="001D0E77"/>
    <w:rsid w:val="001D135C"/>
    <w:rsid w:val="001D182B"/>
    <w:rsid w:val="001D1B44"/>
    <w:rsid w:val="001D2723"/>
    <w:rsid w:val="001D2834"/>
    <w:rsid w:val="001D2923"/>
    <w:rsid w:val="001D2C2B"/>
    <w:rsid w:val="001D2C3B"/>
    <w:rsid w:val="001D2E2D"/>
    <w:rsid w:val="001D312C"/>
    <w:rsid w:val="001D3515"/>
    <w:rsid w:val="001D3ADA"/>
    <w:rsid w:val="001D3F9A"/>
    <w:rsid w:val="001D3FAC"/>
    <w:rsid w:val="001D4014"/>
    <w:rsid w:val="001D463D"/>
    <w:rsid w:val="001D4885"/>
    <w:rsid w:val="001D4E3A"/>
    <w:rsid w:val="001D53C8"/>
    <w:rsid w:val="001D5616"/>
    <w:rsid w:val="001D56C3"/>
    <w:rsid w:val="001D58E8"/>
    <w:rsid w:val="001D592F"/>
    <w:rsid w:val="001D5BD7"/>
    <w:rsid w:val="001D5BFF"/>
    <w:rsid w:val="001D5C3F"/>
    <w:rsid w:val="001D5FC9"/>
    <w:rsid w:val="001D62E2"/>
    <w:rsid w:val="001D64A6"/>
    <w:rsid w:val="001D69A0"/>
    <w:rsid w:val="001D6BCC"/>
    <w:rsid w:val="001D72A6"/>
    <w:rsid w:val="001D751A"/>
    <w:rsid w:val="001D76C6"/>
    <w:rsid w:val="001D780C"/>
    <w:rsid w:val="001D797C"/>
    <w:rsid w:val="001D79F4"/>
    <w:rsid w:val="001D7CDB"/>
    <w:rsid w:val="001D7E60"/>
    <w:rsid w:val="001E00B5"/>
    <w:rsid w:val="001E0681"/>
    <w:rsid w:val="001E07A1"/>
    <w:rsid w:val="001E0A21"/>
    <w:rsid w:val="001E0B06"/>
    <w:rsid w:val="001E0C75"/>
    <w:rsid w:val="001E1008"/>
    <w:rsid w:val="001E10CB"/>
    <w:rsid w:val="001E1691"/>
    <w:rsid w:val="001E1714"/>
    <w:rsid w:val="001E176F"/>
    <w:rsid w:val="001E1905"/>
    <w:rsid w:val="001E19B0"/>
    <w:rsid w:val="001E1F72"/>
    <w:rsid w:val="001E26D1"/>
    <w:rsid w:val="001E2744"/>
    <w:rsid w:val="001E27A0"/>
    <w:rsid w:val="001E2A3F"/>
    <w:rsid w:val="001E3352"/>
    <w:rsid w:val="001E44E4"/>
    <w:rsid w:val="001E4677"/>
    <w:rsid w:val="001E50E4"/>
    <w:rsid w:val="001E534A"/>
    <w:rsid w:val="001E57CE"/>
    <w:rsid w:val="001E60A3"/>
    <w:rsid w:val="001E60BB"/>
    <w:rsid w:val="001E6146"/>
    <w:rsid w:val="001E6742"/>
    <w:rsid w:val="001E6904"/>
    <w:rsid w:val="001E69D1"/>
    <w:rsid w:val="001E69ED"/>
    <w:rsid w:val="001E6DEE"/>
    <w:rsid w:val="001E7DE7"/>
    <w:rsid w:val="001F012E"/>
    <w:rsid w:val="001F0406"/>
    <w:rsid w:val="001F099A"/>
    <w:rsid w:val="001F12D3"/>
    <w:rsid w:val="001F12FF"/>
    <w:rsid w:val="001F133F"/>
    <w:rsid w:val="001F142A"/>
    <w:rsid w:val="001F14BE"/>
    <w:rsid w:val="001F1501"/>
    <w:rsid w:val="001F195E"/>
    <w:rsid w:val="001F2113"/>
    <w:rsid w:val="001F2EA7"/>
    <w:rsid w:val="001F35A2"/>
    <w:rsid w:val="001F35D2"/>
    <w:rsid w:val="001F3AB4"/>
    <w:rsid w:val="001F3B03"/>
    <w:rsid w:val="001F3CC8"/>
    <w:rsid w:val="001F3E42"/>
    <w:rsid w:val="001F3FB3"/>
    <w:rsid w:val="001F40A2"/>
    <w:rsid w:val="001F420E"/>
    <w:rsid w:val="001F470D"/>
    <w:rsid w:val="001F4BB5"/>
    <w:rsid w:val="001F4BC7"/>
    <w:rsid w:val="001F4C13"/>
    <w:rsid w:val="001F4DA5"/>
    <w:rsid w:val="001F53B5"/>
    <w:rsid w:val="001F53DF"/>
    <w:rsid w:val="001F557B"/>
    <w:rsid w:val="001F5586"/>
    <w:rsid w:val="001F55DA"/>
    <w:rsid w:val="001F5BC2"/>
    <w:rsid w:val="001F650F"/>
    <w:rsid w:val="001F691E"/>
    <w:rsid w:val="001F6B31"/>
    <w:rsid w:val="001F6B46"/>
    <w:rsid w:val="001F6C5C"/>
    <w:rsid w:val="001F6DB2"/>
    <w:rsid w:val="001F724F"/>
    <w:rsid w:val="001F7424"/>
    <w:rsid w:val="001F75F3"/>
    <w:rsid w:val="001F76E4"/>
    <w:rsid w:val="001F785B"/>
    <w:rsid w:val="00200008"/>
    <w:rsid w:val="0020013E"/>
    <w:rsid w:val="0020015D"/>
    <w:rsid w:val="00200188"/>
    <w:rsid w:val="0020020B"/>
    <w:rsid w:val="002003A9"/>
    <w:rsid w:val="002005DB"/>
    <w:rsid w:val="002007BE"/>
    <w:rsid w:val="00200919"/>
    <w:rsid w:val="00200BE5"/>
    <w:rsid w:val="00200D83"/>
    <w:rsid w:val="00200EFC"/>
    <w:rsid w:val="0020129F"/>
    <w:rsid w:val="002012FF"/>
    <w:rsid w:val="002013E3"/>
    <w:rsid w:val="00201682"/>
    <w:rsid w:val="00201946"/>
    <w:rsid w:val="00201B85"/>
    <w:rsid w:val="00201CF6"/>
    <w:rsid w:val="00201F6F"/>
    <w:rsid w:val="00201FF3"/>
    <w:rsid w:val="0020292D"/>
    <w:rsid w:val="002029D8"/>
    <w:rsid w:val="002032D5"/>
    <w:rsid w:val="00203419"/>
    <w:rsid w:val="00203586"/>
    <w:rsid w:val="00203B45"/>
    <w:rsid w:val="00204039"/>
    <w:rsid w:val="002041D3"/>
    <w:rsid w:val="0020452D"/>
    <w:rsid w:val="002046FF"/>
    <w:rsid w:val="00204768"/>
    <w:rsid w:val="002052BE"/>
    <w:rsid w:val="00205428"/>
    <w:rsid w:val="002055F2"/>
    <w:rsid w:val="0020589B"/>
    <w:rsid w:val="00206160"/>
    <w:rsid w:val="00206223"/>
    <w:rsid w:val="0020664C"/>
    <w:rsid w:val="00206A6C"/>
    <w:rsid w:val="00207048"/>
    <w:rsid w:val="002070F7"/>
    <w:rsid w:val="002074EA"/>
    <w:rsid w:val="002077C3"/>
    <w:rsid w:val="002078FF"/>
    <w:rsid w:val="00207A14"/>
    <w:rsid w:val="00207CA1"/>
    <w:rsid w:val="00207D50"/>
    <w:rsid w:val="00207E4A"/>
    <w:rsid w:val="002101F3"/>
    <w:rsid w:val="0021020F"/>
    <w:rsid w:val="0021089B"/>
    <w:rsid w:val="0021099A"/>
    <w:rsid w:val="00210BCE"/>
    <w:rsid w:val="00210C1C"/>
    <w:rsid w:val="00210C85"/>
    <w:rsid w:val="00210F18"/>
    <w:rsid w:val="0021138E"/>
    <w:rsid w:val="0021144D"/>
    <w:rsid w:val="0021170C"/>
    <w:rsid w:val="0021190B"/>
    <w:rsid w:val="00211B24"/>
    <w:rsid w:val="00211CEB"/>
    <w:rsid w:val="00211EF6"/>
    <w:rsid w:val="002125CA"/>
    <w:rsid w:val="0021279C"/>
    <w:rsid w:val="00212857"/>
    <w:rsid w:val="002128A6"/>
    <w:rsid w:val="00212F48"/>
    <w:rsid w:val="002132E8"/>
    <w:rsid w:val="0021330C"/>
    <w:rsid w:val="002137D0"/>
    <w:rsid w:val="00213893"/>
    <w:rsid w:val="00213AD1"/>
    <w:rsid w:val="00213CA0"/>
    <w:rsid w:val="00213D9F"/>
    <w:rsid w:val="00213F73"/>
    <w:rsid w:val="0021416E"/>
    <w:rsid w:val="00214477"/>
    <w:rsid w:val="002144C3"/>
    <w:rsid w:val="002150C4"/>
    <w:rsid w:val="002154E2"/>
    <w:rsid w:val="002155EC"/>
    <w:rsid w:val="0021575A"/>
    <w:rsid w:val="002159E0"/>
    <w:rsid w:val="00215ED9"/>
    <w:rsid w:val="0021617E"/>
    <w:rsid w:val="0021622B"/>
    <w:rsid w:val="002163BA"/>
    <w:rsid w:val="00216577"/>
    <w:rsid w:val="002165A0"/>
    <w:rsid w:val="0021673D"/>
    <w:rsid w:val="0021678D"/>
    <w:rsid w:val="0021693C"/>
    <w:rsid w:val="00216FC4"/>
    <w:rsid w:val="00217156"/>
    <w:rsid w:val="002171AE"/>
    <w:rsid w:val="0021770E"/>
    <w:rsid w:val="00217F0E"/>
    <w:rsid w:val="00220238"/>
    <w:rsid w:val="00220251"/>
    <w:rsid w:val="00220832"/>
    <w:rsid w:val="002208FA"/>
    <w:rsid w:val="002209AF"/>
    <w:rsid w:val="00220C15"/>
    <w:rsid w:val="00220CE3"/>
    <w:rsid w:val="00221575"/>
    <w:rsid w:val="002215A4"/>
    <w:rsid w:val="002219C8"/>
    <w:rsid w:val="00221DAA"/>
    <w:rsid w:val="00221FDA"/>
    <w:rsid w:val="0022265F"/>
    <w:rsid w:val="002226B5"/>
    <w:rsid w:val="00222936"/>
    <w:rsid w:val="00222C48"/>
    <w:rsid w:val="0022342D"/>
    <w:rsid w:val="002234BE"/>
    <w:rsid w:val="00223577"/>
    <w:rsid w:val="002236B4"/>
    <w:rsid w:val="00223877"/>
    <w:rsid w:val="00223C52"/>
    <w:rsid w:val="00223DA7"/>
    <w:rsid w:val="00223F0E"/>
    <w:rsid w:val="002244E5"/>
    <w:rsid w:val="002246BD"/>
    <w:rsid w:val="00224806"/>
    <w:rsid w:val="00224834"/>
    <w:rsid w:val="0022490D"/>
    <w:rsid w:val="00224A6A"/>
    <w:rsid w:val="00224C67"/>
    <w:rsid w:val="0022550D"/>
    <w:rsid w:val="00225A17"/>
    <w:rsid w:val="00225A91"/>
    <w:rsid w:val="00226360"/>
    <w:rsid w:val="00226413"/>
    <w:rsid w:val="00226C37"/>
    <w:rsid w:val="00226C5E"/>
    <w:rsid w:val="00226D95"/>
    <w:rsid w:val="00227171"/>
    <w:rsid w:val="002273D1"/>
    <w:rsid w:val="002275FF"/>
    <w:rsid w:val="00227866"/>
    <w:rsid w:val="0022788C"/>
    <w:rsid w:val="00227B0D"/>
    <w:rsid w:val="00230201"/>
    <w:rsid w:val="00230364"/>
    <w:rsid w:val="0023054B"/>
    <w:rsid w:val="00230936"/>
    <w:rsid w:val="00230B33"/>
    <w:rsid w:val="00230D5B"/>
    <w:rsid w:val="002314AF"/>
    <w:rsid w:val="0023175A"/>
    <w:rsid w:val="002317FA"/>
    <w:rsid w:val="00231D18"/>
    <w:rsid w:val="00231F20"/>
    <w:rsid w:val="00232058"/>
    <w:rsid w:val="00232684"/>
    <w:rsid w:val="00232D59"/>
    <w:rsid w:val="00233164"/>
    <w:rsid w:val="00233594"/>
    <w:rsid w:val="002336CA"/>
    <w:rsid w:val="0023379C"/>
    <w:rsid w:val="00233867"/>
    <w:rsid w:val="002341FC"/>
    <w:rsid w:val="00234B00"/>
    <w:rsid w:val="00234FBD"/>
    <w:rsid w:val="00235238"/>
    <w:rsid w:val="002353F8"/>
    <w:rsid w:val="0023579F"/>
    <w:rsid w:val="00235AAB"/>
    <w:rsid w:val="00235B90"/>
    <w:rsid w:val="00235C8D"/>
    <w:rsid w:val="00235F32"/>
    <w:rsid w:val="0023630F"/>
    <w:rsid w:val="00236416"/>
    <w:rsid w:val="0023657D"/>
    <w:rsid w:val="0023671E"/>
    <w:rsid w:val="00236725"/>
    <w:rsid w:val="002367DD"/>
    <w:rsid w:val="0023696D"/>
    <w:rsid w:val="00236A4F"/>
    <w:rsid w:val="00236E0A"/>
    <w:rsid w:val="002371CC"/>
    <w:rsid w:val="0023743A"/>
    <w:rsid w:val="00237985"/>
    <w:rsid w:val="00237C75"/>
    <w:rsid w:val="00240137"/>
    <w:rsid w:val="002402D7"/>
    <w:rsid w:val="002404D6"/>
    <w:rsid w:val="002406D7"/>
    <w:rsid w:val="00240BA0"/>
    <w:rsid w:val="00240C99"/>
    <w:rsid w:val="00240E5F"/>
    <w:rsid w:val="00241496"/>
    <w:rsid w:val="00241550"/>
    <w:rsid w:val="00241A8F"/>
    <w:rsid w:val="00241E8F"/>
    <w:rsid w:val="002424C0"/>
    <w:rsid w:val="0024267A"/>
    <w:rsid w:val="00242DFF"/>
    <w:rsid w:val="00243419"/>
    <w:rsid w:val="002439C9"/>
    <w:rsid w:val="00243D00"/>
    <w:rsid w:val="00243EA7"/>
    <w:rsid w:val="00244161"/>
    <w:rsid w:val="0024425B"/>
    <w:rsid w:val="0024453E"/>
    <w:rsid w:val="00244547"/>
    <w:rsid w:val="00244760"/>
    <w:rsid w:val="00244A20"/>
    <w:rsid w:val="00244A84"/>
    <w:rsid w:val="00244E39"/>
    <w:rsid w:val="00245187"/>
    <w:rsid w:val="0024529D"/>
    <w:rsid w:val="00245445"/>
    <w:rsid w:val="002454F4"/>
    <w:rsid w:val="00245909"/>
    <w:rsid w:val="00245FE0"/>
    <w:rsid w:val="00245FE2"/>
    <w:rsid w:val="002460E5"/>
    <w:rsid w:val="002464B7"/>
    <w:rsid w:val="00246909"/>
    <w:rsid w:val="00246B5C"/>
    <w:rsid w:val="00246C8A"/>
    <w:rsid w:val="002472C6"/>
    <w:rsid w:val="0024730C"/>
    <w:rsid w:val="002475CD"/>
    <w:rsid w:val="002478E7"/>
    <w:rsid w:val="00247E32"/>
    <w:rsid w:val="00247EF9"/>
    <w:rsid w:val="00250170"/>
    <w:rsid w:val="00250473"/>
    <w:rsid w:val="002504A8"/>
    <w:rsid w:val="002505DF"/>
    <w:rsid w:val="0025064A"/>
    <w:rsid w:val="00250794"/>
    <w:rsid w:val="00250C4C"/>
    <w:rsid w:val="00250DCF"/>
    <w:rsid w:val="00251200"/>
    <w:rsid w:val="00251892"/>
    <w:rsid w:val="00251FCA"/>
    <w:rsid w:val="002528EE"/>
    <w:rsid w:val="00252C95"/>
    <w:rsid w:val="00252FA8"/>
    <w:rsid w:val="00253104"/>
    <w:rsid w:val="002531A7"/>
    <w:rsid w:val="002532CA"/>
    <w:rsid w:val="0025342A"/>
    <w:rsid w:val="00253616"/>
    <w:rsid w:val="002537C5"/>
    <w:rsid w:val="00253ACF"/>
    <w:rsid w:val="00253B46"/>
    <w:rsid w:val="002547C5"/>
    <w:rsid w:val="00254A70"/>
    <w:rsid w:val="00254B77"/>
    <w:rsid w:val="00255297"/>
    <w:rsid w:val="00255460"/>
    <w:rsid w:val="00255AAA"/>
    <w:rsid w:val="00255CC4"/>
    <w:rsid w:val="00255F32"/>
    <w:rsid w:val="002563CA"/>
    <w:rsid w:val="002566CE"/>
    <w:rsid w:val="00256EF0"/>
    <w:rsid w:val="00256F47"/>
    <w:rsid w:val="002576BD"/>
    <w:rsid w:val="00257947"/>
    <w:rsid w:val="00257D7F"/>
    <w:rsid w:val="00257FED"/>
    <w:rsid w:val="00260681"/>
    <w:rsid w:val="002606CC"/>
    <w:rsid w:val="00260772"/>
    <w:rsid w:val="002608B8"/>
    <w:rsid w:val="002608F2"/>
    <w:rsid w:val="00260BE0"/>
    <w:rsid w:val="002610D2"/>
    <w:rsid w:val="002611ED"/>
    <w:rsid w:val="00261245"/>
    <w:rsid w:val="002614DE"/>
    <w:rsid w:val="00261797"/>
    <w:rsid w:val="00261A9C"/>
    <w:rsid w:val="00261FF9"/>
    <w:rsid w:val="002620D2"/>
    <w:rsid w:val="00262571"/>
    <w:rsid w:val="00262638"/>
    <w:rsid w:val="00262983"/>
    <w:rsid w:val="00262A50"/>
    <w:rsid w:val="00262BCE"/>
    <w:rsid w:val="00262E9A"/>
    <w:rsid w:val="00262ED4"/>
    <w:rsid w:val="00263017"/>
    <w:rsid w:val="002630CA"/>
    <w:rsid w:val="0026327D"/>
    <w:rsid w:val="002632B4"/>
    <w:rsid w:val="002632E5"/>
    <w:rsid w:val="002633CF"/>
    <w:rsid w:val="00263AE2"/>
    <w:rsid w:val="00263DDB"/>
    <w:rsid w:val="00263F52"/>
    <w:rsid w:val="00264502"/>
    <w:rsid w:val="00264581"/>
    <w:rsid w:val="00264AEC"/>
    <w:rsid w:val="00264C76"/>
    <w:rsid w:val="00264D26"/>
    <w:rsid w:val="0026567D"/>
    <w:rsid w:val="002658CC"/>
    <w:rsid w:val="00265B8B"/>
    <w:rsid w:val="00265FB9"/>
    <w:rsid w:val="00266351"/>
    <w:rsid w:val="00267095"/>
    <w:rsid w:val="00267195"/>
    <w:rsid w:val="00267AAA"/>
    <w:rsid w:val="0027012E"/>
    <w:rsid w:val="002701A5"/>
    <w:rsid w:val="0027074C"/>
    <w:rsid w:val="0027119F"/>
    <w:rsid w:val="00271527"/>
    <w:rsid w:val="00271545"/>
    <w:rsid w:val="00271965"/>
    <w:rsid w:val="00271A8A"/>
    <w:rsid w:val="00271EE0"/>
    <w:rsid w:val="00271F84"/>
    <w:rsid w:val="002720DA"/>
    <w:rsid w:val="00272186"/>
    <w:rsid w:val="00272AD0"/>
    <w:rsid w:val="00272BC6"/>
    <w:rsid w:val="00272CD8"/>
    <w:rsid w:val="00272E60"/>
    <w:rsid w:val="00273012"/>
    <w:rsid w:val="00273468"/>
    <w:rsid w:val="00273605"/>
    <w:rsid w:val="0027366D"/>
    <w:rsid w:val="00273802"/>
    <w:rsid w:val="00273A0A"/>
    <w:rsid w:val="00273C3C"/>
    <w:rsid w:val="00273D71"/>
    <w:rsid w:val="00273F85"/>
    <w:rsid w:val="00273F94"/>
    <w:rsid w:val="0027437B"/>
    <w:rsid w:val="0027446C"/>
    <w:rsid w:val="00274587"/>
    <w:rsid w:val="00274F3A"/>
    <w:rsid w:val="00274F8F"/>
    <w:rsid w:val="002752AB"/>
    <w:rsid w:val="002755EA"/>
    <w:rsid w:val="0027595E"/>
    <w:rsid w:val="00275A9D"/>
    <w:rsid w:val="00275B27"/>
    <w:rsid w:val="00275D2E"/>
    <w:rsid w:val="00276080"/>
    <w:rsid w:val="00276159"/>
    <w:rsid w:val="00276185"/>
    <w:rsid w:val="00276546"/>
    <w:rsid w:val="002767C1"/>
    <w:rsid w:val="00276867"/>
    <w:rsid w:val="0027691F"/>
    <w:rsid w:val="002769BA"/>
    <w:rsid w:val="00276BC2"/>
    <w:rsid w:val="00276C3C"/>
    <w:rsid w:val="00276CAF"/>
    <w:rsid w:val="00276FCE"/>
    <w:rsid w:val="00277282"/>
    <w:rsid w:val="002774EC"/>
    <w:rsid w:val="00277539"/>
    <w:rsid w:val="00277592"/>
    <w:rsid w:val="002779D0"/>
    <w:rsid w:val="00277B31"/>
    <w:rsid w:val="00277D58"/>
    <w:rsid w:val="00277E31"/>
    <w:rsid w:val="002801D7"/>
    <w:rsid w:val="00280702"/>
    <w:rsid w:val="00280732"/>
    <w:rsid w:val="0028073F"/>
    <w:rsid w:val="00280817"/>
    <w:rsid w:val="00280B3A"/>
    <w:rsid w:val="00280B77"/>
    <w:rsid w:val="00280B94"/>
    <w:rsid w:val="00280C5E"/>
    <w:rsid w:val="00280E34"/>
    <w:rsid w:val="00280F8B"/>
    <w:rsid w:val="00281176"/>
    <w:rsid w:val="0028117E"/>
    <w:rsid w:val="00281208"/>
    <w:rsid w:val="0028237D"/>
    <w:rsid w:val="0028251C"/>
    <w:rsid w:val="0028267F"/>
    <w:rsid w:val="002826E6"/>
    <w:rsid w:val="00282A56"/>
    <w:rsid w:val="00282E99"/>
    <w:rsid w:val="00282F84"/>
    <w:rsid w:val="0028333C"/>
    <w:rsid w:val="0028369A"/>
    <w:rsid w:val="002837D3"/>
    <w:rsid w:val="00283847"/>
    <w:rsid w:val="00284268"/>
    <w:rsid w:val="0028442C"/>
    <w:rsid w:val="00284488"/>
    <w:rsid w:val="00284561"/>
    <w:rsid w:val="002847A2"/>
    <w:rsid w:val="00284DC5"/>
    <w:rsid w:val="00285166"/>
    <w:rsid w:val="00285382"/>
    <w:rsid w:val="00285560"/>
    <w:rsid w:val="002855B3"/>
    <w:rsid w:val="00285629"/>
    <w:rsid w:val="0028594B"/>
    <w:rsid w:val="00285C5C"/>
    <w:rsid w:val="00286347"/>
    <w:rsid w:val="002865E1"/>
    <w:rsid w:val="002866E9"/>
    <w:rsid w:val="00286AFC"/>
    <w:rsid w:val="0028708C"/>
    <w:rsid w:val="002871AB"/>
    <w:rsid w:val="00287306"/>
    <w:rsid w:val="00287344"/>
    <w:rsid w:val="0028737C"/>
    <w:rsid w:val="002873B2"/>
    <w:rsid w:val="00287427"/>
    <w:rsid w:val="00287540"/>
    <w:rsid w:val="002875D6"/>
    <w:rsid w:val="00287D31"/>
    <w:rsid w:val="00287D5D"/>
    <w:rsid w:val="00287FE3"/>
    <w:rsid w:val="0029033E"/>
    <w:rsid w:val="002904FA"/>
    <w:rsid w:val="00290EB7"/>
    <w:rsid w:val="0029114E"/>
    <w:rsid w:val="0029134C"/>
    <w:rsid w:val="00291622"/>
    <w:rsid w:val="00291C15"/>
    <w:rsid w:val="00291C9C"/>
    <w:rsid w:val="00291EC6"/>
    <w:rsid w:val="0029265C"/>
    <w:rsid w:val="002927CE"/>
    <w:rsid w:val="00292891"/>
    <w:rsid w:val="00293146"/>
    <w:rsid w:val="0029333B"/>
    <w:rsid w:val="00293BFD"/>
    <w:rsid w:val="00293C8E"/>
    <w:rsid w:val="00294545"/>
    <w:rsid w:val="00294882"/>
    <w:rsid w:val="002948E6"/>
    <w:rsid w:val="00294D69"/>
    <w:rsid w:val="00295384"/>
    <w:rsid w:val="00295885"/>
    <w:rsid w:val="00295B03"/>
    <w:rsid w:val="0029620F"/>
    <w:rsid w:val="00296CF2"/>
    <w:rsid w:val="00296E3D"/>
    <w:rsid w:val="00296E94"/>
    <w:rsid w:val="00297238"/>
    <w:rsid w:val="0029748B"/>
    <w:rsid w:val="0029789B"/>
    <w:rsid w:val="002978FB"/>
    <w:rsid w:val="00297C85"/>
    <w:rsid w:val="00297DF9"/>
    <w:rsid w:val="00297EAB"/>
    <w:rsid w:val="00297F21"/>
    <w:rsid w:val="00297FB2"/>
    <w:rsid w:val="00297FE3"/>
    <w:rsid w:val="002A0003"/>
    <w:rsid w:val="002A01F7"/>
    <w:rsid w:val="002A049A"/>
    <w:rsid w:val="002A0BB9"/>
    <w:rsid w:val="002A0EE8"/>
    <w:rsid w:val="002A17E7"/>
    <w:rsid w:val="002A1992"/>
    <w:rsid w:val="002A1B59"/>
    <w:rsid w:val="002A1BB8"/>
    <w:rsid w:val="002A200E"/>
    <w:rsid w:val="002A2330"/>
    <w:rsid w:val="002A2456"/>
    <w:rsid w:val="002A26F5"/>
    <w:rsid w:val="002A2860"/>
    <w:rsid w:val="002A2CC2"/>
    <w:rsid w:val="002A2F14"/>
    <w:rsid w:val="002A3097"/>
    <w:rsid w:val="002A327A"/>
    <w:rsid w:val="002A3A30"/>
    <w:rsid w:val="002A3AC5"/>
    <w:rsid w:val="002A3F6F"/>
    <w:rsid w:val="002A451B"/>
    <w:rsid w:val="002A48C8"/>
    <w:rsid w:val="002A4C5F"/>
    <w:rsid w:val="002A4F66"/>
    <w:rsid w:val="002A5218"/>
    <w:rsid w:val="002A52AE"/>
    <w:rsid w:val="002A5364"/>
    <w:rsid w:val="002A5A44"/>
    <w:rsid w:val="002A5A61"/>
    <w:rsid w:val="002A5AAE"/>
    <w:rsid w:val="002A5C9F"/>
    <w:rsid w:val="002A64E9"/>
    <w:rsid w:val="002A6BC7"/>
    <w:rsid w:val="002A6F2E"/>
    <w:rsid w:val="002A6F40"/>
    <w:rsid w:val="002A6F80"/>
    <w:rsid w:val="002A7148"/>
    <w:rsid w:val="002A71DA"/>
    <w:rsid w:val="002A7487"/>
    <w:rsid w:val="002A7527"/>
    <w:rsid w:val="002A77AF"/>
    <w:rsid w:val="002A7E0F"/>
    <w:rsid w:val="002B0414"/>
    <w:rsid w:val="002B08F5"/>
    <w:rsid w:val="002B0DD0"/>
    <w:rsid w:val="002B13EE"/>
    <w:rsid w:val="002B1D99"/>
    <w:rsid w:val="002B1DD7"/>
    <w:rsid w:val="002B1EFB"/>
    <w:rsid w:val="002B22F8"/>
    <w:rsid w:val="002B2906"/>
    <w:rsid w:val="002B2A6E"/>
    <w:rsid w:val="002B2C10"/>
    <w:rsid w:val="002B2DAC"/>
    <w:rsid w:val="002B2DFC"/>
    <w:rsid w:val="002B2ED9"/>
    <w:rsid w:val="002B2F15"/>
    <w:rsid w:val="002B31E7"/>
    <w:rsid w:val="002B327B"/>
    <w:rsid w:val="002B3ADB"/>
    <w:rsid w:val="002B3CD6"/>
    <w:rsid w:val="002B3D48"/>
    <w:rsid w:val="002B3E10"/>
    <w:rsid w:val="002B400E"/>
    <w:rsid w:val="002B422D"/>
    <w:rsid w:val="002B4639"/>
    <w:rsid w:val="002B46B4"/>
    <w:rsid w:val="002B4885"/>
    <w:rsid w:val="002B4EAA"/>
    <w:rsid w:val="002B4F52"/>
    <w:rsid w:val="002B509A"/>
    <w:rsid w:val="002B54B9"/>
    <w:rsid w:val="002B578D"/>
    <w:rsid w:val="002B57DF"/>
    <w:rsid w:val="002B586A"/>
    <w:rsid w:val="002B58CB"/>
    <w:rsid w:val="002B61E2"/>
    <w:rsid w:val="002B689E"/>
    <w:rsid w:val="002B6949"/>
    <w:rsid w:val="002B6A0E"/>
    <w:rsid w:val="002B6BA7"/>
    <w:rsid w:val="002B6E6C"/>
    <w:rsid w:val="002B7156"/>
    <w:rsid w:val="002B7466"/>
    <w:rsid w:val="002B755B"/>
    <w:rsid w:val="002B7E0D"/>
    <w:rsid w:val="002C04CC"/>
    <w:rsid w:val="002C0686"/>
    <w:rsid w:val="002C0D9D"/>
    <w:rsid w:val="002C11FF"/>
    <w:rsid w:val="002C1265"/>
    <w:rsid w:val="002C126F"/>
    <w:rsid w:val="002C168E"/>
    <w:rsid w:val="002C18AB"/>
    <w:rsid w:val="002C1988"/>
    <w:rsid w:val="002C1AA6"/>
    <w:rsid w:val="002C1AF9"/>
    <w:rsid w:val="002C1F49"/>
    <w:rsid w:val="002C226A"/>
    <w:rsid w:val="002C2355"/>
    <w:rsid w:val="002C2545"/>
    <w:rsid w:val="002C2A6C"/>
    <w:rsid w:val="002C2AD4"/>
    <w:rsid w:val="002C2F53"/>
    <w:rsid w:val="002C3137"/>
    <w:rsid w:val="002C3184"/>
    <w:rsid w:val="002C320A"/>
    <w:rsid w:val="002C3CA4"/>
    <w:rsid w:val="002C44DC"/>
    <w:rsid w:val="002C459A"/>
    <w:rsid w:val="002C45F0"/>
    <w:rsid w:val="002C49EE"/>
    <w:rsid w:val="002C4B61"/>
    <w:rsid w:val="002C4F98"/>
    <w:rsid w:val="002C4FC2"/>
    <w:rsid w:val="002C533F"/>
    <w:rsid w:val="002C53A8"/>
    <w:rsid w:val="002C53DA"/>
    <w:rsid w:val="002C5487"/>
    <w:rsid w:val="002C54B0"/>
    <w:rsid w:val="002C5538"/>
    <w:rsid w:val="002C565B"/>
    <w:rsid w:val="002C5A2A"/>
    <w:rsid w:val="002C5A84"/>
    <w:rsid w:val="002C5E4E"/>
    <w:rsid w:val="002C6027"/>
    <w:rsid w:val="002C6063"/>
    <w:rsid w:val="002C6408"/>
    <w:rsid w:val="002C6499"/>
    <w:rsid w:val="002C66A7"/>
    <w:rsid w:val="002C6947"/>
    <w:rsid w:val="002C69A7"/>
    <w:rsid w:val="002C6A3C"/>
    <w:rsid w:val="002C6AE0"/>
    <w:rsid w:val="002C74B8"/>
    <w:rsid w:val="002C75BE"/>
    <w:rsid w:val="002C7671"/>
    <w:rsid w:val="002C7940"/>
    <w:rsid w:val="002C7AC6"/>
    <w:rsid w:val="002C7B1A"/>
    <w:rsid w:val="002C7CFA"/>
    <w:rsid w:val="002C7D9D"/>
    <w:rsid w:val="002C7DAE"/>
    <w:rsid w:val="002D06A0"/>
    <w:rsid w:val="002D0C8B"/>
    <w:rsid w:val="002D0CAA"/>
    <w:rsid w:val="002D1035"/>
    <w:rsid w:val="002D12BF"/>
    <w:rsid w:val="002D185D"/>
    <w:rsid w:val="002D1885"/>
    <w:rsid w:val="002D1D5A"/>
    <w:rsid w:val="002D22AF"/>
    <w:rsid w:val="002D24D3"/>
    <w:rsid w:val="002D2AD3"/>
    <w:rsid w:val="002D2E39"/>
    <w:rsid w:val="002D2F97"/>
    <w:rsid w:val="002D3594"/>
    <w:rsid w:val="002D3E40"/>
    <w:rsid w:val="002D3FE3"/>
    <w:rsid w:val="002D419C"/>
    <w:rsid w:val="002D4422"/>
    <w:rsid w:val="002D4496"/>
    <w:rsid w:val="002D48D7"/>
    <w:rsid w:val="002D4AEC"/>
    <w:rsid w:val="002D5192"/>
    <w:rsid w:val="002D5B74"/>
    <w:rsid w:val="002D5C95"/>
    <w:rsid w:val="002D5E7D"/>
    <w:rsid w:val="002D5F86"/>
    <w:rsid w:val="002D5FA4"/>
    <w:rsid w:val="002D63D3"/>
    <w:rsid w:val="002D6429"/>
    <w:rsid w:val="002D6FA1"/>
    <w:rsid w:val="002D7200"/>
    <w:rsid w:val="002D77EA"/>
    <w:rsid w:val="002D7826"/>
    <w:rsid w:val="002D78BA"/>
    <w:rsid w:val="002D78E2"/>
    <w:rsid w:val="002D7929"/>
    <w:rsid w:val="002D7DBF"/>
    <w:rsid w:val="002D7E0D"/>
    <w:rsid w:val="002E0946"/>
    <w:rsid w:val="002E0FE7"/>
    <w:rsid w:val="002E1035"/>
    <w:rsid w:val="002E17C7"/>
    <w:rsid w:val="002E18EB"/>
    <w:rsid w:val="002E1A67"/>
    <w:rsid w:val="002E1F05"/>
    <w:rsid w:val="002E2753"/>
    <w:rsid w:val="002E2892"/>
    <w:rsid w:val="002E2B4E"/>
    <w:rsid w:val="002E32D6"/>
    <w:rsid w:val="002E38C5"/>
    <w:rsid w:val="002E3C05"/>
    <w:rsid w:val="002E3E95"/>
    <w:rsid w:val="002E4095"/>
    <w:rsid w:val="002E41DA"/>
    <w:rsid w:val="002E4250"/>
    <w:rsid w:val="002E49A7"/>
    <w:rsid w:val="002E5277"/>
    <w:rsid w:val="002E5301"/>
    <w:rsid w:val="002E57B7"/>
    <w:rsid w:val="002E5AB8"/>
    <w:rsid w:val="002E5DF0"/>
    <w:rsid w:val="002E5EB4"/>
    <w:rsid w:val="002E5F3B"/>
    <w:rsid w:val="002E5FE2"/>
    <w:rsid w:val="002E6060"/>
    <w:rsid w:val="002E60F6"/>
    <w:rsid w:val="002E618F"/>
    <w:rsid w:val="002E640F"/>
    <w:rsid w:val="002E6610"/>
    <w:rsid w:val="002E66E7"/>
    <w:rsid w:val="002E6D5A"/>
    <w:rsid w:val="002E6E81"/>
    <w:rsid w:val="002E6EDC"/>
    <w:rsid w:val="002E7188"/>
    <w:rsid w:val="002E746F"/>
    <w:rsid w:val="002E76A2"/>
    <w:rsid w:val="002E7E68"/>
    <w:rsid w:val="002F04A0"/>
    <w:rsid w:val="002F06B2"/>
    <w:rsid w:val="002F0745"/>
    <w:rsid w:val="002F07E0"/>
    <w:rsid w:val="002F095A"/>
    <w:rsid w:val="002F0A6E"/>
    <w:rsid w:val="002F0D21"/>
    <w:rsid w:val="002F109A"/>
    <w:rsid w:val="002F1140"/>
    <w:rsid w:val="002F11A5"/>
    <w:rsid w:val="002F157E"/>
    <w:rsid w:val="002F1751"/>
    <w:rsid w:val="002F1AC1"/>
    <w:rsid w:val="002F1C28"/>
    <w:rsid w:val="002F1CAB"/>
    <w:rsid w:val="002F1E2C"/>
    <w:rsid w:val="002F220D"/>
    <w:rsid w:val="002F22FD"/>
    <w:rsid w:val="002F2677"/>
    <w:rsid w:val="002F2A7C"/>
    <w:rsid w:val="002F2FF5"/>
    <w:rsid w:val="002F3012"/>
    <w:rsid w:val="002F384C"/>
    <w:rsid w:val="002F3B73"/>
    <w:rsid w:val="002F3BAA"/>
    <w:rsid w:val="002F3BCF"/>
    <w:rsid w:val="002F3F97"/>
    <w:rsid w:val="002F432D"/>
    <w:rsid w:val="002F4E7F"/>
    <w:rsid w:val="002F4EE5"/>
    <w:rsid w:val="002F50F7"/>
    <w:rsid w:val="002F552F"/>
    <w:rsid w:val="002F5544"/>
    <w:rsid w:val="002F55F6"/>
    <w:rsid w:val="002F58A6"/>
    <w:rsid w:val="002F5BD9"/>
    <w:rsid w:val="002F606C"/>
    <w:rsid w:val="002F61F4"/>
    <w:rsid w:val="002F69B5"/>
    <w:rsid w:val="002F7509"/>
    <w:rsid w:val="002F7639"/>
    <w:rsid w:val="002F783D"/>
    <w:rsid w:val="002F79CA"/>
    <w:rsid w:val="002F7C42"/>
    <w:rsid w:val="002F7F23"/>
    <w:rsid w:val="00300456"/>
    <w:rsid w:val="003006E7"/>
    <w:rsid w:val="0030088B"/>
    <w:rsid w:val="00300C9A"/>
    <w:rsid w:val="00300D63"/>
    <w:rsid w:val="0030101E"/>
    <w:rsid w:val="003012B9"/>
    <w:rsid w:val="00301793"/>
    <w:rsid w:val="00301909"/>
    <w:rsid w:val="00301A37"/>
    <w:rsid w:val="00302287"/>
    <w:rsid w:val="0030249F"/>
    <w:rsid w:val="003026FA"/>
    <w:rsid w:val="0030289B"/>
    <w:rsid w:val="00302D98"/>
    <w:rsid w:val="00302F89"/>
    <w:rsid w:val="003033E5"/>
    <w:rsid w:val="0030363E"/>
    <w:rsid w:val="0030413B"/>
    <w:rsid w:val="00304208"/>
    <w:rsid w:val="003042DA"/>
    <w:rsid w:val="0030434F"/>
    <w:rsid w:val="003045B9"/>
    <w:rsid w:val="003047D5"/>
    <w:rsid w:val="003047EA"/>
    <w:rsid w:val="00304AB3"/>
    <w:rsid w:val="00304ACB"/>
    <w:rsid w:val="00304E54"/>
    <w:rsid w:val="00305210"/>
    <w:rsid w:val="0030575A"/>
    <w:rsid w:val="00305824"/>
    <w:rsid w:val="00305A56"/>
    <w:rsid w:val="00305AA0"/>
    <w:rsid w:val="00305AEA"/>
    <w:rsid w:val="00305EC4"/>
    <w:rsid w:val="0030636D"/>
    <w:rsid w:val="003065E7"/>
    <w:rsid w:val="003071EC"/>
    <w:rsid w:val="00307416"/>
    <w:rsid w:val="003077F0"/>
    <w:rsid w:val="00307E1C"/>
    <w:rsid w:val="0031008A"/>
    <w:rsid w:val="00310139"/>
    <w:rsid w:val="00310154"/>
    <w:rsid w:val="0031027A"/>
    <w:rsid w:val="00310428"/>
    <w:rsid w:val="003105ED"/>
    <w:rsid w:val="003106A0"/>
    <w:rsid w:val="00310743"/>
    <w:rsid w:val="003107C8"/>
    <w:rsid w:val="00310990"/>
    <w:rsid w:val="003109F5"/>
    <w:rsid w:val="00310A5A"/>
    <w:rsid w:val="00310B04"/>
    <w:rsid w:val="003114B4"/>
    <w:rsid w:val="00311509"/>
    <w:rsid w:val="0031177C"/>
    <w:rsid w:val="00311E99"/>
    <w:rsid w:val="00312080"/>
    <w:rsid w:val="00312493"/>
    <w:rsid w:val="003124CD"/>
    <w:rsid w:val="00312538"/>
    <w:rsid w:val="00312625"/>
    <w:rsid w:val="0031270C"/>
    <w:rsid w:val="00312767"/>
    <w:rsid w:val="00312994"/>
    <w:rsid w:val="003129C6"/>
    <w:rsid w:val="00312B94"/>
    <w:rsid w:val="00312E95"/>
    <w:rsid w:val="003135BA"/>
    <w:rsid w:val="003137E4"/>
    <w:rsid w:val="00313B4D"/>
    <w:rsid w:val="00313DDC"/>
    <w:rsid w:val="00314029"/>
    <w:rsid w:val="003142F1"/>
    <w:rsid w:val="0031496F"/>
    <w:rsid w:val="00314A7A"/>
    <w:rsid w:val="0031517A"/>
    <w:rsid w:val="003151F3"/>
    <w:rsid w:val="00315616"/>
    <w:rsid w:val="00315788"/>
    <w:rsid w:val="00315F08"/>
    <w:rsid w:val="003166A6"/>
    <w:rsid w:val="00316C28"/>
    <w:rsid w:val="00316D03"/>
    <w:rsid w:val="003173A2"/>
    <w:rsid w:val="0031748C"/>
    <w:rsid w:val="00317720"/>
    <w:rsid w:val="00317D57"/>
    <w:rsid w:val="00317FE0"/>
    <w:rsid w:val="0032014A"/>
    <w:rsid w:val="003201FE"/>
    <w:rsid w:val="0032029A"/>
    <w:rsid w:val="00320AEF"/>
    <w:rsid w:val="00320CC0"/>
    <w:rsid w:val="00320E2F"/>
    <w:rsid w:val="00320EC5"/>
    <w:rsid w:val="003217A0"/>
    <w:rsid w:val="003218CA"/>
    <w:rsid w:val="0032194A"/>
    <w:rsid w:val="00321D27"/>
    <w:rsid w:val="00321D7F"/>
    <w:rsid w:val="00322FC1"/>
    <w:rsid w:val="0032317B"/>
    <w:rsid w:val="003235AB"/>
    <w:rsid w:val="00323701"/>
    <w:rsid w:val="0032383D"/>
    <w:rsid w:val="00323940"/>
    <w:rsid w:val="00323A36"/>
    <w:rsid w:val="00323FD9"/>
    <w:rsid w:val="00324099"/>
    <w:rsid w:val="003240F5"/>
    <w:rsid w:val="003241F4"/>
    <w:rsid w:val="003247FA"/>
    <w:rsid w:val="00324A8A"/>
    <w:rsid w:val="00324E70"/>
    <w:rsid w:val="003252AF"/>
    <w:rsid w:val="00325828"/>
    <w:rsid w:val="00325AA1"/>
    <w:rsid w:val="003261C0"/>
    <w:rsid w:val="00326396"/>
    <w:rsid w:val="00326744"/>
    <w:rsid w:val="00326AC8"/>
    <w:rsid w:val="00326BBD"/>
    <w:rsid w:val="00326DAF"/>
    <w:rsid w:val="0032701E"/>
    <w:rsid w:val="00327267"/>
    <w:rsid w:val="003273A0"/>
    <w:rsid w:val="003277F9"/>
    <w:rsid w:val="003278D5"/>
    <w:rsid w:val="00327A71"/>
    <w:rsid w:val="00327FB6"/>
    <w:rsid w:val="003302B2"/>
    <w:rsid w:val="00330572"/>
    <w:rsid w:val="00330EB8"/>
    <w:rsid w:val="00330F77"/>
    <w:rsid w:val="0033106E"/>
    <w:rsid w:val="00331098"/>
    <w:rsid w:val="003310C0"/>
    <w:rsid w:val="0033122B"/>
    <w:rsid w:val="003315EB"/>
    <w:rsid w:val="00331FB6"/>
    <w:rsid w:val="00332ADE"/>
    <w:rsid w:val="00332D36"/>
    <w:rsid w:val="00333146"/>
    <w:rsid w:val="00333198"/>
    <w:rsid w:val="00333548"/>
    <w:rsid w:val="00333803"/>
    <w:rsid w:val="003343F9"/>
    <w:rsid w:val="00334DED"/>
    <w:rsid w:val="00334E6F"/>
    <w:rsid w:val="00334F2B"/>
    <w:rsid w:val="00335749"/>
    <w:rsid w:val="00335CAD"/>
    <w:rsid w:val="00335CB9"/>
    <w:rsid w:val="00335D38"/>
    <w:rsid w:val="00336923"/>
    <w:rsid w:val="00336CC6"/>
    <w:rsid w:val="003370B8"/>
    <w:rsid w:val="0033734C"/>
    <w:rsid w:val="00340033"/>
    <w:rsid w:val="003408E6"/>
    <w:rsid w:val="00340921"/>
    <w:rsid w:val="003415FC"/>
    <w:rsid w:val="00341B03"/>
    <w:rsid w:val="00341C39"/>
    <w:rsid w:val="00341C6C"/>
    <w:rsid w:val="00342068"/>
    <w:rsid w:val="00342429"/>
    <w:rsid w:val="003424EA"/>
    <w:rsid w:val="003425F8"/>
    <w:rsid w:val="003427F0"/>
    <w:rsid w:val="00342B3B"/>
    <w:rsid w:val="00342EB5"/>
    <w:rsid w:val="00343319"/>
    <w:rsid w:val="00343352"/>
    <w:rsid w:val="00343670"/>
    <w:rsid w:val="0034375B"/>
    <w:rsid w:val="00343946"/>
    <w:rsid w:val="00343AA7"/>
    <w:rsid w:val="00343D28"/>
    <w:rsid w:val="00343DA3"/>
    <w:rsid w:val="00343E30"/>
    <w:rsid w:val="003440A5"/>
    <w:rsid w:val="0034432E"/>
    <w:rsid w:val="00344407"/>
    <w:rsid w:val="00344A59"/>
    <w:rsid w:val="00345176"/>
    <w:rsid w:val="003451DC"/>
    <w:rsid w:val="00345341"/>
    <w:rsid w:val="00345342"/>
    <w:rsid w:val="0034553C"/>
    <w:rsid w:val="003455F1"/>
    <w:rsid w:val="0034581F"/>
    <w:rsid w:val="00345820"/>
    <w:rsid w:val="00345A70"/>
    <w:rsid w:val="00345C9D"/>
    <w:rsid w:val="00346171"/>
    <w:rsid w:val="00346382"/>
    <w:rsid w:val="003464CA"/>
    <w:rsid w:val="003464D8"/>
    <w:rsid w:val="0034655F"/>
    <w:rsid w:val="003467F6"/>
    <w:rsid w:val="0034680B"/>
    <w:rsid w:val="00346B01"/>
    <w:rsid w:val="00347397"/>
    <w:rsid w:val="003473A6"/>
    <w:rsid w:val="00347441"/>
    <w:rsid w:val="0034765D"/>
    <w:rsid w:val="003500BD"/>
    <w:rsid w:val="00350A18"/>
    <w:rsid w:val="00350AAF"/>
    <w:rsid w:val="00350B1C"/>
    <w:rsid w:val="00350BC3"/>
    <w:rsid w:val="00350BD1"/>
    <w:rsid w:val="00350E50"/>
    <w:rsid w:val="00350FE0"/>
    <w:rsid w:val="00351885"/>
    <w:rsid w:val="00351930"/>
    <w:rsid w:val="00351EB1"/>
    <w:rsid w:val="003522CC"/>
    <w:rsid w:val="0035231C"/>
    <w:rsid w:val="003526AE"/>
    <w:rsid w:val="003529EE"/>
    <w:rsid w:val="0035321F"/>
    <w:rsid w:val="00353B05"/>
    <w:rsid w:val="00353D94"/>
    <w:rsid w:val="00353EE6"/>
    <w:rsid w:val="003540E0"/>
    <w:rsid w:val="00354152"/>
    <w:rsid w:val="003542E9"/>
    <w:rsid w:val="00354529"/>
    <w:rsid w:val="00354931"/>
    <w:rsid w:val="00354BFD"/>
    <w:rsid w:val="00354D8A"/>
    <w:rsid w:val="00354DF2"/>
    <w:rsid w:val="00354ECD"/>
    <w:rsid w:val="003552A4"/>
    <w:rsid w:val="00355A5F"/>
    <w:rsid w:val="00355B7F"/>
    <w:rsid w:val="00355CE4"/>
    <w:rsid w:val="00355F9A"/>
    <w:rsid w:val="00356040"/>
    <w:rsid w:val="003560CF"/>
    <w:rsid w:val="00356178"/>
    <w:rsid w:val="00356239"/>
    <w:rsid w:val="00356669"/>
    <w:rsid w:val="00356759"/>
    <w:rsid w:val="00356ACA"/>
    <w:rsid w:val="00356D76"/>
    <w:rsid w:val="003572A6"/>
    <w:rsid w:val="00357302"/>
    <w:rsid w:val="00357538"/>
    <w:rsid w:val="003575BA"/>
    <w:rsid w:val="00357B9B"/>
    <w:rsid w:val="00360BAE"/>
    <w:rsid w:val="00360F97"/>
    <w:rsid w:val="00361212"/>
    <w:rsid w:val="00361470"/>
    <w:rsid w:val="00361B45"/>
    <w:rsid w:val="00361DBA"/>
    <w:rsid w:val="00362604"/>
    <w:rsid w:val="0036265A"/>
    <w:rsid w:val="00362FD9"/>
    <w:rsid w:val="00363D8E"/>
    <w:rsid w:val="0036423D"/>
    <w:rsid w:val="00364277"/>
    <w:rsid w:val="003642B8"/>
    <w:rsid w:val="003643CB"/>
    <w:rsid w:val="00364654"/>
    <w:rsid w:val="003648AE"/>
    <w:rsid w:val="003648B1"/>
    <w:rsid w:val="003648D1"/>
    <w:rsid w:val="0036491D"/>
    <w:rsid w:val="0036496E"/>
    <w:rsid w:val="00364BBC"/>
    <w:rsid w:val="00364EA5"/>
    <w:rsid w:val="00364FAA"/>
    <w:rsid w:val="0036537F"/>
    <w:rsid w:val="003653A6"/>
    <w:rsid w:val="003655CA"/>
    <w:rsid w:val="003656E6"/>
    <w:rsid w:val="00365C5E"/>
    <w:rsid w:val="00365C9F"/>
    <w:rsid w:val="00365D04"/>
    <w:rsid w:val="0036613B"/>
    <w:rsid w:val="003662B8"/>
    <w:rsid w:val="003663E7"/>
    <w:rsid w:val="0036677C"/>
    <w:rsid w:val="003667A9"/>
    <w:rsid w:val="003667EF"/>
    <w:rsid w:val="00366DC6"/>
    <w:rsid w:val="00366DE3"/>
    <w:rsid w:val="00366F7C"/>
    <w:rsid w:val="0036732B"/>
    <w:rsid w:val="003679FF"/>
    <w:rsid w:val="00367A3E"/>
    <w:rsid w:val="00367A7D"/>
    <w:rsid w:val="00367FC6"/>
    <w:rsid w:val="0037037F"/>
    <w:rsid w:val="003708EC"/>
    <w:rsid w:val="00371ACB"/>
    <w:rsid w:val="00371E89"/>
    <w:rsid w:val="00371EF7"/>
    <w:rsid w:val="003720B4"/>
    <w:rsid w:val="003720FC"/>
    <w:rsid w:val="003725CE"/>
    <w:rsid w:val="00372886"/>
    <w:rsid w:val="00372CF4"/>
    <w:rsid w:val="00372FB5"/>
    <w:rsid w:val="0037325D"/>
    <w:rsid w:val="00373342"/>
    <w:rsid w:val="003733CC"/>
    <w:rsid w:val="003735CB"/>
    <w:rsid w:val="00373624"/>
    <w:rsid w:val="00373934"/>
    <w:rsid w:val="00373953"/>
    <w:rsid w:val="00374037"/>
    <w:rsid w:val="003740DF"/>
    <w:rsid w:val="00374309"/>
    <w:rsid w:val="003743A2"/>
    <w:rsid w:val="003748ED"/>
    <w:rsid w:val="00374D85"/>
    <w:rsid w:val="00375119"/>
    <w:rsid w:val="00375BBB"/>
    <w:rsid w:val="00375EC2"/>
    <w:rsid w:val="003760AF"/>
    <w:rsid w:val="00376377"/>
    <w:rsid w:val="00376623"/>
    <w:rsid w:val="00376BA2"/>
    <w:rsid w:val="00377060"/>
    <w:rsid w:val="003773F5"/>
    <w:rsid w:val="0037752B"/>
    <w:rsid w:val="00377E36"/>
    <w:rsid w:val="00377EFA"/>
    <w:rsid w:val="00377FAA"/>
    <w:rsid w:val="00380163"/>
    <w:rsid w:val="003802D2"/>
    <w:rsid w:val="003804B6"/>
    <w:rsid w:val="003806BF"/>
    <w:rsid w:val="00380796"/>
    <w:rsid w:val="00380DE1"/>
    <w:rsid w:val="00380E1B"/>
    <w:rsid w:val="00380EBC"/>
    <w:rsid w:val="0038153E"/>
    <w:rsid w:val="00381B65"/>
    <w:rsid w:val="00381CA7"/>
    <w:rsid w:val="00381D65"/>
    <w:rsid w:val="00381ED4"/>
    <w:rsid w:val="0038202C"/>
    <w:rsid w:val="003820EA"/>
    <w:rsid w:val="0038232C"/>
    <w:rsid w:val="0038253A"/>
    <w:rsid w:val="00382925"/>
    <w:rsid w:val="00382AF5"/>
    <w:rsid w:val="0038385E"/>
    <w:rsid w:val="0038439E"/>
    <w:rsid w:val="00384515"/>
    <w:rsid w:val="00384B44"/>
    <w:rsid w:val="00384B49"/>
    <w:rsid w:val="00384D0D"/>
    <w:rsid w:val="00384F48"/>
    <w:rsid w:val="00384F7C"/>
    <w:rsid w:val="00384F90"/>
    <w:rsid w:val="003852AB"/>
    <w:rsid w:val="00385561"/>
    <w:rsid w:val="00385564"/>
    <w:rsid w:val="0038598B"/>
    <w:rsid w:val="003859CD"/>
    <w:rsid w:val="00385DCF"/>
    <w:rsid w:val="00385F54"/>
    <w:rsid w:val="00385FBE"/>
    <w:rsid w:val="003860C5"/>
    <w:rsid w:val="00386133"/>
    <w:rsid w:val="003868CE"/>
    <w:rsid w:val="00386D7B"/>
    <w:rsid w:val="00386D80"/>
    <w:rsid w:val="00386FD6"/>
    <w:rsid w:val="003875A4"/>
    <w:rsid w:val="00387B07"/>
    <w:rsid w:val="00387CB9"/>
    <w:rsid w:val="0039008C"/>
    <w:rsid w:val="0039012E"/>
    <w:rsid w:val="00390140"/>
    <w:rsid w:val="0039022A"/>
    <w:rsid w:val="0039041D"/>
    <w:rsid w:val="00390581"/>
    <w:rsid w:val="00390B1F"/>
    <w:rsid w:val="003910E2"/>
    <w:rsid w:val="003911EE"/>
    <w:rsid w:val="0039149C"/>
    <w:rsid w:val="00391606"/>
    <w:rsid w:val="00391634"/>
    <w:rsid w:val="00392055"/>
    <w:rsid w:val="003923A7"/>
    <w:rsid w:val="00392423"/>
    <w:rsid w:val="0039246F"/>
    <w:rsid w:val="00392509"/>
    <w:rsid w:val="003925C9"/>
    <w:rsid w:val="00392706"/>
    <w:rsid w:val="00392C4B"/>
    <w:rsid w:val="00392D7D"/>
    <w:rsid w:val="00393505"/>
    <w:rsid w:val="0039358C"/>
    <w:rsid w:val="00393A3E"/>
    <w:rsid w:val="00393AF8"/>
    <w:rsid w:val="00393EC1"/>
    <w:rsid w:val="003945AA"/>
    <w:rsid w:val="003946BD"/>
    <w:rsid w:val="00394B1E"/>
    <w:rsid w:val="00394FD8"/>
    <w:rsid w:val="00395053"/>
    <w:rsid w:val="00395768"/>
    <w:rsid w:val="003961E3"/>
    <w:rsid w:val="0039653F"/>
    <w:rsid w:val="00396710"/>
    <w:rsid w:val="00396AB0"/>
    <w:rsid w:val="00396B85"/>
    <w:rsid w:val="00396DAA"/>
    <w:rsid w:val="00396EE1"/>
    <w:rsid w:val="0039711F"/>
    <w:rsid w:val="003971A8"/>
    <w:rsid w:val="0039762B"/>
    <w:rsid w:val="00397B4C"/>
    <w:rsid w:val="00397B91"/>
    <w:rsid w:val="003A02FF"/>
    <w:rsid w:val="003A06B5"/>
    <w:rsid w:val="003A08E1"/>
    <w:rsid w:val="003A0B87"/>
    <w:rsid w:val="003A0D1C"/>
    <w:rsid w:val="003A111F"/>
    <w:rsid w:val="003A1443"/>
    <w:rsid w:val="003A19CC"/>
    <w:rsid w:val="003A1C85"/>
    <w:rsid w:val="003A22CF"/>
    <w:rsid w:val="003A2DE8"/>
    <w:rsid w:val="003A2E34"/>
    <w:rsid w:val="003A3979"/>
    <w:rsid w:val="003A3CDF"/>
    <w:rsid w:val="003A40B6"/>
    <w:rsid w:val="003A4108"/>
    <w:rsid w:val="003A4327"/>
    <w:rsid w:val="003A437E"/>
    <w:rsid w:val="003A4518"/>
    <w:rsid w:val="003A4539"/>
    <w:rsid w:val="003A4BDC"/>
    <w:rsid w:val="003A4F15"/>
    <w:rsid w:val="003A5104"/>
    <w:rsid w:val="003A52FF"/>
    <w:rsid w:val="003A54DD"/>
    <w:rsid w:val="003A58B8"/>
    <w:rsid w:val="003A5B03"/>
    <w:rsid w:val="003A5B77"/>
    <w:rsid w:val="003A612B"/>
    <w:rsid w:val="003A650F"/>
    <w:rsid w:val="003A6B63"/>
    <w:rsid w:val="003A6EF0"/>
    <w:rsid w:val="003A7742"/>
    <w:rsid w:val="003A7811"/>
    <w:rsid w:val="003A7992"/>
    <w:rsid w:val="003A7FE2"/>
    <w:rsid w:val="003B0223"/>
    <w:rsid w:val="003B0606"/>
    <w:rsid w:val="003B0990"/>
    <w:rsid w:val="003B0A9A"/>
    <w:rsid w:val="003B0C01"/>
    <w:rsid w:val="003B12CF"/>
    <w:rsid w:val="003B14C1"/>
    <w:rsid w:val="003B1590"/>
    <w:rsid w:val="003B17DE"/>
    <w:rsid w:val="003B1C2D"/>
    <w:rsid w:val="003B1DAA"/>
    <w:rsid w:val="003B1E2E"/>
    <w:rsid w:val="003B1ED4"/>
    <w:rsid w:val="003B25B4"/>
    <w:rsid w:val="003B2655"/>
    <w:rsid w:val="003B26C2"/>
    <w:rsid w:val="003B2D1A"/>
    <w:rsid w:val="003B2F9D"/>
    <w:rsid w:val="003B2FD8"/>
    <w:rsid w:val="003B31F9"/>
    <w:rsid w:val="003B338F"/>
    <w:rsid w:val="003B3421"/>
    <w:rsid w:val="003B3FA6"/>
    <w:rsid w:val="003B40D5"/>
    <w:rsid w:val="003B41C3"/>
    <w:rsid w:val="003B477E"/>
    <w:rsid w:val="003B485C"/>
    <w:rsid w:val="003B498F"/>
    <w:rsid w:val="003B4D92"/>
    <w:rsid w:val="003B4F50"/>
    <w:rsid w:val="003B529F"/>
    <w:rsid w:val="003B53B7"/>
    <w:rsid w:val="003B55CA"/>
    <w:rsid w:val="003B5A11"/>
    <w:rsid w:val="003B5B61"/>
    <w:rsid w:val="003B6227"/>
    <w:rsid w:val="003B6367"/>
    <w:rsid w:val="003B6378"/>
    <w:rsid w:val="003B6CDC"/>
    <w:rsid w:val="003B7037"/>
    <w:rsid w:val="003B79C0"/>
    <w:rsid w:val="003B7A40"/>
    <w:rsid w:val="003B7C9B"/>
    <w:rsid w:val="003B7F96"/>
    <w:rsid w:val="003C0544"/>
    <w:rsid w:val="003C0A4E"/>
    <w:rsid w:val="003C100D"/>
    <w:rsid w:val="003C155A"/>
    <w:rsid w:val="003C16CE"/>
    <w:rsid w:val="003C1740"/>
    <w:rsid w:val="003C2273"/>
    <w:rsid w:val="003C2588"/>
    <w:rsid w:val="003C25B9"/>
    <w:rsid w:val="003C27A5"/>
    <w:rsid w:val="003C2F17"/>
    <w:rsid w:val="003C3059"/>
    <w:rsid w:val="003C30CD"/>
    <w:rsid w:val="003C3468"/>
    <w:rsid w:val="003C352A"/>
    <w:rsid w:val="003C38E5"/>
    <w:rsid w:val="003C3B34"/>
    <w:rsid w:val="003C3EF4"/>
    <w:rsid w:val="003C3FD7"/>
    <w:rsid w:val="003C4067"/>
    <w:rsid w:val="003C47C4"/>
    <w:rsid w:val="003C4D3F"/>
    <w:rsid w:val="003C52CA"/>
    <w:rsid w:val="003C541E"/>
    <w:rsid w:val="003C55A2"/>
    <w:rsid w:val="003C566F"/>
    <w:rsid w:val="003C5861"/>
    <w:rsid w:val="003C607A"/>
    <w:rsid w:val="003C64C3"/>
    <w:rsid w:val="003C65F9"/>
    <w:rsid w:val="003C6B01"/>
    <w:rsid w:val="003C6D94"/>
    <w:rsid w:val="003C7153"/>
    <w:rsid w:val="003C7620"/>
    <w:rsid w:val="003C7653"/>
    <w:rsid w:val="003C7749"/>
    <w:rsid w:val="003C77CD"/>
    <w:rsid w:val="003C780E"/>
    <w:rsid w:val="003C792E"/>
    <w:rsid w:val="003C7A22"/>
    <w:rsid w:val="003C7B76"/>
    <w:rsid w:val="003C7B80"/>
    <w:rsid w:val="003C7FE4"/>
    <w:rsid w:val="003D07C6"/>
    <w:rsid w:val="003D0E21"/>
    <w:rsid w:val="003D10E5"/>
    <w:rsid w:val="003D12A0"/>
    <w:rsid w:val="003D1761"/>
    <w:rsid w:val="003D1C6C"/>
    <w:rsid w:val="003D1EB8"/>
    <w:rsid w:val="003D1F28"/>
    <w:rsid w:val="003D2A7C"/>
    <w:rsid w:val="003D2A99"/>
    <w:rsid w:val="003D2D22"/>
    <w:rsid w:val="003D2FA3"/>
    <w:rsid w:val="003D3128"/>
    <w:rsid w:val="003D31B4"/>
    <w:rsid w:val="003D35CF"/>
    <w:rsid w:val="003D363B"/>
    <w:rsid w:val="003D3882"/>
    <w:rsid w:val="003D3C18"/>
    <w:rsid w:val="003D3F79"/>
    <w:rsid w:val="003D4046"/>
    <w:rsid w:val="003D428C"/>
    <w:rsid w:val="003D465F"/>
    <w:rsid w:val="003D4729"/>
    <w:rsid w:val="003D4C74"/>
    <w:rsid w:val="003D528F"/>
    <w:rsid w:val="003D52C4"/>
    <w:rsid w:val="003D553F"/>
    <w:rsid w:val="003D5C6F"/>
    <w:rsid w:val="003D5D4A"/>
    <w:rsid w:val="003D6882"/>
    <w:rsid w:val="003D68F3"/>
    <w:rsid w:val="003D6B3B"/>
    <w:rsid w:val="003D6D2E"/>
    <w:rsid w:val="003D71C3"/>
    <w:rsid w:val="003D73EF"/>
    <w:rsid w:val="003D74F3"/>
    <w:rsid w:val="003D7716"/>
    <w:rsid w:val="003D77DC"/>
    <w:rsid w:val="003D7C2F"/>
    <w:rsid w:val="003D7C5E"/>
    <w:rsid w:val="003D7E22"/>
    <w:rsid w:val="003E046F"/>
    <w:rsid w:val="003E0DB2"/>
    <w:rsid w:val="003E0FFD"/>
    <w:rsid w:val="003E11F6"/>
    <w:rsid w:val="003E1290"/>
    <w:rsid w:val="003E13D9"/>
    <w:rsid w:val="003E1840"/>
    <w:rsid w:val="003E18B8"/>
    <w:rsid w:val="003E1FA1"/>
    <w:rsid w:val="003E22CC"/>
    <w:rsid w:val="003E26BA"/>
    <w:rsid w:val="003E29EC"/>
    <w:rsid w:val="003E2EDE"/>
    <w:rsid w:val="003E3194"/>
    <w:rsid w:val="003E3206"/>
    <w:rsid w:val="003E32FA"/>
    <w:rsid w:val="003E3334"/>
    <w:rsid w:val="003E33D1"/>
    <w:rsid w:val="003E3A5B"/>
    <w:rsid w:val="003E3EF8"/>
    <w:rsid w:val="003E41F0"/>
    <w:rsid w:val="003E4237"/>
    <w:rsid w:val="003E4246"/>
    <w:rsid w:val="003E4467"/>
    <w:rsid w:val="003E4696"/>
    <w:rsid w:val="003E4757"/>
    <w:rsid w:val="003E489D"/>
    <w:rsid w:val="003E4E72"/>
    <w:rsid w:val="003E4F12"/>
    <w:rsid w:val="003E5411"/>
    <w:rsid w:val="003E56EE"/>
    <w:rsid w:val="003E5E00"/>
    <w:rsid w:val="003E61D3"/>
    <w:rsid w:val="003E62DE"/>
    <w:rsid w:val="003E6444"/>
    <w:rsid w:val="003E64A1"/>
    <w:rsid w:val="003E6984"/>
    <w:rsid w:val="003E69AB"/>
    <w:rsid w:val="003E6F4C"/>
    <w:rsid w:val="003E78D5"/>
    <w:rsid w:val="003E7996"/>
    <w:rsid w:val="003E7C04"/>
    <w:rsid w:val="003E7C88"/>
    <w:rsid w:val="003E7C89"/>
    <w:rsid w:val="003F0044"/>
    <w:rsid w:val="003F01E1"/>
    <w:rsid w:val="003F0388"/>
    <w:rsid w:val="003F0464"/>
    <w:rsid w:val="003F0535"/>
    <w:rsid w:val="003F0931"/>
    <w:rsid w:val="003F09B3"/>
    <w:rsid w:val="003F0CE6"/>
    <w:rsid w:val="003F0D22"/>
    <w:rsid w:val="003F0E2F"/>
    <w:rsid w:val="003F111B"/>
    <w:rsid w:val="003F1C90"/>
    <w:rsid w:val="003F1D00"/>
    <w:rsid w:val="003F2193"/>
    <w:rsid w:val="003F22CC"/>
    <w:rsid w:val="003F2410"/>
    <w:rsid w:val="003F260C"/>
    <w:rsid w:val="003F270C"/>
    <w:rsid w:val="003F274C"/>
    <w:rsid w:val="003F2A3B"/>
    <w:rsid w:val="003F30B1"/>
    <w:rsid w:val="003F35A5"/>
    <w:rsid w:val="003F379A"/>
    <w:rsid w:val="003F3C20"/>
    <w:rsid w:val="003F3C2E"/>
    <w:rsid w:val="003F3EA2"/>
    <w:rsid w:val="003F4AD6"/>
    <w:rsid w:val="003F5028"/>
    <w:rsid w:val="003F50AA"/>
    <w:rsid w:val="003F5354"/>
    <w:rsid w:val="003F5968"/>
    <w:rsid w:val="003F5D98"/>
    <w:rsid w:val="003F5E15"/>
    <w:rsid w:val="003F5E5A"/>
    <w:rsid w:val="003F617F"/>
    <w:rsid w:val="003F6398"/>
    <w:rsid w:val="003F666A"/>
    <w:rsid w:val="003F693F"/>
    <w:rsid w:val="003F6B21"/>
    <w:rsid w:val="003F6BB7"/>
    <w:rsid w:val="003F6EF1"/>
    <w:rsid w:val="003F7612"/>
    <w:rsid w:val="003F77C6"/>
    <w:rsid w:val="003F7A4D"/>
    <w:rsid w:val="003F7BCA"/>
    <w:rsid w:val="003F7C76"/>
    <w:rsid w:val="004006B3"/>
    <w:rsid w:val="00400BD1"/>
    <w:rsid w:val="00400E43"/>
    <w:rsid w:val="00400FB2"/>
    <w:rsid w:val="00401262"/>
    <w:rsid w:val="00401756"/>
    <w:rsid w:val="0040178C"/>
    <w:rsid w:val="004018F5"/>
    <w:rsid w:val="0040192E"/>
    <w:rsid w:val="0040218F"/>
    <w:rsid w:val="004025D8"/>
    <w:rsid w:val="00402624"/>
    <w:rsid w:val="0040264C"/>
    <w:rsid w:val="00402652"/>
    <w:rsid w:val="00402699"/>
    <w:rsid w:val="00402B80"/>
    <w:rsid w:val="00402BAB"/>
    <w:rsid w:val="00402D87"/>
    <w:rsid w:val="00402F1A"/>
    <w:rsid w:val="00402F3F"/>
    <w:rsid w:val="00402F49"/>
    <w:rsid w:val="00403131"/>
    <w:rsid w:val="004039AC"/>
    <w:rsid w:val="00403B1A"/>
    <w:rsid w:val="0040531D"/>
    <w:rsid w:val="0040534B"/>
    <w:rsid w:val="00405502"/>
    <w:rsid w:val="00405941"/>
    <w:rsid w:val="00405E5B"/>
    <w:rsid w:val="00406113"/>
    <w:rsid w:val="004061C2"/>
    <w:rsid w:val="00406521"/>
    <w:rsid w:val="00406B7F"/>
    <w:rsid w:val="00406BD1"/>
    <w:rsid w:val="004073E8"/>
    <w:rsid w:val="00407CAE"/>
    <w:rsid w:val="00407F07"/>
    <w:rsid w:val="00410369"/>
    <w:rsid w:val="00410485"/>
    <w:rsid w:val="00410CBF"/>
    <w:rsid w:val="0041105B"/>
    <w:rsid w:val="00411EEE"/>
    <w:rsid w:val="00411FB6"/>
    <w:rsid w:val="004120E1"/>
    <w:rsid w:val="00412789"/>
    <w:rsid w:val="0041289C"/>
    <w:rsid w:val="00412CB6"/>
    <w:rsid w:val="004134EC"/>
    <w:rsid w:val="00413503"/>
    <w:rsid w:val="004135F7"/>
    <w:rsid w:val="00413887"/>
    <w:rsid w:val="00413D5B"/>
    <w:rsid w:val="00414314"/>
    <w:rsid w:val="00414455"/>
    <w:rsid w:val="00414691"/>
    <w:rsid w:val="004146EC"/>
    <w:rsid w:val="00414F67"/>
    <w:rsid w:val="00415020"/>
    <w:rsid w:val="0041503D"/>
    <w:rsid w:val="00415068"/>
    <w:rsid w:val="00415108"/>
    <w:rsid w:val="004151CF"/>
    <w:rsid w:val="00415258"/>
    <w:rsid w:val="004158D5"/>
    <w:rsid w:val="00415B11"/>
    <w:rsid w:val="00415BE0"/>
    <w:rsid w:val="00415D0B"/>
    <w:rsid w:val="00415F70"/>
    <w:rsid w:val="004160CB"/>
    <w:rsid w:val="00416132"/>
    <w:rsid w:val="00416960"/>
    <w:rsid w:val="00416B87"/>
    <w:rsid w:val="00416FAD"/>
    <w:rsid w:val="00417009"/>
    <w:rsid w:val="004170A8"/>
    <w:rsid w:val="00417525"/>
    <w:rsid w:val="00417869"/>
    <w:rsid w:val="004179DD"/>
    <w:rsid w:val="00417B56"/>
    <w:rsid w:val="00417CCE"/>
    <w:rsid w:val="00417DAB"/>
    <w:rsid w:val="00417FA7"/>
    <w:rsid w:val="0042015D"/>
    <w:rsid w:val="004201AE"/>
    <w:rsid w:val="004202E2"/>
    <w:rsid w:val="004204EA"/>
    <w:rsid w:val="004207E0"/>
    <w:rsid w:val="00420AEF"/>
    <w:rsid w:val="00420C5A"/>
    <w:rsid w:val="00420F30"/>
    <w:rsid w:val="00420FE6"/>
    <w:rsid w:val="004213EE"/>
    <w:rsid w:val="00421822"/>
    <w:rsid w:val="0042183F"/>
    <w:rsid w:val="00421A57"/>
    <w:rsid w:val="00421E3F"/>
    <w:rsid w:val="004225DB"/>
    <w:rsid w:val="00422825"/>
    <w:rsid w:val="00422948"/>
    <w:rsid w:val="00422A6A"/>
    <w:rsid w:val="00422C3B"/>
    <w:rsid w:val="00422C9B"/>
    <w:rsid w:val="00422DAD"/>
    <w:rsid w:val="00422EC9"/>
    <w:rsid w:val="004231AA"/>
    <w:rsid w:val="004232F9"/>
    <w:rsid w:val="004235C2"/>
    <w:rsid w:val="004235D4"/>
    <w:rsid w:val="00423722"/>
    <w:rsid w:val="004238ED"/>
    <w:rsid w:val="00423BF5"/>
    <w:rsid w:val="00423F16"/>
    <w:rsid w:val="004242B8"/>
    <w:rsid w:val="00424813"/>
    <w:rsid w:val="00424863"/>
    <w:rsid w:val="00424B81"/>
    <w:rsid w:val="00425CA5"/>
    <w:rsid w:val="00425EDC"/>
    <w:rsid w:val="00425F4C"/>
    <w:rsid w:val="004260F2"/>
    <w:rsid w:val="0042648D"/>
    <w:rsid w:val="004264A2"/>
    <w:rsid w:val="00426742"/>
    <w:rsid w:val="00426E9E"/>
    <w:rsid w:val="00426F3A"/>
    <w:rsid w:val="00426F80"/>
    <w:rsid w:val="00427119"/>
    <w:rsid w:val="0042713A"/>
    <w:rsid w:val="00427498"/>
    <w:rsid w:val="004276A7"/>
    <w:rsid w:val="00427C29"/>
    <w:rsid w:val="00427DF1"/>
    <w:rsid w:val="004300BE"/>
    <w:rsid w:val="0043055A"/>
    <w:rsid w:val="0043060D"/>
    <w:rsid w:val="00430770"/>
    <w:rsid w:val="00430849"/>
    <w:rsid w:val="00430CA5"/>
    <w:rsid w:val="00431903"/>
    <w:rsid w:val="0043254F"/>
    <w:rsid w:val="0043264A"/>
    <w:rsid w:val="00432739"/>
    <w:rsid w:val="0043290E"/>
    <w:rsid w:val="00432B8A"/>
    <w:rsid w:val="0043424F"/>
    <w:rsid w:val="00434473"/>
    <w:rsid w:val="004347DE"/>
    <w:rsid w:val="00434981"/>
    <w:rsid w:val="00434987"/>
    <w:rsid w:val="00434DCF"/>
    <w:rsid w:val="004350CE"/>
    <w:rsid w:val="00435326"/>
    <w:rsid w:val="004354D3"/>
    <w:rsid w:val="004355ED"/>
    <w:rsid w:val="00435808"/>
    <w:rsid w:val="004358DE"/>
    <w:rsid w:val="00435936"/>
    <w:rsid w:val="004359F8"/>
    <w:rsid w:val="00436E92"/>
    <w:rsid w:val="00436EE2"/>
    <w:rsid w:val="004373DF"/>
    <w:rsid w:val="0043767A"/>
    <w:rsid w:val="004377C5"/>
    <w:rsid w:val="00437A1B"/>
    <w:rsid w:val="00437C65"/>
    <w:rsid w:val="00437CDB"/>
    <w:rsid w:val="004405FF"/>
    <w:rsid w:val="00440705"/>
    <w:rsid w:val="00440AB7"/>
    <w:rsid w:val="00440B9D"/>
    <w:rsid w:val="00440F87"/>
    <w:rsid w:val="00441090"/>
    <w:rsid w:val="00441111"/>
    <w:rsid w:val="004411CB"/>
    <w:rsid w:val="004414BF"/>
    <w:rsid w:val="00441AB5"/>
    <w:rsid w:val="00441B98"/>
    <w:rsid w:val="00441F8F"/>
    <w:rsid w:val="00442196"/>
    <w:rsid w:val="00442677"/>
    <w:rsid w:val="004432E2"/>
    <w:rsid w:val="004433C7"/>
    <w:rsid w:val="00443BFA"/>
    <w:rsid w:val="00443D24"/>
    <w:rsid w:val="00443E20"/>
    <w:rsid w:val="00444345"/>
    <w:rsid w:val="00444549"/>
    <w:rsid w:val="00444606"/>
    <w:rsid w:val="0044468A"/>
    <w:rsid w:val="004447F6"/>
    <w:rsid w:val="0044528A"/>
    <w:rsid w:val="00445419"/>
    <w:rsid w:val="00445601"/>
    <w:rsid w:val="00445709"/>
    <w:rsid w:val="00445A8A"/>
    <w:rsid w:val="00445B82"/>
    <w:rsid w:val="00445E5B"/>
    <w:rsid w:val="00446AA1"/>
    <w:rsid w:val="00446B72"/>
    <w:rsid w:val="00447801"/>
    <w:rsid w:val="00447DBC"/>
    <w:rsid w:val="004501F4"/>
    <w:rsid w:val="00450356"/>
    <w:rsid w:val="004503A5"/>
    <w:rsid w:val="004504D1"/>
    <w:rsid w:val="0045062F"/>
    <w:rsid w:val="0045066B"/>
    <w:rsid w:val="0045093A"/>
    <w:rsid w:val="00450A50"/>
    <w:rsid w:val="00450AF0"/>
    <w:rsid w:val="00451053"/>
    <w:rsid w:val="004511F1"/>
    <w:rsid w:val="00451D49"/>
    <w:rsid w:val="004527F0"/>
    <w:rsid w:val="00452D3C"/>
    <w:rsid w:val="00452E23"/>
    <w:rsid w:val="00452F4D"/>
    <w:rsid w:val="0045334E"/>
    <w:rsid w:val="004533BE"/>
    <w:rsid w:val="00454119"/>
    <w:rsid w:val="00454131"/>
    <w:rsid w:val="004541C9"/>
    <w:rsid w:val="00454387"/>
    <w:rsid w:val="004545AB"/>
    <w:rsid w:val="00454694"/>
    <w:rsid w:val="00454B64"/>
    <w:rsid w:val="00454D74"/>
    <w:rsid w:val="00454EBD"/>
    <w:rsid w:val="00454EEA"/>
    <w:rsid w:val="00455139"/>
    <w:rsid w:val="0045525E"/>
    <w:rsid w:val="0045529B"/>
    <w:rsid w:val="00455756"/>
    <w:rsid w:val="00455945"/>
    <w:rsid w:val="00455B03"/>
    <w:rsid w:val="00455B36"/>
    <w:rsid w:val="00455B39"/>
    <w:rsid w:val="00455C27"/>
    <w:rsid w:val="0045673C"/>
    <w:rsid w:val="00456752"/>
    <w:rsid w:val="00456D17"/>
    <w:rsid w:val="00456DBF"/>
    <w:rsid w:val="0045708A"/>
    <w:rsid w:val="004572FF"/>
    <w:rsid w:val="00457777"/>
    <w:rsid w:val="00457906"/>
    <w:rsid w:val="0045793C"/>
    <w:rsid w:val="00457A41"/>
    <w:rsid w:val="00457A74"/>
    <w:rsid w:val="00457CF7"/>
    <w:rsid w:val="0046027A"/>
    <w:rsid w:val="00460C8C"/>
    <w:rsid w:val="00460D2A"/>
    <w:rsid w:val="00460D45"/>
    <w:rsid w:val="00461A4E"/>
    <w:rsid w:val="00461B7D"/>
    <w:rsid w:val="00461C1F"/>
    <w:rsid w:val="004622BA"/>
    <w:rsid w:val="00462520"/>
    <w:rsid w:val="00462588"/>
    <w:rsid w:val="00462620"/>
    <w:rsid w:val="00462678"/>
    <w:rsid w:val="004631F9"/>
    <w:rsid w:val="00463471"/>
    <w:rsid w:val="004635B0"/>
    <w:rsid w:val="004635CE"/>
    <w:rsid w:val="00463781"/>
    <w:rsid w:val="00463868"/>
    <w:rsid w:val="00463A7B"/>
    <w:rsid w:val="00463BD9"/>
    <w:rsid w:val="00463E51"/>
    <w:rsid w:val="004643AD"/>
    <w:rsid w:val="00464CF0"/>
    <w:rsid w:val="00464E4A"/>
    <w:rsid w:val="00464F36"/>
    <w:rsid w:val="00465207"/>
    <w:rsid w:val="00465C96"/>
    <w:rsid w:val="00465F6A"/>
    <w:rsid w:val="00465F80"/>
    <w:rsid w:val="00466358"/>
    <w:rsid w:val="004667EA"/>
    <w:rsid w:val="004668F5"/>
    <w:rsid w:val="00466914"/>
    <w:rsid w:val="004669FA"/>
    <w:rsid w:val="00466BFC"/>
    <w:rsid w:val="00466E3A"/>
    <w:rsid w:val="00466ECC"/>
    <w:rsid w:val="00467118"/>
    <w:rsid w:val="00467457"/>
    <w:rsid w:val="004674B1"/>
    <w:rsid w:val="004677EE"/>
    <w:rsid w:val="00467812"/>
    <w:rsid w:val="0046793D"/>
    <w:rsid w:val="004709DF"/>
    <w:rsid w:val="00470E2F"/>
    <w:rsid w:val="0047106E"/>
    <w:rsid w:val="00471136"/>
    <w:rsid w:val="004712B3"/>
    <w:rsid w:val="004717F5"/>
    <w:rsid w:val="00471A4C"/>
    <w:rsid w:val="00471C3B"/>
    <w:rsid w:val="004720C5"/>
    <w:rsid w:val="004725AA"/>
    <w:rsid w:val="0047272D"/>
    <w:rsid w:val="00472C43"/>
    <w:rsid w:val="00472CC5"/>
    <w:rsid w:val="00472D7D"/>
    <w:rsid w:val="00472D7F"/>
    <w:rsid w:val="00472E1E"/>
    <w:rsid w:val="00472FCB"/>
    <w:rsid w:val="0047325D"/>
    <w:rsid w:val="004732E6"/>
    <w:rsid w:val="0047337B"/>
    <w:rsid w:val="004734EC"/>
    <w:rsid w:val="00473634"/>
    <w:rsid w:val="00473671"/>
    <w:rsid w:val="00473A9D"/>
    <w:rsid w:val="004742A4"/>
    <w:rsid w:val="004743C2"/>
    <w:rsid w:val="0047480B"/>
    <w:rsid w:val="004748C4"/>
    <w:rsid w:val="00474971"/>
    <w:rsid w:val="00474CCD"/>
    <w:rsid w:val="0047517E"/>
    <w:rsid w:val="004751A0"/>
    <w:rsid w:val="00475490"/>
    <w:rsid w:val="004755D6"/>
    <w:rsid w:val="004756D3"/>
    <w:rsid w:val="0047570D"/>
    <w:rsid w:val="00475817"/>
    <w:rsid w:val="00475E16"/>
    <w:rsid w:val="0047616F"/>
    <w:rsid w:val="004762FB"/>
    <w:rsid w:val="004763E0"/>
    <w:rsid w:val="00476EB7"/>
    <w:rsid w:val="00476EFD"/>
    <w:rsid w:val="00476F03"/>
    <w:rsid w:val="0047709E"/>
    <w:rsid w:val="004770DB"/>
    <w:rsid w:val="00480481"/>
    <w:rsid w:val="00480745"/>
    <w:rsid w:val="0048093D"/>
    <w:rsid w:val="00480C37"/>
    <w:rsid w:val="00480E2E"/>
    <w:rsid w:val="00481069"/>
    <w:rsid w:val="004814F9"/>
    <w:rsid w:val="00481F03"/>
    <w:rsid w:val="0048234B"/>
    <w:rsid w:val="004824A9"/>
    <w:rsid w:val="00482CE5"/>
    <w:rsid w:val="00482E80"/>
    <w:rsid w:val="00482FA5"/>
    <w:rsid w:val="00483102"/>
    <w:rsid w:val="004838D9"/>
    <w:rsid w:val="00484049"/>
    <w:rsid w:val="004844B0"/>
    <w:rsid w:val="0048457F"/>
    <w:rsid w:val="004849D3"/>
    <w:rsid w:val="0048509E"/>
    <w:rsid w:val="004854B4"/>
    <w:rsid w:val="00485520"/>
    <w:rsid w:val="00485564"/>
    <w:rsid w:val="004867B3"/>
    <w:rsid w:val="004867CA"/>
    <w:rsid w:val="00486E68"/>
    <w:rsid w:val="00486FB2"/>
    <w:rsid w:val="0048701D"/>
    <w:rsid w:val="0048704E"/>
    <w:rsid w:val="00487A34"/>
    <w:rsid w:val="00487C80"/>
    <w:rsid w:val="0049011E"/>
    <w:rsid w:val="004902DC"/>
    <w:rsid w:val="00490524"/>
    <w:rsid w:val="004908F3"/>
    <w:rsid w:val="00490B58"/>
    <w:rsid w:val="004911DE"/>
    <w:rsid w:val="004911F3"/>
    <w:rsid w:val="004914D3"/>
    <w:rsid w:val="004918D0"/>
    <w:rsid w:val="00492088"/>
    <w:rsid w:val="004922F1"/>
    <w:rsid w:val="0049235A"/>
    <w:rsid w:val="0049287A"/>
    <w:rsid w:val="004928AD"/>
    <w:rsid w:val="00492B34"/>
    <w:rsid w:val="00492B7F"/>
    <w:rsid w:val="00492F3D"/>
    <w:rsid w:val="00492F8F"/>
    <w:rsid w:val="00493050"/>
    <w:rsid w:val="004931A7"/>
    <w:rsid w:val="004932BC"/>
    <w:rsid w:val="0049372C"/>
    <w:rsid w:val="00493755"/>
    <w:rsid w:val="004939AD"/>
    <w:rsid w:val="00494042"/>
    <w:rsid w:val="0049421E"/>
    <w:rsid w:val="004943F1"/>
    <w:rsid w:val="004946BB"/>
    <w:rsid w:val="00494A97"/>
    <w:rsid w:val="00494B41"/>
    <w:rsid w:val="004950C7"/>
    <w:rsid w:val="0049516A"/>
    <w:rsid w:val="0049548F"/>
    <w:rsid w:val="00495B40"/>
    <w:rsid w:val="00495F35"/>
    <w:rsid w:val="0049689F"/>
    <w:rsid w:val="00496B87"/>
    <w:rsid w:val="004970CE"/>
    <w:rsid w:val="00497128"/>
    <w:rsid w:val="00497972"/>
    <w:rsid w:val="004A0159"/>
    <w:rsid w:val="004A01DE"/>
    <w:rsid w:val="004A04B7"/>
    <w:rsid w:val="004A0713"/>
    <w:rsid w:val="004A098C"/>
    <w:rsid w:val="004A11BF"/>
    <w:rsid w:val="004A14C7"/>
    <w:rsid w:val="004A15F7"/>
    <w:rsid w:val="004A18BF"/>
    <w:rsid w:val="004A1BB5"/>
    <w:rsid w:val="004A1D2F"/>
    <w:rsid w:val="004A1D35"/>
    <w:rsid w:val="004A1D99"/>
    <w:rsid w:val="004A1FCC"/>
    <w:rsid w:val="004A2279"/>
    <w:rsid w:val="004A2453"/>
    <w:rsid w:val="004A2B20"/>
    <w:rsid w:val="004A2E4C"/>
    <w:rsid w:val="004A2EA9"/>
    <w:rsid w:val="004A31DC"/>
    <w:rsid w:val="004A3323"/>
    <w:rsid w:val="004A429D"/>
    <w:rsid w:val="004A46FC"/>
    <w:rsid w:val="004A4898"/>
    <w:rsid w:val="004A4934"/>
    <w:rsid w:val="004A4CED"/>
    <w:rsid w:val="004A4D60"/>
    <w:rsid w:val="004A4DFB"/>
    <w:rsid w:val="004A4E21"/>
    <w:rsid w:val="004A5477"/>
    <w:rsid w:val="004A55AB"/>
    <w:rsid w:val="004A56A2"/>
    <w:rsid w:val="004A57F7"/>
    <w:rsid w:val="004A5804"/>
    <w:rsid w:val="004A5BBB"/>
    <w:rsid w:val="004A5CB2"/>
    <w:rsid w:val="004A6406"/>
    <w:rsid w:val="004A64D9"/>
    <w:rsid w:val="004A64FC"/>
    <w:rsid w:val="004A668F"/>
    <w:rsid w:val="004A6757"/>
    <w:rsid w:val="004A688B"/>
    <w:rsid w:val="004A791E"/>
    <w:rsid w:val="004A7B07"/>
    <w:rsid w:val="004A7D00"/>
    <w:rsid w:val="004B08B6"/>
    <w:rsid w:val="004B14E8"/>
    <w:rsid w:val="004B1B7E"/>
    <w:rsid w:val="004B1C3E"/>
    <w:rsid w:val="004B1EDD"/>
    <w:rsid w:val="004B243A"/>
    <w:rsid w:val="004B251B"/>
    <w:rsid w:val="004B29FD"/>
    <w:rsid w:val="004B2BC4"/>
    <w:rsid w:val="004B319D"/>
    <w:rsid w:val="004B36EB"/>
    <w:rsid w:val="004B37B6"/>
    <w:rsid w:val="004B3B40"/>
    <w:rsid w:val="004B41A4"/>
    <w:rsid w:val="004B4250"/>
    <w:rsid w:val="004B4363"/>
    <w:rsid w:val="004B4F35"/>
    <w:rsid w:val="004B5259"/>
    <w:rsid w:val="004B537B"/>
    <w:rsid w:val="004B5690"/>
    <w:rsid w:val="004B5717"/>
    <w:rsid w:val="004B5885"/>
    <w:rsid w:val="004B6122"/>
    <w:rsid w:val="004B6232"/>
    <w:rsid w:val="004B6334"/>
    <w:rsid w:val="004B6D6B"/>
    <w:rsid w:val="004B739C"/>
    <w:rsid w:val="004B768E"/>
    <w:rsid w:val="004B7A54"/>
    <w:rsid w:val="004B7AB3"/>
    <w:rsid w:val="004B7EF9"/>
    <w:rsid w:val="004C02D6"/>
    <w:rsid w:val="004C03A2"/>
    <w:rsid w:val="004C03E7"/>
    <w:rsid w:val="004C0A8E"/>
    <w:rsid w:val="004C0B2D"/>
    <w:rsid w:val="004C0F81"/>
    <w:rsid w:val="004C0F83"/>
    <w:rsid w:val="004C1144"/>
    <w:rsid w:val="004C1159"/>
    <w:rsid w:val="004C22C6"/>
    <w:rsid w:val="004C2A85"/>
    <w:rsid w:val="004C2F6D"/>
    <w:rsid w:val="004C34DC"/>
    <w:rsid w:val="004C3966"/>
    <w:rsid w:val="004C3974"/>
    <w:rsid w:val="004C3A23"/>
    <w:rsid w:val="004C3F8B"/>
    <w:rsid w:val="004C454B"/>
    <w:rsid w:val="004C46D3"/>
    <w:rsid w:val="004C4987"/>
    <w:rsid w:val="004C4EEA"/>
    <w:rsid w:val="004C500E"/>
    <w:rsid w:val="004C51C5"/>
    <w:rsid w:val="004C51FA"/>
    <w:rsid w:val="004C52E6"/>
    <w:rsid w:val="004C52F4"/>
    <w:rsid w:val="004C546C"/>
    <w:rsid w:val="004C5678"/>
    <w:rsid w:val="004C5852"/>
    <w:rsid w:val="004C5A5D"/>
    <w:rsid w:val="004C5C43"/>
    <w:rsid w:val="004C696C"/>
    <w:rsid w:val="004C6E44"/>
    <w:rsid w:val="004C7300"/>
    <w:rsid w:val="004C7607"/>
    <w:rsid w:val="004C7B1B"/>
    <w:rsid w:val="004D02BF"/>
    <w:rsid w:val="004D047A"/>
    <w:rsid w:val="004D059A"/>
    <w:rsid w:val="004D0C33"/>
    <w:rsid w:val="004D0E24"/>
    <w:rsid w:val="004D1380"/>
    <w:rsid w:val="004D13D4"/>
    <w:rsid w:val="004D13FF"/>
    <w:rsid w:val="004D1436"/>
    <w:rsid w:val="004D15DE"/>
    <w:rsid w:val="004D1749"/>
    <w:rsid w:val="004D1994"/>
    <w:rsid w:val="004D20D4"/>
    <w:rsid w:val="004D2467"/>
    <w:rsid w:val="004D277C"/>
    <w:rsid w:val="004D2946"/>
    <w:rsid w:val="004D2D61"/>
    <w:rsid w:val="004D2DAE"/>
    <w:rsid w:val="004D309A"/>
    <w:rsid w:val="004D3386"/>
    <w:rsid w:val="004D34E3"/>
    <w:rsid w:val="004D38DB"/>
    <w:rsid w:val="004D38EB"/>
    <w:rsid w:val="004D4242"/>
    <w:rsid w:val="004D43CE"/>
    <w:rsid w:val="004D447D"/>
    <w:rsid w:val="004D46F1"/>
    <w:rsid w:val="004D4A34"/>
    <w:rsid w:val="004D4B3B"/>
    <w:rsid w:val="004D4BBA"/>
    <w:rsid w:val="004D4E1F"/>
    <w:rsid w:val="004D567E"/>
    <w:rsid w:val="004D5701"/>
    <w:rsid w:val="004D594B"/>
    <w:rsid w:val="004D5A63"/>
    <w:rsid w:val="004D5D42"/>
    <w:rsid w:val="004D6195"/>
    <w:rsid w:val="004D636D"/>
    <w:rsid w:val="004D6577"/>
    <w:rsid w:val="004D6D63"/>
    <w:rsid w:val="004D6D8F"/>
    <w:rsid w:val="004D6F7D"/>
    <w:rsid w:val="004D702A"/>
    <w:rsid w:val="004D7140"/>
    <w:rsid w:val="004D719D"/>
    <w:rsid w:val="004D72F4"/>
    <w:rsid w:val="004D7795"/>
    <w:rsid w:val="004D79A2"/>
    <w:rsid w:val="004D7A3D"/>
    <w:rsid w:val="004D7E64"/>
    <w:rsid w:val="004E0455"/>
    <w:rsid w:val="004E04F0"/>
    <w:rsid w:val="004E0CC3"/>
    <w:rsid w:val="004E0D50"/>
    <w:rsid w:val="004E0EA1"/>
    <w:rsid w:val="004E0F2F"/>
    <w:rsid w:val="004E13D1"/>
    <w:rsid w:val="004E1B3E"/>
    <w:rsid w:val="004E1EEE"/>
    <w:rsid w:val="004E22F1"/>
    <w:rsid w:val="004E23FB"/>
    <w:rsid w:val="004E2455"/>
    <w:rsid w:val="004E2867"/>
    <w:rsid w:val="004E29AA"/>
    <w:rsid w:val="004E2DD6"/>
    <w:rsid w:val="004E2F00"/>
    <w:rsid w:val="004E300D"/>
    <w:rsid w:val="004E31F3"/>
    <w:rsid w:val="004E353B"/>
    <w:rsid w:val="004E3589"/>
    <w:rsid w:val="004E3753"/>
    <w:rsid w:val="004E3AFB"/>
    <w:rsid w:val="004E3E48"/>
    <w:rsid w:val="004E3ED9"/>
    <w:rsid w:val="004E4309"/>
    <w:rsid w:val="004E4750"/>
    <w:rsid w:val="004E4896"/>
    <w:rsid w:val="004E49A2"/>
    <w:rsid w:val="004E4B9D"/>
    <w:rsid w:val="004E4D31"/>
    <w:rsid w:val="004E4D8E"/>
    <w:rsid w:val="004E50BE"/>
    <w:rsid w:val="004E52B6"/>
    <w:rsid w:val="004E579B"/>
    <w:rsid w:val="004E59BB"/>
    <w:rsid w:val="004E630B"/>
    <w:rsid w:val="004E6824"/>
    <w:rsid w:val="004E6A9C"/>
    <w:rsid w:val="004E6BDE"/>
    <w:rsid w:val="004E6EDB"/>
    <w:rsid w:val="004E740F"/>
    <w:rsid w:val="004E75A7"/>
    <w:rsid w:val="004E7715"/>
    <w:rsid w:val="004E7A3A"/>
    <w:rsid w:val="004F035A"/>
    <w:rsid w:val="004F041A"/>
    <w:rsid w:val="004F0508"/>
    <w:rsid w:val="004F0C4A"/>
    <w:rsid w:val="004F0E03"/>
    <w:rsid w:val="004F0FDE"/>
    <w:rsid w:val="004F1448"/>
    <w:rsid w:val="004F154E"/>
    <w:rsid w:val="004F183A"/>
    <w:rsid w:val="004F197E"/>
    <w:rsid w:val="004F1A14"/>
    <w:rsid w:val="004F1C84"/>
    <w:rsid w:val="004F1D63"/>
    <w:rsid w:val="004F1E70"/>
    <w:rsid w:val="004F23F4"/>
    <w:rsid w:val="004F26B0"/>
    <w:rsid w:val="004F282E"/>
    <w:rsid w:val="004F2C3C"/>
    <w:rsid w:val="004F2C7E"/>
    <w:rsid w:val="004F2CEC"/>
    <w:rsid w:val="004F2F63"/>
    <w:rsid w:val="004F3283"/>
    <w:rsid w:val="004F33EE"/>
    <w:rsid w:val="004F3471"/>
    <w:rsid w:val="004F35DC"/>
    <w:rsid w:val="004F43F8"/>
    <w:rsid w:val="004F467F"/>
    <w:rsid w:val="004F46C0"/>
    <w:rsid w:val="004F4AE0"/>
    <w:rsid w:val="004F504C"/>
    <w:rsid w:val="004F55A8"/>
    <w:rsid w:val="004F575D"/>
    <w:rsid w:val="004F576F"/>
    <w:rsid w:val="004F5BEB"/>
    <w:rsid w:val="004F5C8C"/>
    <w:rsid w:val="004F668B"/>
    <w:rsid w:val="004F6B02"/>
    <w:rsid w:val="004F6E4C"/>
    <w:rsid w:val="004F6ED2"/>
    <w:rsid w:val="004F7229"/>
    <w:rsid w:val="004F748E"/>
    <w:rsid w:val="004F759B"/>
    <w:rsid w:val="004F7672"/>
    <w:rsid w:val="004F7EAB"/>
    <w:rsid w:val="005000F5"/>
    <w:rsid w:val="00500363"/>
    <w:rsid w:val="005004EB"/>
    <w:rsid w:val="00500638"/>
    <w:rsid w:val="00500715"/>
    <w:rsid w:val="00500B5C"/>
    <w:rsid w:val="00501295"/>
    <w:rsid w:val="00501305"/>
    <w:rsid w:val="0050153A"/>
    <w:rsid w:val="005015A9"/>
    <w:rsid w:val="00501B7E"/>
    <w:rsid w:val="00502231"/>
    <w:rsid w:val="0050288B"/>
    <w:rsid w:val="00502910"/>
    <w:rsid w:val="00503199"/>
    <w:rsid w:val="005031B0"/>
    <w:rsid w:val="00503818"/>
    <w:rsid w:val="00503BA7"/>
    <w:rsid w:val="00503FB7"/>
    <w:rsid w:val="00504943"/>
    <w:rsid w:val="005049A8"/>
    <w:rsid w:val="00504AAB"/>
    <w:rsid w:val="00504B8A"/>
    <w:rsid w:val="00504E5B"/>
    <w:rsid w:val="00504EB4"/>
    <w:rsid w:val="00504FD8"/>
    <w:rsid w:val="00505493"/>
    <w:rsid w:val="00505620"/>
    <w:rsid w:val="00505B05"/>
    <w:rsid w:val="00505F46"/>
    <w:rsid w:val="0050659B"/>
    <w:rsid w:val="0050694A"/>
    <w:rsid w:val="00506DC5"/>
    <w:rsid w:val="00507078"/>
    <w:rsid w:val="00507746"/>
    <w:rsid w:val="00507D8C"/>
    <w:rsid w:val="00507F0D"/>
    <w:rsid w:val="0051098E"/>
    <w:rsid w:val="00510F0F"/>
    <w:rsid w:val="00511543"/>
    <w:rsid w:val="0051157C"/>
    <w:rsid w:val="00511A95"/>
    <w:rsid w:val="00511CFF"/>
    <w:rsid w:val="00512363"/>
    <w:rsid w:val="005126AF"/>
    <w:rsid w:val="005126D6"/>
    <w:rsid w:val="005129E4"/>
    <w:rsid w:val="00512A3A"/>
    <w:rsid w:val="0051350A"/>
    <w:rsid w:val="00513653"/>
    <w:rsid w:val="00513898"/>
    <w:rsid w:val="00513FCD"/>
    <w:rsid w:val="00514024"/>
    <w:rsid w:val="00514701"/>
    <w:rsid w:val="00515840"/>
    <w:rsid w:val="005158F9"/>
    <w:rsid w:val="00515F92"/>
    <w:rsid w:val="00515FC5"/>
    <w:rsid w:val="00516360"/>
    <w:rsid w:val="0051674A"/>
    <w:rsid w:val="005172F3"/>
    <w:rsid w:val="00517403"/>
    <w:rsid w:val="0051767E"/>
    <w:rsid w:val="00517B9B"/>
    <w:rsid w:val="00517C62"/>
    <w:rsid w:val="00517F88"/>
    <w:rsid w:val="00520069"/>
    <w:rsid w:val="00520201"/>
    <w:rsid w:val="005204D7"/>
    <w:rsid w:val="005205F9"/>
    <w:rsid w:val="00520B55"/>
    <w:rsid w:val="00520E07"/>
    <w:rsid w:val="005212D3"/>
    <w:rsid w:val="0052155F"/>
    <w:rsid w:val="00521AA8"/>
    <w:rsid w:val="00522082"/>
    <w:rsid w:val="005222EA"/>
    <w:rsid w:val="00522302"/>
    <w:rsid w:val="00522763"/>
    <w:rsid w:val="00522785"/>
    <w:rsid w:val="00522BE0"/>
    <w:rsid w:val="00522C43"/>
    <w:rsid w:val="00522E34"/>
    <w:rsid w:val="0052305C"/>
    <w:rsid w:val="0052343F"/>
    <w:rsid w:val="005235F6"/>
    <w:rsid w:val="00523CA8"/>
    <w:rsid w:val="00523CD3"/>
    <w:rsid w:val="00523F5C"/>
    <w:rsid w:val="00523F94"/>
    <w:rsid w:val="00524015"/>
    <w:rsid w:val="00524361"/>
    <w:rsid w:val="00524378"/>
    <w:rsid w:val="00524469"/>
    <w:rsid w:val="00524FAF"/>
    <w:rsid w:val="005252DF"/>
    <w:rsid w:val="005252F0"/>
    <w:rsid w:val="005253A0"/>
    <w:rsid w:val="00525829"/>
    <w:rsid w:val="00525C64"/>
    <w:rsid w:val="00525CD8"/>
    <w:rsid w:val="00525DE5"/>
    <w:rsid w:val="00525FA8"/>
    <w:rsid w:val="00526024"/>
    <w:rsid w:val="005260EC"/>
    <w:rsid w:val="005260F5"/>
    <w:rsid w:val="00526415"/>
    <w:rsid w:val="005266CD"/>
    <w:rsid w:val="005267EE"/>
    <w:rsid w:val="00526A7E"/>
    <w:rsid w:val="0052762D"/>
    <w:rsid w:val="00527830"/>
    <w:rsid w:val="005278D4"/>
    <w:rsid w:val="00527EB9"/>
    <w:rsid w:val="00527F5E"/>
    <w:rsid w:val="0053020C"/>
    <w:rsid w:val="005302AD"/>
    <w:rsid w:val="005306FD"/>
    <w:rsid w:val="0053076C"/>
    <w:rsid w:val="00530854"/>
    <w:rsid w:val="00530A13"/>
    <w:rsid w:val="00530C52"/>
    <w:rsid w:val="00530EA5"/>
    <w:rsid w:val="00531441"/>
    <w:rsid w:val="005316F5"/>
    <w:rsid w:val="005318F0"/>
    <w:rsid w:val="00532035"/>
    <w:rsid w:val="0053223C"/>
    <w:rsid w:val="00532658"/>
    <w:rsid w:val="00532BC4"/>
    <w:rsid w:val="00532E32"/>
    <w:rsid w:val="00532F19"/>
    <w:rsid w:val="005335E6"/>
    <w:rsid w:val="00533857"/>
    <w:rsid w:val="00533A95"/>
    <w:rsid w:val="00533A9C"/>
    <w:rsid w:val="00533CD0"/>
    <w:rsid w:val="0053422C"/>
    <w:rsid w:val="005342B6"/>
    <w:rsid w:val="005342D6"/>
    <w:rsid w:val="0053446B"/>
    <w:rsid w:val="005346E7"/>
    <w:rsid w:val="00534D36"/>
    <w:rsid w:val="00534FC3"/>
    <w:rsid w:val="00535457"/>
    <w:rsid w:val="005354C4"/>
    <w:rsid w:val="00535587"/>
    <w:rsid w:val="00535610"/>
    <w:rsid w:val="00535E32"/>
    <w:rsid w:val="00535FAE"/>
    <w:rsid w:val="00535FC1"/>
    <w:rsid w:val="0053603E"/>
    <w:rsid w:val="005362AF"/>
    <w:rsid w:val="00536307"/>
    <w:rsid w:val="0053631C"/>
    <w:rsid w:val="0053646D"/>
    <w:rsid w:val="00536909"/>
    <w:rsid w:val="00536C14"/>
    <w:rsid w:val="00536ED6"/>
    <w:rsid w:val="00537159"/>
    <w:rsid w:val="00537554"/>
    <w:rsid w:val="0053795B"/>
    <w:rsid w:val="00537A73"/>
    <w:rsid w:val="00537BCE"/>
    <w:rsid w:val="00537CBD"/>
    <w:rsid w:val="00537DD2"/>
    <w:rsid w:val="00540213"/>
    <w:rsid w:val="0054027E"/>
    <w:rsid w:val="005403A4"/>
    <w:rsid w:val="0054063D"/>
    <w:rsid w:val="00540741"/>
    <w:rsid w:val="00540854"/>
    <w:rsid w:val="005409A8"/>
    <w:rsid w:val="00540D14"/>
    <w:rsid w:val="00541071"/>
    <w:rsid w:val="0054124A"/>
    <w:rsid w:val="005415E3"/>
    <w:rsid w:val="0054162D"/>
    <w:rsid w:val="0054183B"/>
    <w:rsid w:val="00541D6C"/>
    <w:rsid w:val="00541DCE"/>
    <w:rsid w:val="00541E2B"/>
    <w:rsid w:val="00541F35"/>
    <w:rsid w:val="00541F4A"/>
    <w:rsid w:val="00542045"/>
    <w:rsid w:val="00542CA0"/>
    <w:rsid w:val="00542D6D"/>
    <w:rsid w:val="00542D80"/>
    <w:rsid w:val="00542DF4"/>
    <w:rsid w:val="005430CE"/>
    <w:rsid w:val="0054310E"/>
    <w:rsid w:val="0054338A"/>
    <w:rsid w:val="005433B0"/>
    <w:rsid w:val="00543751"/>
    <w:rsid w:val="005437A5"/>
    <w:rsid w:val="00543A8C"/>
    <w:rsid w:val="00543D32"/>
    <w:rsid w:val="00543EC6"/>
    <w:rsid w:val="005442D4"/>
    <w:rsid w:val="00544428"/>
    <w:rsid w:val="00544631"/>
    <w:rsid w:val="005446D8"/>
    <w:rsid w:val="005447C5"/>
    <w:rsid w:val="00544969"/>
    <w:rsid w:val="00544A6A"/>
    <w:rsid w:val="005450BF"/>
    <w:rsid w:val="00545676"/>
    <w:rsid w:val="00545AA2"/>
    <w:rsid w:val="00545AB0"/>
    <w:rsid w:val="00545C4B"/>
    <w:rsid w:val="00545F33"/>
    <w:rsid w:val="00545F54"/>
    <w:rsid w:val="005463D9"/>
    <w:rsid w:val="00546624"/>
    <w:rsid w:val="0054689A"/>
    <w:rsid w:val="0054694F"/>
    <w:rsid w:val="005471FF"/>
    <w:rsid w:val="00547568"/>
    <w:rsid w:val="005477D2"/>
    <w:rsid w:val="00547944"/>
    <w:rsid w:val="0055005C"/>
    <w:rsid w:val="00550222"/>
    <w:rsid w:val="005502D6"/>
    <w:rsid w:val="00550336"/>
    <w:rsid w:val="005503E2"/>
    <w:rsid w:val="00550420"/>
    <w:rsid w:val="005504B1"/>
    <w:rsid w:val="00550701"/>
    <w:rsid w:val="0055072C"/>
    <w:rsid w:val="0055097B"/>
    <w:rsid w:val="005509AC"/>
    <w:rsid w:val="00551357"/>
    <w:rsid w:val="005513B1"/>
    <w:rsid w:val="005513E0"/>
    <w:rsid w:val="00551486"/>
    <w:rsid w:val="00551CC4"/>
    <w:rsid w:val="005522D5"/>
    <w:rsid w:val="005528BB"/>
    <w:rsid w:val="00552AC9"/>
    <w:rsid w:val="00552D80"/>
    <w:rsid w:val="0055315B"/>
    <w:rsid w:val="00553392"/>
    <w:rsid w:val="005535B7"/>
    <w:rsid w:val="005543DF"/>
    <w:rsid w:val="00554B23"/>
    <w:rsid w:val="00554E7C"/>
    <w:rsid w:val="0055544A"/>
    <w:rsid w:val="00555623"/>
    <w:rsid w:val="005566A5"/>
    <w:rsid w:val="005566DB"/>
    <w:rsid w:val="0055672C"/>
    <w:rsid w:val="00556C12"/>
    <w:rsid w:val="00556E50"/>
    <w:rsid w:val="00556FD7"/>
    <w:rsid w:val="00557164"/>
    <w:rsid w:val="00557382"/>
    <w:rsid w:val="005573A5"/>
    <w:rsid w:val="00557776"/>
    <w:rsid w:val="005577C5"/>
    <w:rsid w:val="00557872"/>
    <w:rsid w:val="00557891"/>
    <w:rsid w:val="00557963"/>
    <w:rsid w:val="005579C0"/>
    <w:rsid w:val="00560010"/>
    <w:rsid w:val="00560416"/>
    <w:rsid w:val="005605B6"/>
    <w:rsid w:val="005609B0"/>
    <w:rsid w:val="00560B9D"/>
    <w:rsid w:val="00560C75"/>
    <w:rsid w:val="00560D93"/>
    <w:rsid w:val="005611EC"/>
    <w:rsid w:val="005612C6"/>
    <w:rsid w:val="0056137B"/>
    <w:rsid w:val="00561BA7"/>
    <w:rsid w:val="00562162"/>
    <w:rsid w:val="0056221C"/>
    <w:rsid w:val="0056245F"/>
    <w:rsid w:val="0056277B"/>
    <w:rsid w:val="00562CD0"/>
    <w:rsid w:val="00562ED6"/>
    <w:rsid w:val="00563168"/>
    <w:rsid w:val="0056337C"/>
    <w:rsid w:val="0056380A"/>
    <w:rsid w:val="005639DC"/>
    <w:rsid w:val="00563AA1"/>
    <w:rsid w:val="00563E82"/>
    <w:rsid w:val="005640F3"/>
    <w:rsid w:val="0056427A"/>
    <w:rsid w:val="005643C8"/>
    <w:rsid w:val="00564575"/>
    <w:rsid w:val="005649E6"/>
    <w:rsid w:val="00564AB4"/>
    <w:rsid w:val="00564E93"/>
    <w:rsid w:val="0056518B"/>
    <w:rsid w:val="005652D9"/>
    <w:rsid w:val="0056533E"/>
    <w:rsid w:val="005655C1"/>
    <w:rsid w:val="005655C6"/>
    <w:rsid w:val="005655D5"/>
    <w:rsid w:val="00565643"/>
    <w:rsid w:val="00565818"/>
    <w:rsid w:val="00565BB2"/>
    <w:rsid w:val="005662C8"/>
    <w:rsid w:val="0056638E"/>
    <w:rsid w:val="005667A2"/>
    <w:rsid w:val="00566BCD"/>
    <w:rsid w:val="00566D41"/>
    <w:rsid w:val="00567248"/>
    <w:rsid w:val="00567251"/>
    <w:rsid w:val="0056782C"/>
    <w:rsid w:val="00567BE1"/>
    <w:rsid w:val="00567CEB"/>
    <w:rsid w:val="00567D19"/>
    <w:rsid w:val="00570226"/>
    <w:rsid w:val="0057060A"/>
    <w:rsid w:val="00570FA9"/>
    <w:rsid w:val="00571182"/>
    <w:rsid w:val="00571802"/>
    <w:rsid w:val="00571A62"/>
    <w:rsid w:val="00571AE9"/>
    <w:rsid w:val="0057219D"/>
    <w:rsid w:val="0057277C"/>
    <w:rsid w:val="005730E6"/>
    <w:rsid w:val="0057353F"/>
    <w:rsid w:val="0057370B"/>
    <w:rsid w:val="005737D4"/>
    <w:rsid w:val="00573E50"/>
    <w:rsid w:val="00573EC0"/>
    <w:rsid w:val="005740BE"/>
    <w:rsid w:val="005741EB"/>
    <w:rsid w:val="005747BB"/>
    <w:rsid w:val="00574936"/>
    <w:rsid w:val="00574E1A"/>
    <w:rsid w:val="00574F32"/>
    <w:rsid w:val="00575518"/>
    <w:rsid w:val="00575732"/>
    <w:rsid w:val="00575B82"/>
    <w:rsid w:val="00575B97"/>
    <w:rsid w:val="00575E7E"/>
    <w:rsid w:val="00575F10"/>
    <w:rsid w:val="00575FE1"/>
    <w:rsid w:val="00576762"/>
    <w:rsid w:val="00576992"/>
    <w:rsid w:val="00576A89"/>
    <w:rsid w:val="00576C36"/>
    <w:rsid w:val="00576D7A"/>
    <w:rsid w:val="00576E43"/>
    <w:rsid w:val="0057725C"/>
    <w:rsid w:val="00577299"/>
    <w:rsid w:val="005779EE"/>
    <w:rsid w:val="00577C14"/>
    <w:rsid w:val="0058032E"/>
    <w:rsid w:val="005805CF"/>
    <w:rsid w:val="005806A4"/>
    <w:rsid w:val="00580846"/>
    <w:rsid w:val="00580858"/>
    <w:rsid w:val="005812FA"/>
    <w:rsid w:val="00581352"/>
    <w:rsid w:val="005813AD"/>
    <w:rsid w:val="00581471"/>
    <w:rsid w:val="0058175D"/>
    <w:rsid w:val="00581933"/>
    <w:rsid w:val="00581ABD"/>
    <w:rsid w:val="00581ABE"/>
    <w:rsid w:val="00581F80"/>
    <w:rsid w:val="005824D3"/>
    <w:rsid w:val="00582A37"/>
    <w:rsid w:val="00583252"/>
    <w:rsid w:val="00583D11"/>
    <w:rsid w:val="00584068"/>
    <w:rsid w:val="005843DF"/>
    <w:rsid w:val="0058452C"/>
    <w:rsid w:val="005848D7"/>
    <w:rsid w:val="00584AB9"/>
    <w:rsid w:val="00584AE3"/>
    <w:rsid w:val="00584D55"/>
    <w:rsid w:val="00585236"/>
    <w:rsid w:val="0058567C"/>
    <w:rsid w:val="005857DC"/>
    <w:rsid w:val="00585854"/>
    <w:rsid w:val="00585D93"/>
    <w:rsid w:val="00585F91"/>
    <w:rsid w:val="005861FB"/>
    <w:rsid w:val="005862BF"/>
    <w:rsid w:val="00586631"/>
    <w:rsid w:val="00586A01"/>
    <w:rsid w:val="00586BAD"/>
    <w:rsid w:val="005873C6"/>
    <w:rsid w:val="00587683"/>
    <w:rsid w:val="005878C7"/>
    <w:rsid w:val="005878D7"/>
    <w:rsid w:val="00587AC3"/>
    <w:rsid w:val="00587EA3"/>
    <w:rsid w:val="005901DE"/>
    <w:rsid w:val="005904F8"/>
    <w:rsid w:val="005909C9"/>
    <w:rsid w:val="00590FA9"/>
    <w:rsid w:val="00591494"/>
    <w:rsid w:val="0059182B"/>
    <w:rsid w:val="0059187F"/>
    <w:rsid w:val="00591D62"/>
    <w:rsid w:val="0059217F"/>
    <w:rsid w:val="0059218E"/>
    <w:rsid w:val="00592388"/>
    <w:rsid w:val="0059255D"/>
    <w:rsid w:val="00592816"/>
    <w:rsid w:val="005928AF"/>
    <w:rsid w:val="00592BD3"/>
    <w:rsid w:val="00592EB6"/>
    <w:rsid w:val="00593174"/>
    <w:rsid w:val="00593933"/>
    <w:rsid w:val="00593A2D"/>
    <w:rsid w:val="005942C3"/>
    <w:rsid w:val="005947BF"/>
    <w:rsid w:val="005948FE"/>
    <w:rsid w:val="00594AD3"/>
    <w:rsid w:val="0059543C"/>
    <w:rsid w:val="00595A6D"/>
    <w:rsid w:val="00595B7D"/>
    <w:rsid w:val="00595BD8"/>
    <w:rsid w:val="00595DB7"/>
    <w:rsid w:val="00595F49"/>
    <w:rsid w:val="005962DD"/>
    <w:rsid w:val="005962F3"/>
    <w:rsid w:val="00596833"/>
    <w:rsid w:val="00596D52"/>
    <w:rsid w:val="00597750"/>
    <w:rsid w:val="00597802"/>
    <w:rsid w:val="00597946"/>
    <w:rsid w:val="00597999"/>
    <w:rsid w:val="00597F58"/>
    <w:rsid w:val="00597FC3"/>
    <w:rsid w:val="005A0880"/>
    <w:rsid w:val="005A0BC8"/>
    <w:rsid w:val="005A0C8D"/>
    <w:rsid w:val="005A0D3B"/>
    <w:rsid w:val="005A11BC"/>
    <w:rsid w:val="005A12EA"/>
    <w:rsid w:val="005A134A"/>
    <w:rsid w:val="005A15E5"/>
    <w:rsid w:val="005A20B0"/>
    <w:rsid w:val="005A2252"/>
    <w:rsid w:val="005A2345"/>
    <w:rsid w:val="005A2990"/>
    <w:rsid w:val="005A3013"/>
    <w:rsid w:val="005A343D"/>
    <w:rsid w:val="005A3805"/>
    <w:rsid w:val="005A38C9"/>
    <w:rsid w:val="005A40A7"/>
    <w:rsid w:val="005A415A"/>
    <w:rsid w:val="005A4D37"/>
    <w:rsid w:val="005A4D83"/>
    <w:rsid w:val="005A67B4"/>
    <w:rsid w:val="005A6971"/>
    <w:rsid w:val="005A6D15"/>
    <w:rsid w:val="005A7CE0"/>
    <w:rsid w:val="005B09BA"/>
    <w:rsid w:val="005B0C9C"/>
    <w:rsid w:val="005B0D04"/>
    <w:rsid w:val="005B0EF0"/>
    <w:rsid w:val="005B0F05"/>
    <w:rsid w:val="005B11FE"/>
    <w:rsid w:val="005B129A"/>
    <w:rsid w:val="005B1378"/>
    <w:rsid w:val="005B14AF"/>
    <w:rsid w:val="005B16F3"/>
    <w:rsid w:val="005B17C2"/>
    <w:rsid w:val="005B2175"/>
    <w:rsid w:val="005B2240"/>
    <w:rsid w:val="005B2288"/>
    <w:rsid w:val="005B25DD"/>
    <w:rsid w:val="005B2D63"/>
    <w:rsid w:val="005B2D67"/>
    <w:rsid w:val="005B2DB8"/>
    <w:rsid w:val="005B2FB4"/>
    <w:rsid w:val="005B36AC"/>
    <w:rsid w:val="005B36E7"/>
    <w:rsid w:val="005B397E"/>
    <w:rsid w:val="005B3C3E"/>
    <w:rsid w:val="005B3DEE"/>
    <w:rsid w:val="005B4111"/>
    <w:rsid w:val="005B441A"/>
    <w:rsid w:val="005B452E"/>
    <w:rsid w:val="005B45E8"/>
    <w:rsid w:val="005B4838"/>
    <w:rsid w:val="005B4887"/>
    <w:rsid w:val="005B48AA"/>
    <w:rsid w:val="005B4B9D"/>
    <w:rsid w:val="005B4BB0"/>
    <w:rsid w:val="005B538A"/>
    <w:rsid w:val="005B5403"/>
    <w:rsid w:val="005B562F"/>
    <w:rsid w:val="005B5717"/>
    <w:rsid w:val="005B58CF"/>
    <w:rsid w:val="005B5DD3"/>
    <w:rsid w:val="005B63F4"/>
    <w:rsid w:val="005B6BED"/>
    <w:rsid w:val="005B6CD5"/>
    <w:rsid w:val="005B7129"/>
    <w:rsid w:val="005B745B"/>
    <w:rsid w:val="005B783C"/>
    <w:rsid w:val="005B7D6F"/>
    <w:rsid w:val="005C078A"/>
    <w:rsid w:val="005C0B08"/>
    <w:rsid w:val="005C0B6F"/>
    <w:rsid w:val="005C0E96"/>
    <w:rsid w:val="005C0F35"/>
    <w:rsid w:val="005C1009"/>
    <w:rsid w:val="005C1956"/>
    <w:rsid w:val="005C1A35"/>
    <w:rsid w:val="005C1AED"/>
    <w:rsid w:val="005C1B44"/>
    <w:rsid w:val="005C1ED4"/>
    <w:rsid w:val="005C1FB5"/>
    <w:rsid w:val="005C21C5"/>
    <w:rsid w:val="005C2232"/>
    <w:rsid w:val="005C273A"/>
    <w:rsid w:val="005C2A0B"/>
    <w:rsid w:val="005C2C0F"/>
    <w:rsid w:val="005C2EC1"/>
    <w:rsid w:val="005C318F"/>
    <w:rsid w:val="005C3259"/>
    <w:rsid w:val="005C387E"/>
    <w:rsid w:val="005C3F0F"/>
    <w:rsid w:val="005C3FD9"/>
    <w:rsid w:val="005C423B"/>
    <w:rsid w:val="005C47B2"/>
    <w:rsid w:val="005C508D"/>
    <w:rsid w:val="005C51AB"/>
    <w:rsid w:val="005C551C"/>
    <w:rsid w:val="005C5781"/>
    <w:rsid w:val="005C578F"/>
    <w:rsid w:val="005C5EE9"/>
    <w:rsid w:val="005C6097"/>
    <w:rsid w:val="005C632C"/>
    <w:rsid w:val="005C63DA"/>
    <w:rsid w:val="005C65A1"/>
    <w:rsid w:val="005C665F"/>
    <w:rsid w:val="005C6DCD"/>
    <w:rsid w:val="005C6F6E"/>
    <w:rsid w:val="005C75E3"/>
    <w:rsid w:val="005C789E"/>
    <w:rsid w:val="005C7AD9"/>
    <w:rsid w:val="005C7C70"/>
    <w:rsid w:val="005C7CA2"/>
    <w:rsid w:val="005C7D23"/>
    <w:rsid w:val="005D0D33"/>
    <w:rsid w:val="005D0D5C"/>
    <w:rsid w:val="005D1315"/>
    <w:rsid w:val="005D1416"/>
    <w:rsid w:val="005D1475"/>
    <w:rsid w:val="005D16B0"/>
    <w:rsid w:val="005D17B1"/>
    <w:rsid w:val="005D1908"/>
    <w:rsid w:val="005D1A38"/>
    <w:rsid w:val="005D223B"/>
    <w:rsid w:val="005D2480"/>
    <w:rsid w:val="005D24AD"/>
    <w:rsid w:val="005D25EA"/>
    <w:rsid w:val="005D346A"/>
    <w:rsid w:val="005D359A"/>
    <w:rsid w:val="005D3899"/>
    <w:rsid w:val="005D38FB"/>
    <w:rsid w:val="005D3A74"/>
    <w:rsid w:val="005D3E21"/>
    <w:rsid w:val="005D3F47"/>
    <w:rsid w:val="005D41D4"/>
    <w:rsid w:val="005D42E5"/>
    <w:rsid w:val="005D42EB"/>
    <w:rsid w:val="005D4393"/>
    <w:rsid w:val="005D4909"/>
    <w:rsid w:val="005D4A08"/>
    <w:rsid w:val="005D4E39"/>
    <w:rsid w:val="005D4EB9"/>
    <w:rsid w:val="005D4F1A"/>
    <w:rsid w:val="005D4FE0"/>
    <w:rsid w:val="005D5356"/>
    <w:rsid w:val="005D576D"/>
    <w:rsid w:val="005D57B9"/>
    <w:rsid w:val="005D5813"/>
    <w:rsid w:val="005D5FFD"/>
    <w:rsid w:val="005D6162"/>
    <w:rsid w:val="005D625E"/>
    <w:rsid w:val="005D6619"/>
    <w:rsid w:val="005D69EA"/>
    <w:rsid w:val="005D6C3C"/>
    <w:rsid w:val="005D6C80"/>
    <w:rsid w:val="005D7033"/>
    <w:rsid w:val="005D703F"/>
    <w:rsid w:val="005D7100"/>
    <w:rsid w:val="005D7263"/>
    <w:rsid w:val="005D772D"/>
    <w:rsid w:val="005D7EEC"/>
    <w:rsid w:val="005E011B"/>
    <w:rsid w:val="005E0529"/>
    <w:rsid w:val="005E087B"/>
    <w:rsid w:val="005E0F7E"/>
    <w:rsid w:val="005E1311"/>
    <w:rsid w:val="005E1406"/>
    <w:rsid w:val="005E190C"/>
    <w:rsid w:val="005E195E"/>
    <w:rsid w:val="005E1B24"/>
    <w:rsid w:val="005E20EC"/>
    <w:rsid w:val="005E2436"/>
    <w:rsid w:val="005E25A5"/>
    <w:rsid w:val="005E29A0"/>
    <w:rsid w:val="005E2B07"/>
    <w:rsid w:val="005E2C57"/>
    <w:rsid w:val="005E2C9C"/>
    <w:rsid w:val="005E306A"/>
    <w:rsid w:val="005E35F8"/>
    <w:rsid w:val="005E39CF"/>
    <w:rsid w:val="005E3C0B"/>
    <w:rsid w:val="005E43F4"/>
    <w:rsid w:val="005E4C2C"/>
    <w:rsid w:val="005E4C8E"/>
    <w:rsid w:val="005E5255"/>
    <w:rsid w:val="005E58B3"/>
    <w:rsid w:val="005E5AF6"/>
    <w:rsid w:val="005E5BCF"/>
    <w:rsid w:val="005E600F"/>
    <w:rsid w:val="005E61D0"/>
    <w:rsid w:val="005E622B"/>
    <w:rsid w:val="005E637F"/>
    <w:rsid w:val="005E65BF"/>
    <w:rsid w:val="005E697C"/>
    <w:rsid w:val="005E6DDB"/>
    <w:rsid w:val="005E6EFA"/>
    <w:rsid w:val="005E7283"/>
    <w:rsid w:val="005E75A2"/>
    <w:rsid w:val="005E7729"/>
    <w:rsid w:val="005E78F2"/>
    <w:rsid w:val="005E7BF1"/>
    <w:rsid w:val="005E7CFB"/>
    <w:rsid w:val="005F043D"/>
    <w:rsid w:val="005F065D"/>
    <w:rsid w:val="005F106A"/>
    <w:rsid w:val="005F11FE"/>
    <w:rsid w:val="005F135F"/>
    <w:rsid w:val="005F19D5"/>
    <w:rsid w:val="005F19D9"/>
    <w:rsid w:val="005F1A8A"/>
    <w:rsid w:val="005F1C25"/>
    <w:rsid w:val="005F224B"/>
    <w:rsid w:val="005F23E9"/>
    <w:rsid w:val="005F29CC"/>
    <w:rsid w:val="005F2A7F"/>
    <w:rsid w:val="005F2DA7"/>
    <w:rsid w:val="005F3496"/>
    <w:rsid w:val="005F349E"/>
    <w:rsid w:val="005F3B8E"/>
    <w:rsid w:val="005F3BC7"/>
    <w:rsid w:val="005F3E5E"/>
    <w:rsid w:val="005F3EC9"/>
    <w:rsid w:val="005F4126"/>
    <w:rsid w:val="005F4655"/>
    <w:rsid w:val="005F46FB"/>
    <w:rsid w:val="005F4A5E"/>
    <w:rsid w:val="005F4BBB"/>
    <w:rsid w:val="005F4E52"/>
    <w:rsid w:val="005F516E"/>
    <w:rsid w:val="005F55DA"/>
    <w:rsid w:val="005F56C1"/>
    <w:rsid w:val="005F58DF"/>
    <w:rsid w:val="005F5ED2"/>
    <w:rsid w:val="005F5F5F"/>
    <w:rsid w:val="005F6123"/>
    <w:rsid w:val="005F66CA"/>
    <w:rsid w:val="005F71AE"/>
    <w:rsid w:val="005F722C"/>
    <w:rsid w:val="005F7493"/>
    <w:rsid w:val="005F75D6"/>
    <w:rsid w:val="005F7878"/>
    <w:rsid w:val="005F7BA3"/>
    <w:rsid w:val="00600188"/>
    <w:rsid w:val="00600520"/>
    <w:rsid w:val="006006DF"/>
    <w:rsid w:val="0060078B"/>
    <w:rsid w:val="0060097B"/>
    <w:rsid w:val="00600F19"/>
    <w:rsid w:val="00601035"/>
    <w:rsid w:val="006011C0"/>
    <w:rsid w:val="00601329"/>
    <w:rsid w:val="00601564"/>
    <w:rsid w:val="006017F4"/>
    <w:rsid w:val="006019A1"/>
    <w:rsid w:val="00601C25"/>
    <w:rsid w:val="00601DD3"/>
    <w:rsid w:val="00601E26"/>
    <w:rsid w:val="00601F66"/>
    <w:rsid w:val="00602300"/>
    <w:rsid w:val="006027E6"/>
    <w:rsid w:val="0060282E"/>
    <w:rsid w:val="00602D4A"/>
    <w:rsid w:val="006032BC"/>
    <w:rsid w:val="00603642"/>
    <w:rsid w:val="00603944"/>
    <w:rsid w:val="00603FE4"/>
    <w:rsid w:val="0060597D"/>
    <w:rsid w:val="00605A18"/>
    <w:rsid w:val="00605B9D"/>
    <w:rsid w:val="00606126"/>
    <w:rsid w:val="0060619F"/>
    <w:rsid w:val="006061BD"/>
    <w:rsid w:val="00606461"/>
    <w:rsid w:val="00606503"/>
    <w:rsid w:val="00606781"/>
    <w:rsid w:val="00606B73"/>
    <w:rsid w:val="00606BCA"/>
    <w:rsid w:val="00606F1B"/>
    <w:rsid w:val="006072DC"/>
    <w:rsid w:val="00607AE2"/>
    <w:rsid w:val="006100A1"/>
    <w:rsid w:val="006100BD"/>
    <w:rsid w:val="006101A3"/>
    <w:rsid w:val="0061020F"/>
    <w:rsid w:val="0061057A"/>
    <w:rsid w:val="00610966"/>
    <w:rsid w:val="00610C89"/>
    <w:rsid w:val="00610E2F"/>
    <w:rsid w:val="00611A02"/>
    <w:rsid w:val="00611A28"/>
    <w:rsid w:val="00611AFF"/>
    <w:rsid w:val="00611EAE"/>
    <w:rsid w:val="00611EB1"/>
    <w:rsid w:val="00612281"/>
    <w:rsid w:val="00612397"/>
    <w:rsid w:val="006123E5"/>
    <w:rsid w:val="0061263C"/>
    <w:rsid w:val="00612C24"/>
    <w:rsid w:val="00612CD5"/>
    <w:rsid w:val="00612ED3"/>
    <w:rsid w:val="00613457"/>
    <w:rsid w:val="00613C27"/>
    <w:rsid w:val="00613D44"/>
    <w:rsid w:val="00613ECF"/>
    <w:rsid w:val="006142BD"/>
    <w:rsid w:val="006143A0"/>
    <w:rsid w:val="00614535"/>
    <w:rsid w:val="00614AAF"/>
    <w:rsid w:val="00614F15"/>
    <w:rsid w:val="0061507C"/>
    <w:rsid w:val="00615406"/>
    <w:rsid w:val="00615879"/>
    <w:rsid w:val="0061590D"/>
    <w:rsid w:val="00615B00"/>
    <w:rsid w:val="00615C07"/>
    <w:rsid w:val="00615E2E"/>
    <w:rsid w:val="00615FFA"/>
    <w:rsid w:val="00616160"/>
    <w:rsid w:val="00616309"/>
    <w:rsid w:val="00616914"/>
    <w:rsid w:val="00616D8A"/>
    <w:rsid w:val="00616FF9"/>
    <w:rsid w:val="00617286"/>
    <w:rsid w:val="00617568"/>
    <w:rsid w:val="00617753"/>
    <w:rsid w:val="00617774"/>
    <w:rsid w:val="006177F4"/>
    <w:rsid w:val="00617B42"/>
    <w:rsid w:val="00620792"/>
    <w:rsid w:val="00620B2E"/>
    <w:rsid w:val="00620C19"/>
    <w:rsid w:val="00620C9F"/>
    <w:rsid w:val="00621310"/>
    <w:rsid w:val="0062133A"/>
    <w:rsid w:val="006213EF"/>
    <w:rsid w:val="00621588"/>
    <w:rsid w:val="00621932"/>
    <w:rsid w:val="006219B5"/>
    <w:rsid w:val="006219D0"/>
    <w:rsid w:val="00621F84"/>
    <w:rsid w:val="00622017"/>
    <w:rsid w:val="0062225A"/>
    <w:rsid w:val="00622869"/>
    <w:rsid w:val="00622AF5"/>
    <w:rsid w:val="00622B42"/>
    <w:rsid w:val="00622D18"/>
    <w:rsid w:val="00623091"/>
    <w:rsid w:val="00623294"/>
    <w:rsid w:val="006239A8"/>
    <w:rsid w:val="00623CAA"/>
    <w:rsid w:val="00623F0C"/>
    <w:rsid w:val="00623FB2"/>
    <w:rsid w:val="0062471D"/>
    <w:rsid w:val="00624BA1"/>
    <w:rsid w:val="00624C93"/>
    <w:rsid w:val="00624D44"/>
    <w:rsid w:val="00624DEB"/>
    <w:rsid w:val="00624FDF"/>
    <w:rsid w:val="00625294"/>
    <w:rsid w:val="006252B8"/>
    <w:rsid w:val="0062545F"/>
    <w:rsid w:val="00625AB7"/>
    <w:rsid w:val="00625CEF"/>
    <w:rsid w:val="00625D74"/>
    <w:rsid w:val="0062604D"/>
    <w:rsid w:val="0062617A"/>
    <w:rsid w:val="006261E5"/>
    <w:rsid w:val="006266DC"/>
    <w:rsid w:val="00626834"/>
    <w:rsid w:val="00626AC4"/>
    <w:rsid w:val="006271DD"/>
    <w:rsid w:val="0062755E"/>
    <w:rsid w:val="00627588"/>
    <w:rsid w:val="006276B9"/>
    <w:rsid w:val="00627724"/>
    <w:rsid w:val="006278FE"/>
    <w:rsid w:val="00627A9F"/>
    <w:rsid w:val="00627AA1"/>
    <w:rsid w:val="0063081C"/>
    <w:rsid w:val="00630BA7"/>
    <w:rsid w:val="00630C5A"/>
    <w:rsid w:val="00630DEA"/>
    <w:rsid w:val="0063122E"/>
    <w:rsid w:val="00631E8D"/>
    <w:rsid w:val="00631EEE"/>
    <w:rsid w:val="00631F04"/>
    <w:rsid w:val="006324AA"/>
    <w:rsid w:val="006327DD"/>
    <w:rsid w:val="00632885"/>
    <w:rsid w:val="0063295C"/>
    <w:rsid w:val="00632DB8"/>
    <w:rsid w:val="006330A1"/>
    <w:rsid w:val="00633135"/>
    <w:rsid w:val="0063320E"/>
    <w:rsid w:val="00633434"/>
    <w:rsid w:val="00633533"/>
    <w:rsid w:val="006339D7"/>
    <w:rsid w:val="00633DBD"/>
    <w:rsid w:val="00633E50"/>
    <w:rsid w:val="006340DE"/>
    <w:rsid w:val="006345A5"/>
    <w:rsid w:val="006346A9"/>
    <w:rsid w:val="00634C23"/>
    <w:rsid w:val="00634C44"/>
    <w:rsid w:val="00634D6E"/>
    <w:rsid w:val="00634E13"/>
    <w:rsid w:val="00634E4D"/>
    <w:rsid w:val="00635369"/>
    <w:rsid w:val="00635715"/>
    <w:rsid w:val="006357CF"/>
    <w:rsid w:val="00635ADC"/>
    <w:rsid w:val="006360AD"/>
    <w:rsid w:val="006360D4"/>
    <w:rsid w:val="006361B9"/>
    <w:rsid w:val="0063673C"/>
    <w:rsid w:val="00636BBA"/>
    <w:rsid w:val="00636BD7"/>
    <w:rsid w:val="006371BD"/>
    <w:rsid w:val="00637214"/>
    <w:rsid w:val="0063791B"/>
    <w:rsid w:val="00637980"/>
    <w:rsid w:val="00637AB6"/>
    <w:rsid w:val="00637CD5"/>
    <w:rsid w:val="00637ED8"/>
    <w:rsid w:val="006400F5"/>
    <w:rsid w:val="0064011E"/>
    <w:rsid w:val="00640180"/>
    <w:rsid w:val="006401F3"/>
    <w:rsid w:val="006403C1"/>
    <w:rsid w:val="00640608"/>
    <w:rsid w:val="00640F9F"/>
    <w:rsid w:val="00641418"/>
    <w:rsid w:val="00641748"/>
    <w:rsid w:val="006417AA"/>
    <w:rsid w:val="0064219E"/>
    <w:rsid w:val="006421A9"/>
    <w:rsid w:val="00642C2A"/>
    <w:rsid w:val="00642D88"/>
    <w:rsid w:val="00642EDF"/>
    <w:rsid w:val="00643250"/>
    <w:rsid w:val="00643462"/>
    <w:rsid w:val="00643CAE"/>
    <w:rsid w:val="00644178"/>
    <w:rsid w:val="00644443"/>
    <w:rsid w:val="00644649"/>
    <w:rsid w:val="00644FF8"/>
    <w:rsid w:val="0064509E"/>
    <w:rsid w:val="0064516A"/>
    <w:rsid w:val="006456B0"/>
    <w:rsid w:val="0064592B"/>
    <w:rsid w:val="00645BB5"/>
    <w:rsid w:val="00645D9D"/>
    <w:rsid w:val="0064622E"/>
    <w:rsid w:val="006466A4"/>
    <w:rsid w:val="00646815"/>
    <w:rsid w:val="0064692E"/>
    <w:rsid w:val="006469A3"/>
    <w:rsid w:val="00646DBF"/>
    <w:rsid w:val="006470AE"/>
    <w:rsid w:val="006477EA"/>
    <w:rsid w:val="006479AE"/>
    <w:rsid w:val="00647A3C"/>
    <w:rsid w:val="00647A89"/>
    <w:rsid w:val="00647BB0"/>
    <w:rsid w:val="00647C19"/>
    <w:rsid w:val="00647D2C"/>
    <w:rsid w:val="00647D77"/>
    <w:rsid w:val="00647D9B"/>
    <w:rsid w:val="00647F79"/>
    <w:rsid w:val="00650055"/>
    <w:rsid w:val="00650204"/>
    <w:rsid w:val="00650261"/>
    <w:rsid w:val="00650A8A"/>
    <w:rsid w:val="00650B1A"/>
    <w:rsid w:val="00650CC3"/>
    <w:rsid w:val="00650EAF"/>
    <w:rsid w:val="00650F24"/>
    <w:rsid w:val="006512C4"/>
    <w:rsid w:val="006512F2"/>
    <w:rsid w:val="0065170D"/>
    <w:rsid w:val="00651BEF"/>
    <w:rsid w:val="006522EC"/>
    <w:rsid w:val="006524E0"/>
    <w:rsid w:val="0065281C"/>
    <w:rsid w:val="0065281F"/>
    <w:rsid w:val="00652C95"/>
    <w:rsid w:val="0065354E"/>
    <w:rsid w:val="006537F4"/>
    <w:rsid w:val="00653D4B"/>
    <w:rsid w:val="00654309"/>
    <w:rsid w:val="006543A1"/>
    <w:rsid w:val="00654702"/>
    <w:rsid w:val="00654909"/>
    <w:rsid w:val="00654998"/>
    <w:rsid w:val="00654D06"/>
    <w:rsid w:val="00654E13"/>
    <w:rsid w:val="00654FC0"/>
    <w:rsid w:val="006550C3"/>
    <w:rsid w:val="00655149"/>
    <w:rsid w:val="006551F1"/>
    <w:rsid w:val="00655A3C"/>
    <w:rsid w:val="00655A70"/>
    <w:rsid w:val="00655D24"/>
    <w:rsid w:val="00655D2D"/>
    <w:rsid w:val="00656192"/>
    <w:rsid w:val="006561B8"/>
    <w:rsid w:val="0065646C"/>
    <w:rsid w:val="00656933"/>
    <w:rsid w:val="006569F4"/>
    <w:rsid w:val="00656B14"/>
    <w:rsid w:val="00656B43"/>
    <w:rsid w:val="00656C84"/>
    <w:rsid w:val="00656CC1"/>
    <w:rsid w:val="00656D61"/>
    <w:rsid w:val="006579E6"/>
    <w:rsid w:val="00657A0F"/>
    <w:rsid w:val="00657AD0"/>
    <w:rsid w:val="00657D83"/>
    <w:rsid w:val="006603D0"/>
    <w:rsid w:val="006608C9"/>
    <w:rsid w:val="00660A25"/>
    <w:rsid w:val="00660CB0"/>
    <w:rsid w:val="0066106D"/>
    <w:rsid w:val="006612AA"/>
    <w:rsid w:val="006613D4"/>
    <w:rsid w:val="00661696"/>
    <w:rsid w:val="00661992"/>
    <w:rsid w:val="0066201E"/>
    <w:rsid w:val="00662854"/>
    <w:rsid w:val="00662C13"/>
    <w:rsid w:val="006630CF"/>
    <w:rsid w:val="0066358C"/>
    <w:rsid w:val="00663599"/>
    <w:rsid w:val="006637DD"/>
    <w:rsid w:val="00664455"/>
    <w:rsid w:val="0066457C"/>
    <w:rsid w:val="00664617"/>
    <w:rsid w:val="006649FC"/>
    <w:rsid w:val="00664A54"/>
    <w:rsid w:val="00664AFB"/>
    <w:rsid w:val="00664E9A"/>
    <w:rsid w:val="0066562B"/>
    <w:rsid w:val="00665C99"/>
    <w:rsid w:val="006662B0"/>
    <w:rsid w:val="006668A0"/>
    <w:rsid w:val="00666E3C"/>
    <w:rsid w:val="00666ECD"/>
    <w:rsid w:val="00667337"/>
    <w:rsid w:val="0066746E"/>
    <w:rsid w:val="006675DE"/>
    <w:rsid w:val="006675E3"/>
    <w:rsid w:val="00667B44"/>
    <w:rsid w:val="00667D36"/>
    <w:rsid w:val="00667F89"/>
    <w:rsid w:val="00667FE1"/>
    <w:rsid w:val="006708FC"/>
    <w:rsid w:val="00670A0C"/>
    <w:rsid w:val="00670E7F"/>
    <w:rsid w:val="0067125E"/>
    <w:rsid w:val="006712A4"/>
    <w:rsid w:val="006712E9"/>
    <w:rsid w:val="006714D7"/>
    <w:rsid w:val="006714F2"/>
    <w:rsid w:val="0067161C"/>
    <w:rsid w:val="00671926"/>
    <w:rsid w:val="00671C38"/>
    <w:rsid w:val="006720CD"/>
    <w:rsid w:val="0067228F"/>
    <w:rsid w:val="006723A6"/>
    <w:rsid w:val="006726DB"/>
    <w:rsid w:val="006729DE"/>
    <w:rsid w:val="00672B56"/>
    <w:rsid w:val="00672C4C"/>
    <w:rsid w:val="00672D7B"/>
    <w:rsid w:val="0067347C"/>
    <w:rsid w:val="00673A46"/>
    <w:rsid w:val="00673AEF"/>
    <w:rsid w:val="00673C27"/>
    <w:rsid w:val="00673DE3"/>
    <w:rsid w:val="00673F53"/>
    <w:rsid w:val="006740E4"/>
    <w:rsid w:val="006744A1"/>
    <w:rsid w:val="0067456D"/>
    <w:rsid w:val="00674748"/>
    <w:rsid w:val="006748F7"/>
    <w:rsid w:val="00674975"/>
    <w:rsid w:val="00674BE0"/>
    <w:rsid w:val="00674D9F"/>
    <w:rsid w:val="00674F0B"/>
    <w:rsid w:val="006753EC"/>
    <w:rsid w:val="006755DD"/>
    <w:rsid w:val="00675B5F"/>
    <w:rsid w:val="00675CFF"/>
    <w:rsid w:val="00676597"/>
    <w:rsid w:val="006767CE"/>
    <w:rsid w:val="00676B9F"/>
    <w:rsid w:val="00676FDD"/>
    <w:rsid w:val="00677095"/>
    <w:rsid w:val="00677782"/>
    <w:rsid w:val="006777C4"/>
    <w:rsid w:val="00677FAE"/>
    <w:rsid w:val="00680055"/>
    <w:rsid w:val="006803AE"/>
    <w:rsid w:val="006805DA"/>
    <w:rsid w:val="00680DDF"/>
    <w:rsid w:val="00680F75"/>
    <w:rsid w:val="0068130C"/>
    <w:rsid w:val="00681447"/>
    <w:rsid w:val="006815A8"/>
    <w:rsid w:val="00681761"/>
    <w:rsid w:val="00681B76"/>
    <w:rsid w:val="00682074"/>
    <w:rsid w:val="0068215C"/>
    <w:rsid w:val="006821B5"/>
    <w:rsid w:val="006825D5"/>
    <w:rsid w:val="00682B4D"/>
    <w:rsid w:val="00682B94"/>
    <w:rsid w:val="00682F1F"/>
    <w:rsid w:val="006830A8"/>
    <w:rsid w:val="006831E9"/>
    <w:rsid w:val="00683262"/>
    <w:rsid w:val="006833F1"/>
    <w:rsid w:val="006834BD"/>
    <w:rsid w:val="006834F9"/>
    <w:rsid w:val="00683AB3"/>
    <w:rsid w:val="00683CC7"/>
    <w:rsid w:val="006845F0"/>
    <w:rsid w:val="006856B0"/>
    <w:rsid w:val="00685852"/>
    <w:rsid w:val="00685DD9"/>
    <w:rsid w:val="00685F1C"/>
    <w:rsid w:val="006860BF"/>
    <w:rsid w:val="00686598"/>
    <w:rsid w:val="00686622"/>
    <w:rsid w:val="006868AA"/>
    <w:rsid w:val="00686BE2"/>
    <w:rsid w:val="006873B6"/>
    <w:rsid w:val="006874CF"/>
    <w:rsid w:val="00687508"/>
    <w:rsid w:val="00687787"/>
    <w:rsid w:val="00687EFA"/>
    <w:rsid w:val="0069003E"/>
    <w:rsid w:val="006904CE"/>
    <w:rsid w:val="006908B0"/>
    <w:rsid w:val="00690A5A"/>
    <w:rsid w:val="00690CC8"/>
    <w:rsid w:val="006913E9"/>
    <w:rsid w:val="00691471"/>
    <w:rsid w:val="0069150D"/>
    <w:rsid w:val="006917D1"/>
    <w:rsid w:val="006918AC"/>
    <w:rsid w:val="00691CC0"/>
    <w:rsid w:val="006921C6"/>
    <w:rsid w:val="006924D3"/>
    <w:rsid w:val="00692796"/>
    <w:rsid w:val="00692844"/>
    <w:rsid w:val="006929C0"/>
    <w:rsid w:val="00692C5F"/>
    <w:rsid w:val="00692D32"/>
    <w:rsid w:val="00692D68"/>
    <w:rsid w:val="00692E55"/>
    <w:rsid w:val="00692F17"/>
    <w:rsid w:val="00693053"/>
    <w:rsid w:val="0069336E"/>
    <w:rsid w:val="0069337D"/>
    <w:rsid w:val="006934B0"/>
    <w:rsid w:val="006937BF"/>
    <w:rsid w:val="00693FCD"/>
    <w:rsid w:val="00694424"/>
    <w:rsid w:val="00694891"/>
    <w:rsid w:val="006949C2"/>
    <w:rsid w:val="00694AA9"/>
    <w:rsid w:val="00694DC8"/>
    <w:rsid w:val="00694E19"/>
    <w:rsid w:val="006954D6"/>
    <w:rsid w:val="00695534"/>
    <w:rsid w:val="00695632"/>
    <w:rsid w:val="0069572B"/>
    <w:rsid w:val="006957F0"/>
    <w:rsid w:val="0069597E"/>
    <w:rsid w:val="006959C8"/>
    <w:rsid w:val="00695D01"/>
    <w:rsid w:val="0069629F"/>
    <w:rsid w:val="006962F0"/>
    <w:rsid w:val="006964D9"/>
    <w:rsid w:val="0069673E"/>
    <w:rsid w:val="006969BC"/>
    <w:rsid w:val="0069725E"/>
    <w:rsid w:val="00697301"/>
    <w:rsid w:val="00697581"/>
    <w:rsid w:val="0069758C"/>
    <w:rsid w:val="0069760C"/>
    <w:rsid w:val="00697DA0"/>
    <w:rsid w:val="006A0157"/>
    <w:rsid w:val="006A024C"/>
    <w:rsid w:val="006A0353"/>
    <w:rsid w:val="006A0584"/>
    <w:rsid w:val="006A0748"/>
    <w:rsid w:val="006A0B1E"/>
    <w:rsid w:val="006A0C63"/>
    <w:rsid w:val="006A1389"/>
    <w:rsid w:val="006A1919"/>
    <w:rsid w:val="006A1A25"/>
    <w:rsid w:val="006A1A5A"/>
    <w:rsid w:val="006A2009"/>
    <w:rsid w:val="006A215F"/>
    <w:rsid w:val="006A2531"/>
    <w:rsid w:val="006A2687"/>
    <w:rsid w:val="006A2A1F"/>
    <w:rsid w:val="006A31C7"/>
    <w:rsid w:val="006A3338"/>
    <w:rsid w:val="006A3A0B"/>
    <w:rsid w:val="006A3A5C"/>
    <w:rsid w:val="006A3AC5"/>
    <w:rsid w:val="006A3BCF"/>
    <w:rsid w:val="006A3E16"/>
    <w:rsid w:val="006A4060"/>
    <w:rsid w:val="006A43DA"/>
    <w:rsid w:val="006A45C6"/>
    <w:rsid w:val="006A4682"/>
    <w:rsid w:val="006A5485"/>
    <w:rsid w:val="006A5A1F"/>
    <w:rsid w:val="006A5A20"/>
    <w:rsid w:val="006A5B07"/>
    <w:rsid w:val="006A5D50"/>
    <w:rsid w:val="006A5E53"/>
    <w:rsid w:val="006A63D9"/>
    <w:rsid w:val="006A6A13"/>
    <w:rsid w:val="006A6A52"/>
    <w:rsid w:val="006A6AAC"/>
    <w:rsid w:val="006A6C98"/>
    <w:rsid w:val="006A6F4D"/>
    <w:rsid w:val="006A6FB0"/>
    <w:rsid w:val="006A70F3"/>
    <w:rsid w:val="006A71E2"/>
    <w:rsid w:val="006A7511"/>
    <w:rsid w:val="006A7679"/>
    <w:rsid w:val="006A78CE"/>
    <w:rsid w:val="006A7A92"/>
    <w:rsid w:val="006A7BB9"/>
    <w:rsid w:val="006A7D16"/>
    <w:rsid w:val="006A7D49"/>
    <w:rsid w:val="006B007B"/>
    <w:rsid w:val="006B091C"/>
    <w:rsid w:val="006B0957"/>
    <w:rsid w:val="006B0A96"/>
    <w:rsid w:val="006B0F6A"/>
    <w:rsid w:val="006B11E7"/>
    <w:rsid w:val="006B15F8"/>
    <w:rsid w:val="006B167A"/>
    <w:rsid w:val="006B1D66"/>
    <w:rsid w:val="006B2246"/>
    <w:rsid w:val="006B22C0"/>
    <w:rsid w:val="006B23E6"/>
    <w:rsid w:val="006B2727"/>
    <w:rsid w:val="006B284E"/>
    <w:rsid w:val="006B2E36"/>
    <w:rsid w:val="006B31E4"/>
    <w:rsid w:val="006B3255"/>
    <w:rsid w:val="006B3562"/>
    <w:rsid w:val="006B37AF"/>
    <w:rsid w:val="006B3861"/>
    <w:rsid w:val="006B38EC"/>
    <w:rsid w:val="006B3CF8"/>
    <w:rsid w:val="006B3E74"/>
    <w:rsid w:val="006B3FE3"/>
    <w:rsid w:val="006B4085"/>
    <w:rsid w:val="006B4438"/>
    <w:rsid w:val="006B4638"/>
    <w:rsid w:val="006B4A0B"/>
    <w:rsid w:val="006B4EC7"/>
    <w:rsid w:val="006B5AB1"/>
    <w:rsid w:val="006B5E9A"/>
    <w:rsid w:val="006B5FFC"/>
    <w:rsid w:val="006B6052"/>
    <w:rsid w:val="006B6828"/>
    <w:rsid w:val="006B6CA3"/>
    <w:rsid w:val="006B6DBC"/>
    <w:rsid w:val="006B6E71"/>
    <w:rsid w:val="006B6F56"/>
    <w:rsid w:val="006B7283"/>
    <w:rsid w:val="006B78A7"/>
    <w:rsid w:val="006B78CF"/>
    <w:rsid w:val="006B7AE6"/>
    <w:rsid w:val="006B7C7A"/>
    <w:rsid w:val="006B7D7D"/>
    <w:rsid w:val="006B7FF0"/>
    <w:rsid w:val="006C009E"/>
    <w:rsid w:val="006C0170"/>
    <w:rsid w:val="006C0197"/>
    <w:rsid w:val="006C0B0C"/>
    <w:rsid w:val="006C0B92"/>
    <w:rsid w:val="006C0CC8"/>
    <w:rsid w:val="006C1083"/>
    <w:rsid w:val="006C154A"/>
    <w:rsid w:val="006C16F5"/>
    <w:rsid w:val="006C1832"/>
    <w:rsid w:val="006C1CB2"/>
    <w:rsid w:val="006C2916"/>
    <w:rsid w:val="006C2D7E"/>
    <w:rsid w:val="006C2E4C"/>
    <w:rsid w:val="006C33C2"/>
    <w:rsid w:val="006C33E5"/>
    <w:rsid w:val="006C39EB"/>
    <w:rsid w:val="006C39F9"/>
    <w:rsid w:val="006C3BFA"/>
    <w:rsid w:val="006C3DD1"/>
    <w:rsid w:val="006C4185"/>
    <w:rsid w:val="006C437B"/>
    <w:rsid w:val="006C44A5"/>
    <w:rsid w:val="006C5038"/>
    <w:rsid w:val="006C50DD"/>
    <w:rsid w:val="006C511C"/>
    <w:rsid w:val="006C5156"/>
    <w:rsid w:val="006C52B4"/>
    <w:rsid w:val="006C5329"/>
    <w:rsid w:val="006C554A"/>
    <w:rsid w:val="006C56C2"/>
    <w:rsid w:val="006C5AE1"/>
    <w:rsid w:val="006C5DCA"/>
    <w:rsid w:val="006C62AC"/>
    <w:rsid w:val="006C63AF"/>
    <w:rsid w:val="006C642E"/>
    <w:rsid w:val="006C6BBB"/>
    <w:rsid w:val="006C6DCF"/>
    <w:rsid w:val="006C6E03"/>
    <w:rsid w:val="006C7201"/>
    <w:rsid w:val="006C7537"/>
    <w:rsid w:val="006C7A67"/>
    <w:rsid w:val="006D077F"/>
    <w:rsid w:val="006D0B32"/>
    <w:rsid w:val="006D2448"/>
    <w:rsid w:val="006D24D5"/>
    <w:rsid w:val="006D25BA"/>
    <w:rsid w:val="006D280B"/>
    <w:rsid w:val="006D2B45"/>
    <w:rsid w:val="006D2E73"/>
    <w:rsid w:val="006D2FD2"/>
    <w:rsid w:val="006D3246"/>
    <w:rsid w:val="006D330C"/>
    <w:rsid w:val="006D3336"/>
    <w:rsid w:val="006D3472"/>
    <w:rsid w:val="006D4997"/>
    <w:rsid w:val="006D49AD"/>
    <w:rsid w:val="006D4B4D"/>
    <w:rsid w:val="006D4C6E"/>
    <w:rsid w:val="006D4F3A"/>
    <w:rsid w:val="006D4F47"/>
    <w:rsid w:val="006D5066"/>
    <w:rsid w:val="006D50AE"/>
    <w:rsid w:val="006D5308"/>
    <w:rsid w:val="006D5975"/>
    <w:rsid w:val="006D5A8E"/>
    <w:rsid w:val="006D5FC2"/>
    <w:rsid w:val="006D6E1A"/>
    <w:rsid w:val="006D6E24"/>
    <w:rsid w:val="006D7136"/>
    <w:rsid w:val="006D738F"/>
    <w:rsid w:val="006D7732"/>
    <w:rsid w:val="006D77BE"/>
    <w:rsid w:val="006D7B83"/>
    <w:rsid w:val="006D7FA7"/>
    <w:rsid w:val="006D7FD2"/>
    <w:rsid w:val="006E0081"/>
    <w:rsid w:val="006E00D4"/>
    <w:rsid w:val="006E01A8"/>
    <w:rsid w:val="006E0314"/>
    <w:rsid w:val="006E04BE"/>
    <w:rsid w:val="006E0848"/>
    <w:rsid w:val="006E09C3"/>
    <w:rsid w:val="006E10FC"/>
    <w:rsid w:val="006E129F"/>
    <w:rsid w:val="006E178E"/>
    <w:rsid w:val="006E1815"/>
    <w:rsid w:val="006E1910"/>
    <w:rsid w:val="006E1987"/>
    <w:rsid w:val="006E1B53"/>
    <w:rsid w:val="006E2535"/>
    <w:rsid w:val="006E269D"/>
    <w:rsid w:val="006E2AEB"/>
    <w:rsid w:val="006E2F11"/>
    <w:rsid w:val="006E2F26"/>
    <w:rsid w:val="006E31A5"/>
    <w:rsid w:val="006E3277"/>
    <w:rsid w:val="006E351C"/>
    <w:rsid w:val="006E36ED"/>
    <w:rsid w:val="006E380F"/>
    <w:rsid w:val="006E38B1"/>
    <w:rsid w:val="006E398C"/>
    <w:rsid w:val="006E3BFE"/>
    <w:rsid w:val="006E3CF7"/>
    <w:rsid w:val="006E3D06"/>
    <w:rsid w:val="006E3D09"/>
    <w:rsid w:val="006E3D86"/>
    <w:rsid w:val="006E481F"/>
    <w:rsid w:val="006E4BF9"/>
    <w:rsid w:val="006E4C79"/>
    <w:rsid w:val="006E4E35"/>
    <w:rsid w:val="006E51BD"/>
    <w:rsid w:val="006E5343"/>
    <w:rsid w:val="006E5656"/>
    <w:rsid w:val="006E56AE"/>
    <w:rsid w:val="006E5768"/>
    <w:rsid w:val="006E5816"/>
    <w:rsid w:val="006E5BF4"/>
    <w:rsid w:val="006E6046"/>
    <w:rsid w:val="006E6997"/>
    <w:rsid w:val="006E6B05"/>
    <w:rsid w:val="006E6F60"/>
    <w:rsid w:val="006E702E"/>
    <w:rsid w:val="006E7364"/>
    <w:rsid w:val="006E76BA"/>
    <w:rsid w:val="006E770E"/>
    <w:rsid w:val="006E7B01"/>
    <w:rsid w:val="006E7B24"/>
    <w:rsid w:val="006E7C8B"/>
    <w:rsid w:val="006E7EE5"/>
    <w:rsid w:val="006F0094"/>
    <w:rsid w:val="006F071C"/>
    <w:rsid w:val="006F09CB"/>
    <w:rsid w:val="006F0A05"/>
    <w:rsid w:val="006F1309"/>
    <w:rsid w:val="006F140B"/>
    <w:rsid w:val="006F15C0"/>
    <w:rsid w:val="006F1835"/>
    <w:rsid w:val="006F26FF"/>
    <w:rsid w:val="006F27A5"/>
    <w:rsid w:val="006F2973"/>
    <w:rsid w:val="006F3514"/>
    <w:rsid w:val="006F3735"/>
    <w:rsid w:val="006F3759"/>
    <w:rsid w:val="006F378B"/>
    <w:rsid w:val="006F37D7"/>
    <w:rsid w:val="006F3BF5"/>
    <w:rsid w:val="006F4568"/>
    <w:rsid w:val="006F46F4"/>
    <w:rsid w:val="006F4BFE"/>
    <w:rsid w:val="006F5171"/>
    <w:rsid w:val="006F547A"/>
    <w:rsid w:val="006F5F8D"/>
    <w:rsid w:val="006F6080"/>
    <w:rsid w:val="006F61BA"/>
    <w:rsid w:val="006F6265"/>
    <w:rsid w:val="006F6B80"/>
    <w:rsid w:val="006F6BF2"/>
    <w:rsid w:val="006F712A"/>
    <w:rsid w:val="006F7134"/>
    <w:rsid w:val="006F746A"/>
    <w:rsid w:val="006F7951"/>
    <w:rsid w:val="006F7B54"/>
    <w:rsid w:val="0070044F"/>
    <w:rsid w:val="007006DB"/>
    <w:rsid w:val="00700A82"/>
    <w:rsid w:val="00700B16"/>
    <w:rsid w:val="007010C7"/>
    <w:rsid w:val="0070150A"/>
    <w:rsid w:val="0070196E"/>
    <w:rsid w:val="00701BE6"/>
    <w:rsid w:val="00701DA6"/>
    <w:rsid w:val="007021CF"/>
    <w:rsid w:val="007024EE"/>
    <w:rsid w:val="00702C35"/>
    <w:rsid w:val="00702E7D"/>
    <w:rsid w:val="00702F14"/>
    <w:rsid w:val="00703134"/>
    <w:rsid w:val="007032EA"/>
    <w:rsid w:val="007032F3"/>
    <w:rsid w:val="0070392E"/>
    <w:rsid w:val="00703FC7"/>
    <w:rsid w:val="00704143"/>
    <w:rsid w:val="007041AF"/>
    <w:rsid w:val="00704206"/>
    <w:rsid w:val="007042B1"/>
    <w:rsid w:val="00704A0E"/>
    <w:rsid w:val="00704AC1"/>
    <w:rsid w:val="00704C28"/>
    <w:rsid w:val="00704D13"/>
    <w:rsid w:val="00704EB9"/>
    <w:rsid w:val="00705234"/>
    <w:rsid w:val="007052EB"/>
    <w:rsid w:val="007056D0"/>
    <w:rsid w:val="00705DB6"/>
    <w:rsid w:val="00705F88"/>
    <w:rsid w:val="007060A7"/>
    <w:rsid w:val="00706423"/>
    <w:rsid w:val="00706696"/>
    <w:rsid w:val="007066FD"/>
    <w:rsid w:val="00706C04"/>
    <w:rsid w:val="00706C09"/>
    <w:rsid w:val="00706E61"/>
    <w:rsid w:val="00706F24"/>
    <w:rsid w:val="00707436"/>
    <w:rsid w:val="00707B82"/>
    <w:rsid w:val="00707D83"/>
    <w:rsid w:val="0071092F"/>
    <w:rsid w:val="00710C27"/>
    <w:rsid w:val="00710C9D"/>
    <w:rsid w:val="00710FC2"/>
    <w:rsid w:val="00711387"/>
    <w:rsid w:val="00711965"/>
    <w:rsid w:val="007128B1"/>
    <w:rsid w:val="00712957"/>
    <w:rsid w:val="00712CD7"/>
    <w:rsid w:val="0071385B"/>
    <w:rsid w:val="00713C76"/>
    <w:rsid w:val="00713D0F"/>
    <w:rsid w:val="007142B1"/>
    <w:rsid w:val="007144F6"/>
    <w:rsid w:val="0071459C"/>
    <w:rsid w:val="00714760"/>
    <w:rsid w:val="0071499E"/>
    <w:rsid w:val="007149B0"/>
    <w:rsid w:val="00714B19"/>
    <w:rsid w:val="00714C2B"/>
    <w:rsid w:val="00714D8A"/>
    <w:rsid w:val="007150F2"/>
    <w:rsid w:val="00715A82"/>
    <w:rsid w:val="00715E9F"/>
    <w:rsid w:val="007168A1"/>
    <w:rsid w:val="007169DE"/>
    <w:rsid w:val="00716B4B"/>
    <w:rsid w:val="00716C6C"/>
    <w:rsid w:val="00716D7E"/>
    <w:rsid w:val="007170F4"/>
    <w:rsid w:val="00717441"/>
    <w:rsid w:val="00717853"/>
    <w:rsid w:val="00717B72"/>
    <w:rsid w:val="0072076E"/>
    <w:rsid w:val="00720955"/>
    <w:rsid w:val="00720AED"/>
    <w:rsid w:val="00720EDE"/>
    <w:rsid w:val="00720FD6"/>
    <w:rsid w:val="007216AC"/>
    <w:rsid w:val="007219EE"/>
    <w:rsid w:val="00721DB8"/>
    <w:rsid w:val="00721DED"/>
    <w:rsid w:val="00722381"/>
    <w:rsid w:val="0072256E"/>
    <w:rsid w:val="00722597"/>
    <w:rsid w:val="007229E6"/>
    <w:rsid w:val="00722ABE"/>
    <w:rsid w:val="00722AFF"/>
    <w:rsid w:val="00722F22"/>
    <w:rsid w:val="00723193"/>
    <w:rsid w:val="00723447"/>
    <w:rsid w:val="007239AB"/>
    <w:rsid w:val="00723F22"/>
    <w:rsid w:val="00723F8A"/>
    <w:rsid w:val="00724751"/>
    <w:rsid w:val="00724989"/>
    <w:rsid w:val="00724BA2"/>
    <w:rsid w:val="00724C29"/>
    <w:rsid w:val="00724DE9"/>
    <w:rsid w:val="00724EDB"/>
    <w:rsid w:val="007250A9"/>
    <w:rsid w:val="007251E8"/>
    <w:rsid w:val="0072525D"/>
    <w:rsid w:val="00725B8A"/>
    <w:rsid w:val="00725E15"/>
    <w:rsid w:val="007265CC"/>
    <w:rsid w:val="00726757"/>
    <w:rsid w:val="00726A43"/>
    <w:rsid w:val="00726C7F"/>
    <w:rsid w:val="00726C94"/>
    <w:rsid w:val="00726DFF"/>
    <w:rsid w:val="0072718C"/>
    <w:rsid w:val="00727295"/>
    <w:rsid w:val="0072757A"/>
    <w:rsid w:val="007278DC"/>
    <w:rsid w:val="007278EF"/>
    <w:rsid w:val="00727972"/>
    <w:rsid w:val="00727DF5"/>
    <w:rsid w:val="0073006A"/>
    <w:rsid w:val="007303CE"/>
    <w:rsid w:val="007304EA"/>
    <w:rsid w:val="00730A50"/>
    <w:rsid w:val="00730B3B"/>
    <w:rsid w:val="00730D2F"/>
    <w:rsid w:val="007310EC"/>
    <w:rsid w:val="00731880"/>
    <w:rsid w:val="00731B79"/>
    <w:rsid w:val="007320F5"/>
    <w:rsid w:val="0073225C"/>
    <w:rsid w:val="00732C27"/>
    <w:rsid w:val="00732F49"/>
    <w:rsid w:val="0073305B"/>
    <w:rsid w:val="007332E5"/>
    <w:rsid w:val="00733548"/>
    <w:rsid w:val="00734787"/>
    <w:rsid w:val="0073495B"/>
    <w:rsid w:val="00734B61"/>
    <w:rsid w:val="00734CCD"/>
    <w:rsid w:val="00734F4A"/>
    <w:rsid w:val="007351F2"/>
    <w:rsid w:val="00735765"/>
    <w:rsid w:val="00735882"/>
    <w:rsid w:val="00735BFE"/>
    <w:rsid w:val="0073616F"/>
    <w:rsid w:val="00736652"/>
    <w:rsid w:val="00736747"/>
    <w:rsid w:val="00736D52"/>
    <w:rsid w:val="0073712F"/>
    <w:rsid w:val="00737393"/>
    <w:rsid w:val="00737835"/>
    <w:rsid w:val="00737A1B"/>
    <w:rsid w:val="00737B81"/>
    <w:rsid w:val="00737CC6"/>
    <w:rsid w:val="00737CF6"/>
    <w:rsid w:val="007401B0"/>
    <w:rsid w:val="0074031C"/>
    <w:rsid w:val="00740816"/>
    <w:rsid w:val="00740896"/>
    <w:rsid w:val="00740CD0"/>
    <w:rsid w:val="00741047"/>
    <w:rsid w:val="00741219"/>
    <w:rsid w:val="007414A7"/>
    <w:rsid w:val="0074155A"/>
    <w:rsid w:val="007418D7"/>
    <w:rsid w:val="0074199C"/>
    <w:rsid w:val="00741D14"/>
    <w:rsid w:val="00741F80"/>
    <w:rsid w:val="00742146"/>
    <w:rsid w:val="00742388"/>
    <w:rsid w:val="0074241C"/>
    <w:rsid w:val="0074286D"/>
    <w:rsid w:val="00742954"/>
    <w:rsid w:val="00742BCC"/>
    <w:rsid w:val="00742BF1"/>
    <w:rsid w:val="00742C2C"/>
    <w:rsid w:val="00742D94"/>
    <w:rsid w:val="00743041"/>
    <w:rsid w:val="007430BB"/>
    <w:rsid w:val="0074312F"/>
    <w:rsid w:val="00743A17"/>
    <w:rsid w:val="00743E62"/>
    <w:rsid w:val="00743E63"/>
    <w:rsid w:val="00743F57"/>
    <w:rsid w:val="00743FB2"/>
    <w:rsid w:val="007440C3"/>
    <w:rsid w:val="007442AC"/>
    <w:rsid w:val="0074482B"/>
    <w:rsid w:val="007448C3"/>
    <w:rsid w:val="007449A3"/>
    <w:rsid w:val="00744B1A"/>
    <w:rsid w:val="00744BEE"/>
    <w:rsid w:val="00744C1F"/>
    <w:rsid w:val="00744C85"/>
    <w:rsid w:val="00744D7E"/>
    <w:rsid w:val="007452FD"/>
    <w:rsid w:val="00745406"/>
    <w:rsid w:val="00745456"/>
    <w:rsid w:val="007455EA"/>
    <w:rsid w:val="0074568C"/>
    <w:rsid w:val="0074570C"/>
    <w:rsid w:val="00745A0C"/>
    <w:rsid w:val="0074609D"/>
    <w:rsid w:val="00746392"/>
    <w:rsid w:val="0074646F"/>
    <w:rsid w:val="00746487"/>
    <w:rsid w:val="0074654A"/>
    <w:rsid w:val="007466BB"/>
    <w:rsid w:val="007468F6"/>
    <w:rsid w:val="007469D6"/>
    <w:rsid w:val="00746D66"/>
    <w:rsid w:val="00747148"/>
    <w:rsid w:val="00747906"/>
    <w:rsid w:val="00747DAD"/>
    <w:rsid w:val="00747FF7"/>
    <w:rsid w:val="007504BD"/>
    <w:rsid w:val="0075058E"/>
    <w:rsid w:val="007506DB"/>
    <w:rsid w:val="0075091C"/>
    <w:rsid w:val="00750946"/>
    <w:rsid w:val="00750A08"/>
    <w:rsid w:val="00750A8A"/>
    <w:rsid w:val="00750C22"/>
    <w:rsid w:val="00750C79"/>
    <w:rsid w:val="00750E6E"/>
    <w:rsid w:val="007513DE"/>
    <w:rsid w:val="0075145A"/>
    <w:rsid w:val="0075170F"/>
    <w:rsid w:val="00751908"/>
    <w:rsid w:val="00751942"/>
    <w:rsid w:val="00751A99"/>
    <w:rsid w:val="00751AA9"/>
    <w:rsid w:val="00751B5A"/>
    <w:rsid w:val="00751B77"/>
    <w:rsid w:val="007520B4"/>
    <w:rsid w:val="007523B1"/>
    <w:rsid w:val="007523FB"/>
    <w:rsid w:val="00752AC5"/>
    <w:rsid w:val="00753427"/>
    <w:rsid w:val="00753526"/>
    <w:rsid w:val="00753739"/>
    <w:rsid w:val="007538C5"/>
    <w:rsid w:val="0075391B"/>
    <w:rsid w:val="00753D73"/>
    <w:rsid w:val="00753DF2"/>
    <w:rsid w:val="00753E74"/>
    <w:rsid w:val="00754085"/>
    <w:rsid w:val="00754106"/>
    <w:rsid w:val="00754455"/>
    <w:rsid w:val="007546F7"/>
    <w:rsid w:val="00754AC3"/>
    <w:rsid w:val="00754C3F"/>
    <w:rsid w:val="00755231"/>
    <w:rsid w:val="0075525F"/>
    <w:rsid w:val="00755479"/>
    <w:rsid w:val="007554B5"/>
    <w:rsid w:val="007555DA"/>
    <w:rsid w:val="00755A61"/>
    <w:rsid w:val="00755BA7"/>
    <w:rsid w:val="00755E91"/>
    <w:rsid w:val="0075614E"/>
    <w:rsid w:val="007561C2"/>
    <w:rsid w:val="0075626F"/>
    <w:rsid w:val="00756313"/>
    <w:rsid w:val="007563D5"/>
    <w:rsid w:val="007566B0"/>
    <w:rsid w:val="00756790"/>
    <w:rsid w:val="007568E2"/>
    <w:rsid w:val="00756959"/>
    <w:rsid w:val="00756B19"/>
    <w:rsid w:val="00756C92"/>
    <w:rsid w:val="00756ECE"/>
    <w:rsid w:val="00757211"/>
    <w:rsid w:val="00757345"/>
    <w:rsid w:val="00757530"/>
    <w:rsid w:val="00757796"/>
    <w:rsid w:val="007577EB"/>
    <w:rsid w:val="00760204"/>
    <w:rsid w:val="0076020D"/>
    <w:rsid w:val="00760399"/>
    <w:rsid w:val="0076095B"/>
    <w:rsid w:val="00760A5B"/>
    <w:rsid w:val="00760C68"/>
    <w:rsid w:val="00760FF0"/>
    <w:rsid w:val="00761047"/>
    <w:rsid w:val="00761232"/>
    <w:rsid w:val="00761A3B"/>
    <w:rsid w:val="00761C81"/>
    <w:rsid w:val="00761D2F"/>
    <w:rsid w:val="00761D6B"/>
    <w:rsid w:val="00761FB7"/>
    <w:rsid w:val="007622DC"/>
    <w:rsid w:val="007623F9"/>
    <w:rsid w:val="00762881"/>
    <w:rsid w:val="00762BEA"/>
    <w:rsid w:val="0076332E"/>
    <w:rsid w:val="00763418"/>
    <w:rsid w:val="00763D61"/>
    <w:rsid w:val="0076407F"/>
    <w:rsid w:val="007641EF"/>
    <w:rsid w:val="007644DB"/>
    <w:rsid w:val="007646C8"/>
    <w:rsid w:val="00764926"/>
    <w:rsid w:val="0076500A"/>
    <w:rsid w:val="0076500D"/>
    <w:rsid w:val="00765044"/>
    <w:rsid w:val="0076509A"/>
    <w:rsid w:val="007653B1"/>
    <w:rsid w:val="0076570B"/>
    <w:rsid w:val="00765A01"/>
    <w:rsid w:val="00765B20"/>
    <w:rsid w:val="00765C07"/>
    <w:rsid w:val="00765D15"/>
    <w:rsid w:val="00765D88"/>
    <w:rsid w:val="00765DCA"/>
    <w:rsid w:val="00765E14"/>
    <w:rsid w:val="0076608F"/>
    <w:rsid w:val="0076615B"/>
    <w:rsid w:val="00766190"/>
    <w:rsid w:val="007663DF"/>
    <w:rsid w:val="0076656C"/>
    <w:rsid w:val="00766677"/>
    <w:rsid w:val="00766783"/>
    <w:rsid w:val="007668CD"/>
    <w:rsid w:val="0076697E"/>
    <w:rsid w:val="007669D0"/>
    <w:rsid w:val="00766A0E"/>
    <w:rsid w:val="00766F7D"/>
    <w:rsid w:val="0076757B"/>
    <w:rsid w:val="007677DD"/>
    <w:rsid w:val="00767BC9"/>
    <w:rsid w:val="00767ED9"/>
    <w:rsid w:val="00767FEB"/>
    <w:rsid w:val="00767FF3"/>
    <w:rsid w:val="007705A1"/>
    <w:rsid w:val="007705AF"/>
    <w:rsid w:val="0077075E"/>
    <w:rsid w:val="00770B2B"/>
    <w:rsid w:val="00770F7B"/>
    <w:rsid w:val="007716D1"/>
    <w:rsid w:val="007718B6"/>
    <w:rsid w:val="00771932"/>
    <w:rsid w:val="007719C2"/>
    <w:rsid w:val="00771AFE"/>
    <w:rsid w:val="00771C0B"/>
    <w:rsid w:val="007723D7"/>
    <w:rsid w:val="00772A2E"/>
    <w:rsid w:val="00773429"/>
    <w:rsid w:val="0077393E"/>
    <w:rsid w:val="00773EB8"/>
    <w:rsid w:val="00773F5A"/>
    <w:rsid w:val="007740E1"/>
    <w:rsid w:val="00774245"/>
    <w:rsid w:val="0077439D"/>
    <w:rsid w:val="00774B08"/>
    <w:rsid w:val="00774D7B"/>
    <w:rsid w:val="00775532"/>
    <w:rsid w:val="0077567B"/>
    <w:rsid w:val="007757A2"/>
    <w:rsid w:val="00776004"/>
    <w:rsid w:val="007766E7"/>
    <w:rsid w:val="0077670A"/>
    <w:rsid w:val="00776C70"/>
    <w:rsid w:val="00776E69"/>
    <w:rsid w:val="007779A5"/>
    <w:rsid w:val="00777D10"/>
    <w:rsid w:val="00777E82"/>
    <w:rsid w:val="00780349"/>
    <w:rsid w:val="0078067A"/>
    <w:rsid w:val="007806C7"/>
    <w:rsid w:val="0078093D"/>
    <w:rsid w:val="0078122B"/>
    <w:rsid w:val="00781542"/>
    <w:rsid w:val="007817A2"/>
    <w:rsid w:val="00781936"/>
    <w:rsid w:val="00781B50"/>
    <w:rsid w:val="0078211B"/>
    <w:rsid w:val="0078214C"/>
    <w:rsid w:val="00782237"/>
    <w:rsid w:val="00782521"/>
    <w:rsid w:val="007826A7"/>
    <w:rsid w:val="0078277D"/>
    <w:rsid w:val="0078292F"/>
    <w:rsid w:val="00782A1F"/>
    <w:rsid w:val="007833A7"/>
    <w:rsid w:val="007833CE"/>
    <w:rsid w:val="00783D31"/>
    <w:rsid w:val="00783FD3"/>
    <w:rsid w:val="0078443C"/>
    <w:rsid w:val="007844F3"/>
    <w:rsid w:val="007845C1"/>
    <w:rsid w:val="00784AF0"/>
    <w:rsid w:val="007851BD"/>
    <w:rsid w:val="007851F2"/>
    <w:rsid w:val="00785296"/>
    <w:rsid w:val="00785483"/>
    <w:rsid w:val="00785645"/>
    <w:rsid w:val="007856C5"/>
    <w:rsid w:val="0078585B"/>
    <w:rsid w:val="00785992"/>
    <w:rsid w:val="007859EA"/>
    <w:rsid w:val="00785A76"/>
    <w:rsid w:val="00785CAE"/>
    <w:rsid w:val="00785CEC"/>
    <w:rsid w:val="00785FE4"/>
    <w:rsid w:val="007860EB"/>
    <w:rsid w:val="007863B9"/>
    <w:rsid w:val="007863E4"/>
    <w:rsid w:val="00786A79"/>
    <w:rsid w:val="00786F0C"/>
    <w:rsid w:val="00786F19"/>
    <w:rsid w:val="0078720D"/>
    <w:rsid w:val="00787323"/>
    <w:rsid w:val="0078743C"/>
    <w:rsid w:val="007874CD"/>
    <w:rsid w:val="007878B5"/>
    <w:rsid w:val="00787B84"/>
    <w:rsid w:val="00787F6D"/>
    <w:rsid w:val="00790008"/>
    <w:rsid w:val="0079003D"/>
    <w:rsid w:val="00790566"/>
    <w:rsid w:val="00790609"/>
    <w:rsid w:val="007906CD"/>
    <w:rsid w:val="0079109D"/>
    <w:rsid w:val="007912AC"/>
    <w:rsid w:val="00791430"/>
    <w:rsid w:val="00791605"/>
    <w:rsid w:val="007916CF"/>
    <w:rsid w:val="00791B15"/>
    <w:rsid w:val="00791EF1"/>
    <w:rsid w:val="0079219E"/>
    <w:rsid w:val="00792247"/>
    <w:rsid w:val="0079254F"/>
    <w:rsid w:val="007925C6"/>
    <w:rsid w:val="007929BD"/>
    <w:rsid w:val="00792EB1"/>
    <w:rsid w:val="007931D5"/>
    <w:rsid w:val="007934FE"/>
    <w:rsid w:val="0079360C"/>
    <w:rsid w:val="00793855"/>
    <w:rsid w:val="00793CA2"/>
    <w:rsid w:val="00793DBE"/>
    <w:rsid w:val="00793F90"/>
    <w:rsid w:val="00794153"/>
    <w:rsid w:val="00794186"/>
    <w:rsid w:val="007943B6"/>
    <w:rsid w:val="00794474"/>
    <w:rsid w:val="007945F3"/>
    <w:rsid w:val="007946B4"/>
    <w:rsid w:val="00794736"/>
    <w:rsid w:val="00794DF2"/>
    <w:rsid w:val="00794EA3"/>
    <w:rsid w:val="00794ECB"/>
    <w:rsid w:val="00794F3D"/>
    <w:rsid w:val="0079500B"/>
    <w:rsid w:val="007950F0"/>
    <w:rsid w:val="00795831"/>
    <w:rsid w:val="00795F9D"/>
    <w:rsid w:val="007960DA"/>
    <w:rsid w:val="00796130"/>
    <w:rsid w:val="00796320"/>
    <w:rsid w:val="0079640A"/>
    <w:rsid w:val="0079681E"/>
    <w:rsid w:val="007968A5"/>
    <w:rsid w:val="007968C7"/>
    <w:rsid w:val="007969E0"/>
    <w:rsid w:val="00796B68"/>
    <w:rsid w:val="00796C72"/>
    <w:rsid w:val="00796DED"/>
    <w:rsid w:val="00797166"/>
    <w:rsid w:val="007976E3"/>
    <w:rsid w:val="00797800"/>
    <w:rsid w:val="00797852"/>
    <w:rsid w:val="00797A0A"/>
    <w:rsid w:val="00797B17"/>
    <w:rsid w:val="007A00EC"/>
    <w:rsid w:val="007A0182"/>
    <w:rsid w:val="007A03A2"/>
    <w:rsid w:val="007A044A"/>
    <w:rsid w:val="007A04B9"/>
    <w:rsid w:val="007A0CEF"/>
    <w:rsid w:val="007A0E47"/>
    <w:rsid w:val="007A0F60"/>
    <w:rsid w:val="007A1122"/>
    <w:rsid w:val="007A16B9"/>
    <w:rsid w:val="007A1C42"/>
    <w:rsid w:val="007A1F2E"/>
    <w:rsid w:val="007A24D0"/>
    <w:rsid w:val="007A26A7"/>
    <w:rsid w:val="007A2E63"/>
    <w:rsid w:val="007A2F87"/>
    <w:rsid w:val="007A30F8"/>
    <w:rsid w:val="007A31FF"/>
    <w:rsid w:val="007A341C"/>
    <w:rsid w:val="007A3435"/>
    <w:rsid w:val="007A3BC2"/>
    <w:rsid w:val="007A3CEB"/>
    <w:rsid w:val="007A432D"/>
    <w:rsid w:val="007A492B"/>
    <w:rsid w:val="007A4AF8"/>
    <w:rsid w:val="007A4FF7"/>
    <w:rsid w:val="007A5030"/>
    <w:rsid w:val="007A5447"/>
    <w:rsid w:val="007A5A81"/>
    <w:rsid w:val="007A5AF1"/>
    <w:rsid w:val="007A5B5E"/>
    <w:rsid w:val="007A5BA1"/>
    <w:rsid w:val="007A5CAF"/>
    <w:rsid w:val="007A5EE3"/>
    <w:rsid w:val="007A6007"/>
    <w:rsid w:val="007A603B"/>
    <w:rsid w:val="007A6350"/>
    <w:rsid w:val="007A637E"/>
    <w:rsid w:val="007A662A"/>
    <w:rsid w:val="007A66F2"/>
    <w:rsid w:val="007A685F"/>
    <w:rsid w:val="007A69AF"/>
    <w:rsid w:val="007A69F0"/>
    <w:rsid w:val="007A6E18"/>
    <w:rsid w:val="007A6F1B"/>
    <w:rsid w:val="007A70C1"/>
    <w:rsid w:val="007A7AE8"/>
    <w:rsid w:val="007A7C59"/>
    <w:rsid w:val="007A7EE9"/>
    <w:rsid w:val="007B06E8"/>
    <w:rsid w:val="007B08D1"/>
    <w:rsid w:val="007B0A3B"/>
    <w:rsid w:val="007B0FF1"/>
    <w:rsid w:val="007B1A38"/>
    <w:rsid w:val="007B1FEF"/>
    <w:rsid w:val="007B24A8"/>
    <w:rsid w:val="007B30EE"/>
    <w:rsid w:val="007B332E"/>
    <w:rsid w:val="007B3D7F"/>
    <w:rsid w:val="007B40F3"/>
    <w:rsid w:val="007B4235"/>
    <w:rsid w:val="007B4579"/>
    <w:rsid w:val="007B4BE6"/>
    <w:rsid w:val="007B51AB"/>
    <w:rsid w:val="007B5228"/>
    <w:rsid w:val="007B585C"/>
    <w:rsid w:val="007B5B99"/>
    <w:rsid w:val="007B63D5"/>
    <w:rsid w:val="007B6CCF"/>
    <w:rsid w:val="007C03B6"/>
    <w:rsid w:val="007C050F"/>
    <w:rsid w:val="007C052A"/>
    <w:rsid w:val="007C0619"/>
    <w:rsid w:val="007C0AA2"/>
    <w:rsid w:val="007C0D94"/>
    <w:rsid w:val="007C12B5"/>
    <w:rsid w:val="007C1CF7"/>
    <w:rsid w:val="007C20D8"/>
    <w:rsid w:val="007C23AA"/>
    <w:rsid w:val="007C28B9"/>
    <w:rsid w:val="007C28C5"/>
    <w:rsid w:val="007C294D"/>
    <w:rsid w:val="007C2A8E"/>
    <w:rsid w:val="007C2E2E"/>
    <w:rsid w:val="007C32CD"/>
    <w:rsid w:val="007C35CB"/>
    <w:rsid w:val="007C38D2"/>
    <w:rsid w:val="007C3A1C"/>
    <w:rsid w:val="007C3B5E"/>
    <w:rsid w:val="007C3BF9"/>
    <w:rsid w:val="007C45B2"/>
    <w:rsid w:val="007C4626"/>
    <w:rsid w:val="007C4769"/>
    <w:rsid w:val="007C4AE7"/>
    <w:rsid w:val="007C4C41"/>
    <w:rsid w:val="007C5570"/>
    <w:rsid w:val="007C5D80"/>
    <w:rsid w:val="007C63D8"/>
    <w:rsid w:val="007C6939"/>
    <w:rsid w:val="007C6BB5"/>
    <w:rsid w:val="007C6CEB"/>
    <w:rsid w:val="007C6D51"/>
    <w:rsid w:val="007C7246"/>
    <w:rsid w:val="007C77B0"/>
    <w:rsid w:val="007C77B4"/>
    <w:rsid w:val="007C7A1F"/>
    <w:rsid w:val="007C7F49"/>
    <w:rsid w:val="007D00F2"/>
    <w:rsid w:val="007D020E"/>
    <w:rsid w:val="007D06D1"/>
    <w:rsid w:val="007D0844"/>
    <w:rsid w:val="007D0910"/>
    <w:rsid w:val="007D0EFD"/>
    <w:rsid w:val="007D0F17"/>
    <w:rsid w:val="007D15C2"/>
    <w:rsid w:val="007D202E"/>
    <w:rsid w:val="007D2202"/>
    <w:rsid w:val="007D2269"/>
    <w:rsid w:val="007D2D67"/>
    <w:rsid w:val="007D312D"/>
    <w:rsid w:val="007D341B"/>
    <w:rsid w:val="007D3560"/>
    <w:rsid w:val="007D3C7E"/>
    <w:rsid w:val="007D3D9F"/>
    <w:rsid w:val="007D41DC"/>
    <w:rsid w:val="007D434D"/>
    <w:rsid w:val="007D47A1"/>
    <w:rsid w:val="007D50D0"/>
    <w:rsid w:val="007D536E"/>
    <w:rsid w:val="007D5D45"/>
    <w:rsid w:val="007D6305"/>
    <w:rsid w:val="007D67F9"/>
    <w:rsid w:val="007D6982"/>
    <w:rsid w:val="007D6D5C"/>
    <w:rsid w:val="007D71E4"/>
    <w:rsid w:val="007D75C6"/>
    <w:rsid w:val="007D769C"/>
    <w:rsid w:val="007D7A57"/>
    <w:rsid w:val="007D7D63"/>
    <w:rsid w:val="007E0E89"/>
    <w:rsid w:val="007E1012"/>
    <w:rsid w:val="007E1126"/>
    <w:rsid w:val="007E1304"/>
    <w:rsid w:val="007E16E4"/>
    <w:rsid w:val="007E1ADE"/>
    <w:rsid w:val="007E1D2E"/>
    <w:rsid w:val="007E2563"/>
    <w:rsid w:val="007E2609"/>
    <w:rsid w:val="007E2D1C"/>
    <w:rsid w:val="007E3C3E"/>
    <w:rsid w:val="007E3F26"/>
    <w:rsid w:val="007E4439"/>
    <w:rsid w:val="007E49FE"/>
    <w:rsid w:val="007E4A13"/>
    <w:rsid w:val="007E4A83"/>
    <w:rsid w:val="007E4DF7"/>
    <w:rsid w:val="007E5178"/>
    <w:rsid w:val="007E5220"/>
    <w:rsid w:val="007E5298"/>
    <w:rsid w:val="007E5512"/>
    <w:rsid w:val="007E5A21"/>
    <w:rsid w:val="007E5BFF"/>
    <w:rsid w:val="007E6199"/>
    <w:rsid w:val="007E667D"/>
    <w:rsid w:val="007E6A58"/>
    <w:rsid w:val="007E6AF6"/>
    <w:rsid w:val="007E707E"/>
    <w:rsid w:val="007E71A3"/>
    <w:rsid w:val="007E79D9"/>
    <w:rsid w:val="007E7B49"/>
    <w:rsid w:val="007E7BE1"/>
    <w:rsid w:val="007E7F97"/>
    <w:rsid w:val="007F00C7"/>
    <w:rsid w:val="007F00CA"/>
    <w:rsid w:val="007F013D"/>
    <w:rsid w:val="007F048A"/>
    <w:rsid w:val="007F0A70"/>
    <w:rsid w:val="007F0DDE"/>
    <w:rsid w:val="007F0FC3"/>
    <w:rsid w:val="007F0FCC"/>
    <w:rsid w:val="007F0FCD"/>
    <w:rsid w:val="007F10EB"/>
    <w:rsid w:val="007F1153"/>
    <w:rsid w:val="007F12C7"/>
    <w:rsid w:val="007F15B5"/>
    <w:rsid w:val="007F17E2"/>
    <w:rsid w:val="007F19A1"/>
    <w:rsid w:val="007F1B93"/>
    <w:rsid w:val="007F1BF9"/>
    <w:rsid w:val="007F1E9E"/>
    <w:rsid w:val="007F1F41"/>
    <w:rsid w:val="007F2016"/>
    <w:rsid w:val="007F23D1"/>
    <w:rsid w:val="007F2423"/>
    <w:rsid w:val="007F2696"/>
    <w:rsid w:val="007F272B"/>
    <w:rsid w:val="007F275D"/>
    <w:rsid w:val="007F2B89"/>
    <w:rsid w:val="007F2C3F"/>
    <w:rsid w:val="007F2D6E"/>
    <w:rsid w:val="007F34FF"/>
    <w:rsid w:val="007F3954"/>
    <w:rsid w:val="007F3AAF"/>
    <w:rsid w:val="007F4044"/>
    <w:rsid w:val="007F409E"/>
    <w:rsid w:val="007F4126"/>
    <w:rsid w:val="007F4197"/>
    <w:rsid w:val="007F4B5A"/>
    <w:rsid w:val="007F4FB0"/>
    <w:rsid w:val="007F52C7"/>
    <w:rsid w:val="007F6104"/>
    <w:rsid w:val="007F67E0"/>
    <w:rsid w:val="007F6D4A"/>
    <w:rsid w:val="007F741F"/>
    <w:rsid w:val="007F7499"/>
    <w:rsid w:val="007F765A"/>
    <w:rsid w:val="007F77AC"/>
    <w:rsid w:val="007F7A82"/>
    <w:rsid w:val="007F7B84"/>
    <w:rsid w:val="007F7D83"/>
    <w:rsid w:val="007F7FF0"/>
    <w:rsid w:val="008005D6"/>
    <w:rsid w:val="00800889"/>
    <w:rsid w:val="00800945"/>
    <w:rsid w:val="00800B19"/>
    <w:rsid w:val="00800B96"/>
    <w:rsid w:val="00800CC2"/>
    <w:rsid w:val="00801508"/>
    <w:rsid w:val="00801689"/>
    <w:rsid w:val="0080277C"/>
    <w:rsid w:val="00802799"/>
    <w:rsid w:val="00802861"/>
    <w:rsid w:val="00802BC6"/>
    <w:rsid w:val="00802BF2"/>
    <w:rsid w:val="00802CD0"/>
    <w:rsid w:val="00802FB1"/>
    <w:rsid w:val="008034D8"/>
    <w:rsid w:val="00803612"/>
    <w:rsid w:val="0080364F"/>
    <w:rsid w:val="00803731"/>
    <w:rsid w:val="008038AB"/>
    <w:rsid w:val="00803B13"/>
    <w:rsid w:val="00803D4C"/>
    <w:rsid w:val="00803F0C"/>
    <w:rsid w:val="00804703"/>
    <w:rsid w:val="00804767"/>
    <w:rsid w:val="008047A7"/>
    <w:rsid w:val="0080493B"/>
    <w:rsid w:val="00804A3D"/>
    <w:rsid w:val="00805065"/>
    <w:rsid w:val="0080515E"/>
    <w:rsid w:val="00805789"/>
    <w:rsid w:val="00805A60"/>
    <w:rsid w:val="00805FFC"/>
    <w:rsid w:val="00806F19"/>
    <w:rsid w:val="00806F22"/>
    <w:rsid w:val="00806FC3"/>
    <w:rsid w:val="008071A4"/>
    <w:rsid w:val="00807604"/>
    <w:rsid w:val="00807D5C"/>
    <w:rsid w:val="00807DB4"/>
    <w:rsid w:val="008106D8"/>
    <w:rsid w:val="00810B61"/>
    <w:rsid w:val="00810DE6"/>
    <w:rsid w:val="00811116"/>
    <w:rsid w:val="0081112E"/>
    <w:rsid w:val="00811250"/>
    <w:rsid w:val="00811401"/>
    <w:rsid w:val="0081156E"/>
    <w:rsid w:val="00811666"/>
    <w:rsid w:val="00811CBE"/>
    <w:rsid w:val="00811F18"/>
    <w:rsid w:val="00811F4C"/>
    <w:rsid w:val="008120D7"/>
    <w:rsid w:val="008120DD"/>
    <w:rsid w:val="00812B41"/>
    <w:rsid w:val="00812EBD"/>
    <w:rsid w:val="00813192"/>
    <w:rsid w:val="0081361F"/>
    <w:rsid w:val="00813886"/>
    <w:rsid w:val="008138E8"/>
    <w:rsid w:val="00813987"/>
    <w:rsid w:val="0081432C"/>
    <w:rsid w:val="008148E6"/>
    <w:rsid w:val="00814935"/>
    <w:rsid w:val="00814A8E"/>
    <w:rsid w:val="00814DDC"/>
    <w:rsid w:val="00815D8C"/>
    <w:rsid w:val="00815FFA"/>
    <w:rsid w:val="00816258"/>
    <w:rsid w:val="008164DE"/>
    <w:rsid w:val="00816C5A"/>
    <w:rsid w:val="00816D41"/>
    <w:rsid w:val="00817062"/>
    <w:rsid w:val="00817149"/>
    <w:rsid w:val="00817427"/>
    <w:rsid w:val="008176DA"/>
    <w:rsid w:val="008178C6"/>
    <w:rsid w:val="00817A87"/>
    <w:rsid w:val="00817EA9"/>
    <w:rsid w:val="00817FC2"/>
    <w:rsid w:val="0082059E"/>
    <w:rsid w:val="00820A8F"/>
    <w:rsid w:val="00820CF8"/>
    <w:rsid w:val="0082162F"/>
    <w:rsid w:val="008219EB"/>
    <w:rsid w:val="00821B78"/>
    <w:rsid w:val="00821E47"/>
    <w:rsid w:val="008220BC"/>
    <w:rsid w:val="0082270C"/>
    <w:rsid w:val="0082302C"/>
    <w:rsid w:val="008230AC"/>
    <w:rsid w:val="008230D2"/>
    <w:rsid w:val="00823369"/>
    <w:rsid w:val="008239D7"/>
    <w:rsid w:val="00823B53"/>
    <w:rsid w:val="00824605"/>
    <w:rsid w:val="00824616"/>
    <w:rsid w:val="00824749"/>
    <w:rsid w:val="0082480A"/>
    <w:rsid w:val="00824D5B"/>
    <w:rsid w:val="00825011"/>
    <w:rsid w:val="00825195"/>
    <w:rsid w:val="00825350"/>
    <w:rsid w:val="00825819"/>
    <w:rsid w:val="00825A03"/>
    <w:rsid w:val="00825B26"/>
    <w:rsid w:val="00825EF2"/>
    <w:rsid w:val="0082609D"/>
    <w:rsid w:val="00826339"/>
    <w:rsid w:val="008264FB"/>
    <w:rsid w:val="00826EA2"/>
    <w:rsid w:val="00826F2E"/>
    <w:rsid w:val="00827094"/>
    <w:rsid w:val="00827588"/>
    <w:rsid w:val="008275CC"/>
    <w:rsid w:val="008276E2"/>
    <w:rsid w:val="008279CA"/>
    <w:rsid w:val="00827BCA"/>
    <w:rsid w:val="008302DA"/>
    <w:rsid w:val="00830792"/>
    <w:rsid w:val="008307D4"/>
    <w:rsid w:val="0083083B"/>
    <w:rsid w:val="00830CE4"/>
    <w:rsid w:val="00830E0F"/>
    <w:rsid w:val="00831035"/>
    <w:rsid w:val="0083105C"/>
    <w:rsid w:val="0083117C"/>
    <w:rsid w:val="00831397"/>
    <w:rsid w:val="008315D0"/>
    <w:rsid w:val="00831918"/>
    <w:rsid w:val="0083198F"/>
    <w:rsid w:val="00831A63"/>
    <w:rsid w:val="00831EC9"/>
    <w:rsid w:val="0083208C"/>
    <w:rsid w:val="00832175"/>
    <w:rsid w:val="0083234C"/>
    <w:rsid w:val="0083281C"/>
    <w:rsid w:val="008329ED"/>
    <w:rsid w:val="00832CB3"/>
    <w:rsid w:val="00832D64"/>
    <w:rsid w:val="00832E6D"/>
    <w:rsid w:val="00832FFC"/>
    <w:rsid w:val="00833621"/>
    <w:rsid w:val="0083367C"/>
    <w:rsid w:val="0083374E"/>
    <w:rsid w:val="00834119"/>
    <w:rsid w:val="00834333"/>
    <w:rsid w:val="008349FF"/>
    <w:rsid w:val="00834A9D"/>
    <w:rsid w:val="00834AC7"/>
    <w:rsid w:val="00834AF3"/>
    <w:rsid w:val="00834C53"/>
    <w:rsid w:val="00834F32"/>
    <w:rsid w:val="00834F8E"/>
    <w:rsid w:val="008352C6"/>
    <w:rsid w:val="00835693"/>
    <w:rsid w:val="00835E18"/>
    <w:rsid w:val="008365F8"/>
    <w:rsid w:val="008368A6"/>
    <w:rsid w:val="00836CCE"/>
    <w:rsid w:val="00837662"/>
    <w:rsid w:val="00837A03"/>
    <w:rsid w:val="00837B8D"/>
    <w:rsid w:val="00837E56"/>
    <w:rsid w:val="00840064"/>
    <w:rsid w:val="0084046E"/>
    <w:rsid w:val="00840690"/>
    <w:rsid w:val="008409D6"/>
    <w:rsid w:val="00841236"/>
    <w:rsid w:val="00841AF0"/>
    <w:rsid w:val="00842521"/>
    <w:rsid w:val="00842A23"/>
    <w:rsid w:val="00842AEC"/>
    <w:rsid w:val="00843594"/>
    <w:rsid w:val="008436E1"/>
    <w:rsid w:val="008438A6"/>
    <w:rsid w:val="008438B1"/>
    <w:rsid w:val="00843C9B"/>
    <w:rsid w:val="00843DD3"/>
    <w:rsid w:val="00844072"/>
    <w:rsid w:val="0084461E"/>
    <w:rsid w:val="00844868"/>
    <w:rsid w:val="00844892"/>
    <w:rsid w:val="008448B3"/>
    <w:rsid w:val="00844D4D"/>
    <w:rsid w:val="0084502A"/>
    <w:rsid w:val="008453D2"/>
    <w:rsid w:val="00845813"/>
    <w:rsid w:val="00845927"/>
    <w:rsid w:val="00845BB8"/>
    <w:rsid w:val="00846B65"/>
    <w:rsid w:val="00846E16"/>
    <w:rsid w:val="008470D4"/>
    <w:rsid w:val="00847ACD"/>
    <w:rsid w:val="00847DDD"/>
    <w:rsid w:val="00847F17"/>
    <w:rsid w:val="00850645"/>
    <w:rsid w:val="008507EC"/>
    <w:rsid w:val="00851570"/>
    <w:rsid w:val="008516C9"/>
    <w:rsid w:val="00851905"/>
    <w:rsid w:val="00851EE5"/>
    <w:rsid w:val="0085223F"/>
    <w:rsid w:val="0085237E"/>
    <w:rsid w:val="008529C9"/>
    <w:rsid w:val="00852B67"/>
    <w:rsid w:val="00852D08"/>
    <w:rsid w:val="00852D50"/>
    <w:rsid w:val="00852D8F"/>
    <w:rsid w:val="00852EB4"/>
    <w:rsid w:val="00852F37"/>
    <w:rsid w:val="00853268"/>
    <w:rsid w:val="008537C0"/>
    <w:rsid w:val="0085389A"/>
    <w:rsid w:val="00853A27"/>
    <w:rsid w:val="00853C55"/>
    <w:rsid w:val="008540C2"/>
    <w:rsid w:val="008540FF"/>
    <w:rsid w:val="00854190"/>
    <w:rsid w:val="0085482E"/>
    <w:rsid w:val="00854B69"/>
    <w:rsid w:val="00854D01"/>
    <w:rsid w:val="00854DF6"/>
    <w:rsid w:val="00854E09"/>
    <w:rsid w:val="00855189"/>
    <w:rsid w:val="008555D2"/>
    <w:rsid w:val="0085568D"/>
    <w:rsid w:val="008556F6"/>
    <w:rsid w:val="00855EF0"/>
    <w:rsid w:val="0085621D"/>
    <w:rsid w:val="00856946"/>
    <w:rsid w:val="00856CD6"/>
    <w:rsid w:val="00856DF8"/>
    <w:rsid w:val="0085725D"/>
    <w:rsid w:val="008574A0"/>
    <w:rsid w:val="0085789A"/>
    <w:rsid w:val="0085799A"/>
    <w:rsid w:val="008579F5"/>
    <w:rsid w:val="00857B89"/>
    <w:rsid w:val="00857BB6"/>
    <w:rsid w:val="00857BED"/>
    <w:rsid w:val="00857D84"/>
    <w:rsid w:val="0086000E"/>
    <w:rsid w:val="00860342"/>
    <w:rsid w:val="008603EB"/>
    <w:rsid w:val="00860459"/>
    <w:rsid w:val="00860635"/>
    <w:rsid w:val="0086068B"/>
    <w:rsid w:val="0086086B"/>
    <w:rsid w:val="0086098C"/>
    <w:rsid w:val="00860FED"/>
    <w:rsid w:val="0086106E"/>
    <w:rsid w:val="008612E6"/>
    <w:rsid w:val="00861306"/>
    <w:rsid w:val="008617BB"/>
    <w:rsid w:val="008618F1"/>
    <w:rsid w:val="008619AB"/>
    <w:rsid w:val="00861CC6"/>
    <w:rsid w:val="00861F38"/>
    <w:rsid w:val="00861F50"/>
    <w:rsid w:val="0086282E"/>
    <w:rsid w:val="00862902"/>
    <w:rsid w:val="00862989"/>
    <w:rsid w:val="00862E44"/>
    <w:rsid w:val="00862F25"/>
    <w:rsid w:val="00863086"/>
    <w:rsid w:val="008630DE"/>
    <w:rsid w:val="0086310E"/>
    <w:rsid w:val="0086316C"/>
    <w:rsid w:val="00863409"/>
    <w:rsid w:val="0086372A"/>
    <w:rsid w:val="00863813"/>
    <w:rsid w:val="0086389F"/>
    <w:rsid w:val="00863A18"/>
    <w:rsid w:val="00863AEB"/>
    <w:rsid w:val="00864025"/>
    <w:rsid w:val="00864271"/>
    <w:rsid w:val="008645C7"/>
    <w:rsid w:val="0086462F"/>
    <w:rsid w:val="00864867"/>
    <w:rsid w:val="0086492F"/>
    <w:rsid w:val="0086538E"/>
    <w:rsid w:val="00865948"/>
    <w:rsid w:val="00865A07"/>
    <w:rsid w:val="00865ADB"/>
    <w:rsid w:val="00865B79"/>
    <w:rsid w:val="00865F7D"/>
    <w:rsid w:val="00865FE6"/>
    <w:rsid w:val="0086631D"/>
    <w:rsid w:val="00867245"/>
    <w:rsid w:val="008679AF"/>
    <w:rsid w:val="00867A2D"/>
    <w:rsid w:val="00867EC5"/>
    <w:rsid w:val="008704B5"/>
    <w:rsid w:val="0087063C"/>
    <w:rsid w:val="00870A2F"/>
    <w:rsid w:val="00870B67"/>
    <w:rsid w:val="00870C92"/>
    <w:rsid w:val="00870FB4"/>
    <w:rsid w:val="00871143"/>
    <w:rsid w:val="008713FA"/>
    <w:rsid w:val="008714D6"/>
    <w:rsid w:val="00871523"/>
    <w:rsid w:val="008716A3"/>
    <w:rsid w:val="008718A7"/>
    <w:rsid w:val="00871907"/>
    <w:rsid w:val="00871910"/>
    <w:rsid w:val="00871EF7"/>
    <w:rsid w:val="008722AF"/>
    <w:rsid w:val="0087245A"/>
    <w:rsid w:val="00872612"/>
    <w:rsid w:val="00872A33"/>
    <w:rsid w:val="00873324"/>
    <w:rsid w:val="008734B8"/>
    <w:rsid w:val="008735F6"/>
    <w:rsid w:val="00873C1D"/>
    <w:rsid w:val="00874904"/>
    <w:rsid w:val="00874985"/>
    <w:rsid w:val="0087536E"/>
    <w:rsid w:val="0087572C"/>
    <w:rsid w:val="0087581E"/>
    <w:rsid w:val="00875C78"/>
    <w:rsid w:val="00875CC8"/>
    <w:rsid w:val="008761A7"/>
    <w:rsid w:val="008763AF"/>
    <w:rsid w:val="00876613"/>
    <w:rsid w:val="008767CA"/>
    <w:rsid w:val="008767CB"/>
    <w:rsid w:val="008768BA"/>
    <w:rsid w:val="00876949"/>
    <w:rsid w:val="00876F42"/>
    <w:rsid w:val="00877220"/>
    <w:rsid w:val="0087738B"/>
    <w:rsid w:val="00877C9A"/>
    <w:rsid w:val="00877FA3"/>
    <w:rsid w:val="00880084"/>
    <w:rsid w:val="0088017D"/>
    <w:rsid w:val="0088036A"/>
    <w:rsid w:val="00880528"/>
    <w:rsid w:val="00880B8F"/>
    <w:rsid w:val="008813AE"/>
    <w:rsid w:val="008814CE"/>
    <w:rsid w:val="008815F5"/>
    <w:rsid w:val="008817B7"/>
    <w:rsid w:val="0088189D"/>
    <w:rsid w:val="00881915"/>
    <w:rsid w:val="00881A13"/>
    <w:rsid w:val="00881A36"/>
    <w:rsid w:val="008823A3"/>
    <w:rsid w:val="0088241D"/>
    <w:rsid w:val="0088242E"/>
    <w:rsid w:val="00882473"/>
    <w:rsid w:val="008824F2"/>
    <w:rsid w:val="008827E5"/>
    <w:rsid w:val="00882955"/>
    <w:rsid w:val="00882E07"/>
    <w:rsid w:val="00883681"/>
    <w:rsid w:val="0088370E"/>
    <w:rsid w:val="00883719"/>
    <w:rsid w:val="0088374D"/>
    <w:rsid w:val="00883788"/>
    <w:rsid w:val="008839AF"/>
    <w:rsid w:val="00883AB5"/>
    <w:rsid w:val="00884297"/>
    <w:rsid w:val="00884300"/>
    <w:rsid w:val="00884770"/>
    <w:rsid w:val="008847CF"/>
    <w:rsid w:val="00884925"/>
    <w:rsid w:val="00884F5E"/>
    <w:rsid w:val="008850B6"/>
    <w:rsid w:val="00885219"/>
    <w:rsid w:val="008855D3"/>
    <w:rsid w:val="0088583C"/>
    <w:rsid w:val="00885A6F"/>
    <w:rsid w:val="00885B82"/>
    <w:rsid w:val="00885B92"/>
    <w:rsid w:val="0088601A"/>
    <w:rsid w:val="0088621B"/>
    <w:rsid w:val="008866B5"/>
    <w:rsid w:val="00886706"/>
    <w:rsid w:val="0088672F"/>
    <w:rsid w:val="00886BA7"/>
    <w:rsid w:val="00886C55"/>
    <w:rsid w:val="00886F12"/>
    <w:rsid w:val="00887002"/>
    <w:rsid w:val="008877F3"/>
    <w:rsid w:val="00887877"/>
    <w:rsid w:val="00887EA0"/>
    <w:rsid w:val="0089145F"/>
    <w:rsid w:val="00891532"/>
    <w:rsid w:val="00891535"/>
    <w:rsid w:val="0089154B"/>
    <w:rsid w:val="00891C8A"/>
    <w:rsid w:val="00891CC0"/>
    <w:rsid w:val="00891EB5"/>
    <w:rsid w:val="0089201D"/>
    <w:rsid w:val="00892031"/>
    <w:rsid w:val="0089226F"/>
    <w:rsid w:val="00892286"/>
    <w:rsid w:val="008924F5"/>
    <w:rsid w:val="008926A0"/>
    <w:rsid w:val="00892BA2"/>
    <w:rsid w:val="0089317B"/>
    <w:rsid w:val="0089374D"/>
    <w:rsid w:val="00893AD0"/>
    <w:rsid w:val="00893C1B"/>
    <w:rsid w:val="008943A7"/>
    <w:rsid w:val="008944AF"/>
    <w:rsid w:val="00894A9F"/>
    <w:rsid w:val="00894EAA"/>
    <w:rsid w:val="00894EED"/>
    <w:rsid w:val="00895243"/>
    <w:rsid w:val="0089544D"/>
    <w:rsid w:val="00895568"/>
    <w:rsid w:val="0089583B"/>
    <w:rsid w:val="008958E4"/>
    <w:rsid w:val="00895A70"/>
    <w:rsid w:val="00895D0C"/>
    <w:rsid w:val="00895E10"/>
    <w:rsid w:val="00895E76"/>
    <w:rsid w:val="00895F14"/>
    <w:rsid w:val="008966BE"/>
    <w:rsid w:val="008967AF"/>
    <w:rsid w:val="00896C05"/>
    <w:rsid w:val="008975D5"/>
    <w:rsid w:val="00897620"/>
    <w:rsid w:val="008976C7"/>
    <w:rsid w:val="00897C82"/>
    <w:rsid w:val="008A0030"/>
    <w:rsid w:val="008A05B1"/>
    <w:rsid w:val="008A0768"/>
    <w:rsid w:val="008A09A6"/>
    <w:rsid w:val="008A14CC"/>
    <w:rsid w:val="008A1666"/>
    <w:rsid w:val="008A1937"/>
    <w:rsid w:val="008A1F87"/>
    <w:rsid w:val="008A2474"/>
    <w:rsid w:val="008A2A8D"/>
    <w:rsid w:val="008A2D7C"/>
    <w:rsid w:val="008A2FFF"/>
    <w:rsid w:val="008A301D"/>
    <w:rsid w:val="008A3034"/>
    <w:rsid w:val="008A32E3"/>
    <w:rsid w:val="008A3865"/>
    <w:rsid w:val="008A3D2C"/>
    <w:rsid w:val="008A3D3E"/>
    <w:rsid w:val="008A3E1C"/>
    <w:rsid w:val="008A3FFD"/>
    <w:rsid w:val="008A41F0"/>
    <w:rsid w:val="008A421D"/>
    <w:rsid w:val="008A443B"/>
    <w:rsid w:val="008A44B9"/>
    <w:rsid w:val="008A47E4"/>
    <w:rsid w:val="008A49D9"/>
    <w:rsid w:val="008A4A9F"/>
    <w:rsid w:val="008A503C"/>
    <w:rsid w:val="008A508E"/>
    <w:rsid w:val="008A54C1"/>
    <w:rsid w:val="008A56C3"/>
    <w:rsid w:val="008A5AE2"/>
    <w:rsid w:val="008A5BA2"/>
    <w:rsid w:val="008A5DD9"/>
    <w:rsid w:val="008A5FA9"/>
    <w:rsid w:val="008A611D"/>
    <w:rsid w:val="008A64EF"/>
    <w:rsid w:val="008A6B8E"/>
    <w:rsid w:val="008A72AC"/>
    <w:rsid w:val="008A72DA"/>
    <w:rsid w:val="008A733C"/>
    <w:rsid w:val="008A7559"/>
    <w:rsid w:val="008A7980"/>
    <w:rsid w:val="008A79B1"/>
    <w:rsid w:val="008A7A02"/>
    <w:rsid w:val="008A7AED"/>
    <w:rsid w:val="008A7BC2"/>
    <w:rsid w:val="008A7F29"/>
    <w:rsid w:val="008B01D6"/>
    <w:rsid w:val="008B06C8"/>
    <w:rsid w:val="008B08EA"/>
    <w:rsid w:val="008B0E3A"/>
    <w:rsid w:val="008B1345"/>
    <w:rsid w:val="008B1399"/>
    <w:rsid w:val="008B1420"/>
    <w:rsid w:val="008B1A2F"/>
    <w:rsid w:val="008B1BE6"/>
    <w:rsid w:val="008B1C8E"/>
    <w:rsid w:val="008B262B"/>
    <w:rsid w:val="008B26C0"/>
    <w:rsid w:val="008B29FD"/>
    <w:rsid w:val="008B2E24"/>
    <w:rsid w:val="008B2F16"/>
    <w:rsid w:val="008B3249"/>
    <w:rsid w:val="008B34B7"/>
    <w:rsid w:val="008B36DF"/>
    <w:rsid w:val="008B3AED"/>
    <w:rsid w:val="008B3D89"/>
    <w:rsid w:val="008B4644"/>
    <w:rsid w:val="008B48F0"/>
    <w:rsid w:val="008B4AA3"/>
    <w:rsid w:val="008B4BEB"/>
    <w:rsid w:val="008B4ED3"/>
    <w:rsid w:val="008B5386"/>
    <w:rsid w:val="008B5D3E"/>
    <w:rsid w:val="008B5E98"/>
    <w:rsid w:val="008B61EC"/>
    <w:rsid w:val="008B6609"/>
    <w:rsid w:val="008B6B83"/>
    <w:rsid w:val="008B6E8A"/>
    <w:rsid w:val="008B6F0C"/>
    <w:rsid w:val="008B732F"/>
    <w:rsid w:val="008B78FE"/>
    <w:rsid w:val="008B7AE6"/>
    <w:rsid w:val="008B7C9C"/>
    <w:rsid w:val="008C0054"/>
    <w:rsid w:val="008C0349"/>
    <w:rsid w:val="008C06E1"/>
    <w:rsid w:val="008C0E28"/>
    <w:rsid w:val="008C100F"/>
    <w:rsid w:val="008C1374"/>
    <w:rsid w:val="008C140F"/>
    <w:rsid w:val="008C1BBB"/>
    <w:rsid w:val="008C1F5F"/>
    <w:rsid w:val="008C2148"/>
    <w:rsid w:val="008C227D"/>
    <w:rsid w:val="008C2A34"/>
    <w:rsid w:val="008C2F0D"/>
    <w:rsid w:val="008C30AF"/>
    <w:rsid w:val="008C3212"/>
    <w:rsid w:val="008C33E7"/>
    <w:rsid w:val="008C3ADC"/>
    <w:rsid w:val="008C3D9F"/>
    <w:rsid w:val="008C4019"/>
    <w:rsid w:val="008C454D"/>
    <w:rsid w:val="008C46F0"/>
    <w:rsid w:val="008C4EEE"/>
    <w:rsid w:val="008C4EF0"/>
    <w:rsid w:val="008C5122"/>
    <w:rsid w:val="008C54D1"/>
    <w:rsid w:val="008C5AD6"/>
    <w:rsid w:val="008C5BFF"/>
    <w:rsid w:val="008C5D06"/>
    <w:rsid w:val="008C5E34"/>
    <w:rsid w:val="008C65C7"/>
    <w:rsid w:val="008C6601"/>
    <w:rsid w:val="008C6664"/>
    <w:rsid w:val="008C6830"/>
    <w:rsid w:val="008C69C6"/>
    <w:rsid w:val="008C6EC9"/>
    <w:rsid w:val="008C7278"/>
    <w:rsid w:val="008C749A"/>
    <w:rsid w:val="008C7A93"/>
    <w:rsid w:val="008C7F20"/>
    <w:rsid w:val="008D0409"/>
    <w:rsid w:val="008D088E"/>
    <w:rsid w:val="008D091B"/>
    <w:rsid w:val="008D09C9"/>
    <w:rsid w:val="008D0C22"/>
    <w:rsid w:val="008D0C26"/>
    <w:rsid w:val="008D0EF9"/>
    <w:rsid w:val="008D12DB"/>
    <w:rsid w:val="008D1423"/>
    <w:rsid w:val="008D143B"/>
    <w:rsid w:val="008D15B5"/>
    <w:rsid w:val="008D17F6"/>
    <w:rsid w:val="008D193B"/>
    <w:rsid w:val="008D1A65"/>
    <w:rsid w:val="008D1ABC"/>
    <w:rsid w:val="008D1DF0"/>
    <w:rsid w:val="008D2938"/>
    <w:rsid w:val="008D3010"/>
    <w:rsid w:val="008D3260"/>
    <w:rsid w:val="008D326E"/>
    <w:rsid w:val="008D349A"/>
    <w:rsid w:val="008D36FD"/>
    <w:rsid w:val="008D3925"/>
    <w:rsid w:val="008D3C76"/>
    <w:rsid w:val="008D3CCC"/>
    <w:rsid w:val="008D3D61"/>
    <w:rsid w:val="008D3ECE"/>
    <w:rsid w:val="008D40FF"/>
    <w:rsid w:val="008D43D0"/>
    <w:rsid w:val="008D4925"/>
    <w:rsid w:val="008D4C49"/>
    <w:rsid w:val="008D4E67"/>
    <w:rsid w:val="008D50FF"/>
    <w:rsid w:val="008D51A8"/>
    <w:rsid w:val="008D53DC"/>
    <w:rsid w:val="008D5795"/>
    <w:rsid w:val="008D589C"/>
    <w:rsid w:val="008D5936"/>
    <w:rsid w:val="008D5DF8"/>
    <w:rsid w:val="008D5E0A"/>
    <w:rsid w:val="008D5E57"/>
    <w:rsid w:val="008D6515"/>
    <w:rsid w:val="008D686E"/>
    <w:rsid w:val="008D690F"/>
    <w:rsid w:val="008D69A1"/>
    <w:rsid w:val="008D6A1B"/>
    <w:rsid w:val="008D6A49"/>
    <w:rsid w:val="008D6F12"/>
    <w:rsid w:val="008D70B7"/>
    <w:rsid w:val="008D72D7"/>
    <w:rsid w:val="008D7692"/>
    <w:rsid w:val="008D76E2"/>
    <w:rsid w:val="008D7C23"/>
    <w:rsid w:val="008E0065"/>
    <w:rsid w:val="008E026B"/>
    <w:rsid w:val="008E0713"/>
    <w:rsid w:val="008E0D44"/>
    <w:rsid w:val="008E0E64"/>
    <w:rsid w:val="008E127F"/>
    <w:rsid w:val="008E1BF5"/>
    <w:rsid w:val="008E1E1A"/>
    <w:rsid w:val="008E20F0"/>
    <w:rsid w:val="008E22AE"/>
    <w:rsid w:val="008E2436"/>
    <w:rsid w:val="008E258C"/>
    <w:rsid w:val="008E26A8"/>
    <w:rsid w:val="008E27F4"/>
    <w:rsid w:val="008E2BE0"/>
    <w:rsid w:val="008E3160"/>
    <w:rsid w:val="008E3206"/>
    <w:rsid w:val="008E332E"/>
    <w:rsid w:val="008E34B6"/>
    <w:rsid w:val="008E36E9"/>
    <w:rsid w:val="008E3759"/>
    <w:rsid w:val="008E3D08"/>
    <w:rsid w:val="008E3E39"/>
    <w:rsid w:val="008E3EA2"/>
    <w:rsid w:val="008E40B4"/>
    <w:rsid w:val="008E414F"/>
    <w:rsid w:val="008E4347"/>
    <w:rsid w:val="008E4586"/>
    <w:rsid w:val="008E4880"/>
    <w:rsid w:val="008E4937"/>
    <w:rsid w:val="008E4942"/>
    <w:rsid w:val="008E5575"/>
    <w:rsid w:val="008E5992"/>
    <w:rsid w:val="008E5C11"/>
    <w:rsid w:val="008E5CD3"/>
    <w:rsid w:val="008E5D78"/>
    <w:rsid w:val="008E5D90"/>
    <w:rsid w:val="008E5E2B"/>
    <w:rsid w:val="008E5EB7"/>
    <w:rsid w:val="008E5F32"/>
    <w:rsid w:val="008E6068"/>
    <w:rsid w:val="008E6267"/>
    <w:rsid w:val="008E67C0"/>
    <w:rsid w:val="008E67DA"/>
    <w:rsid w:val="008E67FF"/>
    <w:rsid w:val="008E69A4"/>
    <w:rsid w:val="008E6AA1"/>
    <w:rsid w:val="008E6B76"/>
    <w:rsid w:val="008E6C80"/>
    <w:rsid w:val="008E6D36"/>
    <w:rsid w:val="008E6DB5"/>
    <w:rsid w:val="008E6F3E"/>
    <w:rsid w:val="008E71BE"/>
    <w:rsid w:val="008E73EC"/>
    <w:rsid w:val="008E74EC"/>
    <w:rsid w:val="008E7730"/>
    <w:rsid w:val="008F0856"/>
    <w:rsid w:val="008F0E87"/>
    <w:rsid w:val="008F0F46"/>
    <w:rsid w:val="008F1113"/>
    <w:rsid w:val="008F13E5"/>
    <w:rsid w:val="008F19C6"/>
    <w:rsid w:val="008F1D0D"/>
    <w:rsid w:val="008F2083"/>
    <w:rsid w:val="008F21C9"/>
    <w:rsid w:val="008F237E"/>
    <w:rsid w:val="008F26F1"/>
    <w:rsid w:val="008F290B"/>
    <w:rsid w:val="008F2B52"/>
    <w:rsid w:val="008F2D5A"/>
    <w:rsid w:val="008F303A"/>
    <w:rsid w:val="008F3091"/>
    <w:rsid w:val="008F3145"/>
    <w:rsid w:val="008F32CD"/>
    <w:rsid w:val="008F3981"/>
    <w:rsid w:val="008F3A9E"/>
    <w:rsid w:val="008F3C63"/>
    <w:rsid w:val="008F3CF1"/>
    <w:rsid w:val="008F3D49"/>
    <w:rsid w:val="008F3F9D"/>
    <w:rsid w:val="008F40BF"/>
    <w:rsid w:val="008F422E"/>
    <w:rsid w:val="008F429B"/>
    <w:rsid w:val="008F44FA"/>
    <w:rsid w:val="008F4589"/>
    <w:rsid w:val="008F4750"/>
    <w:rsid w:val="008F4AD9"/>
    <w:rsid w:val="008F4E92"/>
    <w:rsid w:val="008F528E"/>
    <w:rsid w:val="008F52AD"/>
    <w:rsid w:val="008F544E"/>
    <w:rsid w:val="008F5608"/>
    <w:rsid w:val="008F6102"/>
    <w:rsid w:val="008F62DF"/>
    <w:rsid w:val="008F64A5"/>
    <w:rsid w:val="008F6D2D"/>
    <w:rsid w:val="008F6EEE"/>
    <w:rsid w:val="008F6F9B"/>
    <w:rsid w:val="008F6FC0"/>
    <w:rsid w:val="008F7659"/>
    <w:rsid w:val="008F7678"/>
    <w:rsid w:val="008F7A66"/>
    <w:rsid w:val="008F7CD6"/>
    <w:rsid w:val="008F7F55"/>
    <w:rsid w:val="0090031E"/>
    <w:rsid w:val="00900399"/>
    <w:rsid w:val="009006D9"/>
    <w:rsid w:val="00901026"/>
    <w:rsid w:val="00901063"/>
    <w:rsid w:val="00901732"/>
    <w:rsid w:val="00901871"/>
    <w:rsid w:val="00903064"/>
    <w:rsid w:val="009032E9"/>
    <w:rsid w:val="00903362"/>
    <w:rsid w:val="0090360E"/>
    <w:rsid w:val="009040CB"/>
    <w:rsid w:val="0090485E"/>
    <w:rsid w:val="00904F79"/>
    <w:rsid w:val="00904F8C"/>
    <w:rsid w:val="00905A87"/>
    <w:rsid w:val="00905C8E"/>
    <w:rsid w:val="00905D8F"/>
    <w:rsid w:val="00905DF3"/>
    <w:rsid w:val="00906146"/>
    <w:rsid w:val="009062F2"/>
    <w:rsid w:val="009066F5"/>
    <w:rsid w:val="00906775"/>
    <w:rsid w:val="00906A00"/>
    <w:rsid w:val="00906BAE"/>
    <w:rsid w:val="00906BB7"/>
    <w:rsid w:val="00906C53"/>
    <w:rsid w:val="00906D67"/>
    <w:rsid w:val="009071C1"/>
    <w:rsid w:val="009073DA"/>
    <w:rsid w:val="009077B2"/>
    <w:rsid w:val="00907CF3"/>
    <w:rsid w:val="00907DA5"/>
    <w:rsid w:val="00907DF1"/>
    <w:rsid w:val="0091067D"/>
    <w:rsid w:val="009106E2"/>
    <w:rsid w:val="00910DC0"/>
    <w:rsid w:val="00910E91"/>
    <w:rsid w:val="00910FDF"/>
    <w:rsid w:val="00910FF4"/>
    <w:rsid w:val="0091132E"/>
    <w:rsid w:val="00911493"/>
    <w:rsid w:val="00911800"/>
    <w:rsid w:val="00911E72"/>
    <w:rsid w:val="009121CD"/>
    <w:rsid w:val="009123DF"/>
    <w:rsid w:val="0091247F"/>
    <w:rsid w:val="009124E2"/>
    <w:rsid w:val="00912618"/>
    <w:rsid w:val="00912AEB"/>
    <w:rsid w:val="00912C67"/>
    <w:rsid w:val="00912D18"/>
    <w:rsid w:val="00912E9B"/>
    <w:rsid w:val="00912F9D"/>
    <w:rsid w:val="00913169"/>
    <w:rsid w:val="00913946"/>
    <w:rsid w:val="00913C84"/>
    <w:rsid w:val="00913FD7"/>
    <w:rsid w:val="009145BA"/>
    <w:rsid w:val="00914712"/>
    <w:rsid w:val="00914A9B"/>
    <w:rsid w:val="0091516C"/>
    <w:rsid w:val="00915187"/>
    <w:rsid w:val="00915264"/>
    <w:rsid w:val="009153D7"/>
    <w:rsid w:val="0091591C"/>
    <w:rsid w:val="00915B3A"/>
    <w:rsid w:val="0091617E"/>
    <w:rsid w:val="00916567"/>
    <w:rsid w:val="009166F3"/>
    <w:rsid w:val="00916703"/>
    <w:rsid w:val="00916910"/>
    <w:rsid w:val="0091711B"/>
    <w:rsid w:val="009178DD"/>
    <w:rsid w:val="009178FA"/>
    <w:rsid w:val="0091799C"/>
    <w:rsid w:val="00917FAB"/>
    <w:rsid w:val="0092000F"/>
    <w:rsid w:val="009202C5"/>
    <w:rsid w:val="00920698"/>
    <w:rsid w:val="00920720"/>
    <w:rsid w:val="00920893"/>
    <w:rsid w:val="00920A1C"/>
    <w:rsid w:val="00920AB6"/>
    <w:rsid w:val="00920C93"/>
    <w:rsid w:val="0092156C"/>
    <w:rsid w:val="0092190E"/>
    <w:rsid w:val="00921DCA"/>
    <w:rsid w:val="00921DF2"/>
    <w:rsid w:val="009222C2"/>
    <w:rsid w:val="0092234C"/>
    <w:rsid w:val="0092238C"/>
    <w:rsid w:val="0092248B"/>
    <w:rsid w:val="0092262D"/>
    <w:rsid w:val="00922B9F"/>
    <w:rsid w:val="00923203"/>
    <w:rsid w:val="0092326E"/>
    <w:rsid w:val="00923445"/>
    <w:rsid w:val="00923A14"/>
    <w:rsid w:val="00923C08"/>
    <w:rsid w:val="009249F0"/>
    <w:rsid w:val="00925083"/>
    <w:rsid w:val="009250A5"/>
    <w:rsid w:val="009251FC"/>
    <w:rsid w:val="00925656"/>
    <w:rsid w:val="009259EE"/>
    <w:rsid w:val="00925AB1"/>
    <w:rsid w:val="00925DEF"/>
    <w:rsid w:val="00925EAF"/>
    <w:rsid w:val="00925F30"/>
    <w:rsid w:val="009262D6"/>
    <w:rsid w:val="009263A5"/>
    <w:rsid w:val="00926B25"/>
    <w:rsid w:val="0092775D"/>
    <w:rsid w:val="00927870"/>
    <w:rsid w:val="00927C6A"/>
    <w:rsid w:val="00927DE1"/>
    <w:rsid w:val="00927EE4"/>
    <w:rsid w:val="00927FC1"/>
    <w:rsid w:val="00930176"/>
    <w:rsid w:val="009303FE"/>
    <w:rsid w:val="00930648"/>
    <w:rsid w:val="00930777"/>
    <w:rsid w:val="009308B6"/>
    <w:rsid w:val="00930B1F"/>
    <w:rsid w:val="00930CDA"/>
    <w:rsid w:val="00930D5F"/>
    <w:rsid w:val="00930E48"/>
    <w:rsid w:val="00931066"/>
    <w:rsid w:val="009315C0"/>
    <w:rsid w:val="00931BFA"/>
    <w:rsid w:val="00931C6C"/>
    <w:rsid w:val="009324BD"/>
    <w:rsid w:val="00932BBC"/>
    <w:rsid w:val="00932E89"/>
    <w:rsid w:val="00933110"/>
    <w:rsid w:val="00933180"/>
    <w:rsid w:val="0093335B"/>
    <w:rsid w:val="009338ED"/>
    <w:rsid w:val="00933A9E"/>
    <w:rsid w:val="00933AB5"/>
    <w:rsid w:val="00933D4B"/>
    <w:rsid w:val="00933E7F"/>
    <w:rsid w:val="009344C0"/>
    <w:rsid w:val="009346A7"/>
    <w:rsid w:val="00934B08"/>
    <w:rsid w:val="00934CCF"/>
    <w:rsid w:val="009355FF"/>
    <w:rsid w:val="009357BA"/>
    <w:rsid w:val="00935AB4"/>
    <w:rsid w:val="009366EE"/>
    <w:rsid w:val="00936713"/>
    <w:rsid w:val="009367DC"/>
    <w:rsid w:val="00936835"/>
    <w:rsid w:val="00936A03"/>
    <w:rsid w:val="00937007"/>
    <w:rsid w:val="0093735D"/>
    <w:rsid w:val="009374F9"/>
    <w:rsid w:val="00937631"/>
    <w:rsid w:val="0093765A"/>
    <w:rsid w:val="0093770E"/>
    <w:rsid w:val="00937719"/>
    <w:rsid w:val="0093774B"/>
    <w:rsid w:val="0093784F"/>
    <w:rsid w:val="009378B5"/>
    <w:rsid w:val="00937B11"/>
    <w:rsid w:val="00940127"/>
    <w:rsid w:val="0094067C"/>
    <w:rsid w:val="00940806"/>
    <w:rsid w:val="00940D65"/>
    <w:rsid w:val="00940DA7"/>
    <w:rsid w:val="00940DE4"/>
    <w:rsid w:val="00940EE8"/>
    <w:rsid w:val="00940F0B"/>
    <w:rsid w:val="009410D9"/>
    <w:rsid w:val="009411D8"/>
    <w:rsid w:val="0094192A"/>
    <w:rsid w:val="00941A16"/>
    <w:rsid w:val="00941C80"/>
    <w:rsid w:val="00941C94"/>
    <w:rsid w:val="00941DCF"/>
    <w:rsid w:val="00941F27"/>
    <w:rsid w:val="009427A1"/>
    <w:rsid w:val="00942AED"/>
    <w:rsid w:val="00942CAA"/>
    <w:rsid w:val="00942DF1"/>
    <w:rsid w:val="00943044"/>
    <w:rsid w:val="00943553"/>
    <w:rsid w:val="009436F7"/>
    <w:rsid w:val="0094377E"/>
    <w:rsid w:val="00943D26"/>
    <w:rsid w:val="00943D75"/>
    <w:rsid w:val="00943DFB"/>
    <w:rsid w:val="00943E95"/>
    <w:rsid w:val="00943FAB"/>
    <w:rsid w:val="009442B6"/>
    <w:rsid w:val="00944A50"/>
    <w:rsid w:val="00944CAB"/>
    <w:rsid w:val="0094500B"/>
    <w:rsid w:val="00945452"/>
    <w:rsid w:val="00945747"/>
    <w:rsid w:val="00945FCC"/>
    <w:rsid w:val="00946186"/>
    <w:rsid w:val="00946376"/>
    <w:rsid w:val="0094637A"/>
    <w:rsid w:val="0094657C"/>
    <w:rsid w:val="0094679D"/>
    <w:rsid w:val="00946803"/>
    <w:rsid w:val="00946AD9"/>
    <w:rsid w:val="00946D96"/>
    <w:rsid w:val="0094752D"/>
    <w:rsid w:val="00947580"/>
    <w:rsid w:val="00947908"/>
    <w:rsid w:val="00947BF7"/>
    <w:rsid w:val="00947E45"/>
    <w:rsid w:val="0095002C"/>
    <w:rsid w:val="0095009A"/>
    <w:rsid w:val="00950396"/>
    <w:rsid w:val="00950AFF"/>
    <w:rsid w:val="0095124B"/>
    <w:rsid w:val="009512DC"/>
    <w:rsid w:val="00951A7E"/>
    <w:rsid w:val="00951E31"/>
    <w:rsid w:val="00951F1C"/>
    <w:rsid w:val="00951FED"/>
    <w:rsid w:val="0095228C"/>
    <w:rsid w:val="009524C9"/>
    <w:rsid w:val="00952AA9"/>
    <w:rsid w:val="00953064"/>
    <w:rsid w:val="009533F2"/>
    <w:rsid w:val="00953556"/>
    <w:rsid w:val="009535A1"/>
    <w:rsid w:val="0095360D"/>
    <w:rsid w:val="00953693"/>
    <w:rsid w:val="009537AD"/>
    <w:rsid w:val="00953838"/>
    <w:rsid w:val="00953A1C"/>
    <w:rsid w:val="00953B34"/>
    <w:rsid w:val="00953CD9"/>
    <w:rsid w:val="00953D32"/>
    <w:rsid w:val="00953E7E"/>
    <w:rsid w:val="009540EF"/>
    <w:rsid w:val="009543D8"/>
    <w:rsid w:val="009547B6"/>
    <w:rsid w:val="00954D64"/>
    <w:rsid w:val="00954E3E"/>
    <w:rsid w:val="00954F5C"/>
    <w:rsid w:val="00954F74"/>
    <w:rsid w:val="009550AC"/>
    <w:rsid w:val="00955413"/>
    <w:rsid w:val="009555C8"/>
    <w:rsid w:val="009557A8"/>
    <w:rsid w:val="009559A5"/>
    <w:rsid w:val="00955E07"/>
    <w:rsid w:val="00956098"/>
    <w:rsid w:val="009562B8"/>
    <w:rsid w:val="009567D9"/>
    <w:rsid w:val="00956852"/>
    <w:rsid w:val="0095698F"/>
    <w:rsid w:val="009570FC"/>
    <w:rsid w:val="00957923"/>
    <w:rsid w:val="00957AD1"/>
    <w:rsid w:val="00957BB9"/>
    <w:rsid w:val="00957C59"/>
    <w:rsid w:val="00957F17"/>
    <w:rsid w:val="00960239"/>
    <w:rsid w:val="0096026E"/>
    <w:rsid w:val="00960575"/>
    <w:rsid w:val="00960889"/>
    <w:rsid w:val="00961541"/>
    <w:rsid w:val="00961604"/>
    <w:rsid w:val="00961780"/>
    <w:rsid w:val="00961E38"/>
    <w:rsid w:val="009622D8"/>
    <w:rsid w:val="009624BC"/>
    <w:rsid w:val="009627F0"/>
    <w:rsid w:val="00962A18"/>
    <w:rsid w:val="00962B93"/>
    <w:rsid w:val="00962B9A"/>
    <w:rsid w:val="00963194"/>
    <w:rsid w:val="00963256"/>
    <w:rsid w:val="0096376A"/>
    <w:rsid w:val="00963874"/>
    <w:rsid w:val="00963CE3"/>
    <w:rsid w:val="00963EAF"/>
    <w:rsid w:val="00964FF3"/>
    <w:rsid w:val="009655F6"/>
    <w:rsid w:val="009657B6"/>
    <w:rsid w:val="00966904"/>
    <w:rsid w:val="00966DA6"/>
    <w:rsid w:val="00966E57"/>
    <w:rsid w:val="00966F92"/>
    <w:rsid w:val="009671EE"/>
    <w:rsid w:val="0096765A"/>
    <w:rsid w:val="009676FC"/>
    <w:rsid w:val="00967980"/>
    <w:rsid w:val="00970318"/>
    <w:rsid w:val="009709CF"/>
    <w:rsid w:val="00970D6A"/>
    <w:rsid w:val="0097105D"/>
    <w:rsid w:val="009713D5"/>
    <w:rsid w:val="00971516"/>
    <w:rsid w:val="009717EF"/>
    <w:rsid w:val="00971B3C"/>
    <w:rsid w:val="00971DB2"/>
    <w:rsid w:val="00971E9F"/>
    <w:rsid w:val="00972152"/>
    <w:rsid w:val="009722EE"/>
    <w:rsid w:val="009730DF"/>
    <w:rsid w:val="009732E9"/>
    <w:rsid w:val="009734E1"/>
    <w:rsid w:val="00973C47"/>
    <w:rsid w:val="00973C85"/>
    <w:rsid w:val="00973EEB"/>
    <w:rsid w:val="009741D9"/>
    <w:rsid w:val="00974A40"/>
    <w:rsid w:val="00974ABD"/>
    <w:rsid w:val="00974CE0"/>
    <w:rsid w:val="00974D05"/>
    <w:rsid w:val="00974F04"/>
    <w:rsid w:val="00975156"/>
    <w:rsid w:val="009754AD"/>
    <w:rsid w:val="009757EC"/>
    <w:rsid w:val="00975A6E"/>
    <w:rsid w:val="00975C7C"/>
    <w:rsid w:val="00975D8E"/>
    <w:rsid w:val="00976397"/>
    <w:rsid w:val="00976A8B"/>
    <w:rsid w:val="00976E0B"/>
    <w:rsid w:val="009771ED"/>
    <w:rsid w:val="0097746B"/>
    <w:rsid w:val="00977495"/>
    <w:rsid w:val="0097769A"/>
    <w:rsid w:val="009777E7"/>
    <w:rsid w:val="00977D28"/>
    <w:rsid w:val="00977E53"/>
    <w:rsid w:val="00977F01"/>
    <w:rsid w:val="00977F49"/>
    <w:rsid w:val="00977FB3"/>
    <w:rsid w:val="009800CF"/>
    <w:rsid w:val="009801E5"/>
    <w:rsid w:val="00980326"/>
    <w:rsid w:val="009806ED"/>
    <w:rsid w:val="0098086B"/>
    <w:rsid w:val="00980A20"/>
    <w:rsid w:val="009812F9"/>
    <w:rsid w:val="009815B5"/>
    <w:rsid w:val="009818DE"/>
    <w:rsid w:val="00982664"/>
    <w:rsid w:val="00982B78"/>
    <w:rsid w:val="00982C76"/>
    <w:rsid w:val="00982CCF"/>
    <w:rsid w:val="00983041"/>
    <w:rsid w:val="009831BA"/>
    <w:rsid w:val="0098337A"/>
    <w:rsid w:val="00983457"/>
    <w:rsid w:val="00983640"/>
    <w:rsid w:val="0098393A"/>
    <w:rsid w:val="00983BD4"/>
    <w:rsid w:val="00983C0D"/>
    <w:rsid w:val="00984151"/>
    <w:rsid w:val="0098420D"/>
    <w:rsid w:val="009843C7"/>
    <w:rsid w:val="00984ADE"/>
    <w:rsid w:val="00984C1F"/>
    <w:rsid w:val="00984EE4"/>
    <w:rsid w:val="00984F82"/>
    <w:rsid w:val="009850A8"/>
    <w:rsid w:val="0098521F"/>
    <w:rsid w:val="009853F6"/>
    <w:rsid w:val="009855D7"/>
    <w:rsid w:val="00985BC7"/>
    <w:rsid w:val="00985C56"/>
    <w:rsid w:val="00985F1C"/>
    <w:rsid w:val="00986241"/>
    <w:rsid w:val="00986472"/>
    <w:rsid w:val="00986C5D"/>
    <w:rsid w:val="00986C73"/>
    <w:rsid w:val="00986F73"/>
    <w:rsid w:val="0098704C"/>
    <w:rsid w:val="009873AB"/>
    <w:rsid w:val="009874D5"/>
    <w:rsid w:val="00987934"/>
    <w:rsid w:val="009903DA"/>
    <w:rsid w:val="00990881"/>
    <w:rsid w:val="00990B4E"/>
    <w:rsid w:val="00990CA0"/>
    <w:rsid w:val="00990E02"/>
    <w:rsid w:val="00991588"/>
    <w:rsid w:val="0099263B"/>
    <w:rsid w:val="00992763"/>
    <w:rsid w:val="009927E9"/>
    <w:rsid w:val="00992C58"/>
    <w:rsid w:val="009931F7"/>
    <w:rsid w:val="00993600"/>
    <w:rsid w:val="00993741"/>
    <w:rsid w:val="0099393C"/>
    <w:rsid w:val="00993A22"/>
    <w:rsid w:val="00993E5C"/>
    <w:rsid w:val="00994127"/>
    <w:rsid w:val="0099443E"/>
    <w:rsid w:val="00994553"/>
    <w:rsid w:val="00994606"/>
    <w:rsid w:val="00994664"/>
    <w:rsid w:val="009949A4"/>
    <w:rsid w:val="00995039"/>
    <w:rsid w:val="009951BF"/>
    <w:rsid w:val="009952D1"/>
    <w:rsid w:val="009955D0"/>
    <w:rsid w:val="00995828"/>
    <w:rsid w:val="009958FA"/>
    <w:rsid w:val="00995951"/>
    <w:rsid w:val="0099596A"/>
    <w:rsid w:val="00995975"/>
    <w:rsid w:val="00995AA6"/>
    <w:rsid w:val="009964EB"/>
    <w:rsid w:val="00996B14"/>
    <w:rsid w:val="0099713C"/>
    <w:rsid w:val="00997823"/>
    <w:rsid w:val="00997ECF"/>
    <w:rsid w:val="009A00DA"/>
    <w:rsid w:val="009A00F8"/>
    <w:rsid w:val="009A0232"/>
    <w:rsid w:val="009A09C1"/>
    <w:rsid w:val="009A0E05"/>
    <w:rsid w:val="009A0E68"/>
    <w:rsid w:val="009A155C"/>
    <w:rsid w:val="009A1723"/>
    <w:rsid w:val="009A1895"/>
    <w:rsid w:val="009A244F"/>
    <w:rsid w:val="009A28C7"/>
    <w:rsid w:val="009A2D29"/>
    <w:rsid w:val="009A318F"/>
    <w:rsid w:val="009A3419"/>
    <w:rsid w:val="009A3585"/>
    <w:rsid w:val="009A375A"/>
    <w:rsid w:val="009A3E1D"/>
    <w:rsid w:val="009A3E6D"/>
    <w:rsid w:val="009A3EB3"/>
    <w:rsid w:val="009A4019"/>
    <w:rsid w:val="009A4117"/>
    <w:rsid w:val="009A4169"/>
    <w:rsid w:val="009A43C6"/>
    <w:rsid w:val="009A4A28"/>
    <w:rsid w:val="009A5015"/>
    <w:rsid w:val="009A52E2"/>
    <w:rsid w:val="009A538C"/>
    <w:rsid w:val="009A5432"/>
    <w:rsid w:val="009A58D4"/>
    <w:rsid w:val="009A58DE"/>
    <w:rsid w:val="009A596C"/>
    <w:rsid w:val="009A5A5F"/>
    <w:rsid w:val="009A5E31"/>
    <w:rsid w:val="009A5EF7"/>
    <w:rsid w:val="009A6481"/>
    <w:rsid w:val="009A6E25"/>
    <w:rsid w:val="009A7274"/>
    <w:rsid w:val="009A7A9C"/>
    <w:rsid w:val="009A7C79"/>
    <w:rsid w:val="009A7D9E"/>
    <w:rsid w:val="009A7F5D"/>
    <w:rsid w:val="009B01FD"/>
    <w:rsid w:val="009B02E1"/>
    <w:rsid w:val="009B0541"/>
    <w:rsid w:val="009B0C3F"/>
    <w:rsid w:val="009B11C8"/>
    <w:rsid w:val="009B1206"/>
    <w:rsid w:val="009B1912"/>
    <w:rsid w:val="009B23FC"/>
    <w:rsid w:val="009B2498"/>
    <w:rsid w:val="009B2623"/>
    <w:rsid w:val="009B2BDE"/>
    <w:rsid w:val="009B2DCA"/>
    <w:rsid w:val="009B2E5E"/>
    <w:rsid w:val="009B2FA8"/>
    <w:rsid w:val="009B3709"/>
    <w:rsid w:val="009B3E34"/>
    <w:rsid w:val="009B3F26"/>
    <w:rsid w:val="009B44FF"/>
    <w:rsid w:val="009B4974"/>
    <w:rsid w:val="009B5002"/>
    <w:rsid w:val="009B51C7"/>
    <w:rsid w:val="009B534C"/>
    <w:rsid w:val="009B5729"/>
    <w:rsid w:val="009B59D1"/>
    <w:rsid w:val="009B5ADC"/>
    <w:rsid w:val="009B5BF3"/>
    <w:rsid w:val="009B5C14"/>
    <w:rsid w:val="009B5C48"/>
    <w:rsid w:val="009B5D9D"/>
    <w:rsid w:val="009B6048"/>
    <w:rsid w:val="009B6098"/>
    <w:rsid w:val="009B6370"/>
    <w:rsid w:val="009B64CB"/>
    <w:rsid w:val="009B6D89"/>
    <w:rsid w:val="009B6EC0"/>
    <w:rsid w:val="009B7100"/>
    <w:rsid w:val="009B7199"/>
    <w:rsid w:val="009B71E5"/>
    <w:rsid w:val="009B72C1"/>
    <w:rsid w:val="009B754F"/>
    <w:rsid w:val="009B75CC"/>
    <w:rsid w:val="009B7882"/>
    <w:rsid w:val="009B79FC"/>
    <w:rsid w:val="009B7A22"/>
    <w:rsid w:val="009B7DCB"/>
    <w:rsid w:val="009B7F47"/>
    <w:rsid w:val="009C01E0"/>
    <w:rsid w:val="009C0242"/>
    <w:rsid w:val="009C0575"/>
    <w:rsid w:val="009C06E8"/>
    <w:rsid w:val="009C07BA"/>
    <w:rsid w:val="009C0CBA"/>
    <w:rsid w:val="009C0CFC"/>
    <w:rsid w:val="009C0DCA"/>
    <w:rsid w:val="009C0E67"/>
    <w:rsid w:val="009C10BC"/>
    <w:rsid w:val="009C11A8"/>
    <w:rsid w:val="009C1223"/>
    <w:rsid w:val="009C123F"/>
    <w:rsid w:val="009C1353"/>
    <w:rsid w:val="009C1627"/>
    <w:rsid w:val="009C1790"/>
    <w:rsid w:val="009C21A5"/>
    <w:rsid w:val="009C2359"/>
    <w:rsid w:val="009C2570"/>
    <w:rsid w:val="009C3658"/>
    <w:rsid w:val="009C3959"/>
    <w:rsid w:val="009C3F17"/>
    <w:rsid w:val="009C40E9"/>
    <w:rsid w:val="009C44BB"/>
    <w:rsid w:val="009C48EF"/>
    <w:rsid w:val="009C4DA7"/>
    <w:rsid w:val="009C4DBB"/>
    <w:rsid w:val="009C4E93"/>
    <w:rsid w:val="009C5229"/>
    <w:rsid w:val="009C535B"/>
    <w:rsid w:val="009C549F"/>
    <w:rsid w:val="009C5D15"/>
    <w:rsid w:val="009C5D9D"/>
    <w:rsid w:val="009C6089"/>
    <w:rsid w:val="009C6365"/>
    <w:rsid w:val="009C6A70"/>
    <w:rsid w:val="009C6CC8"/>
    <w:rsid w:val="009C6E40"/>
    <w:rsid w:val="009C7165"/>
    <w:rsid w:val="009C7231"/>
    <w:rsid w:val="009C7593"/>
    <w:rsid w:val="009C7D79"/>
    <w:rsid w:val="009C7EAD"/>
    <w:rsid w:val="009D04AA"/>
    <w:rsid w:val="009D0820"/>
    <w:rsid w:val="009D08EE"/>
    <w:rsid w:val="009D092D"/>
    <w:rsid w:val="009D0974"/>
    <w:rsid w:val="009D145A"/>
    <w:rsid w:val="009D14FE"/>
    <w:rsid w:val="009D1733"/>
    <w:rsid w:val="009D175C"/>
    <w:rsid w:val="009D17B7"/>
    <w:rsid w:val="009D1837"/>
    <w:rsid w:val="009D19C4"/>
    <w:rsid w:val="009D1A62"/>
    <w:rsid w:val="009D1B81"/>
    <w:rsid w:val="009D1CA1"/>
    <w:rsid w:val="009D2125"/>
    <w:rsid w:val="009D2221"/>
    <w:rsid w:val="009D2339"/>
    <w:rsid w:val="009D23BB"/>
    <w:rsid w:val="009D2419"/>
    <w:rsid w:val="009D24F2"/>
    <w:rsid w:val="009D2761"/>
    <w:rsid w:val="009D28D3"/>
    <w:rsid w:val="009D2CB1"/>
    <w:rsid w:val="009D2FB6"/>
    <w:rsid w:val="009D31B4"/>
    <w:rsid w:val="009D3285"/>
    <w:rsid w:val="009D3927"/>
    <w:rsid w:val="009D4713"/>
    <w:rsid w:val="009D47BB"/>
    <w:rsid w:val="009D4BCB"/>
    <w:rsid w:val="009D4C9C"/>
    <w:rsid w:val="009D4F31"/>
    <w:rsid w:val="009D55FE"/>
    <w:rsid w:val="009D572F"/>
    <w:rsid w:val="009D587D"/>
    <w:rsid w:val="009D5ABF"/>
    <w:rsid w:val="009D5E61"/>
    <w:rsid w:val="009D621C"/>
    <w:rsid w:val="009D6382"/>
    <w:rsid w:val="009D773D"/>
    <w:rsid w:val="009D77D7"/>
    <w:rsid w:val="009D7BD7"/>
    <w:rsid w:val="009D7C29"/>
    <w:rsid w:val="009D7FEE"/>
    <w:rsid w:val="009E0074"/>
    <w:rsid w:val="009E00CD"/>
    <w:rsid w:val="009E0892"/>
    <w:rsid w:val="009E093E"/>
    <w:rsid w:val="009E0E5E"/>
    <w:rsid w:val="009E1811"/>
    <w:rsid w:val="009E19DB"/>
    <w:rsid w:val="009E1ED0"/>
    <w:rsid w:val="009E230B"/>
    <w:rsid w:val="009E23EC"/>
    <w:rsid w:val="009E2412"/>
    <w:rsid w:val="009E2E77"/>
    <w:rsid w:val="009E2EFE"/>
    <w:rsid w:val="009E2F3D"/>
    <w:rsid w:val="009E306D"/>
    <w:rsid w:val="009E35FB"/>
    <w:rsid w:val="009E3759"/>
    <w:rsid w:val="009E3941"/>
    <w:rsid w:val="009E3B00"/>
    <w:rsid w:val="009E3D20"/>
    <w:rsid w:val="009E3FA4"/>
    <w:rsid w:val="009E4010"/>
    <w:rsid w:val="009E4110"/>
    <w:rsid w:val="009E46B7"/>
    <w:rsid w:val="009E46D8"/>
    <w:rsid w:val="009E48AC"/>
    <w:rsid w:val="009E495F"/>
    <w:rsid w:val="009E4A50"/>
    <w:rsid w:val="009E4AFC"/>
    <w:rsid w:val="009E4C71"/>
    <w:rsid w:val="009E4CD4"/>
    <w:rsid w:val="009E4EE5"/>
    <w:rsid w:val="009E515C"/>
    <w:rsid w:val="009E5431"/>
    <w:rsid w:val="009E54F8"/>
    <w:rsid w:val="009E55CB"/>
    <w:rsid w:val="009E59A7"/>
    <w:rsid w:val="009E5A8C"/>
    <w:rsid w:val="009E5C19"/>
    <w:rsid w:val="009E6442"/>
    <w:rsid w:val="009E6771"/>
    <w:rsid w:val="009E68A9"/>
    <w:rsid w:val="009E6E90"/>
    <w:rsid w:val="009E7003"/>
    <w:rsid w:val="009E744A"/>
    <w:rsid w:val="009E744E"/>
    <w:rsid w:val="009E7467"/>
    <w:rsid w:val="009E759C"/>
    <w:rsid w:val="009E7CFB"/>
    <w:rsid w:val="009F0287"/>
    <w:rsid w:val="009F04E3"/>
    <w:rsid w:val="009F057F"/>
    <w:rsid w:val="009F0813"/>
    <w:rsid w:val="009F0890"/>
    <w:rsid w:val="009F08EE"/>
    <w:rsid w:val="009F0A13"/>
    <w:rsid w:val="009F1989"/>
    <w:rsid w:val="009F1A81"/>
    <w:rsid w:val="009F2278"/>
    <w:rsid w:val="009F2316"/>
    <w:rsid w:val="009F2934"/>
    <w:rsid w:val="009F2B27"/>
    <w:rsid w:val="009F2D83"/>
    <w:rsid w:val="009F2EBA"/>
    <w:rsid w:val="009F2EFC"/>
    <w:rsid w:val="009F2F22"/>
    <w:rsid w:val="009F2F8A"/>
    <w:rsid w:val="009F2FD5"/>
    <w:rsid w:val="009F3141"/>
    <w:rsid w:val="009F3728"/>
    <w:rsid w:val="009F3AC2"/>
    <w:rsid w:val="009F3DC6"/>
    <w:rsid w:val="009F4187"/>
    <w:rsid w:val="009F43AF"/>
    <w:rsid w:val="009F473C"/>
    <w:rsid w:val="009F483F"/>
    <w:rsid w:val="009F4DA6"/>
    <w:rsid w:val="009F561B"/>
    <w:rsid w:val="009F5692"/>
    <w:rsid w:val="009F5C5F"/>
    <w:rsid w:val="009F5D2C"/>
    <w:rsid w:val="009F5FF4"/>
    <w:rsid w:val="009F6308"/>
    <w:rsid w:val="009F660B"/>
    <w:rsid w:val="009F6E03"/>
    <w:rsid w:val="009F6E4F"/>
    <w:rsid w:val="009F70F1"/>
    <w:rsid w:val="009F71E8"/>
    <w:rsid w:val="009F7941"/>
    <w:rsid w:val="00A001E4"/>
    <w:rsid w:val="00A00382"/>
    <w:rsid w:val="00A00435"/>
    <w:rsid w:val="00A00679"/>
    <w:rsid w:val="00A00819"/>
    <w:rsid w:val="00A00883"/>
    <w:rsid w:val="00A00A0E"/>
    <w:rsid w:val="00A00BBC"/>
    <w:rsid w:val="00A00C0D"/>
    <w:rsid w:val="00A01323"/>
    <w:rsid w:val="00A01525"/>
    <w:rsid w:val="00A016EE"/>
    <w:rsid w:val="00A01B04"/>
    <w:rsid w:val="00A01B38"/>
    <w:rsid w:val="00A01C5A"/>
    <w:rsid w:val="00A021E5"/>
    <w:rsid w:val="00A02212"/>
    <w:rsid w:val="00A02319"/>
    <w:rsid w:val="00A024DF"/>
    <w:rsid w:val="00A026A3"/>
    <w:rsid w:val="00A02965"/>
    <w:rsid w:val="00A02D48"/>
    <w:rsid w:val="00A02FE0"/>
    <w:rsid w:val="00A0330B"/>
    <w:rsid w:val="00A0348C"/>
    <w:rsid w:val="00A0356B"/>
    <w:rsid w:val="00A03688"/>
    <w:rsid w:val="00A03782"/>
    <w:rsid w:val="00A04334"/>
    <w:rsid w:val="00A04944"/>
    <w:rsid w:val="00A04C4F"/>
    <w:rsid w:val="00A04EF5"/>
    <w:rsid w:val="00A04F7E"/>
    <w:rsid w:val="00A051ED"/>
    <w:rsid w:val="00A0566A"/>
    <w:rsid w:val="00A05BA0"/>
    <w:rsid w:val="00A05C47"/>
    <w:rsid w:val="00A05FCE"/>
    <w:rsid w:val="00A0695E"/>
    <w:rsid w:val="00A069D0"/>
    <w:rsid w:val="00A06FE0"/>
    <w:rsid w:val="00A072D9"/>
    <w:rsid w:val="00A072DA"/>
    <w:rsid w:val="00A07538"/>
    <w:rsid w:val="00A075A9"/>
    <w:rsid w:val="00A07BC6"/>
    <w:rsid w:val="00A1037F"/>
    <w:rsid w:val="00A10DBD"/>
    <w:rsid w:val="00A10F2C"/>
    <w:rsid w:val="00A11023"/>
    <w:rsid w:val="00A11467"/>
    <w:rsid w:val="00A114BF"/>
    <w:rsid w:val="00A11761"/>
    <w:rsid w:val="00A118B0"/>
    <w:rsid w:val="00A1195F"/>
    <w:rsid w:val="00A11C0D"/>
    <w:rsid w:val="00A11CB4"/>
    <w:rsid w:val="00A11D74"/>
    <w:rsid w:val="00A120BF"/>
    <w:rsid w:val="00A121E6"/>
    <w:rsid w:val="00A12299"/>
    <w:rsid w:val="00A1236A"/>
    <w:rsid w:val="00A12970"/>
    <w:rsid w:val="00A12B4D"/>
    <w:rsid w:val="00A12D5A"/>
    <w:rsid w:val="00A13005"/>
    <w:rsid w:val="00A1300F"/>
    <w:rsid w:val="00A130C7"/>
    <w:rsid w:val="00A134C7"/>
    <w:rsid w:val="00A13836"/>
    <w:rsid w:val="00A13D59"/>
    <w:rsid w:val="00A13ECE"/>
    <w:rsid w:val="00A13F1F"/>
    <w:rsid w:val="00A14152"/>
    <w:rsid w:val="00A14677"/>
    <w:rsid w:val="00A149C4"/>
    <w:rsid w:val="00A149D8"/>
    <w:rsid w:val="00A14E64"/>
    <w:rsid w:val="00A151DD"/>
    <w:rsid w:val="00A15309"/>
    <w:rsid w:val="00A157FB"/>
    <w:rsid w:val="00A15B79"/>
    <w:rsid w:val="00A16332"/>
    <w:rsid w:val="00A1634B"/>
    <w:rsid w:val="00A1637C"/>
    <w:rsid w:val="00A1652D"/>
    <w:rsid w:val="00A16C80"/>
    <w:rsid w:val="00A17439"/>
    <w:rsid w:val="00A177B4"/>
    <w:rsid w:val="00A17C8B"/>
    <w:rsid w:val="00A20954"/>
    <w:rsid w:val="00A20B41"/>
    <w:rsid w:val="00A21678"/>
    <w:rsid w:val="00A216CA"/>
    <w:rsid w:val="00A21B3C"/>
    <w:rsid w:val="00A22041"/>
    <w:rsid w:val="00A2213D"/>
    <w:rsid w:val="00A221A7"/>
    <w:rsid w:val="00A22219"/>
    <w:rsid w:val="00A22A03"/>
    <w:rsid w:val="00A22A22"/>
    <w:rsid w:val="00A22A7E"/>
    <w:rsid w:val="00A22BE2"/>
    <w:rsid w:val="00A22D46"/>
    <w:rsid w:val="00A22E62"/>
    <w:rsid w:val="00A22FAA"/>
    <w:rsid w:val="00A22FF2"/>
    <w:rsid w:val="00A2327F"/>
    <w:rsid w:val="00A23671"/>
    <w:rsid w:val="00A2372B"/>
    <w:rsid w:val="00A23761"/>
    <w:rsid w:val="00A23765"/>
    <w:rsid w:val="00A23BD9"/>
    <w:rsid w:val="00A23FB4"/>
    <w:rsid w:val="00A24043"/>
    <w:rsid w:val="00A2413E"/>
    <w:rsid w:val="00A24225"/>
    <w:rsid w:val="00A24319"/>
    <w:rsid w:val="00A24C0A"/>
    <w:rsid w:val="00A24DAD"/>
    <w:rsid w:val="00A24E5F"/>
    <w:rsid w:val="00A24F8B"/>
    <w:rsid w:val="00A2558D"/>
    <w:rsid w:val="00A25A6D"/>
    <w:rsid w:val="00A25A7C"/>
    <w:rsid w:val="00A25D48"/>
    <w:rsid w:val="00A25D4D"/>
    <w:rsid w:val="00A25FA6"/>
    <w:rsid w:val="00A2605C"/>
    <w:rsid w:val="00A26125"/>
    <w:rsid w:val="00A261DC"/>
    <w:rsid w:val="00A26389"/>
    <w:rsid w:val="00A2639F"/>
    <w:rsid w:val="00A263A2"/>
    <w:rsid w:val="00A26471"/>
    <w:rsid w:val="00A26709"/>
    <w:rsid w:val="00A26CB7"/>
    <w:rsid w:val="00A26E47"/>
    <w:rsid w:val="00A273B9"/>
    <w:rsid w:val="00A273F8"/>
    <w:rsid w:val="00A27607"/>
    <w:rsid w:val="00A27D62"/>
    <w:rsid w:val="00A27F75"/>
    <w:rsid w:val="00A3028A"/>
    <w:rsid w:val="00A302A7"/>
    <w:rsid w:val="00A3034E"/>
    <w:rsid w:val="00A303B8"/>
    <w:rsid w:val="00A303C5"/>
    <w:rsid w:val="00A307A4"/>
    <w:rsid w:val="00A3084B"/>
    <w:rsid w:val="00A30D60"/>
    <w:rsid w:val="00A3117E"/>
    <w:rsid w:val="00A311D3"/>
    <w:rsid w:val="00A31261"/>
    <w:rsid w:val="00A31336"/>
    <w:rsid w:val="00A31337"/>
    <w:rsid w:val="00A3139B"/>
    <w:rsid w:val="00A31690"/>
    <w:rsid w:val="00A31808"/>
    <w:rsid w:val="00A31930"/>
    <w:rsid w:val="00A3198F"/>
    <w:rsid w:val="00A32146"/>
    <w:rsid w:val="00A324CF"/>
    <w:rsid w:val="00A32679"/>
    <w:rsid w:val="00A329B1"/>
    <w:rsid w:val="00A32B3D"/>
    <w:rsid w:val="00A32C4C"/>
    <w:rsid w:val="00A32DB9"/>
    <w:rsid w:val="00A334DF"/>
    <w:rsid w:val="00A33865"/>
    <w:rsid w:val="00A33F94"/>
    <w:rsid w:val="00A3402F"/>
    <w:rsid w:val="00A341DD"/>
    <w:rsid w:val="00A346D0"/>
    <w:rsid w:val="00A348C3"/>
    <w:rsid w:val="00A34BD3"/>
    <w:rsid w:val="00A34DE6"/>
    <w:rsid w:val="00A354D4"/>
    <w:rsid w:val="00A356FE"/>
    <w:rsid w:val="00A35762"/>
    <w:rsid w:val="00A358C4"/>
    <w:rsid w:val="00A364FC"/>
    <w:rsid w:val="00A37140"/>
    <w:rsid w:val="00A379E6"/>
    <w:rsid w:val="00A379F2"/>
    <w:rsid w:val="00A37C66"/>
    <w:rsid w:val="00A37CE6"/>
    <w:rsid w:val="00A40154"/>
    <w:rsid w:val="00A404E3"/>
    <w:rsid w:val="00A4080C"/>
    <w:rsid w:val="00A408A7"/>
    <w:rsid w:val="00A409D4"/>
    <w:rsid w:val="00A410B8"/>
    <w:rsid w:val="00A4138D"/>
    <w:rsid w:val="00A416F8"/>
    <w:rsid w:val="00A41741"/>
    <w:rsid w:val="00A417E0"/>
    <w:rsid w:val="00A41FC7"/>
    <w:rsid w:val="00A4220D"/>
    <w:rsid w:val="00A423E5"/>
    <w:rsid w:val="00A425C8"/>
    <w:rsid w:val="00A427C1"/>
    <w:rsid w:val="00A4287E"/>
    <w:rsid w:val="00A42957"/>
    <w:rsid w:val="00A429F6"/>
    <w:rsid w:val="00A42CA0"/>
    <w:rsid w:val="00A42DAC"/>
    <w:rsid w:val="00A431E2"/>
    <w:rsid w:val="00A4350A"/>
    <w:rsid w:val="00A43B39"/>
    <w:rsid w:val="00A43BBD"/>
    <w:rsid w:val="00A4410B"/>
    <w:rsid w:val="00A44354"/>
    <w:rsid w:val="00A445FC"/>
    <w:rsid w:val="00A44979"/>
    <w:rsid w:val="00A44B3F"/>
    <w:rsid w:val="00A44BA8"/>
    <w:rsid w:val="00A44E58"/>
    <w:rsid w:val="00A45050"/>
    <w:rsid w:val="00A451C0"/>
    <w:rsid w:val="00A45204"/>
    <w:rsid w:val="00A452B4"/>
    <w:rsid w:val="00A452C0"/>
    <w:rsid w:val="00A45399"/>
    <w:rsid w:val="00A45701"/>
    <w:rsid w:val="00A4603E"/>
    <w:rsid w:val="00A46412"/>
    <w:rsid w:val="00A46B97"/>
    <w:rsid w:val="00A47B9E"/>
    <w:rsid w:val="00A47E83"/>
    <w:rsid w:val="00A5004D"/>
    <w:rsid w:val="00A50636"/>
    <w:rsid w:val="00A5072F"/>
    <w:rsid w:val="00A50B14"/>
    <w:rsid w:val="00A5158D"/>
    <w:rsid w:val="00A518F9"/>
    <w:rsid w:val="00A51B45"/>
    <w:rsid w:val="00A51D83"/>
    <w:rsid w:val="00A51EAC"/>
    <w:rsid w:val="00A52422"/>
    <w:rsid w:val="00A5248D"/>
    <w:rsid w:val="00A527E1"/>
    <w:rsid w:val="00A52C72"/>
    <w:rsid w:val="00A52D10"/>
    <w:rsid w:val="00A52D81"/>
    <w:rsid w:val="00A53287"/>
    <w:rsid w:val="00A5361D"/>
    <w:rsid w:val="00A539EE"/>
    <w:rsid w:val="00A53EF0"/>
    <w:rsid w:val="00A546C9"/>
    <w:rsid w:val="00A549F2"/>
    <w:rsid w:val="00A54B44"/>
    <w:rsid w:val="00A54B96"/>
    <w:rsid w:val="00A54CA2"/>
    <w:rsid w:val="00A551C5"/>
    <w:rsid w:val="00A552CB"/>
    <w:rsid w:val="00A5570B"/>
    <w:rsid w:val="00A55874"/>
    <w:rsid w:val="00A558B5"/>
    <w:rsid w:val="00A55C27"/>
    <w:rsid w:val="00A56146"/>
    <w:rsid w:val="00A56656"/>
    <w:rsid w:val="00A56675"/>
    <w:rsid w:val="00A5699F"/>
    <w:rsid w:val="00A56A28"/>
    <w:rsid w:val="00A56A37"/>
    <w:rsid w:val="00A56A86"/>
    <w:rsid w:val="00A56B7D"/>
    <w:rsid w:val="00A56C19"/>
    <w:rsid w:val="00A56C35"/>
    <w:rsid w:val="00A571A9"/>
    <w:rsid w:val="00A57AC6"/>
    <w:rsid w:val="00A57CA3"/>
    <w:rsid w:val="00A57CF0"/>
    <w:rsid w:val="00A57CF7"/>
    <w:rsid w:val="00A57EDE"/>
    <w:rsid w:val="00A603E1"/>
    <w:rsid w:val="00A604E3"/>
    <w:rsid w:val="00A60627"/>
    <w:rsid w:val="00A607A2"/>
    <w:rsid w:val="00A6086E"/>
    <w:rsid w:val="00A60EAC"/>
    <w:rsid w:val="00A61280"/>
    <w:rsid w:val="00A6150D"/>
    <w:rsid w:val="00A615CF"/>
    <w:rsid w:val="00A61931"/>
    <w:rsid w:val="00A622D4"/>
    <w:rsid w:val="00A626BF"/>
    <w:rsid w:val="00A62EED"/>
    <w:rsid w:val="00A62EF0"/>
    <w:rsid w:val="00A63270"/>
    <w:rsid w:val="00A632E8"/>
    <w:rsid w:val="00A635B4"/>
    <w:rsid w:val="00A63688"/>
    <w:rsid w:val="00A63724"/>
    <w:rsid w:val="00A639A6"/>
    <w:rsid w:val="00A639E0"/>
    <w:rsid w:val="00A63EBF"/>
    <w:rsid w:val="00A64484"/>
    <w:rsid w:val="00A64A7F"/>
    <w:rsid w:val="00A64C90"/>
    <w:rsid w:val="00A64F1F"/>
    <w:rsid w:val="00A65493"/>
    <w:rsid w:val="00A6589F"/>
    <w:rsid w:val="00A659D3"/>
    <w:rsid w:val="00A65BB4"/>
    <w:rsid w:val="00A65BBD"/>
    <w:rsid w:val="00A65DD8"/>
    <w:rsid w:val="00A65E98"/>
    <w:rsid w:val="00A65EAD"/>
    <w:rsid w:val="00A6612E"/>
    <w:rsid w:val="00A669CB"/>
    <w:rsid w:val="00A66BEC"/>
    <w:rsid w:val="00A66DEC"/>
    <w:rsid w:val="00A66F64"/>
    <w:rsid w:val="00A66FCB"/>
    <w:rsid w:val="00A67531"/>
    <w:rsid w:val="00A676D2"/>
    <w:rsid w:val="00A67A67"/>
    <w:rsid w:val="00A67A97"/>
    <w:rsid w:val="00A67D8A"/>
    <w:rsid w:val="00A67E60"/>
    <w:rsid w:val="00A701B1"/>
    <w:rsid w:val="00A7050E"/>
    <w:rsid w:val="00A7060D"/>
    <w:rsid w:val="00A7074B"/>
    <w:rsid w:val="00A70EC4"/>
    <w:rsid w:val="00A71743"/>
    <w:rsid w:val="00A7176E"/>
    <w:rsid w:val="00A71A53"/>
    <w:rsid w:val="00A71D11"/>
    <w:rsid w:val="00A722F5"/>
    <w:rsid w:val="00A72955"/>
    <w:rsid w:val="00A72991"/>
    <w:rsid w:val="00A72AB2"/>
    <w:rsid w:val="00A72E87"/>
    <w:rsid w:val="00A730B1"/>
    <w:rsid w:val="00A7311E"/>
    <w:rsid w:val="00A73161"/>
    <w:rsid w:val="00A73589"/>
    <w:rsid w:val="00A7426F"/>
    <w:rsid w:val="00A74F0A"/>
    <w:rsid w:val="00A751F9"/>
    <w:rsid w:val="00A7541E"/>
    <w:rsid w:val="00A754F3"/>
    <w:rsid w:val="00A75B5D"/>
    <w:rsid w:val="00A75BF4"/>
    <w:rsid w:val="00A75F76"/>
    <w:rsid w:val="00A7651F"/>
    <w:rsid w:val="00A777C4"/>
    <w:rsid w:val="00A77808"/>
    <w:rsid w:val="00A77AD9"/>
    <w:rsid w:val="00A77B44"/>
    <w:rsid w:val="00A77DA7"/>
    <w:rsid w:val="00A77EF4"/>
    <w:rsid w:val="00A77F2A"/>
    <w:rsid w:val="00A80730"/>
    <w:rsid w:val="00A80865"/>
    <w:rsid w:val="00A80FE5"/>
    <w:rsid w:val="00A8105D"/>
    <w:rsid w:val="00A8167C"/>
    <w:rsid w:val="00A81B68"/>
    <w:rsid w:val="00A81B90"/>
    <w:rsid w:val="00A81F54"/>
    <w:rsid w:val="00A82627"/>
    <w:rsid w:val="00A82C2E"/>
    <w:rsid w:val="00A82D43"/>
    <w:rsid w:val="00A83004"/>
    <w:rsid w:val="00A83372"/>
    <w:rsid w:val="00A833F6"/>
    <w:rsid w:val="00A83534"/>
    <w:rsid w:val="00A835A8"/>
    <w:rsid w:val="00A83649"/>
    <w:rsid w:val="00A83CDA"/>
    <w:rsid w:val="00A83F84"/>
    <w:rsid w:val="00A83F91"/>
    <w:rsid w:val="00A8407D"/>
    <w:rsid w:val="00A843ED"/>
    <w:rsid w:val="00A84968"/>
    <w:rsid w:val="00A84D81"/>
    <w:rsid w:val="00A85103"/>
    <w:rsid w:val="00A8523B"/>
    <w:rsid w:val="00A853F1"/>
    <w:rsid w:val="00A85426"/>
    <w:rsid w:val="00A85789"/>
    <w:rsid w:val="00A857F8"/>
    <w:rsid w:val="00A8595E"/>
    <w:rsid w:val="00A85A32"/>
    <w:rsid w:val="00A85A62"/>
    <w:rsid w:val="00A85ADE"/>
    <w:rsid w:val="00A86718"/>
    <w:rsid w:val="00A8698A"/>
    <w:rsid w:val="00A869D1"/>
    <w:rsid w:val="00A86B82"/>
    <w:rsid w:val="00A873FB"/>
    <w:rsid w:val="00A87878"/>
    <w:rsid w:val="00A90463"/>
    <w:rsid w:val="00A909D9"/>
    <w:rsid w:val="00A90D59"/>
    <w:rsid w:val="00A90E88"/>
    <w:rsid w:val="00A90EAA"/>
    <w:rsid w:val="00A91984"/>
    <w:rsid w:val="00A91A2C"/>
    <w:rsid w:val="00A91A96"/>
    <w:rsid w:val="00A91B03"/>
    <w:rsid w:val="00A91C58"/>
    <w:rsid w:val="00A92826"/>
    <w:rsid w:val="00A9293E"/>
    <w:rsid w:val="00A92BC8"/>
    <w:rsid w:val="00A92BE3"/>
    <w:rsid w:val="00A930E0"/>
    <w:rsid w:val="00A9337F"/>
    <w:rsid w:val="00A935E9"/>
    <w:rsid w:val="00A93C00"/>
    <w:rsid w:val="00A944BE"/>
    <w:rsid w:val="00A9459E"/>
    <w:rsid w:val="00A94A34"/>
    <w:rsid w:val="00A94A5E"/>
    <w:rsid w:val="00A95371"/>
    <w:rsid w:val="00A95399"/>
    <w:rsid w:val="00A953F4"/>
    <w:rsid w:val="00A95DA9"/>
    <w:rsid w:val="00A95F86"/>
    <w:rsid w:val="00A9645C"/>
    <w:rsid w:val="00A9666B"/>
    <w:rsid w:val="00A96697"/>
    <w:rsid w:val="00A96FCE"/>
    <w:rsid w:val="00A971E3"/>
    <w:rsid w:val="00A972FF"/>
    <w:rsid w:val="00A974BC"/>
    <w:rsid w:val="00A9757D"/>
    <w:rsid w:val="00A9777B"/>
    <w:rsid w:val="00A977C8"/>
    <w:rsid w:val="00A97988"/>
    <w:rsid w:val="00A97EF1"/>
    <w:rsid w:val="00AA001D"/>
    <w:rsid w:val="00AA0178"/>
    <w:rsid w:val="00AA05C9"/>
    <w:rsid w:val="00AA0794"/>
    <w:rsid w:val="00AA0A82"/>
    <w:rsid w:val="00AA0AED"/>
    <w:rsid w:val="00AA0CE0"/>
    <w:rsid w:val="00AA0E6C"/>
    <w:rsid w:val="00AA115A"/>
    <w:rsid w:val="00AA16CA"/>
    <w:rsid w:val="00AA174A"/>
    <w:rsid w:val="00AA1CA4"/>
    <w:rsid w:val="00AA1FB4"/>
    <w:rsid w:val="00AA2272"/>
    <w:rsid w:val="00AA248B"/>
    <w:rsid w:val="00AA29C9"/>
    <w:rsid w:val="00AA2CEA"/>
    <w:rsid w:val="00AA2D37"/>
    <w:rsid w:val="00AA2DEE"/>
    <w:rsid w:val="00AA3617"/>
    <w:rsid w:val="00AA3AD9"/>
    <w:rsid w:val="00AA3BE5"/>
    <w:rsid w:val="00AA3F58"/>
    <w:rsid w:val="00AA404B"/>
    <w:rsid w:val="00AA41D3"/>
    <w:rsid w:val="00AA4C1C"/>
    <w:rsid w:val="00AA4D06"/>
    <w:rsid w:val="00AA4D4E"/>
    <w:rsid w:val="00AA50BE"/>
    <w:rsid w:val="00AA5293"/>
    <w:rsid w:val="00AA52A9"/>
    <w:rsid w:val="00AA548E"/>
    <w:rsid w:val="00AA5B54"/>
    <w:rsid w:val="00AA5C89"/>
    <w:rsid w:val="00AA5ED5"/>
    <w:rsid w:val="00AA5F3D"/>
    <w:rsid w:val="00AA5FC4"/>
    <w:rsid w:val="00AA62C1"/>
    <w:rsid w:val="00AA63BD"/>
    <w:rsid w:val="00AA6581"/>
    <w:rsid w:val="00AA6632"/>
    <w:rsid w:val="00AA66D7"/>
    <w:rsid w:val="00AA68A2"/>
    <w:rsid w:val="00AA6CEA"/>
    <w:rsid w:val="00AA71DC"/>
    <w:rsid w:val="00AA73A3"/>
    <w:rsid w:val="00AA784F"/>
    <w:rsid w:val="00AB06B4"/>
    <w:rsid w:val="00AB0924"/>
    <w:rsid w:val="00AB0BEE"/>
    <w:rsid w:val="00AB1011"/>
    <w:rsid w:val="00AB1F3D"/>
    <w:rsid w:val="00AB233F"/>
    <w:rsid w:val="00AB2497"/>
    <w:rsid w:val="00AB2B4D"/>
    <w:rsid w:val="00AB2D45"/>
    <w:rsid w:val="00AB2DB6"/>
    <w:rsid w:val="00AB3087"/>
    <w:rsid w:val="00AB3111"/>
    <w:rsid w:val="00AB35E2"/>
    <w:rsid w:val="00AB378D"/>
    <w:rsid w:val="00AB39CC"/>
    <w:rsid w:val="00AB3A68"/>
    <w:rsid w:val="00AB3D50"/>
    <w:rsid w:val="00AB44F3"/>
    <w:rsid w:val="00AB460B"/>
    <w:rsid w:val="00AB47A2"/>
    <w:rsid w:val="00AB47ED"/>
    <w:rsid w:val="00AB4891"/>
    <w:rsid w:val="00AB4A44"/>
    <w:rsid w:val="00AB4A4D"/>
    <w:rsid w:val="00AB4D54"/>
    <w:rsid w:val="00AB5220"/>
    <w:rsid w:val="00AB57D7"/>
    <w:rsid w:val="00AB59FF"/>
    <w:rsid w:val="00AB5AB3"/>
    <w:rsid w:val="00AB646A"/>
    <w:rsid w:val="00AB6661"/>
    <w:rsid w:val="00AB68BC"/>
    <w:rsid w:val="00AB6916"/>
    <w:rsid w:val="00AB6BDA"/>
    <w:rsid w:val="00AB7738"/>
    <w:rsid w:val="00AB77C4"/>
    <w:rsid w:val="00AB7938"/>
    <w:rsid w:val="00AB7B56"/>
    <w:rsid w:val="00AB7DDB"/>
    <w:rsid w:val="00AC01CC"/>
    <w:rsid w:val="00AC0205"/>
    <w:rsid w:val="00AC0322"/>
    <w:rsid w:val="00AC03F6"/>
    <w:rsid w:val="00AC04BF"/>
    <w:rsid w:val="00AC0575"/>
    <w:rsid w:val="00AC0862"/>
    <w:rsid w:val="00AC0AE1"/>
    <w:rsid w:val="00AC0BB3"/>
    <w:rsid w:val="00AC0E69"/>
    <w:rsid w:val="00AC1122"/>
    <w:rsid w:val="00AC148B"/>
    <w:rsid w:val="00AC1A68"/>
    <w:rsid w:val="00AC22CB"/>
    <w:rsid w:val="00AC2653"/>
    <w:rsid w:val="00AC2861"/>
    <w:rsid w:val="00AC2A84"/>
    <w:rsid w:val="00AC2EB0"/>
    <w:rsid w:val="00AC30EB"/>
    <w:rsid w:val="00AC357F"/>
    <w:rsid w:val="00AC3860"/>
    <w:rsid w:val="00AC3B1F"/>
    <w:rsid w:val="00AC492A"/>
    <w:rsid w:val="00AC4C59"/>
    <w:rsid w:val="00AC4CEB"/>
    <w:rsid w:val="00AC5288"/>
    <w:rsid w:val="00AC56E7"/>
    <w:rsid w:val="00AC583D"/>
    <w:rsid w:val="00AC5E72"/>
    <w:rsid w:val="00AC5E92"/>
    <w:rsid w:val="00AC6062"/>
    <w:rsid w:val="00AC6791"/>
    <w:rsid w:val="00AC6BC2"/>
    <w:rsid w:val="00AC6CBC"/>
    <w:rsid w:val="00AC6DAF"/>
    <w:rsid w:val="00AC6ED9"/>
    <w:rsid w:val="00AC70A8"/>
    <w:rsid w:val="00AC75FB"/>
    <w:rsid w:val="00AC7759"/>
    <w:rsid w:val="00AC77D1"/>
    <w:rsid w:val="00AC7864"/>
    <w:rsid w:val="00AC7A31"/>
    <w:rsid w:val="00AD0115"/>
    <w:rsid w:val="00AD01F6"/>
    <w:rsid w:val="00AD03C2"/>
    <w:rsid w:val="00AD0D49"/>
    <w:rsid w:val="00AD0F94"/>
    <w:rsid w:val="00AD13FC"/>
    <w:rsid w:val="00AD14E7"/>
    <w:rsid w:val="00AD15F2"/>
    <w:rsid w:val="00AD1ED8"/>
    <w:rsid w:val="00AD21DC"/>
    <w:rsid w:val="00AD224A"/>
    <w:rsid w:val="00AD26B1"/>
    <w:rsid w:val="00AD283F"/>
    <w:rsid w:val="00AD2EB6"/>
    <w:rsid w:val="00AD2FE8"/>
    <w:rsid w:val="00AD3394"/>
    <w:rsid w:val="00AD3AB5"/>
    <w:rsid w:val="00AD3F34"/>
    <w:rsid w:val="00AD411A"/>
    <w:rsid w:val="00AD4736"/>
    <w:rsid w:val="00AD493D"/>
    <w:rsid w:val="00AD4978"/>
    <w:rsid w:val="00AD4D70"/>
    <w:rsid w:val="00AD4F10"/>
    <w:rsid w:val="00AD58C2"/>
    <w:rsid w:val="00AD5ACF"/>
    <w:rsid w:val="00AD635A"/>
    <w:rsid w:val="00AD64F0"/>
    <w:rsid w:val="00AD6771"/>
    <w:rsid w:val="00AD677F"/>
    <w:rsid w:val="00AD683C"/>
    <w:rsid w:val="00AD6C70"/>
    <w:rsid w:val="00AD70D2"/>
    <w:rsid w:val="00AD7142"/>
    <w:rsid w:val="00AD7477"/>
    <w:rsid w:val="00AD74F1"/>
    <w:rsid w:val="00AD7DB6"/>
    <w:rsid w:val="00AE032D"/>
    <w:rsid w:val="00AE065B"/>
    <w:rsid w:val="00AE0FD4"/>
    <w:rsid w:val="00AE1533"/>
    <w:rsid w:val="00AE16F8"/>
    <w:rsid w:val="00AE1AD3"/>
    <w:rsid w:val="00AE2594"/>
    <w:rsid w:val="00AE2B37"/>
    <w:rsid w:val="00AE2B57"/>
    <w:rsid w:val="00AE2CB1"/>
    <w:rsid w:val="00AE2D1F"/>
    <w:rsid w:val="00AE2F65"/>
    <w:rsid w:val="00AE3301"/>
    <w:rsid w:val="00AE4BD5"/>
    <w:rsid w:val="00AE500D"/>
    <w:rsid w:val="00AE52C2"/>
    <w:rsid w:val="00AE5494"/>
    <w:rsid w:val="00AE55A8"/>
    <w:rsid w:val="00AE573C"/>
    <w:rsid w:val="00AE588B"/>
    <w:rsid w:val="00AE5C5B"/>
    <w:rsid w:val="00AE6021"/>
    <w:rsid w:val="00AE6032"/>
    <w:rsid w:val="00AE60F2"/>
    <w:rsid w:val="00AE6179"/>
    <w:rsid w:val="00AE619D"/>
    <w:rsid w:val="00AE62A2"/>
    <w:rsid w:val="00AE62FB"/>
    <w:rsid w:val="00AE6506"/>
    <w:rsid w:val="00AE66D4"/>
    <w:rsid w:val="00AE682D"/>
    <w:rsid w:val="00AE6F5A"/>
    <w:rsid w:val="00AE75E9"/>
    <w:rsid w:val="00AE7DF3"/>
    <w:rsid w:val="00AF024D"/>
    <w:rsid w:val="00AF045C"/>
    <w:rsid w:val="00AF053B"/>
    <w:rsid w:val="00AF095C"/>
    <w:rsid w:val="00AF09BE"/>
    <w:rsid w:val="00AF09D0"/>
    <w:rsid w:val="00AF0E82"/>
    <w:rsid w:val="00AF105C"/>
    <w:rsid w:val="00AF1383"/>
    <w:rsid w:val="00AF1604"/>
    <w:rsid w:val="00AF17ED"/>
    <w:rsid w:val="00AF1B5B"/>
    <w:rsid w:val="00AF1B6A"/>
    <w:rsid w:val="00AF1BEF"/>
    <w:rsid w:val="00AF21DF"/>
    <w:rsid w:val="00AF24A2"/>
    <w:rsid w:val="00AF25C1"/>
    <w:rsid w:val="00AF28DE"/>
    <w:rsid w:val="00AF2C80"/>
    <w:rsid w:val="00AF3078"/>
    <w:rsid w:val="00AF324D"/>
    <w:rsid w:val="00AF36F4"/>
    <w:rsid w:val="00AF370C"/>
    <w:rsid w:val="00AF3722"/>
    <w:rsid w:val="00AF37E5"/>
    <w:rsid w:val="00AF3A96"/>
    <w:rsid w:val="00AF3BB1"/>
    <w:rsid w:val="00AF3DBE"/>
    <w:rsid w:val="00AF432A"/>
    <w:rsid w:val="00AF4603"/>
    <w:rsid w:val="00AF46A0"/>
    <w:rsid w:val="00AF4BC6"/>
    <w:rsid w:val="00AF507D"/>
    <w:rsid w:val="00AF50CE"/>
    <w:rsid w:val="00AF54C3"/>
    <w:rsid w:val="00AF56A6"/>
    <w:rsid w:val="00AF585F"/>
    <w:rsid w:val="00AF5A44"/>
    <w:rsid w:val="00AF5ADD"/>
    <w:rsid w:val="00AF5B23"/>
    <w:rsid w:val="00AF5BFE"/>
    <w:rsid w:val="00AF5C2E"/>
    <w:rsid w:val="00AF642E"/>
    <w:rsid w:val="00AF693A"/>
    <w:rsid w:val="00AF6FDA"/>
    <w:rsid w:val="00AF7223"/>
    <w:rsid w:val="00AF7304"/>
    <w:rsid w:val="00AF7CE4"/>
    <w:rsid w:val="00AF7F05"/>
    <w:rsid w:val="00B00081"/>
    <w:rsid w:val="00B0021E"/>
    <w:rsid w:val="00B004D4"/>
    <w:rsid w:val="00B0096A"/>
    <w:rsid w:val="00B009CE"/>
    <w:rsid w:val="00B00C9E"/>
    <w:rsid w:val="00B00D7F"/>
    <w:rsid w:val="00B00DC4"/>
    <w:rsid w:val="00B00E2C"/>
    <w:rsid w:val="00B0115F"/>
    <w:rsid w:val="00B01405"/>
    <w:rsid w:val="00B014A3"/>
    <w:rsid w:val="00B015E2"/>
    <w:rsid w:val="00B01644"/>
    <w:rsid w:val="00B0167A"/>
    <w:rsid w:val="00B0183D"/>
    <w:rsid w:val="00B01901"/>
    <w:rsid w:val="00B01B31"/>
    <w:rsid w:val="00B01D99"/>
    <w:rsid w:val="00B01FA0"/>
    <w:rsid w:val="00B0245F"/>
    <w:rsid w:val="00B02547"/>
    <w:rsid w:val="00B027E1"/>
    <w:rsid w:val="00B02C29"/>
    <w:rsid w:val="00B02C9B"/>
    <w:rsid w:val="00B02FF0"/>
    <w:rsid w:val="00B03006"/>
    <w:rsid w:val="00B0370A"/>
    <w:rsid w:val="00B0376C"/>
    <w:rsid w:val="00B03A7A"/>
    <w:rsid w:val="00B03C0E"/>
    <w:rsid w:val="00B03DB1"/>
    <w:rsid w:val="00B03DDD"/>
    <w:rsid w:val="00B0405C"/>
    <w:rsid w:val="00B0427B"/>
    <w:rsid w:val="00B042AA"/>
    <w:rsid w:val="00B04481"/>
    <w:rsid w:val="00B04691"/>
    <w:rsid w:val="00B04C4C"/>
    <w:rsid w:val="00B04FEC"/>
    <w:rsid w:val="00B05A3F"/>
    <w:rsid w:val="00B06576"/>
    <w:rsid w:val="00B06675"/>
    <w:rsid w:val="00B067BB"/>
    <w:rsid w:val="00B067FA"/>
    <w:rsid w:val="00B06BA5"/>
    <w:rsid w:val="00B06C35"/>
    <w:rsid w:val="00B06CB3"/>
    <w:rsid w:val="00B07052"/>
    <w:rsid w:val="00B07082"/>
    <w:rsid w:val="00B073A3"/>
    <w:rsid w:val="00B07545"/>
    <w:rsid w:val="00B075F4"/>
    <w:rsid w:val="00B07B45"/>
    <w:rsid w:val="00B1071E"/>
    <w:rsid w:val="00B10899"/>
    <w:rsid w:val="00B10A0D"/>
    <w:rsid w:val="00B10A57"/>
    <w:rsid w:val="00B10B09"/>
    <w:rsid w:val="00B10BD1"/>
    <w:rsid w:val="00B10EAA"/>
    <w:rsid w:val="00B10EBF"/>
    <w:rsid w:val="00B10F5F"/>
    <w:rsid w:val="00B111FB"/>
    <w:rsid w:val="00B11365"/>
    <w:rsid w:val="00B11409"/>
    <w:rsid w:val="00B11713"/>
    <w:rsid w:val="00B1172E"/>
    <w:rsid w:val="00B117A4"/>
    <w:rsid w:val="00B11EE5"/>
    <w:rsid w:val="00B1206B"/>
    <w:rsid w:val="00B1214B"/>
    <w:rsid w:val="00B121FD"/>
    <w:rsid w:val="00B12301"/>
    <w:rsid w:val="00B125B0"/>
    <w:rsid w:val="00B1271B"/>
    <w:rsid w:val="00B12C01"/>
    <w:rsid w:val="00B1319B"/>
    <w:rsid w:val="00B134AB"/>
    <w:rsid w:val="00B134DD"/>
    <w:rsid w:val="00B134FD"/>
    <w:rsid w:val="00B1389E"/>
    <w:rsid w:val="00B144D8"/>
    <w:rsid w:val="00B14758"/>
    <w:rsid w:val="00B1484E"/>
    <w:rsid w:val="00B148D0"/>
    <w:rsid w:val="00B15191"/>
    <w:rsid w:val="00B152E2"/>
    <w:rsid w:val="00B15727"/>
    <w:rsid w:val="00B15BE5"/>
    <w:rsid w:val="00B15BF4"/>
    <w:rsid w:val="00B15C05"/>
    <w:rsid w:val="00B15D50"/>
    <w:rsid w:val="00B165B2"/>
    <w:rsid w:val="00B168AE"/>
    <w:rsid w:val="00B1699C"/>
    <w:rsid w:val="00B16A57"/>
    <w:rsid w:val="00B16D06"/>
    <w:rsid w:val="00B170F8"/>
    <w:rsid w:val="00B175F2"/>
    <w:rsid w:val="00B17860"/>
    <w:rsid w:val="00B17AB6"/>
    <w:rsid w:val="00B17DB9"/>
    <w:rsid w:val="00B17DDD"/>
    <w:rsid w:val="00B20091"/>
    <w:rsid w:val="00B208DE"/>
    <w:rsid w:val="00B20A09"/>
    <w:rsid w:val="00B20B13"/>
    <w:rsid w:val="00B20B29"/>
    <w:rsid w:val="00B20C2E"/>
    <w:rsid w:val="00B20F6B"/>
    <w:rsid w:val="00B21324"/>
    <w:rsid w:val="00B21A94"/>
    <w:rsid w:val="00B21E3B"/>
    <w:rsid w:val="00B220E5"/>
    <w:rsid w:val="00B22260"/>
    <w:rsid w:val="00B224A8"/>
    <w:rsid w:val="00B226BE"/>
    <w:rsid w:val="00B2283B"/>
    <w:rsid w:val="00B229C6"/>
    <w:rsid w:val="00B229CF"/>
    <w:rsid w:val="00B22DBD"/>
    <w:rsid w:val="00B22EDD"/>
    <w:rsid w:val="00B2312C"/>
    <w:rsid w:val="00B2335E"/>
    <w:rsid w:val="00B235CF"/>
    <w:rsid w:val="00B235D1"/>
    <w:rsid w:val="00B2372B"/>
    <w:rsid w:val="00B23892"/>
    <w:rsid w:val="00B2395E"/>
    <w:rsid w:val="00B23AE2"/>
    <w:rsid w:val="00B24504"/>
    <w:rsid w:val="00B245A3"/>
    <w:rsid w:val="00B24B0E"/>
    <w:rsid w:val="00B24BEF"/>
    <w:rsid w:val="00B24EE4"/>
    <w:rsid w:val="00B25398"/>
    <w:rsid w:val="00B2542A"/>
    <w:rsid w:val="00B257BB"/>
    <w:rsid w:val="00B259AD"/>
    <w:rsid w:val="00B26576"/>
    <w:rsid w:val="00B26639"/>
    <w:rsid w:val="00B26708"/>
    <w:rsid w:val="00B26741"/>
    <w:rsid w:val="00B26C62"/>
    <w:rsid w:val="00B27AC5"/>
    <w:rsid w:val="00B27B21"/>
    <w:rsid w:val="00B27DAF"/>
    <w:rsid w:val="00B301C5"/>
    <w:rsid w:val="00B30665"/>
    <w:rsid w:val="00B306D0"/>
    <w:rsid w:val="00B30B2F"/>
    <w:rsid w:val="00B30B80"/>
    <w:rsid w:val="00B30CAF"/>
    <w:rsid w:val="00B30DBF"/>
    <w:rsid w:val="00B30F34"/>
    <w:rsid w:val="00B3110F"/>
    <w:rsid w:val="00B312A4"/>
    <w:rsid w:val="00B31367"/>
    <w:rsid w:val="00B314A7"/>
    <w:rsid w:val="00B3189A"/>
    <w:rsid w:val="00B322BC"/>
    <w:rsid w:val="00B324AE"/>
    <w:rsid w:val="00B32501"/>
    <w:rsid w:val="00B32ED0"/>
    <w:rsid w:val="00B32FF7"/>
    <w:rsid w:val="00B331E6"/>
    <w:rsid w:val="00B33932"/>
    <w:rsid w:val="00B33D0E"/>
    <w:rsid w:val="00B33D25"/>
    <w:rsid w:val="00B33E05"/>
    <w:rsid w:val="00B34744"/>
    <w:rsid w:val="00B34773"/>
    <w:rsid w:val="00B347E0"/>
    <w:rsid w:val="00B34A65"/>
    <w:rsid w:val="00B34B73"/>
    <w:rsid w:val="00B34D0A"/>
    <w:rsid w:val="00B34D6D"/>
    <w:rsid w:val="00B34EDE"/>
    <w:rsid w:val="00B35189"/>
    <w:rsid w:val="00B367A9"/>
    <w:rsid w:val="00B371CD"/>
    <w:rsid w:val="00B372B6"/>
    <w:rsid w:val="00B37FE1"/>
    <w:rsid w:val="00B40015"/>
    <w:rsid w:val="00B400C8"/>
    <w:rsid w:val="00B401BA"/>
    <w:rsid w:val="00B4033B"/>
    <w:rsid w:val="00B40524"/>
    <w:rsid w:val="00B40525"/>
    <w:rsid w:val="00B40779"/>
    <w:rsid w:val="00B40C77"/>
    <w:rsid w:val="00B40D45"/>
    <w:rsid w:val="00B410B2"/>
    <w:rsid w:val="00B4116E"/>
    <w:rsid w:val="00B41312"/>
    <w:rsid w:val="00B414DA"/>
    <w:rsid w:val="00B41704"/>
    <w:rsid w:val="00B4191B"/>
    <w:rsid w:val="00B41AC9"/>
    <w:rsid w:val="00B421BC"/>
    <w:rsid w:val="00B424A2"/>
    <w:rsid w:val="00B4276E"/>
    <w:rsid w:val="00B42B01"/>
    <w:rsid w:val="00B42C87"/>
    <w:rsid w:val="00B42C8A"/>
    <w:rsid w:val="00B42E60"/>
    <w:rsid w:val="00B434C2"/>
    <w:rsid w:val="00B43D79"/>
    <w:rsid w:val="00B441E0"/>
    <w:rsid w:val="00B44690"/>
    <w:rsid w:val="00B4479D"/>
    <w:rsid w:val="00B44C07"/>
    <w:rsid w:val="00B44D0A"/>
    <w:rsid w:val="00B456A9"/>
    <w:rsid w:val="00B45767"/>
    <w:rsid w:val="00B4592A"/>
    <w:rsid w:val="00B45BBE"/>
    <w:rsid w:val="00B461DC"/>
    <w:rsid w:val="00B46334"/>
    <w:rsid w:val="00B46C2A"/>
    <w:rsid w:val="00B46C35"/>
    <w:rsid w:val="00B47075"/>
    <w:rsid w:val="00B473C5"/>
    <w:rsid w:val="00B47675"/>
    <w:rsid w:val="00B47849"/>
    <w:rsid w:val="00B47C43"/>
    <w:rsid w:val="00B47E34"/>
    <w:rsid w:val="00B47E38"/>
    <w:rsid w:val="00B47E8F"/>
    <w:rsid w:val="00B5062A"/>
    <w:rsid w:val="00B50901"/>
    <w:rsid w:val="00B50D2A"/>
    <w:rsid w:val="00B5169A"/>
    <w:rsid w:val="00B517AB"/>
    <w:rsid w:val="00B51CF7"/>
    <w:rsid w:val="00B51F77"/>
    <w:rsid w:val="00B51FE3"/>
    <w:rsid w:val="00B52027"/>
    <w:rsid w:val="00B520C5"/>
    <w:rsid w:val="00B522A3"/>
    <w:rsid w:val="00B52509"/>
    <w:rsid w:val="00B529A2"/>
    <w:rsid w:val="00B52A59"/>
    <w:rsid w:val="00B53045"/>
    <w:rsid w:val="00B5311F"/>
    <w:rsid w:val="00B5416D"/>
    <w:rsid w:val="00B544EF"/>
    <w:rsid w:val="00B5457E"/>
    <w:rsid w:val="00B549F1"/>
    <w:rsid w:val="00B54A48"/>
    <w:rsid w:val="00B54ACC"/>
    <w:rsid w:val="00B54B52"/>
    <w:rsid w:val="00B54BBE"/>
    <w:rsid w:val="00B54BFE"/>
    <w:rsid w:val="00B54C81"/>
    <w:rsid w:val="00B54F8E"/>
    <w:rsid w:val="00B55022"/>
    <w:rsid w:val="00B551E2"/>
    <w:rsid w:val="00B55367"/>
    <w:rsid w:val="00B55933"/>
    <w:rsid w:val="00B55945"/>
    <w:rsid w:val="00B55ACA"/>
    <w:rsid w:val="00B55AD4"/>
    <w:rsid w:val="00B55E03"/>
    <w:rsid w:val="00B55EC9"/>
    <w:rsid w:val="00B55EFA"/>
    <w:rsid w:val="00B55FCE"/>
    <w:rsid w:val="00B56019"/>
    <w:rsid w:val="00B56145"/>
    <w:rsid w:val="00B56187"/>
    <w:rsid w:val="00B56385"/>
    <w:rsid w:val="00B5640F"/>
    <w:rsid w:val="00B56459"/>
    <w:rsid w:val="00B5672E"/>
    <w:rsid w:val="00B56873"/>
    <w:rsid w:val="00B569CB"/>
    <w:rsid w:val="00B56A8F"/>
    <w:rsid w:val="00B577E1"/>
    <w:rsid w:val="00B5786C"/>
    <w:rsid w:val="00B579D5"/>
    <w:rsid w:val="00B57DD2"/>
    <w:rsid w:val="00B60009"/>
    <w:rsid w:val="00B60245"/>
    <w:rsid w:val="00B604E7"/>
    <w:rsid w:val="00B60EE7"/>
    <w:rsid w:val="00B60F38"/>
    <w:rsid w:val="00B61003"/>
    <w:rsid w:val="00B61056"/>
    <w:rsid w:val="00B616BF"/>
    <w:rsid w:val="00B61914"/>
    <w:rsid w:val="00B61A8A"/>
    <w:rsid w:val="00B61B1C"/>
    <w:rsid w:val="00B61DC6"/>
    <w:rsid w:val="00B62205"/>
    <w:rsid w:val="00B625B3"/>
    <w:rsid w:val="00B62656"/>
    <w:rsid w:val="00B62CA2"/>
    <w:rsid w:val="00B62CDD"/>
    <w:rsid w:val="00B63438"/>
    <w:rsid w:val="00B6350D"/>
    <w:rsid w:val="00B6357A"/>
    <w:rsid w:val="00B63761"/>
    <w:rsid w:val="00B63A6E"/>
    <w:rsid w:val="00B63C82"/>
    <w:rsid w:val="00B63CBE"/>
    <w:rsid w:val="00B644C7"/>
    <w:rsid w:val="00B64905"/>
    <w:rsid w:val="00B64BFA"/>
    <w:rsid w:val="00B6519F"/>
    <w:rsid w:val="00B651C4"/>
    <w:rsid w:val="00B65A34"/>
    <w:rsid w:val="00B65A77"/>
    <w:rsid w:val="00B65D18"/>
    <w:rsid w:val="00B65D25"/>
    <w:rsid w:val="00B66099"/>
    <w:rsid w:val="00B660AF"/>
    <w:rsid w:val="00B660BC"/>
    <w:rsid w:val="00B660BF"/>
    <w:rsid w:val="00B665BD"/>
    <w:rsid w:val="00B668C2"/>
    <w:rsid w:val="00B67252"/>
    <w:rsid w:val="00B675FA"/>
    <w:rsid w:val="00B67611"/>
    <w:rsid w:val="00B67684"/>
    <w:rsid w:val="00B678D2"/>
    <w:rsid w:val="00B67A52"/>
    <w:rsid w:val="00B67E52"/>
    <w:rsid w:val="00B67FC3"/>
    <w:rsid w:val="00B703CD"/>
    <w:rsid w:val="00B70845"/>
    <w:rsid w:val="00B70D49"/>
    <w:rsid w:val="00B70FBF"/>
    <w:rsid w:val="00B7118D"/>
    <w:rsid w:val="00B711A2"/>
    <w:rsid w:val="00B7165A"/>
    <w:rsid w:val="00B71694"/>
    <w:rsid w:val="00B726E6"/>
    <w:rsid w:val="00B728CE"/>
    <w:rsid w:val="00B72A0B"/>
    <w:rsid w:val="00B72C3E"/>
    <w:rsid w:val="00B72E69"/>
    <w:rsid w:val="00B72F66"/>
    <w:rsid w:val="00B73025"/>
    <w:rsid w:val="00B73772"/>
    <w:rsid w:val="00B73AFE"/>
    <w:rsid w:val="00B741AA"/>
    <w:rsid w:val="00B74240"/>
    <w:rsid w:val="00B748DB"/>
    <w:rsid w:val="00B74A21"/>
    <w:rsid w:val="00B74D91"/>
    <w:rsid w:val="00B74DCE"/>
    <w:rsid w:val="00B74DD8"/>
    <w:rsid w:val="00B75041"/>
    <w:rsid w:val="00B751B4"/>
    <w:rsid w:val="00B751D5"/>
    <w:rsid w:val="00B752E0"/>
    <w:rsid w:val="00B754E7"/>
    <w:rsid w:val="00B755D7"/>
    <w:rsid w:val="00B75733"/>
    <w:rsid w:val="00B758D8"/>
    <w:rsid w:val="00B75A1B"/>
    <w:rsid w:val="00B762A9"/>
    <w:rsid w:val="00B76D06"/>
    <w:rsid w:val="00B76DC8"/>
    <w:rsid w:val="00B76DFD"/>
    <w:rsid w:val="00B770DA"/>
    <w:rsid w:val="00B77181"/>
    <w:rsid w:val="00B771C5"/>
    <w:rsid w:val="00B7725F"/>
    <w:rsid w:val="00B774BD"/>
    <w:rsid w:val="00B77AD5"/>
    <w:rsid w:val="00B77AFE"/>
    <w:rsid w:val="00B77D76"/>
    <w:rsid w:val="00B77DD1"/>
    <w:rsid w:val="00B801BD"/>
    <w:rsid w:val="00B80230"/>
    <w:rsid w:val="00B8051E"/>
    <w:rsid w:val="00B80D75"/>
    <w:rsid w:val="00B812E9"/>
    <w:rsid w:val="00B813AE"/>
    <w:rsid w:val="00B814BD"/>
    <w:rsid w:val="00B81593"/>
    <w:rsid w:val="00B817E5"/>
    <w:rsid w:val="00B818CC"/>
    <w:rsid w:val="00B82619"/>
    <w:rsid w:val="00B82A9E"/>
    <w:rsid w:val="00B82C19"/>
    <w:rsid w:val="00B83232"/>
    <w:rsid w:val="00B83572"/>
    <w:rsid w:val="00B835AA"/>
    <w:rsid w:val="00B83610"/>
    <w:rsid w:val="00B8364A"/>
    <w:rsid w:val="00B836E9"/>
    <w:rsid w:val="00B83905"/>
    <w:rsid w:val="00B839C0"/>
    <w:rsid w:val="00B83E78"/>
    <w:rsid w:val="00B83F13"/>
    <w:rsid w:val="00B83F6F"/>
    <w:rsid w:val="00B83F9A"/>
    <w:rsid w:val="00B8450C"/>
    <w:rsid w:val="00B84818"/>
    <w:rsid w:val="00B84B86"/>
    <w:rsid w:val="00B852FA"/>
    <w:rsid w:val="00B854C3"/>
    <w:rsid w:val="00B85989"/>
    <w:rsid w:val="00B85C34"/>
    <w:rsid w:val="00B85CDA"/>
    <w:rsid w:val="00B860DE"/>
    <w:rsid w:val="00B865AF"/>
    <w:rsid w:val="00B86984"/>
    <w:rsid w:val="00B86DB8"/>
    <w:rsid w:val="00B87016"/>
    <w:rsid w:val="00B871D6"/>
    <w:rsid w:val="00B873C4"/>
    <w:rsid w:val="00B876A3"/>
    <w:rsid w:val="00B87765"/>
    <w:rsid w:val="00B877AC"/>
    <w:rsid w:val="00B87BD0"/>
    <w:rsid w:val="00B87F3F"/>
    <w:rsid w:val="00B900A6"/>
    <w:rsid w:val="00B9028F"/>
    <w:rsid w:val="00B9042F"/>
    <w:rsid w:val="00B9056E"/>
    <w:rsid w:val="00B907E6"/>
    <w:rsid w:val="00B90C89"/>
    <w:rsid w:val="00B917EF"/>
    <w:rsid w:val="00B91B24"/>
    <w:rsid w:val="00B91CA4"/>
    <w:rsid w:val="00B91FE0"/>
    <w:rsid w:val="00B920AA"/>
    <w:rsid w:val="00B922CB"/>
    <w:rsid w:val="00B9236B"/>
    <w:rsid w:val="00B9265C"/>
    <w:rsid w:val="00B927D0"/>
    <w:rsid w:val="00B9291B"/>
    <w:rsid w:val="00B92944"/>
    <w:rsid w:val="00B92B1E"/>
    <w:rsid w:val="00B92B1F"/>
    <w:rsid w:val="00B92ECF"/>
    <w:rsid w:val="00B9353E"/>
    <w:rsid w:val="00B9369B"/>
    <w:rsid w:val="00B936B7"/>
    <w:rsid w:val="00B9375C"/>
    <w:rsid w:val="00B93B4C"/>
    <w:rsid w:val="00B94F02"/>
    <w:rsid w:val="00B94F2F"/>
    <w:rsid w:val="00B9538A"/>
    <w:rsid w:val="00B9572A"/>
    <w:rsid w:val="00B95754"/>
    <w:rsid w:val="00B959D2"/>
    <w:rsid w:val="00B95AFB"/>
    <w:rsid w:val="00B96966"/>
    <w:rsid w:val="00B96996"/>
    <w:rsid w:val="00B96AB4"/>
    <w:rsid w:val="00B96F78"/>
    <w:rsid w:val="00B970FE"/>
    <w:rsid w:val="00B9713F"/>
    <w:rsid w:val="00B97343"/>
    <w:rsid w:val="00B973D8"/>
    <w:rsid w:val="00B97462"/>
    <w:rsid w:val="00B97A57"/>
    <w:rsid w:val="00B97D43"/>
    <w:rsid w:val="00B97D6D"/>
    <w:rsid w:val="00BA0278"/>
    <w:rsid w:val="00BA027B"/>
    <w:rsid w:val="00BA0BCB"/>
    <w:rsid w:val="00BA1595"/>
    <w:rsid w:val="00BA15F0"/>
    <w:rsid w:val="00BA1770"/>
    <w:rsid w:val="00BA1AF1"/>
    <w:rsid w:val="00BA1EE7"/>
    <w:rsid w:val="00BA2212"/>
    <w:rsid w:val="00BA2720"/>
    <w:rsid w:val="00BA2D4D"/>
    <w:rsid w:val="00BA2DF3"/>
    <w:rsid w:val="00BA2F34"/>
    <w:rsid w:val="00BA2F82"/>
    <w:rsid w:val="00BA3229"/>
    <w:rsid w:val="00BA3B88"/>
    <w:rsid w:val="00BA3DA9"/>
    <w:rsid w:val="00BA4334"/>
    <w:rsid w:val="00BA4A29"/>
    <w:rsid w:val="00BA4A96"/>
    <w:rsid w:val="00BA4AF5"/>
    <w:rsid w:val="00BA4BBD"/>
    <w:rsid w:val="00BA4FC0"/>
    <w:rsid w:val="00BA529B"/>
    <w:rsid w:val="00BA54CC"/>
    <w:rsid w:val="00BA58DE"/>
    <w:rsid w:val="00BA599D"/>
    <w:rsid w:val="00BA5B2B"/>
    <w:rsid w:val="00BA5B9D"/>
    <w:rsid w:val="00BA5D6C"/>
    <w:rsid w:val="00BA5ECD"/>
    <w:rsid w:val="00BA5F16"/>
    <w:rsid w:val="00BA6D4F"/>
    <w:rsid w:val="00BA6D76"/>
    <w:rsid w:val="00BA7219"/>
    <w:rsid w:val="00BA72B0"/>
    <w:rsid w:val="00BA73E6"/>
    <w:rsid w:val="00BA7AC8"/>
    <w:rsid w:val="00BA7AE5"/>
    <w:rsid w:val="00BA7F8F"/>
    <w:rsid w:val="00BB05C3"/>
    <w:rsid w:val="00BB0671"/>
    <w:rsid w:val="00BB07B8"/>
    <w:rsid w:val="00BB0A6C"/>
    <w:rsid w:val="00BB0F47"/>
    <w:rsid w:val="00BB15FA"/>
    <w:rsid w:val="00BB189E"/>
    <w:rsid w:val="00BB18F8"/>
    <w:rsid w:val="00BB1D39"/>
    <w:rsid w:val="00BB1EF0"/>
    <w:rsid w:val="00BB20AF"/>
    <w:rsid w:val="00BB257F"/>
    <w:rsid w:val="00BB3A65"/>
    <w:rsid w:val="00BB3C3B"/>
    <w:rsid w:val="00BB3C45"/>
    <w:rsid w:val="00BB3CC2"/>
    <w:rsid w:val="00BB3DA7"/>
    <w:rsid w:val="00BB40D6"/>
    <w:rsid w:val="00BB4327"/>
    <w:rsid w:val="00BB440B"/>
    <w:rsid w:val="00BB4415"/>
    <w:rsid w:val="00BB4637"/>
    <w:rsid w:val="00BB4858"/>
    <w:rsid w:val="00BB49BD"/>
    <w:rsid w:val="00BB4AB0"/>
    <w:rsid w:val="00BB4C2C"/>
    <w:rsid w:val="00BB4EAF"/>
    <w:rsid w:val="00BB4F70"/>
    <w:rsid w:val="00BB5190"/>
    <w:rsid w:val="00BB5403"/>
    <w:rsid w:val="00BB54ED"/>
    <w:rsid w:val="00BB5B3E"/>
    <w:rsid w:val="00BB5C4B"/>
    <w:rsid w:val="00BB60EC"/>
    <w:rsid w:val="00BB6145"/>
    <w:rsid w:val="00BB62F1"/>
    <w:rsid w:val="00BB6ACE"/>
    <w:rsid w:val="00BB6B80"/>
    <w:rsid w:val="00BB6E9E"/>
    <w:rsid w:val="00BB6FEC"/>
    <w:rsid w:val="00BB7062"/>
    <w:rsid w:val="00BB7154"/>
    <w:rsid w:val="00BB71DC"/>
    <w:rsid w:val="00BB729F"/>
    <w:rsid w:val="00BB7567"/>
    <w:rsid w:val="00BB7820"/>
    <w:rsid w:val="00BB7864"/>
    <w:rsid w:val="00BB7C44"/>
    <w:rsid w:val="00BC0003"/>
    <w:rsid w:val="00BC01ED"/>
    <w:rsid w:val="00BC022D"/>
    <w:rsid w:val="00BC02EE"/>
    <w:rsid w:val="00BC0657"/>
    <w:rsid w:val="00BC0B65"/>
    <w:rsid w:val="00BC0BE1"/>
    <w:rsid w:val="00BC0F28"/>
    <w:rsid w:val="00BC116B"/>
    <w:rsid w:val="00BC1614"/>
    <w:rsid w:val="00BC17F7"/>
    <w:rsid w:val="00BC1819"/>
    <w:rsid w:val="00BC1AA9"/>
    <w:rsid w:val="00BC232C"/>
    <w:rsid w:val="00BC2513"/>
    <w:rsid w:val="00BC2E0F"/>
    <w:rsid w:val="00BC2E1C"/>
    <w:rsid w:val="00BC3049"/>
    <w:rsid w:val="00BC3578"/>
    <w:rsid w:val="00BC3806"/>
    <w:rsid w:val="00BC38C4"/>
    <w:rsid w:val="00BC39FB"/>
    <w:rsid w:val="00BC3ECC"/>
    <w:rsid w:val="00BC41E8"/>
    <w:rsid w:val="00BC42D7"/>
    <w:rsid w:val="00BC4603"/>
    <w:rsid w:val="00BC4871"/>
    <w:rsid w:val="00BC4987"/>
    <w:rsid w:val="00BC4F5B"/>
    <w:rsid w:val="00BC5080"/>
    <w:rsid w:val="00BC509F"/>
    <w:rsid w:val="00BC528C"/>
    <w:rsid w:val="00BC57E0"/>
    <w:rsid w:val="00BC5A1E"/>
    <w:rsid w:val="00BC5C60"/>
    <w:rsid w:val="00BC61F8"/>
    <w:rsid w:val="00BC6471"/>
    <w:rsid w:val="00BC6683"/>
    <w:rsid w:val="00BC6A77"/>
    <w:rsid w:val="00BC6ED1"/>
    <w:rsid w:val="00BC700D"/>
    <w:rsid w:val="00BC72FD"/>
    <w:rsid w:val="00BC768C"/>
    <w:rsid w:val="00BD0174"/>
    <w:rsid w:val="00BD0360"/>
    <w:rsid w:val="00BD0F4A"/>
    <w:rsid w:val="00BD14B8"/>
    <w:rsid w:val="00BD173A"/>
    <w:rsid w:val="00BD1869"/>
    <w:rsid w:val="00BD1B77"/>
    <w:rsid w:val="00BD1C79"/>
    <w:rsid w:val="00BD1E20"/>
    <w:rsid w:val="00BD26E0"/>
    <w:rsid w:val="00BD2CA2"/>
    <w:rsid w:val="00BD314A"/>
    <w:rsid w:val="00BD31C1"/>
    <w:rsid w:val="00BD38BA"/>
    <w:rsid w:val="00BD39FB"/>
    <w:rsid w:val="00BD3D4B"/>
    <w:rsid w:val="00BD3F19"/>
    <w:rsid w:val="00BD3F42"/>
    <w:rsid w:val="00BD4878"/>
    <w:rsid w:val="00BD4A9D"/>
    <w:rsid w:val="00BD4FBA"/>
    <w:rsid w:val="00BD50B6"/>
    <w:rsid w:val="00BD614D"/>
    <w:rsid w:val="00BD6339"/>
    <w:rsid w:val="00BD6416"/>
    <w:rsid w:val="00BD6437"/>
    <w:rsid w:val="00BD64A7"/>
    <w:rsid w:val="00BD658F"/>
    <w:rsid w:val="00BD65C6"/>
    <w:rsid w:val="00BD68E1"/>
    <w:rsid w:val="00BD6AEF"/>
    <w:rsid w:val="00BD6CB3"/>
    <w:rsid w:val="00BD70AB"/>
    <w:rsid w:val="00BD72BA"/>
    <w:rsid w:val="00BD778B"/>
    <w:rsid w:val="00BD78B3"/>
    <w:rsid w:val="00BD78D2"/>
    <w:rsid w:val="00BD7B9C"/>
    <w:rsid w:val="00BE01CD"/>
    <w:rsid w:val="00BE0829"/>
    <w:rsid w:val="00BE0CE6"/>
    <w:rsid w:val="00BE0DEC"/>
    <w:rsid w:val="00BE0FCF"/>
    <w:rsid w:val="00BE124C"/>
    <w:rsid w:val="00BE1980"/>
    <w:rsid w:val="00BE1DC1"/>
    <w:rsid w:val="00BE2534"/>
    <w:rsid w:val="00BE2697"/>
    <w:rsid w:val="00BE2C6F"/>
    <w:rsid w:val="00BE314E"/>
    <w:rsid w:val="00BE3267"/>
    <w:rsid w:val="00BE329C"/>
    <w:rsid w:val="00BE377E"/>
    <w:rsid w:val="00BE3850"/>
    <w:rsid w:val="00BE387C"/>
    <w:rsid w:val="00BE3DDA"/>
    <w:rsid w:val="00BE3F35"/>
    <w:rsid w:val="00BE40BA"/>
    <w:rsid w:val="00BE410C"/>
    <w:rsid w:val="00BE45A8"/>
    <w:rsid w:val="00BE470A"/>
    <w:rsid w:val="00BE4BFA"/>
    <w:rsid w:val="00BE4CE5"/>
    <w:rsid w:val="00BE4EA7"/>
    <w:rsid w:val="00BE4F4D"/>
    <w:rsid w:val="00BE5363"/>
    <w:rsid w:val="00BE55F4"/>
    <w:rsid w:val="00BE58C0"/>
    <w:rsid w:val="00BE5BE6"/>
    <w:rsid w:val="00BE5C7D"/>
    <w:rsid w:val="00BE5E22"/>
    <w:rsid w:val="00BE5ECB"/>
    <w:rsid w:val="00BE6946"/>
    <w:rsid w:val="00BE6BAE"/>
    <w:rsid w:val="00BE758F"/>
    <w:rsid w:val="00BE7A7D"/>
    <w:rsid w:val="00BE7E16"/>
    <w:rsid w:val="00BF00D1"/>
    <w:rsid w:val="00BF043E"/>
    <w:rsid w:val="00BF07C9"/>
    <w:rsid w:val="00BF09A4"/>
    <w:rsid w:val="00BF0C1A"/>
    <w:rsid w:val="00BF0EFE"/>
    <w:rsid w:val="00BF11C3"/>
    <w:rsid w:val="00BF14D0"/>
    <w:rsid w:val="00BF1702"/>
    <w:rsid w:val="00BF1932"/>
    <w:rsid w:val="00BF2563"/>
    <w:rsid w:val="00BF288E"/>
    <w:rsid w:val="00BF2DB4"/>
    <w:rsid w:val="00BF2EDA"/>
    <w:rsid w:val="00BF3361"/>
    <w:rsid w:val="00BF3688"/>
    <w:rsid w:val="00BF36C9"/>
    <w:rsid w:val="00BF37A4"/>
    <w:rsid w:val="00BF38A5"/>
    <w:rsid w:val="00BF38CB"/>
    <w:rsid w:val="00BF3A2C"/>
    <w:rsid w:val="00BF3C25"/>
    <w:rsid w:val="00BF3CA2"/>
    <w:rsid w:val="00BF3E82"/>
    <w:rsid w:val="00BF4013"/>
    <w:rsid w:val="00BF409B"/>
    <w:rsid w:val="00BF41A5"/>
    <w:rsid w:val="00BF42AC"/>
    <w:rsid w:val="00BF44A2"/>
    <w:rsid w:val="00BF47D1"/>
    <w:rsid w:val="00BF49E9"/>
    <w:rsid w:val="00BF4A44"/>
    <w:rsid w:val="00BF500C"/>
    <w:rsid w:val="00BF52AA"/>
    <w:rsid w:val="00BF52D7"/>
    <w:rsid w:val="00BF5387"/>
    <w:rsid w:val="00BF540C"/>
    <w:rsid w:val="00BF54FE"/>
    <w:rsid w:val="00BF55F2"/>
    <w:rsid w:val="00BF56EF"/>
    <w:rsid w:val="00BF5A75"/>
    <w:rsid w:val="00BF6242"/>
    <w:rsid w:val="00BF6758"/>
    <w:rsid w:val="00BF6848"/>
    <w:rsid w:val="00BF687C"/>
    <w:rsid w:val="00BF6C51"/>
    <w:rsid w:val="00BF6CF1"/>
    <w:rsid w:val="00BF6D9E"/>
    <w:rsid w:val="00BF719A"/>
    <w:rsid w:val="00BF73EA"/>
    <w:rsid w:val="00BF75DB"/>
    <w:rsid w:val="00C005EB"/>
    <w:rsid w:val="00C00C3F"/>
    <w:rsid w:val="00C00DC1"/>
    <w:rsid w:val="00C00DD7"/>
    <w:rsid w:val="00C01549"/>
    <w:rsid w:val="00C01787"/>
    <w:rsid w:val="00C01B65"/>
    <w:rsid w:val="00C01BB2"/>
    <w:rsid w:val="00C01BBC"/>
    <w:rsid w:val="00C01C56"/>
    <w:rsid w:val="00C01E5B"/>
    <w:rsid w:val="00C01F80"/>
    <w:rsid w:val="00C02282"/>
    <w:rsid w:val="00C022AD"/>
    <w:rsid w:val="00C022F1"/>
    <w:rsid w:val="00C0258D"/>
    <w:rsid w:val="00C02C05"/>
    <w:rsid w:val="00C02C86"/>
    <w:rsid w:val="00C031B6"/>
    <w:rsid w:val="00C038D1"/>
    <w:rsid w:val="00C03985"/>
    <w:rsid w:val="00C042BD"/>
    <w:rsid w:val="00C043B7"/>
    <w:rsid w:val="00C045C2"/>
    <w:rsid w:val="00C04647"/>
    <w:rsid w:val="00C0496E"/>
    <w:rsid w:val="00C04BB5"/>
    <w:rsid w:val="00C04D02"/>
    <w:rsid w:val="00C050E6"/>
    <w:rsid w:val="00C053DF"/>
    <w:rsid w:val="00C055A9"/>
    <w:rsid w:val="00C05965"/>
    <w:rsid w:val="00C05B93"/>
    <w:rsid w:val="00C05DA8"/>
    <w:rsid w:val="00C067B5"/>
    <w:rsid w:val="00C06B35"/>
    <w:rsid w:val="00C06DDA"/>
    <w:rsid w:val="00C0722A"/>
    <w:rsid w:val="00C0745A"/>
    <w:rsid w:val="00C075CF"/>
    <w:rsid w:val="00C0767B"/>
    <w:rsid w:val="00C076CB"/>
    <w:rsid w:val="00C10136"/>
    <w:rsid w:val="00C101DB"/>
    <w:rsid w:val="00C1067A"/>
    <w:rsid w:val="00C10AD2"/>
    <w:rsid w:val="00C10E4E"/>
    <w:rsid w:val="00C1102D"/>
    <w:rsid w:val="00C110B9"/>
    <w:rsid w:val="00C110F5"/>
    <w:rsid w:val="00C113F5"/>
    <w:rsid w:val="00C1147B"/>
    <w:rsid w:val="00C114B7"/>
    <w:rsid w:val="00C11804"/>
    <w:rsid w:val="00C11C7C"/>
    <w:rsid w:val="00C11CDA"/>
    <w:rsid w:val="00C11EC6"/>
    <w:rsid w:val="00C11F63"/>
    <w:rsid w:val="00C1202F"/>
    <w:rsid w:val="00C12762"/>
    <w:rsid w:val="00C12A71"/>
    <w:rsid w:val="00C12AB2"/>
    <w:rsid w:val="00C12B43"/>
    <w:rsid w:val="00C137E9"/>
    <w:rsid w:val="00C13A9F"/>
    <w:rsid w:val="00C13C14"/>
    <w:rsid w:val="00C13C61"/>
    <w:rsid w:val="00C13D00"/>
    <w:rsid w:val="00C14D4E"/>
    <w:rsid w:val="00C14D8B"/>
    <w:rsid w:val="00C14FBD"/>
    <w:rsid w:val="00C1519B"/>
    <w:rsid w:val="00C153DA"/>
    <w:rsid w:val="00C1541B"/>
    <w:rsid w:val="00C15F8D"/>
    <w:rsid w:val="00C16264"/>
    <w:rsid w:val="00C16865"/>
    <w:rsid w:val="00C169C3"/>
    <w:rsid w:val="00C16A3C"/>
    <w:rsid w:val="00C16F89"/>
    <w:rsid w:val="00C1743D"/>
    <w:rsid w:val="00C175BC"/>
    <w:rsid w:val="00C17EEE"/>
    <w:rsid w:val="00C202FC"/>
    <w:rsid w:val="00C20481"/>
    <w:rsid w:val="00C2066B"/>
    <w:rsid w:val="00C20BFB"/>
    <w:rsid w:val="00C20C64"/>
    <w:rsid w:val="00C20D78"/>
    <w:rsid w:val="00C20EA4"/>
    <w:rsid w:val="00C20EFA"/>
    <w:rsid w:val="00C2196C"/>
    <w:rsid w:val="00C21FB9"/>
    <w:rsid w:val="00C21FF9"/>
    <w:rsid w:val="00C22154"/>
    <w:rsid w:val="00C227E1"/>
    <w:rsid w:val="00C22C7A"/>
    <w:rsid w:val="00C23055"/>
    <w:rsid w:val="00C231B0"/>
    <w:rsid w:val="00C2339D"/>
    <w:rsid w:val="00C233D7"/>
    <w:rsid w:val="00C237AF"/>
    <w:rsid w:val="00C23987"/>
    <w:rsid w:val="00C2398D"/>
    <w:rsid w:val="00C23F14"/>
    <w:rsid w:val="00C24122"/>
    <w:rsid w:val="00C24714"/>
    <w:rsid w:val="00C249E4"/>
    <w:rsid w:val="00C24A4C"/>
    <w:rsid w:val="00C24AC0"/>
    <w:rsid w:val="00C25010"/>
    <w:rsid w:val="00C2533D"/>
    <w:rsid w:val="00C2551D"/>
    <w:rsid w:val="00C25738"/>
    <w:rsid w:val="00C2580A"/>
    <w:rsid w:val="00C25AD8"/>
    <w:rsid w:val="00C25F32"/>
    <w:rsid w:val="00C2623B"/>
    <w:rsid w:val="00C2667F"/>
    <w:rsid w:val="00C266DD"/>
    <w:rsid w:val="00C26814"/>
    <w:rsid w:val="00C268B2"/>
    <w:rsid w:val="00C268BE"/>
    <w:rsid w:val="00C269BB"/>
    <w:rsid w:val="00C26D8A"/>
    <w:rsid w:val="00C26DA0"/>
    <w:rsid w:val="00C27459"/>
    <w:rsid w:val="00C275C1"/>
    <w:rsid w:val="00C276B3"/>
    <w:rsid w:val="00C278BE"/>
    <w:rsid w:val="00C27D7A"/>
    <w:rsid w:val="00C30CE5"/>
    <w:rsid w:val="00C30F4B"/>
    <w:rsid w:val="00C31288"/>
    <w:rsid w:val="00C314EE"/>
    <w:rsid w:val="00C31679"/>
    <w:rsid w:val="00C31DD7"/>
    <w:rsid w:val="00C31F68"/>
    <w:rsid w:val="00C3260F"/>
    <w:rsid w:val="00C328C3"/>
    <w:rsid w:val="00C32BDA"/>
    <w:rsid w:val="00C33221"/>
    <w:rsid w:val="00C333FF"/>
    <w:rsid w:val="00C33941"/>
    <w:rsid w:val="00C33958"/>
    <w:rsid w:val="00C33AB8"/>
    <w:rsid w:val="00C33C18"/>
    <w:rsid w:val="00C34007"/>
    <w:rsid w:val="00C34119"/>
    <w:rsid w:val="00C34184"/>
    <w:rsid w:val="00C34263"/>
    <w:rsid w:val="00C344F1"/>
    <w:rsid w:val="00C348EE"/>
    <w:rsid w:val="00C34ACA"/>
    <w:rsid w:val="00C34B13"/>
    <w:rsid w:val="00C34FE1"/>
    <w:rsid w:val="00C35397"/>
    <w:rsid w:val="00C353BA"/>
    <w:rsid w:val="00C3541B"/>
    <w:rsid w:val="00C35CD5"/>
    <w:rsid w:val="00C35E32"/>
    <w:rsid w:val="00C36128"/>
    <w:rsid w:val="00C36172"/>
    <w:rsid w:val="00C3643F"/>
    <w:rsid w:val="00C368E4"/>
    <w:rsid w:val="00C36AB7"/>
    <w:rsid w:val="00C36DB4"/>
    <w:rsid w:val="00C3735A"/>
    <w:rsid w:val="00C376F2"/>
    <w:rsid w:val="00C3787A"/>
    <w:rsid w:val="00C379BB"/>
    <w:rsid w:val="00C37DB3"/>
    <w:rsid w:val="00C37F12"/>
    <w:rsid w:val="00C40123"/>
    <w:rsid w:val="00C4053B"/>
    <w:rsid w:val="00C405EE"/>
    <w:rsid w:val="00C411A5"/>
    <w:rsid w:val="00C421DE"/>
    <w:rsid w:val="00C4226D"/>
    <w:rsid w:val="00C42632"/>
    <w:rsid w:val="00C42BC6"/>
    <w:rsid w:val="00C42D79"/>
    <w:rsid w:val="00C431BD"/>
    <w:rsid w:val="00C43534"/>
    <w:rsid w:val="00C437D9"/>
    <w:rsid w:val="00C43B1B"/>
    <w:rsid w:val="00C43C86"/>
    <w:rsid w:val="00C43E40"/>
    <w:rsid w:val="00C4420B"/>
    <w:rsid w:val="00C44395"/>
    <w:rsid w:val="00C443F3"/>
    <w:rsid w:val="00C446B7"/>
    <w:rsid w:val="00C44771"/>
    <w:rsid w:val="00C44858"/>
    <w:rsid w:val="00C44A10"/>
    <w:rsid w:val="00C4519D"/>
    <w:rsid w:val="00C45289"/>
    <w:rsid w:val="00C45383"/>
    <w:rsid w:val="00C45AF7"/>
    <w:rsid w:val="00C45B90"/>
    <w:rsid w:val="00C464FB"/>
    <w:rsid w:val="00C465B1"/>
    <w:rsid w:val="00C46688"/>
    <w:rsid w:val="00C46955"/>
    <w:rsid w:val="00C46A44"/>
    <w:rsid w:val="00C46E6A"/>
    <w:rsid w:val="00C47063"/>
    <w:rsid w:val="00C470CC"/>
    <w:rsid w:val="00C47309"/>
    <w:rsid w:val="00C476CC"/>
    <w:rsid w:val="00C476D7"/>
    <w:rsid w:val="00C47DDD"/>
    <w:rsid w:val="00C502E8"/>
    <w:rsid w:val="00C50D79"/>
    <w:rsid w:val="00C50DD7"/>
    <w:rsid w:val="00C51352"/>
    <w:rsid w:val="00C51509"/>
    <w:rsid w:val="00C51A36"/>
    <w:rsid w:val="00C51BE5"/>
    <w:rsid w:val="00C51C8C"/>
    <w:rsid w:val="00C51EAA"/>
    <w:rsid w:val="00C52298"/>
    <w:rsid w:val="00C5229F"/>
    <w:rsid w:val="00C52556"/>
    <w:rsid w:val="00C528A9"/>
    <w:rsid w:val="00C52AAE"/>
    <w:rsid w:val="00C52E9E"/>
    <w:rsid w:val="00C52EB5"/>
    <w:rsid w:val="00C532DA"/>
    <w:rsid w:val="00C5398B"/>
    <w:rsid w:val="00C543ED"/>
    <w:rsid w:val="00C54743"/>
    <w:rsid w:val="00C547B8"/>
    <w:rsid w:val="00C55ACA"/>
    <w:rsid w:val="00C55CDC"/>
    <w:rsid w:val="00C55FB3"/>
    <w:rsid w:val="00C562E6"/>
    <w:rsid w:val="00C56346"/>
    <w:rsid w:val="00C56382"/>
    <w:rsid w:val="00C56409"/>
    <w:rsid w:val="00C56601"/>
    <w:rsid w:val="00C5670D"/>
    <w:rsid w:val="00C5676D"/>
    <w:rsid w:val="00C56779"/>
    <w:rsid w:val="00C5681B"/>
    <w:rsid w:val="00C57183"/>
    <w:rsid w:val="00C571B4"/>
    <w:rsid w:val="00C57755"/>
    <w:rsid w:val="00C57955"/>
    <w:rsid w:val="00C579A9"/>
    <w:rsid w:val="00C57BAD"/>
    <w:rsid w:val="00C57D42"/>
    <w:rsid w:val="00C606A3"/>
    <w:rsid w:val="00C60B00"/>
    <w:rsid w:val="00C60D53"/>
    <w:rsid w:val="00C60F0A"/>
    <w:rsid w:val="00C61128"/>
    <w:rsid w:val="00C612F9"/>
    <w:rsid w:val="00C61754"/>
    <w:rsid w:val="00C61E15"/>
    <w:rsid w:val="00C62248"/>
    <w:rsid w:val="00C62524"/>
    <w:rsid w:val="00C626B8"/>
    <w:rsid w:val="00C63449"/>
    <w:rsid w:val="00C63535"/>
    <w:rsid w:val="00C63745"/>
    <w:rsid w:val="00C639C6"/>
    <w:rsid w:val="00C63DA8"/>
    <w:rsid w:val="00C63DFD"/>
    <w:rsid w:val="00C6401B"/>
    <w:rsid w:val="00C6428F"/>
    <w:rsid w:val="00C64303"/>
    <w:rsid w:val="00C64B81"/>
    <w:rsid w:val="00C651E2"/>
    <w:rsid w:val="00C65354"/>
    <w:rsid w:val="00C656F3"/>
    <w:rsid w:val="00C659DC"/>
    <w:rsid w:val="00C65ADE"/>
    <w:rsid w:val="00C65E1B"/>
    <w:rsid w:val="00C65EB6"/>
    <w:rsid w:val="00C65EFC"/>
    <w:rsid w:val="00C665DE"/>
    <w:rsid w:val="00C667DE"/>
    <w:rsid w:val="00C66800"/>
    <w:rsid w:val="00C66A3D"/>
    <w:rsid w:val="00C677CA"/>
    <w:rsid w:val="00C6789F"/>
    <w:rsid w:val="00C679E3"/>
    <w:rsid w:val="00C67A3F"/>
    <w:rsid w:val="00C67F4C"/>
    <w:rsid w:val="00C70373"/>
    <w:rsid w:val="00C7143F"/>
    <w:rsid w:val="00C7172A"/>
    <w:rsid w:val="00C718BE"/>
    <w:rsid w:val="00C71E99"/>
    <w:rsid w:val="00C7228E"/>
    <w:rsid w:val="00C72D17"/>
    <w:rsid w:val="00C730FA"/>
    <w:rsid w:val="00C73105"/>
    <w:rsid w:val="00C73649"/>
    <w:rsid w:val="00C7379B"/>
    <w:rsid w:val="00C737D6"/>
    <w:rsid w:val="00C73955"/>
    <w:rsid w:val="00C73B89"/>
    <w:rsid w:val="00C73B94"/>
    <w:rsid w:val="00C73F97"/>
    <w:rsid w:val="00C73FA2"/>
    <w:rsid w:val="00C74177"/>
    <w:rsid w:val="00C74784"/>
    <w:rsid w:val="00C749FE"/>
    <w:rsid w:val="00C74E31"/>
    <w:rsid w:val="00C756E7"/>
    <w:rsid w:val="00C75F5C"/>
    <w:rsid w:val="00C762C5"/>
    <w:rsid w:val="00C76393"/>
    <w:rsid w:val="00C76663"/>
    <w:rsid w:val="00C76973"/>
    <w:rsid w:val="00C76A23"/>
    <w:rsid w:val="00C76AB6"/>
    <w:rsid w:val="00C771DE"/>
    <w:rsid w:val="00C776B9"/>
    <w:rsid w:val="00C77AF2"/>
    <w:rsid w:val="00C77E31"/>
    <w:rsid w:val="00C8003B"/>
    <w:rsid w:val="00C803C2"/>
    <w:rsid w:val="00C80469"/>
    <w:rsid w:val="00C805D1"/>
    <w:rsid w:val="00C80D08"/>
    <w:rsid w:val="00C81222"/>
    <w:rsid w:val="00C819C8"/>
    <w:rsid w:val="00C81CBF"/>
    <w:rsid w:val="00C822B8"/>
    <w:rsid w:val="00C823B0"/>
    <w:rsid w:val="00C823D2"/>
    <w:rsid w:val="00C8253C"/>
    <w:rsid w:val="00C82F4F"/>
    <w:rsid w:val="00C83275"/>
    <w:rsid w:val="00C832FD"/>
    <w:rsid w:val="00C8357A"/>
    <w:rsid w:val="00C83AA9"/>
    <w:rsid w:val="00C83BFD"/>
    <w:rsid w:val="00C83FAD"/>
    <w:rsid w:val="00C84073"/>
    <w:rsid w:val="00C84113"/>
    <w:rsid w:val="00C848AF"/>
    <w:rsid w:val="00C849EA"/>
    <w:rsid w:val="00C84CC5"/>
    <w:rsid w:val="00C850AA"/>
    <w:rsid w:val="00C85563"/>
    <w:rsid w:val="00C856AC"/>
    <w:rsid w:val="00C85992"/>
    <w:rsid w:val="00C85A6B"/>
    <w:rsid w:val="00C85E64"/>
    <w:rsid w:val="00C85F24"/>
    <w:rsid w:val="00C860B0"/>
    <w:rsid w:val="00C86263"/>
    <w:rsid w:val="00C86512"/>
    <w:rsid w:val="00C86773"/>
    <w:rsid w:val="00C87141"/>
    <w:rsid w:val="00C871FD"/>
    <w:rsid w:val="00C87756"/>
    <w:rsid w:val="00C87949"/>
    <w:rsid w:val="00C90547"/>
    <w:rsid w:val="00C90C8D"/>
    <w:rsid w:val="00C90DE3"/>
    <w:rsid w:val="00C90E2E"/>
    <w:rsid w:val="00C90ED5"/>
    <w:rsid w:val="00C90F8A"/>
    <w:rsid w:val="00C9147F"/>
    <w:rsid w:val="00C919AD"/>
    <w:rsid w:val="00C91D80"/>
    <w:rsid w:val="00C91E6A"/>
    <w:rsid w:val="00C927E7"/>
    <w:rsid w:val="00C92823"/>
    <w:rsid w:val="00C92A08"/>
    <w:rsid w:val="00C93144"/>
    <w:rsid w:val="00C93263"/>
    <w:rsid w:val="00C9365D"/>
    <w:rsid w:val="00C93A0C"/>
    <w:rsid w:val="00C93B14"/>
    <w:rsid w:val="00C94803"/>
    <w:rsid w:val="00C9489D"/>
    <w:rsid w:val="00C948F5"/>
    <w:rsid w:val="00C9503F"/>
    <w:rsid w:val="00C951BB"/>
    <w:rsid w:val="00C95730"/>
    <w:rsid w:val="00C95815"/>
    <w:rsid w:val="00C95889"/>
    <w:rsid w:val="00C95924"/>
    <w:rsid w:val="00C95D11"/>
    <w:rsid w:val="00C95FF0"/>
    <w:rsid w:val="00C9613C"/>
    <w:rsid w:val="00C961C0"/>
    <w:rsid w:val="00C96378"/>
    <w:rsid w:val="00C964E4"/>
    <w:rsid w:val="00C966CE"/>
    <w:rsid w:val="00C9670D"/>
    <w:rsid w:val="00C9676C"/>
    <w:rsid w:val="00C967DE"/>
    <w:rsid w:val="00C968D3"/>
    <w:rsid w:val="00C96A8A"/>
    <w:rsid w:val="00C96A91"/>
    <w:rsid w:val="00C96B30"/>
    <w:rsid w:val="00C96DCA"/>
    <w:rsid w:val="00C972B7"/>
    <w:rsid w:val="00C97336"/>
    <w:rsid w:val="00C97582"/>
    <w:rsid w:val="00C977A5"/>
    <w:rsid w:val="00C97BE0"/>
    <w:rsid w:val="00C97EA2"/>
    <w:rsid w:val="00C97F18"/>
    <w:rsid w:val="00C97FEC"/>
    <w:rsid w:val="00CA004A"/>
    <w:rsid w:val="00CA0464"/>
    <w:rsid w:val="00CA0637"/>
    <w:rsid w:val="00CA0AD8"/>
    <w:rsid w:val="00CA0C4D"/>
    <w:rsid w:val="00CA0E8D"/>
    <w:rsid w:val="00CA1313"/>
    <w:rsid w:val="00CA138B"/>
    <w:rsid w:val="00CA13CB"/>
    <w:rsid w:val="00CA1400"/>
    <w:rsid w:val="00CA1559"/>
    <w:rsid w:val="00CA1A20"/>
    <w:rsid w:val="00CA1EE2"/>
    <w:rsid w:val="00CA21CA"/>
    <w:rsid w:val="00CA23E4"/>
    <w:rsid w:val="00CA26FD"/>
    <w:rsid w:val="00CA2AA5"/>
    <w:rsid w:val="00CA2AD0"/>
    <w:rsid w:val="00CA2CF9"/>
    <w:rsid w:val="00CA2E55"/>
    <w:rsid w:val="00CA3462"/>
    <w:rsid w:val="00CA3953"/>
    <w:rsid w:val="00CA3B51"/>
    <w:rsid w:val="00CA3B60"/>
    <w:rsid w:val="00CA3C4B"/>
    <w:rsid w:val="00CA3CFA"/>
    <w:rsid w:val="00CA3E4E"/>
    <w:rsid w:val="00CA40C3"/>
    <w:rsid w:val="00CA40ED"/>
    <w:rsid w:val="00CA41B8"/>
    <w:rsid w:val="00CA4321"/>
    <w:rsid w:val="00CA4546"/>
    <w:rsid w:val="00CA46E9"/>
    <w:rsid w:val="00CA4A30"/>
    <w:rsid w:val="00CA4B2A"/>
    <w:rsid w:val="00CA54DA"/>
    <w:rsid w:val="00CA5552"/>
    <w:rsid w:val="00CA5640"/>
    <w:rsid w:val="00CA5688"/>
    <w:rsid w:val="00CA571C"/>
    <w:rsid w:val="00CA6355"/>
    <w:rsid w:val="00CA6D04"/>
    <w:rsid w:val="00CA6D5F"/>
    <w:rsid w:val="00CA6E37"/>
    <w:rsid w:val="00CA700C"/>
    <w:rsid w:val="00CA71C9"/>
    <w:rsid w:val="00CA723B"/>
    <w:rsid w:val="00CA740D"/>
    <w:rsid w:val="00CA7932"/>
    <w:rsid w:val="00CA7947"/>
    <w:rsid w:val="00CA7B31"/>
    <w:rsid w:val="00CA7B4A"/>
    <w:rsid w:val="00CA7BBE"/>
    <w:rsid w:val="00CA7EED"/>
    <w:rsid w:val="00CA7FC2"/>
    <w:rsid w:val="00CB00D7"/>
    <w:rsid w:val="00CB0915"/>
    <w:rsid w:val="00CB0DC1"/>
    <w:rsid w:val="00CB0E4C"/>
    <w:rsid w:val="00CB102D"/>
    <w:rsid w:val="00CB1171"/>
    <w:rsid w:val="00CB1345"/>
    <w:rsid w:val="00CB16FE"/>
    <w:rsid w:val="00CB1970"/>
    <w:rsid w:val="00CB1D51"/>
    <w:rsid w:val="00CB2068"/>
    <w:rsid w:val="00CB212E"/>
    <w:rsid w:val="00CB21C2"/>
    <w:rsid w:val="00CB2203"/>
    <w:rsid w:val="00CB24F0"/>
    <w:rsid w:val="00CB2C30"/>
    <w:rsid w:val="00CB2F86"/>
    <w:rsid w:val="00CB3000"/>
    <w:rsid w:val="00CB3500"/>
    <w:rsid w:val="00CB49C3"/>
    <w:rsid w:val="00CB4A92"/>
    <w:rsid w:val="00CB4C87"/>
    <w:rsid w:val="00CB4DCD"/>
    <w:rsid w:val="00CB506A"/>
    <w:rsid w:val="00CB5B99"/>
    <w:rsid w:val="00CB5DA6"/>
    <w:rsid w:val="00CB60A8"/>
    <w:rsid w:val="00CB6188"/>
    <w:rsid w:val="00CB629D"/>
    <w:rsid w:val="00CB6318"/>
    <w:rsid w:val="00CB688C"/>
    <w:rsid w:val="00CB6977"/>
    <w:rsid w:val="00CB6B44"/>
    <w:rsid w:val="00CB6C88"/>
    <w:rsid w:val="00CB6C97"/>
    <w:rsid w:val="00CB6F12"/>
    <w:rsid w:val="00CB70E5"/>
    <w:rsid w:val="00CB7912"/>
    <w:rsid w:val="00CB7917"/>
    <w:rsid w:val="00CB7A3B"/>
    <w:rsid w:val="00CB7C1E"/>
    <w:rsid w:val="00CC0731"/>
    <w:rsid w:val="00CC0B15"/>
    <w:rsid w:val="00CC0ED9"/>
    <w:rsid w:val="00CC1316"/>
    <w:rsid w:val="00CC13A7"/>
    <w:rsid w:val="00CC13EB"/>
    <w:rsid w:val="00CC1B0D"/>
    <w:rsid w:val="00CC1C93"/>
    <w:rsid w:val="00CC1DDD"/>
    <w:rsid w:val="00CC2115"/>
    <w:rsid w:val="00CC23AB"/>
    <w:rsid w:val="00CC2C52"/>
    <w:rsid w:val="00CC2CEE"/>
    <w:rsid w:val="00CC2DB6"/>
    <w:rsid w:val="00CC2E19"/>
    <w:rsid w:val="00CC308C"/>
    <w:rsid w:val="00CC3118"/>
    <w:rsid w:val="00CC3592"/>
    <w:rsid w:val="00CC35B9"/>
    <w:rsid w:val="00CC3B0B"/>
    <w:rsid w:val="00CC3D68"/>
    <w:rsid w:val="00CC4245"/>
    <w:rsid w:val="00CC42CB"/>
    <w:rsid w:val="00CC4416"/>
    <w:rsid w:val="00CC4AFE"/>
    <w:rsid w:val="00CC4C2D"/>
    <w:rsid w:val="00CC5688"/>
    <w:rsid w:val="00CC56B3"/>
    <w:rsid w:val="00CC5B2D"/>
    <w:rsid w:val="00CC5FAC"/>
    <w:rsid w:val="00CC60D7"/>
    <w:rsid w:val="00CC6671"/>
    <w:rsid w:val="00CC69D2"/>
    <w:rsid w:val="00CC6B67"/>
    <w:rsid w:val="00CC6CD1"/>
    <w:rsid w:val="00CC6E4D"/>
    <w:rsid w:val="00CC704F"/>
    <w:rsid w:val="00CC70F3"/>
    <w:rsid w:val="00CC720A"/>
    <w:rsid w:val="00CC73E1"/>
    <w:rsid w:val="00CC7463"/>
    <w:rsid w:val="00CC7B36"/>
    <w:rsid w:val="00CD06A5"/>
    <w:rsid w:val="00CD073C"/>
    <w:rsid w:val="00CD085C"/>
    <w:rsid w:val="00CD0A1B"/>
    <w:rsid w:val="00CD0AF8"/>
    <w:rsid w:val="00CD0D29"/>
    <w:rsid w:val="00CD1589"/>
    <w:rsid w:val="00CD15EF"/>
    <w:rsid w:val="00CD183E"/>
    <w:rsid w:val="00CD1908"/>
    <w:rsid w:val="00CD1E95"/>
    <w:rsid w:val="00CD2496"/>
    <w:rsid w:val="00CD281A"/>
    <w:rsid w:val="00CD2B1B"/>
    <w:rsid w:val="00CD2D59"/>
    <w:rsid w:val="00CD2EDB"/>
    <w:rsid w:val="00CD30F8"/>
    <w:rsid w:val="00CD3C7F"/>
    <w:rsid w:val="00CD4440"/>
    <w:rsid w:val="00CD4508"/>
    <w:rsid w:val="00CD49FF"/>
    <w:rsid w:val="00CD4E6A"/>
    <w:rsid w:val="00CD5179"/>
    <w:rsid w:val="00CD5768"/>
    <w:rsid w:val="00CD57D6"/>
    <w:rsid w:val="00CD5B18"/>
    <w:rsid w:val="00CD6201"/>
    <w:rsid w:val="00CD6312"/>
    <w:rsid w:val="00CD6491"/>
    <w:rsid w:val="00CD6585"/>
    <w:rsid w:val="00CD6804"/>
    <w:rsid w:val="00CD6C0E"/>
    <w:rsid w:val="00CD6E23"/>
    <w:rsid w:val="00CD70A7"/>
    <w:rsid w:val="00CD72E8"/>
    <w:rsid w:val="00CD787B"/>
    <w:rsid w:val="00CD793A"/>
    <w:rsid w:val="00CD7C79"/>
    <w:rsid w:val="00CD7D68"/>
    <w:rsid w:val="00CD7E17"/>
    <w:rsid w:val="00CE00E1"/>
    <w:rsid w:val="00CE0119"/>
    <w:rsid w:val="00CE01B3"/>
    <w:rsid w:val="00CE0308"/>
    <w:rsid w:val="00CE0845"/>
    <w:rsid w:val="00CE0A7B"/>
    <w:rsid w:val="00CE0F2A"/>
    <w:rsid w:val="00CE0FB5"/>
    <w:rsid w:val="00CE0FBE"/>
    <w:rsid w:val="00CE1408"/>
    <w:rsid w:val="00CE1A04"/>
    <w:rsid w:val="00CE1FFF"/>
    <w:rsid w:val="00CE231E"/>
    <w:rsid w:val="00CE28AB"/>
    <w:rsid w:val="00CE296B"/>
    <w:rsid w:val="00CE2C86"/>
    <w:rsid w:val="00CE2C87"/>
    <w:rsid w:val="00CE3109"/>
    <w:rsid w:val="00CE3831"/>
    <w:rsid w:val="00CE3993"/>
    <w:rsid w:val="00CE3A4C"/>
    <w:rsid w:val="00CE3C33"/>
    <w:rsid w:val="00CE3D05"/>
    <w:rsid w:val="00CE3D80"/>
    <w:rsid w:val="00CE3DEB"/>
    <w:rsid w:val="00CE3E60"/>
    <w:rsid w:val="00CE45BF"/>
    <w:rsid w:val="00CE46EE"/>
    <w:rsid w:val="00CE4887"/>
    <w:rsid w:val="00CE4A78"/>
    <w:rsid w:val="00CE4E5F"/>
    <w:rsid w:val="00CE4EC4"/>
    <w:rsid w:val="00CE504B"/>
    <w:rsid w:val="00CE5DBD"/>
    <w:rsid w:val="00CE64D6"/>
    <w:rsid w:val="00CE666E"/>
    <w:rsid w:val="00CE6A8E"/>
    <w:rsid w:val="00CE6B2F"/>
    <w:rsid w:val="00CE6C5B"/>
    <w:rsid w:val="00CE6E01"/>
    <w:rsid w:val="00CE6EB2"/>
    <w:rsid w:val="00CE730D"/>
    <w:rsid w:val="00CE7FE9"/>
    <w:rsid w:val="00CF043B"/>
    <w:rsid w:val="00CF0B2A"/>
    <w:rsid w:val="00CF1225"/>
    <w:rsid w:val="00CF1489"/>
    <w:rsid w:val="00CF1606"/>
    <w:rsid w:val="00CF175C"/>
    <w:rsid w:val="00CF17FB"/>
    <w:rsid w:val="00CF18D8"/>
    <w:rsid w:val="00CF1A50"/>
    <w:rsid w:val="00CF1D64"/>
    <w:rsid w:val="00CF1FC3"/>
    <w:rsid w:val="00CF20D5"/>
    <w:rsid w:val="00CF24B4"/>
    <w:rsid w:val="00CF2B48"/>
    <w:rsid w:val="00CF2FCB"/>
    <w:rsid w:val="00CF34D5"/>
    <w:rsid w:val="00CF3587"/>
    <w:rsid w:val="00CF39FE"/>
    <w:rsid w:val="00CF3BEE"/>
    <w:rsid w:val="00CF3CEC"/>
    <w:rsid w:val="00CF3E40"/>
    <w:rsid w:val="00CF42EA"/>
    <w:rsid w:val="00CF4382"/>
    <w:rsid w:val="00CF4455"/>
    <w:rsid w:val="00CF4547"/>
    <w:rsid w:val="00CF4D70"/>
    <w:rsid w:val="00CF4F69"/>
    <w:rsid w:val="00CF5010"/>
    <w:rsid w:val="00CF534A"/>
    <w:rsid w:val="00CF59A0"/>
    <w:rsid w:val="00CF5B9C"/>
    <w:rsid w:val="00CF5CE9"/>
    <w:rsid w:val="00CF5D57"/>
    <w:rsid w:val="00CF5E0F"/>
    <w:rsid w:val="00CF5E25"/>
    <w:rsid w:val="00CF6076"/>
    <w:rsid w:val="00CF60A9"/>
    <w:rsid w:val="00CF652A"/>
    <w:rsid w:val="00CF699C"/>
    <w:rsid w:val="00CF7022"/>
    <w:rsid w:val="00CF7057"/>
    <w:rsid w:val="00CF70C4"/>
    <w:rsid w:val="00CF7329"/>
    <w:rsid w:val="00CF7508"/>
    <w:rsid w:val="00CF768A"/>
    <w:rsid w:val="00CF7773"/>
    <w:rsid w:val="00CF78E8"/>
    <w:rsid w:val="00D00005"/>
    <w:rsid w:val="00D00380"/>
    <w:rsid w:val="00D00D7F"/>
    <w:rsid w:val="00D00E5A"/>
    <w:rsid w:val="00D00F98"/>
    <w:rsid w:val="00D0123B"/>
    <w:rsid w:val="00D014FD"/>
    <w:rsid w:val="00D017EB"/>
    <w:rsid w:val="00D01974"/>
    <w:rsid w:val="00D01A38"/>
    <w:rsid w:val="00D0240D"/>
    <w:rsid w:val="00D02603"/>
    <w:rsid w:val="00D02AA8"/>
    <w:rsid w:val="00D02CB5"/>
    <w:rsid w:val="00D0314E"/>
    <w:rsid w:val="00D03235"/>
    <w:rsid w:val="00D035A2"/>
    <w:rsid w:val="00D03D9A"/>
    <w:rsid w:val="00D03F0B"/>
    <w:rsid w:val="00D04165"/>
    <w:rsid w:val="00D043CE"/>
    <w:rsid w:val="00D047AE"/>
    <w:rsid w:val="00D047DE"/>
    <w:rsid w:val="00D04A26"/>
    <w:rsid w:val="00D04D82"/>
    <w:rsid w:val="00D04EF2"/>
    <w:rsid w:val="00D04FBA"/>
    <w:rsid w:val="00D05048"/>
    <w:rsid w:val="00D054BC"/>
    <w:rsid w:val="00D054E9"/>
    <w:rsid w:val="00D055FA"/>
    <w:rsid w:val="00D0563B"/>
    <w:rsid w:val="00D057B1"/>
    <w:rsid w:val="00D0595B"/>
    <w:rsid w:val="00D05CBF"/>
    <w:rsid w:val="00D05D4F"/>
    <w:rsid w:val="00D060FD"/>
    <w:rsid w:val="00D062E5"/>
    <w:rsid w:val="00D063DA"/>
    <w:rsid w:val="00D06678"/>
    <w:rsid w:val="00D068F1"/>
    <w:rsid w:val="00D0698E"/>
    <w:rsid w:val="00D06A5C"/>
    <w:rsid w:val="00D06D35"/>
    <w:rsid w:val="00D06D59"/>
    <w:rsid w:val="00D071FA"/>
    <w:rsid w:val="00D074F7"/>
    <w:rsid w:val="00D07782"/>
    <w:rsid w:val="00D07F75"/>
    <w:rsid w:val="00D10080"/>
    <w:rsid w:val="00D10367"/>
    <w:rsid w:val="00D103E7"/>
    <w:rsid w:val="00D10D9C"/>
    <w:rsid w:val="00D112CD"/>
    <w:rsid w:val="00D11696"/>
    <w:rsid w:val="00D11AF7"/>
    <w:rsid w:val="00D11BD4"/>
    <w:rsid w:val="00D11D73"/>
    <w:rsid w:val="00D11ED4"/>
    <w:rsid w:val="00D120BD"/>
    <w:rsid w:val="00D12484"/>
    <w:rsid w:val="00D133DA"/>
    <w:rsid w:val="00D13944"/>
    <w:rsid w:val="00D13EE0"/>
    <w:rsid w:val="00D1451F"/>
    <w:rsid w:val="00D14984"/>
    <w:rsid w:val="00D14BA0"/>
    <w:rsid w:val="00D14CDA"/>
    <w:rsid w:val="00D14EC9"/>
    <w:rsid w:val="00D14F3E"/>
    <w:rsid w:val="00D14FF9"/>
    <w:rsid w:val="00D159B3"/>
    <w:rsid w:val="00D15C6B"/>
    <w:rsid w:val="00D15EC5"/>
    <w:rsid w:val="00D15ECD"/>
    <w:rsid w:val="00D16204"/>
    <w:rsid w:val="00D1668E"/>
    <w:rsid w:val="00D168F3"/>
    <w:rsid w:val="00D16A0A"/>
    <w:rsid w:val="00D1703E"/>
    <w:rsid w:val="00D177C8"/>
    <w:rsid w:val="00D17D70"/>
    <w:rsid w:val="00D20226"/>
    <w:rsid w:val="00D2028F"/>
    <w:rsid w:val="00D2033F"/>
    <w:rsid w:val="00D204AD"/>
    <w:rsid w:val="00D204E3"/>
    <w:rsid w:val="00D208EF"/>
    <w:rsid w:val="00D20B33"/>
    <w:rsid w:val="00D20B7B"/>
    <w:rsid w:val="00D20C61"/>
    <w:rsid w:val="00D20C73"/>
    <w:rsid w:val="00D20FEB"/>
    <w:rsid w:val="00D2118D"/>
    <w:rsid w:val="00D21B87"/>
    <w:rsid w:val="00D21BED"/>
    <w:rsid w:val="00D21CE7"/>
    <w:rsid w:val="00D22ECC"/>
    <w:rsid w:val="00D22FEF"/>
    <w:rsid w:val="00D23690"/>
    <w:rsid w:val="00D23816"/>
    <w:rsid w:val="00D23916"/>
    <w:rsid w:val="00D23AFA"/>
    <w:rsid w:val="00D23F23"/>
    <w:rsid w:val="00D2435E"/>
    <w:rsid w:val="00D244A0"/>
    <w:rsid w:val="00D2602C"/>
    <w:rsid w:val="00D26AB7"/>
    <w:rsid w:val="00D26D1D"/>
    <w:rsid w:val="00D26F6B"/>
    <w:rsid w:val="00D26F75"/>
    <w:rsid w:val="00D2704E"/>
    <w:rsid w:val="00D2732D"/>
    <w:rsid w:val="00D275B7"/>
    <w:rsid w:val="00D27838"/>
    <w:rsid w:val="00D278DB"/>
    <w:rsid w:val="00D27F9C"/>
    <w:rsid w:val="00D303E3"/>
    <w:rsid w:val="00D3076F"/>
    <w:rsid w:val="00D30889"/>
    <w:rsid w:val="00D308CF"/>
    <w:rsid w:val="00D30A56"/>
    <w:rsid w:val="00D30F27"/>
    <w:rsid w:val="00D310E6"/>
    <w:rsid w:val="00D3118D"/>
    <w:rsid w:val="00D3137F"/>
    <w:rsid w:val="00D315F7"/>
    <w:rsid w:val="00D316D2"/>
    <w:rsid w:val="00D318C0"/>
    <w:rsid w:val="00D3190A"/>
    <w:rsid w:val="00D31914"/>
    <w:rsid w:val="00D31CDE"/>
    <w:rsid w:val="00D31D8B"/>
    <w:rsid w:val="00D31ED6"/>
    <w:rsid w:val="00D322B4"/>
    <w:rsid w:val="00D32634"/>
    <w:rsid w:val="00D32FF2"/>
    <w:rsid w:val="00D3309E"/>
    <w:rsid w:val="00D3330A"/>
    <w:rsid w:val="00D33586"/>
    <w:rsid w:val="00D33821"/>
    <w:rsid w:val="00D33F44"/>
    <w:rsid w:val="00D33FDD"/>
    <w:rsid w:val="00D341CE"/>
    <w:rsid w:val="00D342F6"/>
    <w:rsid w:val="00D3449C"/>
    <w:rsid w:val="00D34944"/>
    <w:rsid w:val="00D34B6A"/>
    <w:rsid w:val="00D35336"/>
    <w:rsid w:val="00D35C66"/>
    <w:rsid w:val="00D35E83"/>
    <w:rsid w:val="00D36659"/>
    <w:rsid w:val="00D36F59"/>
    <w:rsid w:val="00D37270"/>
    <w:rsid w:val="00D373E3"/>
    <w:rsid w:val="00D375EE"/>
    <w:rsid w:val="00D37603"/>
    <w:rsid w:val="00D376AA"/>
    <w:rsid w:val="00D403FA"/>
    <w:rsid w:val="00D40F66"/>
    <w:rsid w:val="00D415A3"/>
    <w:rsid w:val="00D4185A"/>
    <w:rsid w:val="00D41DD8"/>
    <w:rsid w:val="00D41FCF"/>
    <w:rsid w:val="00D41FF9"/>
    <w:rsid w:val="00D42087"/>
    <w:rsid w:val="00D42125"/>
    <w:rsid w:val="00D4233F"/>
    <w:rsid w:val="00D42351"/>
    <w:rsid w:val="00D42616"/>
    <w:rsid w:val="00D42679"/>
    <w:rsid w:val="00D4281F"/>
    <w:rsid w:val="00D428FC"/>
    <w:rsid w:val="00D42C2F"/>
    <w:rsid w:val="00D42D64"/>
    <w:rsid w:val="00D42DA8"/>
    <w:rsid w:val="00D43860"/>
    <w:rsid w:val="00D439E0"/>
    <w:rsid w:val="00D439FC"/>
    <w:rsid w:val="00D43AB4"/>
    <w:rsid w:val="00D43DAD"/>
    <w:rsid w:val="00D43DE1"/>
    <w:rsid w:val="00D443D9"/>
    <w:rsid w:val="00D443EF"/>
    <w:rsid w:val="00D4490B"/>
    <w:rsid w:val="00D44B5C"/>
    <w:rsid w:val="00D44BAD"/>
    <w:rsid w:val="00D451EC"/>
    <w:rsid w:val="00D452A9"/>
    <w:rsid w:val="00D45A53"/>
    <w:rsid w:val="00D467CD"/>
    <w:rsid w:val="00D467E0"/>
    <w:rsid w:val="00D46C59"/>
    <w:rsid w:val="00D46E0B"/>
    <w:rsid w:val="00D46E39"/>
    <w:rsid w:val="00D4755F"/>
    <w:rsid w:val="00D47623"/>
    <w:rsid w:val="00D47C43"/>
    <w:rsid w:val="00D47E6C"/>
    <w:rsid w:val="00D50101"/>
    <w:rsid w:val="00D50182"/>
    <w:rsid w:val="00D50C5E"/>
    <w:rsid w:val="00D50C89"/>
    <w:rsid w:val="00D50C8F"/>
    <w:rsid w:val="00D51058"/>
    <w:rsid w:val="00D51B2F"/>
    <w:rsid w:val="00D51C86"/>
    <w:rsid w:val="00D51CB4"/>
    <w:rsid w:val="00D52872"/>
    <w:rsid w:val="00D532CA"/>
    <w:rsid w:val="00D5345E"/>
    <w:rsid w:val="00D536FB"/>
    <w:rsid w:val="00D53A16"/>
    <w:rsid w:val="00D53C3D"/>
    <w:rsid w:val="00D53E69"/>
    <w:rsid w:val="00D540CF"/>
    <w:rsid w:val="00D54566"/>
    <w:rsid w:val="00D54B75"/>
    <w:rsid w:val="00D54C8D"/>
    <w:rsid w:val="00D54DEC"/>
    <w:rsid w:val="00D55684"/>
    <w:rsid w:val="00D55871"/>
    <w:rsid w:val="00D55E1B"/>
    <w:rsid w:val="00D56162"/>
    <w:rsid w:val="00D5634C"/>
    <w:rsid w:val="00D56579"/>
    <w:rsid w:val="00D565A1"/>
    <w:rsid w:val="00D566F3"/>
    <w:rsid w:val="00D56924"/>
    <w:rsid w:val="00D56C3D"/>
    <w:rsid w:val="00D56C96"/>
    <w:rsid w:val="00D57163"/>
    <w:rsid w:val="00D57276"/>
    <w:rsid w:val="00D573B7"/>
    <w:rsid w:val="00D576BA"/>
    <w:rsid w:val="00D57BAD"/>
    <w:rsid w:val="00D57CF6"/>
    <w:rsid w:val="00D57EE2"/>
    <w:rsid w:val="00D600FD"/>
    <w:rsid w:val="00D601E7"/>
    <w:rsid w:val="00D606E4"/>
    <w:rsid w:val="00D6072F"/>
    <w:rsid w:val="00D607C9"/>
    <w:rsid w:val="00D60AFD"/>
    <w:rsid w:val="00D60B42"/>
    <w:rsid w:val="00D60FCA"/>
    <w:rsid w:val="00D61002"/>
    <w:rsid w:val="00D6138E"/>
    <w:rsid w:val="00D617EB"/>
    <w:rsid w:val="00D61C2D"/>
    <w:rsid w:val="00D61D2F"/>
    <w:rsid w:val="00D61FBB"/>
    <w:rsid w:val="00D62381"/>
    <w:rsid w:val="00D62784"/>
    <w:rsid w:val="00D62CAA"/>
    <w:rsid w:val="00D6301F"/>
    <w:rsid w:val="00D63097"/>
    <w:rsid w:val="00D63B69"/>
    <w:rsid w:val="00D63E35"/>
    <w:rsid w:val="00D64155"/>
    <w:rsid w:val="00D6415E"/>
    <w:rsid w:val="00D6468B"/>
    <w:rsid w:val="00D6472A"/>
    <w:rsid w:val="00D64A03"/>
    <w:rsid w:val="00D64B1B"/>
    <w:rsid w:val="00D64BB1"/>
    <w:rsid w:val="00D64C7F"/>
    <w:rsid w:val="00D6520D"/>
    <w:rsid w:val="00D656B8"/>
    <w:rsid w:val="00D65CAA"/>
    <w:rsid w:val="00D65E97"/>
    <w:rsid w:val="00D665AB"/>
    <w:rsid w:val="00D668FE"/>
    <w:rsid w:val="00D6693A"/>
    <w:rsid w:val="00D66E9D"/>
    <w:rsid w:val="00D6700A"/>
    <w:rsid w:val="00D67206"/>
    <w:rsid w:val="00D67409"/>
    <w:rsid w:val="00D678DA"/>
    <w:rsid w:val="00D70140"/>
    <w:rsid w:val="00D7039C"/>
    <w:rsid w:val="00D7042E"/>
    <w:rsid w:val="00D70508"/>
    <w:rsid w:val="00D70630"/>
    <w:rsid w:val="00D70DFD"/>
    <w:rsid w:val="00D70E4D"/>
    <w:rsid w:val="00D7137C"/>
    <w:rsid w:val="00D716C2"/>
    <w:rsid w:val="00D71D30"/>
    <w:rsid w:val="00D71EC0"/>
    <w:rsid w:val="00D7219C"/>
    <w:rsid w:val="00D72C80"/>
    <w:rsid w:val="00D72D3D"/>
    <w:rsid w:val="00D730E4"/>
    <w:rsid w:val="00D732D9"/>
    <w:rsid w:val="00D7395C"/>
    <w:rsid w:val="00D73A62"/>
    <w:rsid w:val="00D73A69"/>
    <w:rsid w:val="00D73B71"/>
    <w:rsid w:val="00D73BCA"/>
    <w:rsid w:val="00D73C78"/>
    <w:rsid w:val="00D741C2"/>
    <w:rsid w:val="00D744FF"/>
    <w:rsid w:val="00D747AC"/>
    <w:rsid w:val="00D74A04"/>
    <w:rsid w:val="00D74D95"/>
    <w:rsid w:val="00D755D5"/>
    <w:rsid w:val="00D755F4"/>
    <w:rsid w:val="00D7576A"/>
    <w:rsid w:val="00D758D2"/>
    <w:rsid w:val="00D75F50"/>
    <w:rsid w:val="00D76181"/>
    <w:rsid w:val="00D7629A"/>
    <w:rsid w:val="00D76666"/>
    <w:rsid w:val="00D766A3"/>
    <w:rsid w:val="00D7687B"/>
    <w:rsid w:val="00D7726F"/>
    <w:rsid w:val="00D77850"/>
    <w:rsid w:val="00D778F5"/>
    <w:rsid w:val="00D77A53"/>
    <w:rsid w:val="00D77CDE"/>
    <w:rsid w:val="00D802ED"/>
    <w:rsid w:val="00D803E0"/>
    <w:rsid w:val="00D80865"/>
    <w:rsid w:val="00D80A2A"/>
    <w:rsid w:val="00D8117E"/>
    <w:rsid w:val="00D81237"/>
    <w:rsid w:val="00D8138E"/>
    <w:rsid w:val="00D81505"/>
    <w:rsid w:val="00D818FA"/>
    <w:rsid w:val="00D81A31"/>
    <w:rsid w:val="00D8231D"/>
    <w:rsid w:val="00D82819"/>
    <w:rsid w:val="00D82B80"/>
    <w:rsid w:val="00D82BA3"/>
    <w:rsid w:val="00D82E1E"/>
    <w:rsid w:val="00D82E4C"/>
    <w:rsid w:val="00D831C6"/>
    <w:rsid w:val="00D83658"/>
    <w:rsid w:val="00D83C5E"/>
    <w:rsid w:val="00D83DA2"/>
    <w:rsid w:val="00D83E7E"/>
    <w:rsid w:val="00D83EC2"/>
    <w:rsid w:val="00D83F5E"/>
    <w:rsid w:val="00D8490A"/>
    <w:rsid w:val="00D84A64"/>
    <w:rsid w:val="00D85084"/>
    <w:rsid w:val="00D85546"/>
    <w:rsid w:val="00D85654"/>
    <w:rsid w:val="00D85AE8"/>
    <w:rsid w:val="00D85B82"/>
    <w:rsid w:val="00D85C7C"/>
    <w:rsid w:val="00D85CC5"/>
    <w:rsid w:val="00D85FB8"/>
    <w:rsid w:val="00D86378"/>
    <w:rsid w:val="00D86D02"/>
    <w:rsid w:val="00D86EFE"/>
    <w:rsid w:val="00D87194"/>
    <w:rsid w:val="00D871F8"/>
    <w:rsid w:val="00D87580"/>
    <w:rsid w:val="00D875EC"/>
    <w:rsid w:val="00D87BDA"/>
    <w:rsid w:val="00D9061A"/>
    <w:rsid w:val="00D90BE9"/>
    <w:rsid w:val="00D90DA7"/>
    <w:rsid w:val="00D90ED6"/>
    <w:rsid w:val="00D90FDA"/>
    <w:rsid w:val="00D910B2"/>
    <w:rsid w:val="00D911B7"/>
    <w:rsid w:val="00D9141F"/>
    <w:rsid w:val="00D915CE"/>
    <w:rsid w:val="00D91B8E"/>
    <w:rsid w:val="00D91FC5"/>
    <w:rsid w:val="00D9217F"/>
    <w:rsid w:val="00D92322"/>
    <w:rsid w:val="00D9237B"/>
    <w:rsid w:val="00D923B7"/>
    <w:rsid w:val="00D928BF"/>
    <w:rsid w:val="00D92A0A"/>
    <w:rsid w:val="00D92A49"/>
    <w:rsid w:val="00D92A6C"/>
    <w:rsid w:val="00D92E22"/>
    <w:rsid w:val="00D92FD1"/>
    <w:rsid w:val="00D93331"/>
    <w:rsid w:val="00D934B2"/>
    <w:rsid w:val="00D93DFD"/>
    <w:rsid w:val="00D93FA4"/>
    <w:rsid w:val="00D941FB"/>
    <w:rsid w:val="00D9437F"/>
    <w:rsid w:val="00D943FE"/>
    <w:rsid w:val="00D94BB9"/>
    <w:rsid w:val="00D94F14"/>
    <w:rsid w:val="00D95048"/>
    <w:rsid w:val="00D95176"/>
    <w:rsid w:val="00D952BD"/>
    <w:rsid w:val="00D95885"/>
    <w:rsid w:val="00D95A1C"/>
    <w:rsid w:val="00D95AFB"/>
    <w:rsid w:val="00D95CD4"/>
    <w:rsid w:val="00D95DB1"/>
    <w:rsid w:val="00D96071"/>
    <w:rsid w:val="00D96099"/>
    <w:rsid w:val="00D96289"/>
    <w:rsid w:val="00D9684F"/>
    <w:rsid w:val="00D96B29"/>
    <w:rsid w:val="00D96C54"/>
    <w:rsid w:val="00D96C9D"/>
    <w:rsid w:val="00D96D07"/>
    <w:rsid w:val="00D96E97"/>
    <w:rsid w:val="00D96EA9"/>
    <w:rsid w:val="00D96F7B"/>
    <w:rsid w:val="00D972D7"/>
    <w:rsid w:val="00D975D9"/>
    <w:rsid w:val="00D979E3"/>
    <w:rsid w:val="00D97AA5"/>
    <w:rsid w:val="00D97C57"/>
    <w:rsid w:val="00D97EE6"/>
    <w:rsid w:val="00DA02A5"/>
    <w:rsid w:val="00DA0550"/>
    <w:rsid w:val="00DA05C0"/>
    <w:rsid w:val="00DA064A"/>
    <w:rsid w:val="00DA0F40"/>
    <w:rsid w:val="00DA152D"/>
    <w:rsid w:val="00DA18BB"/>
    <w:rsid w:val="00DA1A36"/>
    <w:rsid w:val="00DA1D81"/>
    <w:rsid w:val="00DA20BB"/>
    <w:rsid w:val="00DA22E4"/>
    <w:rsid w:val="00DA23AE"/>
    <w:rsid w:val="00DA26BE"/>
    <w:rsid w:val="00DA2904"/>
    <w:rsid w:val="00DA2921"/>
    <w:rsid w:val="00DA2BFC"/>
    <w:rsid w:val="00DA33B9"/>
    <w:rsid w:val="00DA3710"/>
    <w:rsid w:val="00DA3954"/>
    <w:rsid w:val="00DA39EA"/>
    <w:rsid w:val="00DA3AE1"/>
    <w:rsid w:val="00DA40EF"/>
    <w:rsid w:val="00DA4187"/>
    <w:rsid w:val="00DA4514"/>
    <w:rsid w:val="00DA4644"/>
    <w:rsid w:val="00DA48B0"/>
    <w:rsid w:val="00DA4DE1"/>
    <w:rsid w:val="00DA5395"/>
    <w:rsid w:val="00DA53C5"/>
    <w:rsid w:val="00DA5541"/>
    <w:rsid w:val="00DA5706"/>
    <w:rsid w:val="00DA574C"/>
    <w:rsid w:val="00DA5A4B"/>
    <w:rsid w:val="00DA5B9F"/>
    <w:rsid w:val="00DA5D25"/>
    <w:rsid w:val="00DA646B"/>
    <w:rsid w:val="00DA6BF2"/>
    <w:rsid w:val="00DA6D6E"/>
    <w:rsid w:val="00DA6EC4"/>
    <w:rsid w:val="00DA73E2"/>
    <w:rsid w:val="00DA76FE"/>
    <w:rsid w:val="00DA7764"/>
    <w:rsid w:val="00DA7914"/>
    <w:rsid w:val="00DA7B91"/>
    <w:rsid w:val="00DA7F34"/>
    <w:rsid w:val="00DB00F5"/>
    <w:rsid w:val="00DB08DD"/>
    <w:rsid w:val="00DB08F0"/>
    <w:rsid w:val="00DB1793"/>
    <w:rsid w:val="00DB1C4F"/>
    <w:rsid w:val="00DB1C54"/>
    <w:rsid w:val="00DB1E7D"/>
    <w:rsid w:val="00DB22A9"/>
    <w:rsid w:val="00DB27DA"/>
    <w:rsid w:val="00DB29B1"/>
    <w:rsid w:val="00DB3293"/>
    <w:rsid w:val="00DB344B"/>
    <w:rsid w:val="00DB36F8"/>
    <w:rsid w:val="00DB3914"/>
    <w:rsid w:val="00DB3FAB"/>
    <w:rsid w:val="00DB41D9"/>
    <w:rsid w:val="00DB424B"/>
    <w:rsid w:val="00DB437B"/>
    <w:rsid w:val="00DB4D26"/>
    <w:rsid w:val="00DB4F22"/>
    <w:rsid w:val="00DB51B5"/>
    <w:rsid w:val="00DB52E6"/>
    <w:rsid w:val="00DB5460"/>
    <w:rsid w:val="00DB551C"/>
    <w:rsid w:val="00DB5597"/>
    <w:rsid w:val="00DB587A"/>
    <w:rsid w:val="00DB5B67"/>
    <w:rsid w:val="00DB5F60"/>
    <w:rsid w:val="00DB60F5"/>
    <w:rsid w:val="00DB73A0"/>
    <w:rsid w:val="00DB7806"/>
    <w:rsid w:val="00DC024A"/>
    <w:rsid w:val="00DC0461"/>
    <w:rsid w:val="00DC0485"/>
    <w:rsid w:val="00DC0619"/>
    <w:rsid w:val="00DC081D"/>
    <w:rsid w:val="00DC1290"/>
    <w:rsid w:val="00DC1441"/>
    <w:rsid w:val="00DC1663"/>
    <w:rsid w:val="00DC1D0E"/>
    <w:rsid w:val="00DC1F63"/>
    <w:rsid w:val="00DC2376"/>
    <w:rsid w:val="00DC2527"/>
    <w:rsid w:val="00DC25E6"/>
    <w:rsid w:val="00DC27EE"/>
    <w:rsid w:val="00DC2D48"/>
    <w:rsid w:val="00DC333C"/>
    <w:rsid w:val="00DC3639"/>
    <w:rsid w:val="00DC3B5E"/>
    <w:rsid w:val="00DC3B84"/>
    <w:rsid w:val="00DC3C17"/>
    <w:rsid w:val="00DC4010"/>
    <w:rsid w:val="00DC42B4"/>
    <w:rsid w:val="00DC43F9"/>
    <w:rsid w:val="00DC45BC"/>
    <w:rsid w:val="00DC4694"/>
    <w:rsid w:val="00DC47A7"/>
    <w:rsid w:val="00DC4992"/>
    <w:rsid w:val="00DC5019"/>
    <w:rsid w:val="00DC515B"/>
    <w:rsid w:val="00DC5726"/>
    <w:rsid w:val="00DC675D"/>
    <w:rsid w:val="00DC6803"/>
    <w:rsid w:val="00DC6B73"/>
    <w:rsid w:val="00DC6E40"/>
    <w:rsid w:val="00DC6E57"/>
    <w:rsid w:val="00DC6E8F"/>
    <w:rsid w:val="00DC74A5"/>
    <w:rsid w:val="00DC74BA"/>
    <w:rsid w:val="00DC7567"/>
    <w:rsid w:val="00DD0224"/>
    <w:rsid w:val="00DD05E5"/>
    <w:rsid w:val="00DD06D1"/>
    <w:rsid w:val="00DD070F"/>
    <w:rsid w:val="00DD07D4"/>
    <w:rsid w:val="00DD0C5F"/>
    <w:rsid w:val="00DD0DA9"/>
    <w:rsid w:val="00DD0F51"/>
    <w:rsid w:val="00DD1BA9"/>
    <w:rsid w:val="00DD1BF2"/>
    <w:rsid w:val="00DD1D23"/>
    <w:rsid w:val="00DD1F83"/>
    <w:rsid w:val="00DD1F90"/>
    <w:rsid w:val="00DD2345"/>
    <w:rsid w:val="00DD2673"/>
    <w:rsid w:val="00DD2720"/>
    <w:rsid w:val="00DD2C46"/>
    <w:rsid w:val="00DD2F9D"/>
    <w:rsid w:val="00DD3054"/>
    <w:rsid w:val="00DD35AE"/>
    <w:rsid w:val="00DD35FB"/>
    <w:rsid w:val="00DD3822"/>
    <w:rsid w:val="00DD3C03"/>
    <w:rsid w:val="00DD3E34"/>
    <w:rsid w:val="00DD400C"/>
    <w:rsid w:val="00DD403C"/>
    <w:rsid w:val="00DD409F"/>
    <w:rsid w:val="00DD47ED"/>
    <w:rsid w:val="00DD4EB0"/>
    <w:rsid w:val="00DD507C"/>
    <w:rsid w:val="00DD5146"/>
    <w:rsid w:val="00DD528B"/>
    <w:rsid w:val="00DD56B5"/>
    <w:rsid w:val="00DD57EA"/>
    <w:rsid w:val="00DD5841"/>
    <w:rsid w:val="00DD58B0"/>
    <w:rsid w:val="00DD58F7"/>
    <w:rsid w:val="00DD5A2A"/>
    <w:rsid w:val="00DD5A53"/>
    <w:rsid w:val="00DD5D2A"/>
    <w:rsid w:val="00DD61FA"/>
    <w:rsid w:val="00DD6259"/>
    <w:rsid w:val="00DD655C"/>
    <w:rsid w:val="00DD6C1D"/>
    <w:rsid w:val="00DD6C55"/>
    <w:rsid w:val="00DD7113"/>
    <w:rsid w:val="00DD74E8"/>
    <w:rsid w:val="00DD7737"/>
    <w:rsid w:val="00DD7856"/>
    <w:rsid w:val="00DD78C7"/>
    <w:rsid w:val="00DD7DB0"/>
    <w:rsid w:val="00DE00A5"/>
    <w:rsid w:val="00DE034A"/>
    <w:rsid w:val="00DE0361"/>
    <w:rsid w:val="00DE05D3"/>
    <w:rsid w:val="00DE097F"/>
    <w:rsid w:val="00DE0B97"/>
    <w:rsid w:val="00DE10EC"/>
    <w:rsid w:val="00DE1290"/>
    <w:rsid w:val="00DE1702"/>
    <w:rsid w:val="00DE184F"/>
    <w:rsid w:val="00DE1D32"/>
    <w:rsid w:val="00DE1DCA"/>
    <w:rsid w:val="00DE2132"/>
    <w:rsid w:val="00DE2258"/>
    <w:rsid w:val="00DE237B"/>
    <w:rsid w:val="00DE23B5"/>
    <w:rsid w:val="00DE241F"/>
    <w:rsid w:val="00DE2574"/>
    <w:rsid w:val="00DE29FE"/>
    <w:rsid w:val="00DE2CDC"/>
    <w:rsid w:val="00DE2E25"/>
    <w:rsid w:val="00DE3086"/>
    <w:rsid w:val="00DE3108"/>
    <w:rsid w:val="00DE3493"/>
    <w:rsid w:val="00DE376C"/>
    <w:rsid w:val="00DE3A29"/>
    <w:rsid w:val="00DE3C60"/>
    <w:rsid w:val="00DE3E53"/>
    <w:rsid w:val="00DE3EFF"/>
    <w:rsid w:val="00DE3F28"/>
    <w:rsid w:val="00DE3F96"/>
    <w:rsid w:val="00DE41F8"/>
    <w:rsid w:val="00DE435B"/>
    <w:rsid w:val="00DE4818"/>
    <w:rsid w:val="00DE4C2E"/>
    <w:rsid w:val="00DE5B75"/>
    <w:rsid w:val="00DE5D8F"/>
    <w:rsid w:val="00DE6054"/>
    <w:rsid w:val="00DE6A43"/>
    <w:rsid w:val="00DE6AD7"/>
    <w:rsid w:val="00DE6B05"/>
    <w:rsid w:val="00DE6CF6"/>
    <w:rsid w:val="00DE6EF6"/>
    <w:rsid w:val="00DE6FB0"/>
    <w:rsid w:val="00DE70E4"/>
    <w:rsid w:val="00DE7920"/>
    <w:rsid w:val="00DE7956"/>
    <w:rsid w:val="00DE7B21"/>
    <w:rsid w:val="00DE7E27"/>
    <w:rsid w:val="00DF01D9"/>
    <w:rsid w:val="00DF042E"/>
    <w:rsid w:val="00DF047A"/>
    <w:rsid w:val="00DF04B5"/>
    <w:rsid w:val="00DF067D"/>
    <w:rsid w:val="00DF071E"/>
    <w:rsid w:val="00DF0767"/>
    <w:rsid w:val="00DF0F60"/>
    <w:rsid w:val="00DF0FB2"/>
    <w:rsid w:val="00DF10EC"/>
    <w:rsid w:val="00DF139E"/>
    <w:rsid w:val="00DF226A"/>
    <w:rsid w:val="00DF22CF"/>
    <w:rsid w:val="00DF23AD"/>
    <w:rsid w:val="00DF2638"/>
    <w:rsid w:val="00DF26E3"/>
    <w:rsid w:val="00DF2A17"/>
    <w:rsid w:val="00DF2D9A"/>
    <w:rsid w:val="00DF2F27"/>
    <w:rsid w:val="00DF2FF0"/>
    <w:rsid w:val="00DF3163"/>
    <w:rsid w:val="00DF337E"/>
    <w:rsid w:val="00DF3DEC"/>
    <w:rsid w:val="00DF3E0E"/>
    <w:rsid w:val="00DF3E69"/>
    <w:rsid w:val="00DF4072"/>
    <w:rsid w:val="00DF410A"/>
    <w:rsid w:val="00DF41C6"/>
    <w:rsid w:val="00DF4503"/>
    <w:rsid w:val="00DF4E12"/>
    <w:rsid w:val="00DF4ED5"/>
    <w:rsid w:val="00DF505D"/>
    <w:rsid w:val="00DF5076"/>
    <w:rsid w:val="00DF558C"/>
    <w:rsid w:val="00DF59B7"/>
    <w:rsid w:val="00DF6014"/>
    <w:rsid w:val="00DF61E1"/>
    <w:rsid w:val="00DF63F2"/>
    <w:rsid w:val="00DF66BD"/>
    <w:rsid w:val="00DF671B"/>
    <w:rsid w:val="00DF67FF"/>
    <w:rsid w:val="00DF6BD0"/>
    <w:rsid w:val="00DF6BEB"/>
    <w:rsid w:val="00DF70D3"/>
    <w:rsid w:val="00DF77B4"/>
    <w:rsid w:val="00DF796C"/>
    <w:rsid w:val="00DF79C7"/>
    <w:rsid w:val="00DF7B92"/>
    <w:rsid w:val="00DF7C42"/>
    <w:rsid w:val="00DF7DFA"/>
    <w:rsid w:val="00DF7E7E"/>
    <w:rsid w:val="00DF7EBD"/>
    <w:rsid w:val="00E001F1"/>
    <w:rsid w:val="00E006B6"/>
    <w:rsid w:val="00E007F4"/>
    <w:rsid w:val="00E00947"/>
    <w:rsid w:val="00E00D7E"/>
    <w:rsid w:val="00E01354"/>
    <w:rsid w:val="00E0197E"/>
    <w:rsid w:val="00E01A59"/>
    <w:rsid w:val="00E01B29"/>
    <w:rsid w:val="00E022CC"/>
    <w:rsid w:val="00E023CE"/>
    <w:rsid w:val="00E027FF"/>
    <w:rsid w:val="00E0330F"/>
    <w:rsid w:val="00E03366"/>
    <w:rsid w:val="00E033D6"/>
    <w:rsid w:val="00E0359F"/>
    <w:rsid w:val="00E03811"/>
    <w:rsid w:val="00E038BD"/>
    <w:rsid w:val="00E045AD"/>
    <w:rsid w:val="00E045F5"/>
    <w:rsid w:val="00E04C2C"/>
    <w:rsid w:val="00E04CD1"/>
    <w:rsid w:val="00E04CEA"/>
    <w:rsid w:val="00E04E7F"/>
    <w:rsid w:val="00E051D1"/>
    <w:rsid w:val="00E0546A"/>
    <w:rsid w:val="00E06047"/>
    <w:rsid w:val="00E0605A"/>
    <w:rsid w:val="00E064B3"/>
    <w:rsid w:val="00E06A07"/>
    <w:rsid w:val="00E077DD"/>
    <w:rsid w:val="00E07B42"/>
    <w:rsid w:val="00E07B4B"/>
    <w:rsid w:val="00E07FE4"/>
    <w:rsid w:val="00E10185"/>
    <w:rsid w:val="00E102F6"/>
    <w:rsid w:val="00E10340"/>
    <w:rsid w:val="00E107B8"/>
    <w:rsid w:val="00E10ADB"/>
    <w:rsid w:val="00E10BAA"/>
    <w:rsid w:val="00E10E39"/>
    <w:rsid w:val="00E112CB"/>
    <w:rsid w:val="00E114FA"/>
    <w:rsid w:val="00E11555"/>
    <w:rsid w:val="00E11557"/>
    <w:rsid w:val="00E1174C"/>
    <w:rsid w:val="00E11943"/>
    <w:rsid w:val="00E11A95"/>
    <w:rsid w:val="00E11B4A"/>
    <w:rsid w:val="00E11DA7"/>
    <w:rsid w:val="00E12023"/>
    <w:rsid w:val="00E1221D"/>
    <w:rsid w:val="00E125F5"/>
    <w:rsid w:val="00E127F8"/>
    <w:rsid w:val="00E12B38"/>
    <w:rsid w:val="00E12E04"/>
    <w:rsid w:val="00E13115"/>
    <w:rsid w:val="00E1331A"/>
    <w:rsid w:val="00E1359E"/>
    <w:rsid w:val="00E139C4"/>
    <w:rsid w:val="00E13F4E"/>
    <w:rsid w:val="00E14039"/>
    <w:rsid w:val="00E1437F"/>
    <w:rsid w:val="00E144F3"/>
    <w:rsid w:val="00E148F4"/>
    <w:rsid w:val="00E14964"/>
    <w:rsid w:val="00E14A2C"/>
    <w:rsid w:val="00E15540"/>
    <w:rsid w:val="00E15857"/>
    <w:rsid w:val="00E159FC"/>
    <w:rsid w:val="00E1622B"/>
    <w:rsid w:val="00E16281"/>
    <w:rsid w:val="00E1649B"/>
    <w:rsid w:val="00E16615"/>
    <w:rsid w:val="00E16690"/>
    <w:rsid w:val="00E16891"/>
    <w:rsid w:val="00E16935"/>
    <w:rsid w:val="00E16A7C"/>
    <w:rsid w:val="00E1706C"/>
    <w:rsid w:val="00E170C3"/>
    <w:rsid w:val="00E173FA"/>
    <w:rsid w:val="00E1761E"/>
    <w:rsid w:val="00E179CF"/>
    <w:rsid w:val="00E200E2"/>
    <w:rsid w:val="00E20184"/>
    <w:rsid w:val="00E20497"/>
    <w:rsid w:val="00E207D6"/>
    <w:rsid w:val="00E20AC5"/>
    <w:rsid w:val="00E20CE2"/>
    <w:rsid w:val="00E20CFE"/>
    <w:rsid w:val="00E20F50"/>
    <w:rsid w:val="00E2101F"/>
    <w:rsid w:val="00E2128F"/>
    <w:rsid w:val="00E21A63"/>
    <w:rsid w:val="00E22055"/>
    <w:rsid w:val="00E22127"/>
    <w:rsid w:val="00E2227D"/>
    <w:rsid w:val="00E226F4"/>
    <w:rsid w:val="00E22A72"/>
    <w:rsid w:val="00E22CBB"/>
    <w:rsid w:val="00E22E1E"/>
    <w:rsid w:val="00E22E46"/>
    <w:rsid w:val="00E23011"/>
    <w:rsid w:val="00E2344B"/>
    <w:rsid w:val="00E235E0"/>
    <w:rsid w:val="00E23C7B"/>
    <w:rsid w:val="00E23E3F"/>
    <w:rsid w:val="00E2413E"/>
    <w:rsid w:val="00E242F1"/>
    <w:rsid w:val="00E24585"/>
    <w:rsid w:val="00E24902"/>
    <w:rsid w:val="00E24921"/>
    <w:rsid w:val="00E249CA"/>
    <w:rsid w:val="00E24B99"/>
    <w:rsid w:val="00E24E58"/>
    <w:rsid w:val="00E24F2D"/>
    <w:rsid w:val="00E251D5"/>
    <w:rsid w:val="00E25390"/>
    <w:rsid w:val="00E25BFB"/>
    <w:rsid w:val="00E25C79"/>
    <w:rsid w:val="00E25CCF"/>
    <w:rsid w:val="00E25FC2"/>
    <w:rsid w:val="00E25FEB"/>
    <w:rsid w:val="00E26081"/>
    <w:rsid w:val="00E261D3"/>
    <w:rsid w:val="00E2636D"/>
    <w:rsid w:val="00E263E6"/>
    <w:rsid w:val="00E2654C"/>
    <w:rsid w:val="00E2662F"/>
    <w:rsid w:val="00E2683F"/>
    <w:rsid w:val="00E26AC9"/>
    <w:rsid w:val="00E26BA9"/>
    <w:rsid w:val="00E26E84"/>
    <w:rsid w:val="00E272C5"/>
    <w:rsid w:val="00E27913"/>
    <w:rsid w:val="00E279CB"/>
    <w:rsid w:val="00E27AD6"/>
    <w:rsid w:val="00E27CEE"/>
    <w:rsid w:val="00E27F2F"/>
    <w:rsid w:val="00E308EE"/>
    <w:rsid w:val="00E30BDC"/>
    <w:rsid w:val="00E30FF1"/>
    <w:rsid w:val="00E3151C"/>
    <w:rsid w:val="00E315FB"/>
    <w:rsid w:val="00E318EF"/>
    <w:rsid w:val="00E31E41"/>
    <w:rsid w:val="00E3265B"/>
    <w:rsid w:val="00E33348"/>
    <w:rsid w:val="00E33676"/>
    <w:rsid w:val="00E338F4"/>
    <w:rsid w:val="00E33C22"/>
    <w:rsid w:val="00E34588"/>
    <w:rsid w:val="00E3461E"/>
    <w:rsid w:val="00E3495D"/>
    <w:rsid w:val="00E34C01"/>
    <w:rsid w:val="00E34EDE"/>
    <w:rsid w:val="00E34F0C"/>
    <w:rsid w:val="00E3519D"/>
    <w:rsid w:val="00E35D18"/>
    <w:rsid w:val="00E36233"/>
    <w:rsid w:val="00E3687E"/>
    <w:rsid w:val="00E3697A"/>
    <w:rsid w:val="00E369E5"/>
    <w:rsid w:val="00E36DF7"/>
    <w:rsid w:val="00E37130"/>
    <w:rsid w:val="00E3736C"/>
    <w:rsid w:val="00E374CB"/>
    <w:rsid w:val="00E378DC"/>
    <w:rsid w:val="00E37962"/>
    <w:rsid w:val="00E37D8E"/>
    <w:rsid w:val="00E40B1F"/>
    <w:rsid w:val="00E40CA0"/>
    <w:rsid w:val="00E413DD"/>
    <w:rsid w:val="00E41501"/>
    <w:rsid w:val="00E4154E"/>
    <w:rsid w:val="00E41591"/>
    <w:rsid w:val="00E4159E"/>
    <w:rsid w:val="00E41640"/>
    <w:rsid w:val="00E418E3"/>
    <w:rsid w:val="00E4208A"/>
    <w:rsid w:val="00E42680"/>
    <w:rsid w:val="00E427F2"/>
    <w:rsid w:val="00E43775"/>
    <w:rsid w:val="00E437B1"/>
    <w:rsid w:val="00E4381A"/>
    <w:rsid w:val="00E438A8"/>
    <w:rsid w:val="00E43B4E"/>
    <w:rsid w:val="00E43B56"/>
    <w:rsid w:val="00E43CBB"/>
    <w:rsid w:val="00E43CEB"/>
    <w:rsid w:val="00E441D0"/>
    <w:rsid w:val="00E44E15"/>
    <w:rsid w:val="00E44EFE"/>
    <w:rsid w:val="00E45802"/>
    <w:rsid w:val="00E45D80"/>
    <w:rsid w:val="00E460AF"/>
    <w:rsid w:val="00E4641C"/>
    <w:rsid w:val="00E46512"/>
    <w:rsid w:val="00E4742A"/>
    <w:rsid w:val="00E47A01"/>
    <w:rsid w:val="00E502AD"/>
    <w:rsid w:val="00E507BD"/>
    <w:rsid w:val="00E510C4"/>
    <w:rsid w:val="00E5184E"/>
    <w:rsid w:val="00E519F0"/>
    <w:rsid w:val="00E51B76"/>
    <w:rsid w:val="00E51F1D"/>
    <w:rsid w:val="00E520FD"/>
    <w:rsid w:val="00E52215"/>
    <w:rsid w:val="00E52C08"/>
    <w:rsid w:val="00E532CF"/>
    <w:rsid w:val="00E53ACB"/>
    <w:rsid w:val="00E53C48"/>
    <w:rsid w:val="00E53F0A"/>
    <w:rsid w:val="00E5442F"/>
    <w:rsid w:val="00E54463"/>
    <w:rsid w:val="00E5465E"/>
    <w:rsid w:val="00E54A0D"/>
    <w:rsid w:val="00E54A4C"/>
    <w:rsid w:val="00E54B8E"/>
    <w:rsid w:val="00E54EAF"/>
    <w:rsid w:val="00E54F8F"/>
    <w:rsid w:val="00E5501D"/>
    <w:rsid w:val="00E5570D"/>
    <w:rsid w:val="00E5572D"/>
    <w:rsid w:val="00E55D58"/>
    <w:rsid w:val="00E55ED3"/>
    <w:rsid w:val="00E561F3"/>
    <w:rsid w:val="00E5629E"/>
    <w:rsid w:val="00E562F3"/>
    <w:rsid w:val="00E56D8C"/>
    <w:rsid w:val="00E56E16"/>
    <w:rsid w:val="00E56FC6"/>
    <w:rsid w:val="00E571CB"/>
    <w:rsid w:val="00E57420"/>
    <w:rsid w:val="00E57ACF"/>
    <w:rsid w:val="00E57B0D"/>
    <w:rsid w:val="00E57E10"/>
    <w:rsid w:val="00E600A5"/>
    <w:rsid w:val="00E600C2"/>
    <w:rsid w:val="00E60191"/>
    <w:rsid w:val="00E6044A"/>
    <w:rsid w:val="00E60467"/>
    <w:rsid w:val="00E60654"/>
    <w:rsid w:val="00E6084C"/>
    <w:rsid w:val="00E60E2C"/>
    <w:rsid w:val="00E6112C"/>
    <w:rsid w:val="00E61448"/>
    <w:rsid w:val="00E614C9"/>
    <w:rsid w:val="00E6172B"/>
    <w:rsid w:val="00E61E8A"/>
    <w:rsid w:val="00E62698"/>
    <w:rsid w:val="00E62921"/>
    <w:rsid w:val="00E62A0C"/>
    <w:rsid w:val="00E62EBF"/>
    <w:rsid w:val="00E62EE1"/>
    <w:rsid w:val="00E62F79"/>
    <w:rsid w:val="00E6329C"/>
    <w:rsid w:val="00E6393D"/>
    <w:rsid w:val="00E63E16"/>
    <w:rsid w:val="00E64A10"/>
    <w:rsid w:val="00E64A53"/>
    <w:rsid w:val="00E64F1F"/>
    <w:rsid w:val="00E64F9D"/>
    <w:rsid w:val="00E655A1"/>
    <w:rsid w:val="00E6569F"/>
    <w:rsid w:val="00E656C4"/>
    <w:rsid w:val="00E6576A"/>
    <w:rsid w:val="00E65A89"/>
    <w:rsid w:val="00E65FC7"/>
    <w:rsid w:val="00E66079"/>
    <w:rsid w:val="00E6663C"/>
    <w:rsid w:val="00E666DE"/>
    <w:rsid w:val="00E6679D"/>
    <w:rsid w:val="00E669BC"/>
    <w:rsid w:val="00E66ECF"/>
    <w:rsid w:val="00E67ABB"/>
    <w:rsid w:val="00E70131"/>
    <w:rsid w:val="00E70264"/>
    <w:rsid w:val="00E70296"/>
    <w:rsid w:val="00E7033F"/>
    <w:rsid w:val="00E703D5"/>
    <w:rsid w:val="00E70881"/>
    <w:rsid w:val="00E708AB"/>
    <w:rsid w:val="00E708F9"/>
    <w:rsid w:val="00E70A96"/>
    <w:rsid w:val="00E70C55"/>
    <w:rsid w:val="00E70C94"/>
    <w:rsid w:val="00E70DB1"/>
    <w:rsid w:val="00E7127F"/>
    <w:rsid w:val="00E71713"/>
    <w:rsid w:val="00E71718"/>
    <w:rsid w:val="00E7174A"/>
    <w:rsid w:val="00E718D8"/>
    <w:rsid w:val="00E719D7"/>
    <w:rsid w:val="00E71B32"/>
    <w:rsid w:val="00E71F2A"/>
    <w:rsid w:val="00E7231D"/>
    <w:rsid w:val="00E7232C"/>
    <w:rsid w:val="00E72356"/>
    <w:rsid w:val="00E723C2"/>
    <w:rsid w:val="00E72412"/>
    <w:rsid w:val="00E7252F"/>
    <w:rsid w:val="00E72A62"/>
    <w:rsid w:val="00E72CBC"/>
    <w:rsid w:val="00E73194"/>
    <w:rsid w:val="00E73497"/>
    <w:rsid w:val="00E73B7D"/>
    <w:rsid w:val="00E73BA7"/>
    <w:rsid w:val="00E73C88"/>
    <w:rsid w:val="00E73D90"/>
    <w:rsid w:val="00E73DC8"/>
    <w:rsid w:val="00E74224"/>
    <w:rsid w:val="00E74308"/>
    <w:rsid w:val="00E747E5"/>
    <w:rsid w:val="00E74AFE"/>
    <w:rsid w:val="00E74BCF"/>
    <w:rsid w:val="00E75155"/>
    <w:rsid w:val="00E75461"/>
    <w:rsid w:val="00E75772"/>
    <w:rsid w:val="00E757C5"/>
    <w:rsid w:val="00E75D41"/>
    <w:rsid w:val="00E75EF0"/>
    <w:rsid w:val="00E75F14"/>
    <w:rsid w:val="00E76291"/>
    <w:rsid w:val="00E76649"/>
    <w:rsid w:val="00E76694"/>
    <w:rsid w:val="00E7687D"/>
    <w:rsid w:val="00E768C9"/>
    <w:rsid w:val="00E76B5F"/>
    <w:rsid w:val="00E76D79"/>
    <w:rsid w:val="00E7709D"/>
    <w:rsid w:val="00E770FE"/>
    <w:rsid w:val="00E7716E"/>
    <w:rsid w:val="00E77377"/>
    <w:rsid w:val="00E77433"/>
    <w:rsid w:val="00E7786F"/>
    <w:rsid w:val="00E77A39"/>
    <w:rsid w:val="00E77DF0"/>
    <w:rsid w:val="00E77E57"/>
    <w:rsid w:val="00E800E9"/>
    <w:rsid w:val="00E804A5"/>
    <w:rsid w:val="00E80C98"/>
    <w:rsid w:val="00E80DA4"/>
    <w:rsid w:val="00E80FF5"/>
    <w:rsid w:val="00E81164"/>
    <w:rsid w:val="00E814F3"/>
    <w:rsid w:val="00E81800"/>
    <w:rsid w:val="00E8189E"/>
    <w:rsid w:val="00E81B39"/>
    <w:rsid w:val="00E81E7F"/>
    <w:rsid w:val="00E81F48"/>
    <w:rsid w:val="00E82016"/>
    <w:rsid w:val="00E8209A"/>
    <w:rsid w:val="00E82280"/>
    <w:rsid w:val="00E82726"/>
    <w:rsid w:val="00E82791"/>
    <w:rsid w:val="00E828F1"/>
    <w:rsid w:val="00E82980"/>
    <w:rsid w:val="00E829FB"/>
    <w:rsid w:val="00E82B4D"/>
    <w:rsid w:val="00E83582"/>
    <w:rsid w:val="00E83CA1"/>
    <w:rsid w:val="00E83FE4"/>
    <w:rsid w:val="00E8446E"/>
    <w:rsid w:val="00E84CDD"/>
    <w:rsid w:val="00E84D45"/>
    <w:rsid w:val="00E85CD4"/>
    <w:rsid w:val="00E861FC"/>
    <w:rsid w:val="00E86512"/>
    <w:rsid w:val="00E86933"/>
    <w:rsid w:val="00E8699F"/>
    <w:rsid w:val="00E86D63"/>
    <w:rsid w:val="00E86E84"/>
    <w:rsid w:val="00E86E92"/>
    <w:rsid w:val="00E86EA8"/>
    <w:rsid w:val="00E8706F"/>
    <w:rsid w:val="00E87195"/>
    <w:rsid w:val="00E872C2"/>
    <w:rsid w:val="00E87851"/>
    <w:rsid w:val="00E878B5"/>
    <w:rsid w:val="00E87A1C"/>
    <w:rsid w:val="00E87C36"/>
    <w:rsid w:val="00E87E3B"/>
    <w:rsid w:val="00E9010C"/>
    <w:rsid w:val="00E90328"/>
    <w:rsid w:val="00E90479"/>
    <w:rsid w:val="00E90653"/>
    <w:rsid w:val="00E9075C"/>
    <w:rsid w:val="00E907BC"/>
    <w:rsid w:val="00E908B1"/>
    <w:rsid w:val="00E90CC5"/>
    <w:rsid w:val="00E90E65"/>
    <w:rsid w:val="00E90E98"/>
    <w:rsid w:val="00E90FBD"/>
    <w:rsid w:val="00E91114"/>
    <w:rsid w:val="00E91462"/>
    <w:rsid w:val="00E91473"/>
    <w:rsid w:val="00E915F2"/>
    <w:rsid w:val="00E916F6"/>
    <w:rsid w:val="00E9207C"/>
    <w:rsid w:val="00E92226"/>
    <w:rsid w:val="00E922AD"/>
    <w:rsid w:val="00E9277B"/>
    <w:rsid w:val="00E92962"/>
    <w:rsid w:val="00E92A98"/>
    <w:rsid w:val="00E92DAA"/>
    <w:rsid w:val="00E931BA"/>
    <w:rsid w:val="00E9339B"/>
    <w:rsid w:val="00E93654"/>
    <w:rsid w:val="00E9366A"/>
    <w:rsid w:val="00E936BB"/>
    <w:rsid w:val="00E938C0"/>
    <w:rsid w:val="00E939E8"/>
    <w:rsid w:val="00E93B5B"/>
    <w:rsid w:val="00E943C4"/>
    <w:rsid w:val="00E9465F"/>
    <w:rsid w:val="00E94AC0"/>
    <w:rsid w:val="00E94BC7"/>
    <w:rsid w:val="00E94BC9"/>
    <w:rsid w:val="00E94E2D"/>
    <w:rsid w:val="00E951CF"/>
    <w:rsid w:val="00E952CA"/>
    <w:rsid w:val="00E953C2"/>
    <w:rsid w:val="00E95744"/>
    <w:rsid w:val="00E95B2E"/>
    <w:rsid w:val="00E960C2"/>
    <w:rsid w:val="00E964CD"/>
    <w:rsid w:val="00E96902"/>
    <w:rsid w:val="00E96B36"/>
    <w:rsid w:val="00E96F76"/>
    <w:rsid w:val="00E971B6"/>
    <w:rsid w:val="00E971C0"/>
    <w:rsid w:val="00E97573"/>
    <w:rsid w:val="00E976A0"/>
    <w:rsid w:val="00E97DCC"/>
    <w:rsid w:val="00E97F0F"/>
    <w:rsid w:val="00EA019B"/>
    <w:rsid w:val="00EA021C"/>
    <w:rsid w:val="00EA055F"/>
    <w:rsid w:val="00EA096B"/>
    <w:rsid w:val="00EA0C5B"/>
    <w:rsid w:val="00EA0D5F"/>
    <w:rsid w:val="00EA0E38"/>
    <w:rsid w:val="00EA13FD"/>
    <w:rsid w:val="00EA1AA6"/>
    <w:rsid w:val="00EA1CDD"/>
    <w:rsid w:val="00EA1E21"/>
    <w:rsid w:val="00EA21E0"/>
    <w:rsid w:val="00EA21E4"/>
    <w:rsid w:val="00EA28B9"/>
    <w:rsid w:val="00EA2AC2"/>
    <w:rsid w:val="00EA2C32"/>
    <w:rsid w:val="00EA318D"/>
    <w:rsid w:val="00EA398C"/>
    <w:rsid w:val="00EA3C0A"/>
    <w:rsid w:val="00EA3C60"/>
    <w:rsid w:val="00EA3F80"/>
    <w:rsid w:val="00EA4059"/>
    <w:rsid w:val="00EA4278"/>
    <w:rsid w:val="00EA46C4"/>
    <w:rsid w:val="00EA49B0"/>
    <w:rsid w:val="00EA4B5B"/>
    <w:rsid w:val="00EA4C09"/>
    <w:rsid w:val="00EA4E6C"/>
    <w:rsid w:val="00EA4FD1"/>
    <w:rsid w:val="00EA5346"/>
    <w:rsid w:val="00EA54D5"/>
    <w:rsid w:val="00EA5805"/>
    <w:rsid w:val="00EA5889"/>
    <w:rsid w:val="00EA6092"/>
    <w:rsid w:val="00EA61BE"/>
    <w:rsid w:val="00EA624D"/>
    <w:rsid w:val="00EA6853"/>
    <w:rsid w:val="00EA6C6C"/>
    <w:rsid w:val="00EA7158"/>
    <w:rsid w:val="00EA716E"/>
    <w:rsid w:val="00EA71B4"/>
    <w:rsid w:val="00EA789A"/>
    <w:rsid w:val="00EA78E4"/>
    <w:rsid w:val="00EA7CF6"/>
    <w:rsid w:val="00EA7FC7"/>
    <w:rsid w:val="00EB0321"/>
    <w:rsid w:val="00EB0483"/>
    <w:rsid w:val="00EB0766"/>
    <w:rsid w:val="00EB0AE5"/>
    <w:rsid w:val="00EB0BFF"/>
    <w:rsid w:val="00EB0DFC"/>
    <w:rsid w:val="00EB0F66"/>
    <w:rsid w:val="00EB1066"/>
    <w:rsid w:val="00EB153A"/>
    <w:rsid w:val="00EB15B2"/>
    <w:rsid w:val="00EB15B6"/>
    <w:rsid w:val="00EB188C"/>
    <w:rsid w:val="00EB1A56"/>
    <w:rsid w:val="00EB1C4A"/>
    <w:rsid w:val="00EB2165"/>
    <w:rsid w:val="00EB2220"/>
    <w:rsid w:val="00EB2546"/>
    <w:rsid w:val="00EB2587"/>
    <w:rsid w:val="00EB2766"/>
    <w:rsid w:val="00EB276A"/>
    <w:rsid w:val="00EB27F5"/>
    <w:rsid w:val="00EB2FD2"/>
    <w:rsid w:val="00EB322B"/>
    <w:rsid w:val="00EB3431"/>
    <w:rsid w:val="00EB38B0"/>
    <w:rsid w:val="00EB38D1"/>
    <w:rsid w:val="00EB3D62"/>
    <w:rsid w:val="00EB3E4F"/>
    <w:rsid w:val="00EB4130"/>
    <w:rsid w:val="00EB41A9"/>
    <w:rsid w:val="00EB4531"/>
    <w:rsid w:val="00EB4733"/>
    <w:rsid w:val="00EB4763"/>
    <w:rsid w:val="00EB481E"/>
    <w:rsid w:val="00EB4937"/>
    <w:rsid w:val="00EB5440"/>
    <w:rsid w:val="00EB590C"/>
    <w:rsid w:val="00EB5974"/>
    <w:rsid w:val="00EB5991"/>
    <w:rsid w:val="00EB5B0A"/>
    <w:rsid w:val="00EB5F4B"/>
    <w:rsid w:val="00EB61BF"/>
    <w:rsid w:val="00EB62B1"/>
    <w:rsid w:val="00EB68F5"/>
    <w:rsid w:val="00EB70B3"/>
    <w:rsid w:val="00EB723E"/>
    <w:rsid w:val="00EB759F"/>
    <w:rsid w:val="00EB7716"/>
    <w:rsid w:val="00EB7AB5"/>
    <w:rsid w:val="00EB7D2C"/>
    <w:rsid w:val="00EB7E50"/>
    <w:rsid w:val="00EB7EB9"/>
    <w:rsid w:val="00EC00CF"/>
    <w:rsid w:val="00EC04A5"/>
    <w:rsid w:val="00EC090F"/>
    <w:rsid w:val="00EC09BA"/>
    <w:rsid w:val="00EC0EF4"/>
    <w:rsid w:val="00EC101B"/>
    <w:rsid w:val="00EC1261"/>
    <w:rsid w:val="00EC1475"/>
    <w:rsid w:val="00EC15A1"/>
    <w:rsid w:val="00EC16C3"/>
    <w:rsid w:val="00EC17C5"/>
    <w:rsid w:val="00EC1BBB"/>
    <w:rsid w:val="00EC1E50"/>
    <w:rsid w:val="00EC278F"/>
    <w:rsid w:val="00EC28DA"/>
    <w:rsid w:val="00EC299B"/>
    <w:rsid w:val="00EC2CCA"/>
    <w:rsid w:val="00EC2DC8"/>
    <w:rsid w:val="00EC2E56"/>
    <w:rsid w:val="00EC364F"/>
    <w:rsid w:val="00EC3897"/>
    <w:rsid w:val="00EC3B63"/>
    <w:rsid w:val="00EC3B6B"/>
    <w:rsid w:val="00EC4290"/>
    <w:rsid w:val="00EC4612"/>
    <w:rsid w:val="00EC473C"/>
    <w:rsid w:val="00EC4A9C"/>
    <w:rsid w:val="00EC4ECD"/>
    <w:rsid w:val="00EC5135"/>
    <w:rsid w:val="00EC5320"/>
    <w:rsid w:val="00EC57CB"/>
    <w:rsid w:val="00EC5BF1"/>
    <w:rsid w:val="00EC5CAB"/>
    <w:rsid w:val="00EC5E24"/>
    <w:rsid w:val="00EC5E5D"/>
    <w:rsid w:val="00EC6286"/>
    <w:rsid w:val="00EC6611"/>
    <w:rsid w:val="00EC68C6"/>
    <w:rsid w:val="00EC7182"/>
    <w:rsid w:val="00EC7279"/>
    <w:rsid w:val="00EC73F4"/>
    <w:rsid w:val="00ED021C"/>
    <w:rsid w:val="00ED034C"/>
    <w:rsid w:val="00ED0598"/>
    <w:rsid w:val="00ED0799"/>
    <w:rsid w:val="00ED084F"/>
    <w:rsid w:val="00ED12EF"/>
    <w:rsid w:val="00ED1505"/>
    <w:rsid w:val="00ED182C"/>
    <w:rsid w:val="00ED193D"/>
    <w:rsid w:val="00ED1951"/>
    <w:rsid w:val="00ED1B1E"/>
    <w:rsid w:val="00ED1DCF"/>
    <w:rsid w:val="00ED22AB"/>
    <w:rsid w:val="00ED22B1"/>
    <w:rsid w:val="00ED23C9"/>
    <w:rsid w:val="00ED2747"/>
    <w:rsid w:val="00ED2D6B"/>
    <w:rsid w:val="00ED32F8"/>
    <w:rsid w:val="00ED3495"/>
    <w:rsid w:val="00ED35BF"/>
    <w:rsid w:val="00ED3615"/>
    <w:rsid w:val="00ED3C05"/>
    <w:rsid w:val="00ED3D9D"/>
    <w:rsid w:val="00ED4179"/>
    <w:rsid w:val="00ED42BC"/>
    <w:rsid w:val="00ED461E"/>
    <w:rsid w:val="00ED494A"/>
    <w:rsid w:val="00ED498D"/>
    <w:rsid w:val="00ED4BE6"/>
    <w:rsid w:val="00ED513E"/>
    <w:rsid w:val="00ED51CB"/>
    <w:rsid w:val="00ED52A3"/>
    <w:rsid w:val="00ED54DA"/>
    <w:rsid w:val="00ED570A"/>
    <w:rsid w:val="00ED5882"/>
    <w:rsid w:val="00ED58C9"/>
    <w:rsid w:val="00ED5BA6"/>
    <w:rsid w:val="00ED5CD6"/>
    <w:rsid w:val="00ED5D1A"/>
    <w:rsid w:val="00ED602B"/>
    <w:rsid w:val="00ED6145"/>
    <w:rsid w:val="00ED6146"/>
    <w:rsid w:val="00ED65CF"/>
    <w:rsid w:val="00ED6741"/>
    <w:rsid w:val="00ED7592"/>
    <w:rsid w:val="00ED76A0"/>
    <w:rsid w:val="00ED7AF0"/>
    <w:rsid w:val="00ED7ED6"/>
    <w:rsid w:val="00ED7F0F"/>
    <w:rsid w:val="00ED7F5C"/>
    <w:rsid w:val="00EE01A9"/>
    <w:rsid w:val="00EE0212"/>
    <w:rsid w:val="00EE022A"/>
    <w:rsid w:val="00EE02C4"/>
    <w:rsid w:val="00EE02CC"/>
    <w:rsid w:val="00EE0442"/>
    <w:rsid w:val="00EE0920"/>
    <w:rsid w:val="00EE0CDD"/>
    <w:rsid w:val="00EE12A8"/>
    <w:rsid w:val="00EE14F6"/>
    <w:rsid w:val="00EE1988"/>
    <w:rsid w:val="00EE1D02"/>
    <w:rsid w:val="00EE1E49"/>
    <w:rsid w:val="00EE2164"/>
    <w:rsid w:val="00EE21BF"/>
    <w:rsid w:val="00EE22D1"/>
    <w:rsid w:val="00EE24C8"/>
    <w:rsid w:val="00EE252F"/>
    <w:rsid w:val="00EE2597"/>
    <w:rsid w:val="00EE2649"/>
    <w:rsid w:val="00EE283E"/>
    <w:rsid w:val="00EE2A4E"/>
    <w:rsid w:val="00EE2E4D"/>
    <w:rsid w:val="00EE384B"/>
    <w:rsid w:val="00EE3CF5"/>
    <w:rsid w:val="00EE3D4D"/>
    <w:rsid w:val="00EE3D9A"/>
    <w:rsid w:val="00EE4111"/>
    <w:rsid w:val="00EE4992"/>
    <w:rsid w:val="00EE4BB5"/>
    <w:rsid w:val="00EE50CF"/>
    <w:rsid w:val="00EE51C6"/>
    <w:rsid w:val="00EE5276"/>
    <w:rsid w:val="00EE56BC"/>
    <w:rsid w:val="00EE58D8"/>
    <w:rsid w:val="00EE58F6"/>
    <w:rsid w:val="00EE5DD3"/>
    <w:rsid w:val="00EE5E0C"/>
    <w:rsid w:val="00EE5F66"/>
    <w:rsid w:val="00EE6184"/>
    <w:rsid w:val="00EE63F6"/>
    <w:rsid w:val="00EE6752"/>
    <w:rsid w:val="00EE6871"/>
    <w:rsid w:val="00EE6A42"/>
    <w:rsid w:val="00EE6A74"/>
    <w:rsid w:val="00EE6A80"/>
    <w:rsid w:val="00EE6B57"/>
    <w:rsid w:val="00EE79DB"/>
    <w:rsid w:val="00EE7A40"/>
    <w:rsid w:val="00EE7A8A"/>
    <w:rsid w:val="00EE7D7B"/>
    <w:rsid w:val="00EF006C"/>
    <w:rsid w:val="00EF07A4"/>
    <w:rsid w:val="00EF090B"/>
    <w:rsid w:val="00EF0B12"/>
    <w:rsid w:val="00EF0D36"/>
    <w:rsid w:val="00EF0E55"/>
    <w:rsid w:val="00EF120C"/>
    <w:rsid w:val="00EF1541"/>
    <w:rsid w:val="00EF15A7"/>
    <w:rsid w:val="00EF1F1E"/>
    <w:rsid w:val="00EF2638"/>
    <w:rsid w:val="00EF2838"/>
    <w:rsid w:val="00EF285B"/>
    <w:rsid w:val="00EF2B9F"/>
    <w:rsid w:val="00EF2C32"/>
    <w:rsid w:val="00EF3185"/>
    <w:rsid w:val="00EF33D8"/>
    <w:rsid w:val="00EF34BD"/>
    <w:rsid w:val="00EF35E4"/>
    <w:rsid w:val="00EF36EF"/>
    <w:rsid w:val="00EF3782"/>
    <w:rsid w:val="00EF3CFC"/>
    <w:rsid w:val="00EF42D2"/>
    <w:rsid w:val="00EF4DE4"/>
    <w:rsid w:val="00EF521A"/>
    <w:rsid w:val="00EF53FF"/>
    <w:rsid w:val="00EF54D4"/>
    <w:rsid w:val="00EF62D8"/>
    <w:rsid w:val="00EF67A4"/>
    <w:rsid w:val="00EF6FD9"/>
    <w:rsid w:val="00EF7257"/>
    <w:rsid w:val="00EF755D"/>
    <w:rsid w:val="00EF7686"/>
    <w:rsid w:val="00EF793D"/>
    <w:rsid w:val="00EF7CFE"/>
    <w:rsid w:val="00F00084"/>
    <w:rsid w:val="00F00BF3"/>
    <w:rsid w:val="00F00C43"/>
    <w:rsid w:val="00F00D7D"/>
    <w:rsid w:val="00F00E5F"/>
    <w:rsid w:val="00F00E98"/>
    <w:rsid w:val="00F011AD"/>
    <w:rsid w:val="00F015A0"/>
    <w:rsid w:val="00F01B5E"/>
    <w:rsid w:val="00F01E8C"/>
    <w:rsid w:val="00F01F0F"/>
    <w:rsid w:val="00F02072"/>
    <w:rsid w:val="00F02291"/>
    <w:rsid w:val="00F024A8"/>
    <w:rsid w:val="00F025CA"/>
    <w:rsid w:val="00F0276F"/>
    <w:rsid w:val="00F02A8E"/>
    <w:rsid w:val="00F02B29"/>
    <w:rsid w:val="00F02C55"/>
    <w:rsid w:val="00F02FCC"/>
    <w:rsid w:val="00F03722"/>
    <w:rsid w:val="00F03F1B"/>
    <w:rsid w:val="00F04585"/>
    <w:rsid w:val="00F04B76"/>
    <w:rsid w:val="00F04C60"/>
    <w:rsid w:val="00F04DD1"/>
    <w:rsid w:val="00F04E6D"/>
    <w:rsid w:val="00F05072"/>
    <w:rsid w:val="00F05532"/>
    <w:rsid w:val="00F05578"/>
    <w:rsid w:val="00F0569F"/>
    <w:rsid w:val="00F058E7"/>
    <w:rsid w:val="00F05A55"/>
    <w:rsid w:val="00F05C55"/>
    <w:rsid w:val="00F05EB3"/>
    <w:rsid w:val="00F0650D"/>
    <w:rsid w:val="00F06817"/>
    <w:rsid w:val="00F0682F"/>
    <w:rsid w:val="00F06E53"/>
    <w:rsid w:val="00F06F44"/>
    <w:rsid w:val="00F070EF"/>
    <w:rsid w:val="00F071E1"/>
    <w:rsid w:val="00F075C4"/>
    <w:rsid w:val="00F07D27"/>
    <w:rsid w:val="00F1022C"/>
    <w:rsid w:val="00F1028E"/>
    <w:rsid w:val="00F102E0"/>
    <w:rsid w:val="00F103F6"/>
    <w:rsid w:val="00F1044A"/>
    <w:rsid w:val="00F10658"/>
    <w:rsid w:val="00F10C90"/>
    <w:rsid w:val="00F10EB8"/>
    <w:rsid w:val="00F10FC3"/>
    <w:rsid w:val="00F114CA"/>
    <w:rsid w:val="00F116BE"/>
    <w:rsid w:val="00F11806"/>
    <w:rsid w:val="00F1183B"/>
    <w:rsid w:val="00F118C6"/>
    <w:rsid w:val="00F1198F"/>
    <w:rsid w:val="00F12460"/>
    <w:rsid w:val="00F126B9"/>
    <w:rsid w:val="00F12B70"/>
    <w:rsid w:val="00F12C10"/>
    <w:rsid w:val="00F12D03"/>
    <w:rsid w:val="00F12E78"/>
    <w:rsid w:val="00F12EDB"/>
    <w:rsid w:val="00F13107"/>
    <w:rsid w:val="00F133A7"/>
    <w:rsid w:val="00F13AE3"/>
    <w:rsid w:val="00F13DA8"/>
    <w:rsid w:val="00F1419F"/>
    <w:rsid w:val="00F141C7"/>
    <w:rsid w:val="00F1420F"/>
    <w:rsid w:val="00F14DB3"/>
    <w:rsid w:val="00F14ED0"/>
    <w:rsid w:val="00F15522"/>
    <w:rsid w:val="00F15913"/>
    <w:rsid w:val="00F15ADC"/>
    <w:rsid w:val="00F16119"/>
    <w:rsid w:val="00F163AD"/>
    <w:rsid w:val="00F1659A"/>
    <w:rsid w:val="00F16A65"/>
    <w:rsid w:val="00F16B04"/>
    <w:rsid w:val="00F16F1B"/>
    <w:rsid w:val="00F173A6"/>
    <w:rsid w:val="00F1758D"/>
    <w:rsid w:val="00F17670"/>
    <w:rsid w:val="00F17CB5"/>
    <w:rsid w:val="00F201A7"/>
    <w:rsid w:val="00F203F0"/>
    <w:rsid w:val="00F20760"/>
    <w:rsid w:val="00F20868"/>
    <w:rsid w:val="00F209C4"/>
    <w:rsid w:val="00F20C61"/>
    <w:rsid w:val="00F210E7"/>
    <w:rsid w:val="00F2129E"/>
    <w:rsid w:val="00F213FE"/>
    <w:rsid w:val="00F21464"/>
    <w:rsid w:val="00F216BA"/>
    <w:rsid w:val="00F216FB"/>
    <w:rsid w:val="00F21758"/>
    <w:rsid w:val="00F2193A"/>
    <w:rsid w:val="00F21EEB"/>
    <w:rsid w:val="00F21FDB"/>
    <w:rsid w:val="00F221E3"/>
    <w:rsid w:val="00F22B0F"/>
    <w:rsid w:val="00F22B48"/>
    <w:rsid w:val="00F22E28"/>
    <w:rsid w:val="00F22F1F"/>
    <w:rsid w:val="00F2309E"/>
    <w:rsid w:val="00F231E1"/>
    <w:rsid w:val="00F23ACD"/>
    <w:rsid w:val="00F23DBE"/>
    <w:rsid w:val="00F23F28"/>
    <w:rsid w:val="00F24056"/>
    <w:rsid w:val="00F24229"/>
    <w:rsid w:val="00F2428A"/>
    <w:rsid w:val="00F24357"/>
    <w:rsid w:val="00F24489"/>
    <w:rsid w:val="00F2449C"/>
    <w:rsid w:val="00F24546"/>
    <w:rsid w:val="00F24A95"/>
    <w:rsid w:val="00F24AC2"/>
    <w:rsid w:val="00F24AE9"/>
    <w:rsid w:val="00F24EC6"/>
    <w:rsid w:val="00F25003"/>
    <w:rsid w:val="00F251DB"/>
    <w:rsid w:val="00F254D2"/>
    <w:rsid w:val="00F25527"/>
    <w:rsid w:val="00F25542"/>
    <w:rsid w:val="00F2588F"/>
    <w:rsid w:val="00F25AE5"/>
    <w:rsid w:val="00F25B37"/>
    <w:rsid w:val="00F25C1D"/>
    <w:rsid w:val="00F25C85"/>
    <w:rsid w:val="00F25F2B"/>
    <w:rsid w:val="00F264A2"/>
    <w:rsid w:val="00F264BD"/>
    <w:rsid w:val="00F265FE"/>
    <w:rsid w:val="00F2674A"/>
    <w:rsid w:val="00F267E4"/>
    <w:rsid w:val="00F26D0B"/>
    <w:rsid w:val="00F26DDC"/>
    <w:rsid w:val="00F2772A"/>
    <w:rsid w:val="00F278C9"/>
    <w:rsid w:val="00F279E3"/>
    <w:rsid w:val="00F27AB4"/>
    <w:rsid w:val="00F27B7E"/>
    <w:rsid w:val="00F27BCD"/>
    <w:rsid w:val="00F300BC"/>
    <w:rsid w:val="00F30E8D"/>
    <w:rsid w:val="00F30EC4"/>
    <w:rsid w:val="00F31068"/>
    <w:rsid w:val="00F311CF"/>
    <w:rsid w:val="00F312EF"/>
    <w:rsid w:val="00F31972"/>
    <w:rsid w:val="00F31B7C"/>
    <w:rsid w:val="00F31BA5"/>
    <w:rsid w:val="00F31EBF"/>
    <w:rsid w:val="00F320E4"/>
    <w:rsid w:val="00F3220B"/>
    <w:rsid w:val="00F32291"/>
    <w:rsid w:val="00F32516"/>
    <w:rsid w:val="00F32A03"/>
    <w:rsid w:val="00F32BD4"/>
    <w:rsid w:val="00F32D5E"/>
    <w:rsid w:val="00F32DEC"/>
    <w:rsid w:val="00F32E01"/>
    <w:rsid w:val="00F331E7"/>
    <w:rsid w:val="00F33324"/>
    <w:rsid w:val="00F333DD"/>
    <w:rsid w:val="00F33594"/>
    <w:rsid w:val="00F336D4"/>
    <w:rsid w:val="00F33A2F"/>
    <w:rsid w:val="00F33B9D"/>
    <w:rsid w:val="00F340AC"/>
    <w:rsid w:val="00F343E4"/>
    <w:rsid w:val="00F344A6"/>
    <w:rsid w:val="00F34507"/>
    <w:rsid w:val="00F34BC4"/>
    <w:rsid w:val="00F34C64"/>
    <w:rsid w:val="00F34D40"/>
    <w:rsid w:val="00F34D9E"/>
    <w:rsid w:val="00F34EAC"/>
    <w:rsid w:val="00F34F65"/>
    <w:rsid w:val="00F35186"/>
    <w:rsid w:val="00F3547C"/>
    <w:rsid w:val="00F35885"/>
    <w:rsid w:val="00F359C3"/>
    <w:rsid w:val="00F35C8D"/>
    <w:rsid w:val="00F35E17"/>
    <w:rsid w:val="00F362AE"/>
    <w:rsid w:val="00F36983"/>
    <w:rsid w:val="00F36A49"/>
    <w:rsid w:val="00F36F55"/>
    <w:rsid w:val="00F36F6D"/>
    <w:rsid w:val="00F37393"/>
    <w:rsid w:val="00F37631"/>
    <w:rsid w:val="00F3775A"/>
    <w:rsid w:val="00F377A5"/>
    <w:rsid w:val="00F3789B"/>
    <w:rsid w:val="00F37C70"/>
    <w:rsid w:val="00F37D16"/>
    <w:rsid w:val="00F37E8F"/>
    <w:rsid w:val="00F37FA9"/>
    <w:rsid w:val="00F37FD5"/>
    <w:rsid w:val="00F402A2"/>
    <w:rsid w:val="00F403CA"/>
    <w:rsid w:val="00F40517"/>
    <w:rsid w:val="00F40974"/>
    <w:rsid w:val="00F40B26"/>
    <w:rsid w:val="00F40B30"/>
    <w:rsid w:val="00F40D2C"/>
    <w:rsid w:val="00F40D46"/>
    <w:rsid w:val="00F4111B"/>
    <w:rsid w:val="00F41185"/>
    <w:rsid w:val="00F412B6"/>
    <w:rsid w:val="00F414A6"/>
    <w:rsid w:val="00F41600"/>
    <w:rsid w:val="00F418C1"/>
    <w:rsid w:val="00F41918"/>
    <w:rsid w:val="00F4196A"/>
    <w:rsid w:val="00F41982"/>
    <w:rsid w:val="00F41A62"/>
    <w:rsid w:val="00F424A0"/>
    <w:rsid w:val="00F424ED"/>
    <w:rsid w:val="00F42799"/>
    <w:rsid w:val="00F42E66"/>
    <w:rsid w:val="00F43203"/>
    <w:rsid w:val="00F433B3"/>
    <w:rsid w:val="00F43422"/>
    <w:rsid w:val="00F4360E"/>
    <w:rsid w:val="00F43652"/>
    <w:rsid w:val="00F43754"/>
    <w:rsid w:val="00F44132"/>
    <w:rsid w:val="00F4472C"/>
    <w:rsid w:val="00F44988"/>
    <w:rsid w:val="00F44AA7"/>
    <w:rsid w:val="00F44C00"/>
    <w:rsid w:val="00F44DD9"/>
    <w:rsid w:val="00F44F56"/>
    <w:rsid w:val="00F450A9"/>
    <w:rsid w:val="00F45401"/>
    <w:rsid w:val="00F454DA"/>
    <w:rsid w:val="00F4576A"/>
    <w:rsid w:val="00F4577B"/>
    <w:rsid w:val="00F460CD"/>
    <w:rsid w:val="00F46148"/>
    <w:rsid w:val="00F4629C"/>
    <w:rsid w:val="00F462E3"/>
    <w:rsid w:val="00F463B9"/>
    <w:rsid w:val="00F464F6"/>
    <w:rsid w:val="00F46570"/>
    <w:rsid w:val="00F465B2"/>
    <w:rsid w:val="00F46693"/>
    <w:rsid w:val="00F466A2"/>
    <w:rsid w:val="00F46863"/>
    <w:rsid w:val="00F46C30"/>
    <w:rsid w:val="00F46D8C"/>
    <w:rsid w:val="00F4700B"/>
    <w:rsid w:val="00F4719E"/>
    <w:rsid w:val="00F473F8"/>
    <w:rsid w:val="00F47B9A"/>
    <w:rsid w:val="00F47EF9"/>
    <w:rsid w:val="00F500EC"/>
    <w:rsid w:val="00F50120"/>
    <w:rsid w:val="00F505EC"/>
    <w:rsid w:val="00F509EB"/>
    <w:rsid w:val="00F50B58"/>
    <w:rsid w:val="00F517B1"/>
    <w:rsid w:val="00F51D35"/>
    <w:rsid w:val="00F52054"/>
    <w:rsid w:val="00F52062"/>
    <w:rsid w:val="00F5221B"/>
    <w:rsid w:val="00F5231B"/>
    <w:rsid w:val="00F5231E"/>
    <w:rsid w:val="00F52599"/>
    <w:rsid w:val="00F52A5C"/>
    <w:rsid w:val="00F532A7"/>
    <w:rsid w:val="00F537F1"/>
    <w:rsid w:val="00F53991"/>
    <w:rsid w:val="00F54029"/>
    <w:rsid w:val="00F54033"/>
    <w:rsid w:val="00F54426"/>
    <w:rsid w:val="00F54676"/>
    <w:rsid w:val="00F54BBB"/>
    <w:rsid w:val="00F54C66"/>
    <w:rsid w:val="00F55637"/>
    <w:rsid w:val="00F558AA"/>
    <w:rsid w:val="00F55A65"/>
    <w:rsid w:val="00F55B7C"/>
    <w:rsid w:val="00F55F33"/>
    <w:rsid w:val="00F5609F"/>
    <w:rsid w:val="00F5617B"/>
    <w:rsid w:val="00F56286"/>
    <w:rsid w:val="00F56518"/>
    <w:rsid w:val="00F56712"/>
    <w:rsid w:val="00F567C1"/>
    <w:rsid w:val="00F56D9D"/>
    <w:rsid w:val="00F56F9F"/>
    <w:rsid w:val="00F577ED"/>
    <w:rsid w:val="00F57886"/>
    <w:rsid w:val="00F57D72"/>
    <w:rsid w:val="00F57ECB"/>
    <w:rsid w:val="00F57FBB"/>
    <w:rsid w:val="00F603BB"/>
    <w:rsid w:val="00F60581"/>
    <w:rsid w:val="00F607F6"/>
    <w:rsid w:val="00F608FF"/>
    <w:rsid w:val="00F60B59"/>
    <w:rsid w:val="00F60CC5"/>
    <w:rsid w:val="00F60D20"/>
    <w:rsid w:val="00F60FFC"/>
    <w:rsid w:val="00F61122"/>
    <w:rsid w:val="00F61A62"/>
    <w:rsid w:val="00F61BF5"/>
    <w:rsid w:val="00F61DBF"/>
    <w:rsid w:val="00F61F1F"/>
    <w:rsid w:val="00F61F76"/>
    <w:rsid w:val="00F621ED"/>
    <w:rsid w:val="00F623EB"/>
    <w:rsid w:val="00F62F52"/>
    <w:rsid w:val="00F63259"/>
    <w:rsid w:val="00F63293"/>
    <w:rsid w:val="00F632C5"/>
    <w:rsid w:val="00F633F0"/>
    <w:rsid w:val="00F636A6"/>
    <w:rsid w:val="00F636C0"/>
    <w:rsid w:val="00F637C8"/>
    <w:rsid w:val="00F63A2A"/>
    <w:rsid w:val="00F63E78"/>
    <w:rsid w:val="00F63FAD"/>
    <w:rsid w:val="00F64162"/>
    <w:rsid w:val="00F64222"/>
    <w:rsid w:val="00F645AE"/>
    <w:rsid w:val="00F648DE"/>
    <w:rsid w:val="00F64FF1"/>
    <w:rsid w:val="00F654D5"/>
    <w:rsid w:val="00F65515"/>
    <w:rsid w:val="00F6560B"/>
    <w:rsid w:val="00F659C7"/>
    <w:rsid w:val="00F65A69"/>
    <w:rsid w:val="00F65B1B"/>
    <w:rsid w:val="00F65C6E"/>
    <w:rsid w:val="00F66416"/>
    <w:rsid w:val="00F6695A"/>
    <w:rsid w:val="00F669F5"/>
    <w:rsid w:val="00F67658"/>
    <w:rsid w:val="00F67891"/>
    <w:rsid w:val="00F67A67"/>
    <w:rsid w:val="00F67D8C"/>
    <w:rsid w:val="00F67F1E"/>
    <w:rsid w:val="00F7016A"/>
    <w:rsid w:val="00F70311"/>
    <w:rsid w:val="00F7056E"/>
    <w:rsid w:val="00F70726"/>
    <w:rsid w:val="00F7081F"/>
    <w:rsid w:val="00F7111F"/>
    <w:rsid w:val="00F711DD"/>
    <w:rsid w:val="00F71670"/>
    <w:rsid w:val="00F719E9"/>
    <w:rsid w:val="00F71A95"/>
    <w:rsid w:val="00F71B3B"/>
    <w:rsid w:val="00F71C6A"/>
    <w:rsid w:val="00F71E9E"/>
    <w:rsid w:val="00F71F85"/>
    <w:rsid w:val="00F721C0"/>
    <w:rsid w:val="00F724EE"/>
    <w:rsid w:val="00F72600"/>
    <w:rsid w:val="00F728DC"/>
    <w:rsid w:val="00F72AD2"/>
    <w:rsid w:val="00F72CAA"/>
    <w:rsid w:val="00F72DD3"/>
    <w:rsid w:val="00F730B1"/>
    <w:rsid w:val="00F73253"/>
    <w:rsid w:val="00F733CB"/>
    <w:rsid w:val="00F73631"/>
    <w:rsid w:val="00F736AC"/>
    <w:rsid w:val="00F7394B"/>
    <w:rsid w:val="00F73B46"/>
    <w:rsid w:val="00F73F1A"/>
    <w:rsid w:val="00F74108"/>
    <w:rsid w:val="00F7433E"/>
    <w:rsid w:val="00F7447F"/>
    <w:rsid w:val="00F745F1"/>
    <w:rsid w:val="00F74E36"/>
    <w:rsid w:val="00F74F4F"/>
    <w:rsid w:val="00F76320"/>
    <w:rsid w:val="00F76419"/>
    <w:rsid w:val="00F768E3"/>
    <w:rsid w:val="00F76CE4"/>
    <w:rsid w:val="00F771A3"/>
    <w:rsid w:val="00F77437"/>
    <w:rsid w:val="00F775E4"/>
    <w:rsid w:val="00F7766F"/>
    <w:rsid w:val="00F777C7"/>
    <w:rsid w:val="00F77B01"/>
    <w:rsid w:val="00F80064"/>
    <w:rsid w:val="00F80180"/>
    <w:rsid w:val="00F8018C"/>
    <w:rsid w:val="00F80475"/>
    <w:rsid w:val="00F80807"/>
    <w:rsid w:val="00F809EB"/>
    <w:rsid w:val="00F80B81"/>
    <w:rsid w:val="00F80BDC"/>
    <w:rsid w:val="00F80C92"/>
    <w:rsid w:val="00F80F72"/>
    <w:rsid w:val="00F8100A"/>
    <w:rsid w:val="00F812E5"/>
    <w:rsid w:val="00F81765"/>
    <w:rsid w:val="00F81946"/>
    <w:rsid w:val="00F81BD8"/>
    <w:rsid w:val="00F81C60"/>
    <w:rsid w:val="00F81E9A"/>
    <w:rsid w:val="00F81FBF"/>
    <w:rsid w:val="00F823EF"/>
    <w:rsid w:val="00F8258E"/>
    <w:rsid w:val="00F82A4F"/>
    <w:rsid w:val="00F82A54"/>
    <w:rsid w:val="00F8336D"/>
    <w:rsid w:val="00F83654"/>
    <w:rsid w:val="00F8381F"/>
    <w:rsid w:val="00F83ACE"/>
    <w:rsid w:val="00F840D5"/>
    <w:rsid w:val="00F84251"/>
    <w:rsid w:val="00F84256"/>
    <w:rsid w:val="00F8464C"/>
    <w:rsid w:val="00F846EE"/>
    <w:rsid w:val="00F84AE0"/>
    <w:rsid w:val="00F84AE4"/>
    <w:rsid w:val="00F84D52"/>
    <w:rsid w:val="00F8504B"/>
    <w:rsid w:val="00F854F4"/>
    <w:rsid w:val="00F85503"/>
    <w:rsid w:val="00F85517"/>
    <w:rsid w:val="00F85576"/>
    <w:rsid w:val="00F855E7"/>
    <w:rsid w:val="00F8562F"/>
    <w:rsid w:val="00F85B98"/>
    <w:rsid w:val="00F8609A"/>
    <w:rsid w:val="00F860FF"/>
    <w:rsid w:val="00F86259"/>
    <w:rsid w:val="00F863DF"/>
    <w:rsid w:val="00F86787"/>
    <w:rsid w:val="00F8678C"/>
    <w:rsid w:val="00F868BC"/>
    <w:rsid w:val="00F869E0"/>
    <w:rsid w:val="00F86ABF"/>
    <w:rsid w:val="00F870E4"/>
    <w:rsid w:val="00F8743F"/>
    <w:rsid w:val="00F87442"/>
    <w:rsid w:val="00F87511"/>
    <w:rsid w:val="00F876AD"/>
    <w:rsid w:val="00F87B0F"/>
    <w:rsid w:val="00F87C32"/>
    <w:rsid w:val="00F9013F"/>
    <w:rsid w:val="00F9036D"/>
    <w:rsid w:val="00F9081E"/>
    <w:rsid w:val="00F90BBB"/>
    <w:rsid w:val="00F91FF3"/>
    <w:rsid w:val="00F921A2"/>
    <w:rsid w:val="00F92E36"/>
    <w:rsid w:val="00F92FD3"/>
    <w:rsid w:val="00F930A6"/>
    <w:rsid w:val="00F9338B"/>
    <w:rsid w:val="00F9350F"/>
    <w:rsid w:val="00F93C5A"/>
    <w:rsid w:val="00F93EB0"/>
    <w:rsid w:val="00F93F89"/>
    <w:rsid w:val="00F9431C"/>
    <w:rsid w:val="00F945AD"/>
    <w:rsid w:val="00F94CC2"/>
    <w:rsid w:val="00F94D42"/>
    <w:rsid w:val="00F94F53"/>
    <w:rsid w:val="00F9513F"/>
    <w:rsid w:val="00F95333"/>
    <w:rsid w:val="00F95338"/>
    <w:rsid w:val="00F9536E"/>
    <w:rsid w:val="00F95BB0"/>
    <w:rsid w:val="00F95C6D"/>
    <w:rsid w:val="00F96F5E"/>
    <w:rsid w:val="00F97224"/>
    <w:rsid w:val="00F97473"/>
    <w:rsid w:val="00F975B6"/>
    <w:rsid w:val="00F975C3"/>
    <w:rsid w:val="00F9781F"/>
    <w:rsid w:val="00F97990"/>
    <w:rsid w:val="00F97A1E"/>
    <w:rsid w:val="00FA06B0"/>
    <w:rsid w:val="00FA0956"/>
    <w:rsid w:val="00FA10D9"/>
    <w:rsid w:val="00FA112F"/>
    <w:rsid w:val="00FA1C89"/>
    <w:rsid w:val="00FA1F62"/>
    <w:rsid w:val="00FA24CB"/>
    <w:rsid w:val="00FA2CAE"/>
    <w:rsid w:val="00FA2CB8"/>
    <w:rsid w:val="00FA2E08"/>
    <w:rsid w:val="00FA31DB"/>
    <w:rsid w:val="00FA32C8"/>
    <w:rsid w:val="00FA32E9"/>
    <w:rsid w:val="00FA3345"/>
    <w:rsid w:val="00FA33D0"/>
    <w:rsid w:val="00FA3486"/>
    <w:rsid w:val="00FA3A97"/>
    <w:rsid w:val="00FA3CAB"/>
    <w:rsid w:val="00FA4293"/>
    <w:rsid w:val="00FA4457"/>
    <w:rsid w:val="00FA5335"/>
    <w:rsid w:val="00FA54A1"/>
    <w:rsid w:val="00FA5726"/>
    <w:rsid w:val="00FA59C1"/>
    <w:rsid w:val="00FA5D96"/>
    <w:rsid w:val="00FA5EE7"/>
    <w:rsid w:val="00FA5F22"/>
    <w:rsid w:val="00FA631B"/>
    <w:rsid w:val="00FA6580"/>
    <w:rsid w:val="00FA6954"/>
    <w:rsid w:val="00FA6CB4"/>
    <w:rsid w:val="00FA6E70"/>
    <w:rsid w:val="00FA7464"/>
    <w:rsid w:val="00FA7605"/>
    <w:rsid w:val="00FA76C6"/>
    <w:rsid w:val="00FA7DCC"/>
    <w:rsid w:val="00FA7FE6"/>
    <w:rsid w:val="00FB0CC2"/>
    <w:rsid w:val="00FB0EC8"/>
    <w:rsid w:val="00FB1327"/>
    <w:rsid w:val="00FB17E4"/>
    <w:rsid w:val="00FB18F9"/>
    <w:rsid w:val="00FB1A4B"/>
    <w:rsid w:val="00FB1BB5"/>
    <w:rsid w:val="00FB215D"/>
    <w:rsid w:val="00FB2401"/>
    <w:rsid w:val="00FB259A"/>
    <w:rsid w:val="00FB27CB"/>
    <w:rsid w:val="00FB2B7B"/>
    <w:rsid w:val="00FB2CB2"/>
    <w:rsid w:val="00FB3437"/>
    <w:rsid w:val="00FB3546"/>
    <w:rsid w:val="00FB370E"/>
    <w:rsid w:val="00FB38D0"/>
    <w:rsid w:val="00FB39C7"/>
    <w:rsid w:val="00FB3AF8"/>
    <w:rsid w:val="00FB3E97"/>
    <w:rsid w:val="00FB4840"/>
    <w:rsid w:val="00FB48C7"/>
    <w:rsid w:val="00FB4C17"/>
    <w:rsid w:val="00FB4C2B"/>
    <w:rsid w:val="00FB4E28"/>
    <w:rsid w:val="00FB508A"/>
    <w:rsid w:val="00FB521A"/>
    <w:rsid w:val="00FB557B"/>
    <w:rsid w:val="00FB579F"/>
    <w:rsid w:val="00FB605D"/>
    <w:rsid w:val="00FB6175"/>
    <w:rsid w:val="00FB6BDE"/>
    <w:rsid w:val="00FB6CA9"/>
    <w:rsid w:val="00FB6D9C"/>
    <w:rsid w:val="00FB6E4F"/>
    <w:rsid w:val="00FB6F9E"/>
    <w:rsid w:val="00FB6FA2"/>
    <w:rsid w:val="00FB72E0"/>
    <w:rsid w:val="00FB7AC5"/>
    <w:rsid w:val="00FC00EF"/>
    <w:rsid w:val="00FC018E"/>
    <w:rsid w:val="00FC02BF"/>
    <w:rsid w:val="00FC0740"/>
    <w:rsid w:val="00FC079B"/>
    <w:rsid w:val="00FC0B3B"/>
    <w:rsid w:val="00FC0F1F"/>
    <w:rsid w:val="00FC0F4C"/>
    <w:rsid w:val="00FC10C7"/>
    <w:rsid w:val="00FC1589"/>
    <w:rsid w:val="00FC1859"/>
    <w:rsid w:val="00FC18D2"/>
    <w:rsid w:val="00FC18FE"/>
    <w:rsid w:val="00FC1E93"/>
    <w:rsid w:val="00FC2350"/>
    <w:rsid w:val="00FC2432"/>
    <w:rsid w:val="00FC2507"/>
    <w:rsid w:val="00FC2A6B"/>
    <w:rsid w:val="00FC2AE0"/>
    <w:rsid w:val="00FC2BD9"/>
    <w:rsid w:val="00FC2E0F"/>
    <w:rsid w:val="00FC2EFE"/>
    <w:rsid w:val="00FC2F59"/>
    <w:rsid w:val="00FC31F4"/>
    <w:rsid w:val="00FC3555"/>
    <w:rsid w:val="00FC3577"/>
    <w:rsid w:val="00FC36D0"/>
    <w:rsid w:val="00FC36DA"/>
    <w:rsid w:val="00FC3D7F"/>
    <w:rsid w:val="00FC3E89"/>
    <w:rsid w:val="00FC40D5"/>
    <w:rsid w:val="00FC414B"/>
    <w:rsid w:val="00FC4295"/>
    <w:rsid w:val="00FC4878"/>
    <w:rsid w:val="00FC4A27"/>
    <w:rsid w:val="00FC4FF5"/>
    <w:rsid w:val="00FC5246"/>
    <w:rsid w:val="00FC53C9"/>
    <w:rsid w:val="00FC54C2"/>
    <w:rsid w:val="00FC5599"/>
    <w:rsid w:val="00FC589C"/>
    <w:rsid w:val="00FC5914"/>
    <w:rsid w:val="00FC5D2F"/>
    <w:rsid w:val="00FC5D9E"/>
    <w:rsid w:val="00FC5DAF"/>
    <w:rsid w:val="00FC6006"/>
    <w:rsid w:val="00FC60D7"/>
    <w:rsid w:val="00FC6585"/>
    <w:rsid w:val="00FC68BA"/>
    <w:rsid w:val="00FC698F"/>
    <w:rsid w:val="00FC69EE"/>
    <w:rsid w:val="00FC6C95"/>
    <w:rsid w:val="00FC6D15"/>
    <w:rsid w:val="00FC6F62"/>
    <w:rsid w:val="00FC6F71"/>
    <w:rsid w:val="00FC71C2"/>
    <w:rsid w:val="00FC77D7"/>
    <w:rsid w:val="00FC7830"/>
    <w:rsid w:val="00FC7842"/>
    <w:rsid w:val="00FC7C1A"/>
    <w:rsid w:val="00FC7D76"/>
    <w:rsid w:val="00FD0261"/>
    <w:rsid w:val="00FD04B5"/>
    <w:rsid w:val="00FD053B"/>
    <w:rsid w:val="00FD071B"/>
    <w:rsid w:val="00FD0938"/>
    <w:rsid w:val="00FD0F0C"/>
    <w:rsid w:val="00FD13D2"/>
    <w:rsid w:val="00FD153B"/>
    <w:rsid w:val="00FD18AD"/>
    <w:rsid w:val="00FD2093"/>
    <w:rsid w:val="00FD21E1"/>
    <w:rsid w:val="00FD232F"/>
    <w:rsid w:val="00FD2AA8"/>
    <w:rsid w:val="00FD2ADC"/>
    <w:rsid w:val="00FD3833"/>
    <w:rsid w:val="00FD3970"/>
    <w:rsid w:val="00FD3F99"/>
    <w:rsid w:val="00FD4545"/>
    <w:rsid w:val="00FD4929"/>
    <w:rsid w:val="00FD4EB7"/>
    <w:rsid w:val="00FD4FA3"/>
    <w:rsid w:val="00FD510D"/>
    <w:rsid w:val="00FD53A4"/>
    <w:rsid w:val="00FD53EA"/>
    <w:rsid w:val="00FD5550"/>
    <w:rsid w:val="00FD55BE"/>
    <w:rsid w:val="00FD5624"/>
    <w:rsid w:val="00FD5F1A"/>
    <w:rsid w:val="00FD5FB7"/>
    <w:rsid w:val="00FD68D8"/>
    <w:rsid w:val="00FD6B1B"/>
    <w:rsid w:val="00FD75C1"/>
    <w:rsid w:val="00FD7C8A"/>
    <w:rsid w:val="00FD7E62"/>
    <w:rsid w:val="00FE022C"/>
    <w:rsid w:val="00FE0252"/>
    <w:rsid w:val="00FE02C2"/>
    <w:rsid w:val="00FE048F"/>
    <w:rsid w:val="00FE066B"/>
    <w:rsid w:val="00FE0A8D"/>
    <w:rsid w:val="00FE0E18"/>
    <w:rsid w:val="00FE1039"/>
    <w:rsid w:val="00FE12A7"/>
    <w:rsid w:val="00FE15C4"/>
    <w:rsid w:val="00FE1997"/>
    <w:rsid w:val="00FE1A2F"/>
    <w:rsid w:val="00FE1ED0"/>
    <w:rsid w:val="00FE1F15"/>
    <w:rsid w:val="00FE2133"/>
    <w:rsid w:val="00FE236C"/>
    <w:rsid w:val="00FE2878"/>
    <w:rsid w:val="00FE298F"/>
    <w:rsid w:val="00FE2EC0"/>
    <w:rsid w:val="00FE2F0B"/>
    <w:rsid w:val="00FE3045"/>
    <w:rsid w:val="00FE3258"/>
    <w:rsid w:val="00FE3B6F"/>
    <w:rsid w:val="00FE3E37"/>
    <w:rsid w:val="00FE40C2"/>
    <w:rsid w:val="00FE44D6"/>
    <w:rsid w:val="00FE458A"/>
    <w:rsid w:val="00FE4E20"/>
    <w:rsid w:val="00FE4E39"/>
    <w:rsid w:val="00FE54B5"/>
    <w:rsid w:val="00FE5AAD"/>
    <w:rsid w:val="00FE5ED9"/>
    <w:rsid w:val="00FE5FFA"/>
    <w:rsid w:val="00FE60EF"/>
    <w:rsid w:val="00FE6310"/>
    <w:rsid w:val="00FE65B7"/>
    <w:rsid w:val="00FE676A"/>
    <w:rsid w:val="00FE6833"/>
    <w:rsid w:val="00FE6A0E"/>
    <w:rsid w:val="00FE6D4F"/>
    <w:rsid w:val="00FE7406"/>
    <w:rsid w:val="00FE7B66"/>
    <w:rsid w:val="00FF1BD3"/>
    <w:rsid w:val="00FF1E04"/>
    <w:rsid w:val="00FF23BA"/>
    <w:rsid w:val="00FF2B7D"/>
    <w:rsid w:val="00FF2FFD"/>
    <w:rsid w:val="00FF32A3"/>
    <w:rsid w:val="00FF3438"/>
    <w:rsid w:val="00FF3678"/>
    <w:rsid w:val="00FF3C8F"/>
    <w:rsid w:val="00FF44C1"/>
    <w:rsid w:val="00FF4648"/>
    <w:rsid w:val="00FF5156"/>
    <w:rsid w:val="00FF56E6"/>
    <w:rsid w:val="00FF581E"/>
    <w:rsid w:val="00FF586B"/>
    <w:rsid w:val="00FF5991"/>
    <w:rsid w:val="00FF5D1F"/>
    <w:rsid w:val="00FF5D35"/>
    <w:rsid w:val="00FF5F62"/>
    <w:rsid w:val="00FF616D"/>
    <w:rsid w:val="00FF653E"/>
    <w:rsid w:val="00FF65EB"/>
    <w:rsid w:val="00FF681D"/>
    <w:rsid w:val="00FF69BA"/>
    <w:rsid w:val="00FF6BC5"/>
    <w:rsid w:val="00FF7180"/>
    <w:rsid w:val="00FF730F"/>
    <w:rsid w:val="00FF747B"/>
    <w:rsid w:val="00FF78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9E170"/>
  <w15:chartTrackingRefBased/>
  <w15:docId w15:val="{A24AFF1A-0B55-4322-8CB5-A3CF6348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sz w:val="24"/>
        <w:szCs w:val="24"/>
        <w:lang w:val="cs-CZ" w:eastAsia="cs-CZ" w:bidi="ar-SA"/>
      </w:rPr>
    </w:rPrDefault>
    <w:pPrDefault/>
  </w:docDefaults>
  <w:latentStyles w:defLockedState="0" w:defUIPriority="0" w:defSemiHidden="0" w:defUnhideWhenUsed="0" w:defQFormat="0" w:count="376">
    <w:lsdException w:name="heading 1" w:uiPriority="9" w:qFormat="1"/>
    <w:lsdException w:name="heading 2" w:uiPriority="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index heading" w:uiPriority="99"/>
    <w:lsdException w:name="caption" w:uiPriority="35" w:qFormat="1"/>
    <w:lsdException w:name="table of figures" w:uiPriority="99"/>
    <w:lsdException w:name="annotation reference" w:uiPriority="99"/>
    <w:lsdException w:name="endnote reference" w:uiPriority="99"/>
    <w:lsdException w:name="endnote text" w:uiPriority="99"/>
    <w:lsdException w:name="List Bullet" w:qFormat="1"/>
    <w:lsdException w:name="List Number" w:uiPriority="21" w:qFormat="1"/>
    <w:lsdException w:name="Title" w:uiPriority="10"/>
    <w:lsdException w:name="Subtitle" w:uiPriority="11"/>
    <w:lsdException w:name="Hyperlink" w:uiPriority="99"/>
    <w:lsdException w:name="FollowedHyperlink" w:uiPriority="99"/>
    <w:lsdException w:name="Strong" w:uiPriority="22"/>
    <w:lsdException w:name="Normal (Web)" w:uiPriority="99"/>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uiPriority="51"/>
    <w:lsdException w:name="Grid Table 7 Colorful"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uiPriority="51"/>
    <w:lsdException w:name="Grid Table 7 Colorful Accent 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uiPriority="51"/>
    <w:lsdException w:name="Grid Table 7 Colorful Accent 2"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uiPriority="51"/>
    <w:lsdException w:name="Grid Table 7 Colorful Accent 3"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uiPriority="51"/>
    <w:lsdException w:name="Grid Table 7 Colorful Accent 4"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uiPriority="51"/>
    <w:lsdException w:name="Grid Table 7 Colorful Accent 5"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uiPriority="51"/>
    <w:lsdException w:name="Grid Table 7 Colorful Accent 6"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uiPriority="51"/>
    <w:lsdException w:name="List Table 7 Colorful"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uiPriority="51"/>
    <w:lsdException w:name="List Table 7 Colorful Accent 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uiPriority="51"/>
    <w:lsdException w:name="List Table 7 Colorful Accent 2"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uiPriority="51"/>
    <w:lsdException w:name="List Table 7 Colorful Accent 3"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uiPriority="51"/>
    <w:lsdException w:name="List Table 7 Colorful Accent 4"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uiPriority="51"/>
    <w:lsdException w:name="List Table 7 Colorful Accent 5"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rsid w:val="002F7F23"/>
  </w:style>
  <w:style w:type="paragraph" w:styleId="Nadpis1">
    <w:name w:val="heading 1"/>
    <w:basedOn w:val="ZPNadpis1"/>
    <w:next w:val="Odstavec1"/>
    <w:link w:val="Nadpis1Char"/>
    <w:uiPriority w:val="9"/>
    <w:qFormat/>
    <w:rsid w:val="00504943"/>
    <w:pPr>
      <w:numPr>
        <w:numId w:val="19"/>
      </w:numPr>
    </w:pPr>
  </w:style>
  <w:style w:type="paragraph" w:styleId="Nadpis2">
    <w:name w:val="heading 2"/>
    <w:basedOn w:val="ZPNadpis2"/>
    <w:next w:val="Odstavec1"/>
    <w:link w:val="Nadpis2Char"/>
    <w:uiPriority w:val="1"/>
    <w:qFormat/>
    <w:rsid w:val="00504943"/>
    <w:pPr>
      <w:numPr>
        <w:ilvl w:val="1"/>
        <w:numId w:val="19"/>
      </w:numPr>
    </w:pPr>
    <w:rPr>
      <w:bCs w:val="0"/>
      <w:iCs/>
    </w:rPr>
  </w:style>
  <w:style w:type="paragraph" w:styleId="Nadpis3">
    <w:name w:val="heading 3"/>
    <w:basedOn w:val="ZPNadpis3"/>
    <w:next w:val="Odstavec1"/>
    <w:link w:val="Nadpis3Char"/>
    <w:uiPriority w:val="9"/>
    <w:qFormat/>
    <w:rsid w:val="00504943"/>
    <w:pPr>
      <w:numPr>
        <w:ilvl w:val="2"/>
        <w:numId w:val="19"/>
      </w:numPr>
    </w:pPr>
  </w:style>
  <w:style w:type="paragraph" w:styleId="Nadpis4">
    <w:name w:val="heading 4"/>
    <w:basedOn w:val="ZPNadpis4"/>
    <w:next w:val="Normln"/>
    <w:link w:val="Nadpis4Char"/>
    <w:uiPriority w:val="9"/>
    <w:unhideWhenUsed/>
    <w:rsid w:val="00504943"/>
    <w:pPr>
      <w:numPr>
        <w:ilvl w:val="3"/>
        <w:numId w:val="19"/>
      </w:numPr>
      <w:spacing w:before="240" w:after="60"/>
      <w:outlineLvl w:val="3"/>
    </w:pPr>
    <w:rPr>
      <w:rFonts w:ascii="Arial" w:hAnsi="Arial"/>
      <w:bCs/>
      <w:szCs w:val="28"/>
    </w:rPr>
  </w:style>
  <w:style w:type="paragraph" w:styleId="Nadpis5">
    <w:name w:val="heading 5"/>
    <w:basedOn w:val="Nadpis3"/>
    <w:next w:val="Normln"/>
    <w:link w:val="Nadpis5Char"/>
    <w:uiPriority w:val="9"/>
    <w:unhideWhenUsed/>
    <w:rsid w:val="00AB6916"/>
    <w:pPr>
      <w:spacing w:before="120" w:after="240" w:line="360" w:lineRule="auto"/>
      <w:ind w:left="1008" w:hanging="1008"/>
      <w:outlineLvl w:val="4"/>
    </w:pPr>
    <w:rPr>
      <w:rFonts w:cs="Times New Roman"/>
      <w:lang w:eastAsia="sk-SK"/>
    </w:rPr>
  </w:style>
  <w:style w:type="paragraph" w:styleId="Nadpis6">
    <w:name w:val="heading 6"/>
    <w:basedOn w:val="Normln"/>
    <w:next w:val="Normln"/>
    <w:link w:val="Nadpis6Char"/>
    <w:uiPriority w:val="9"/>
    <w:unhideWhenUsed/>
    <w:rsid w:val="00743F57"/>
    <w:pPr>
      <w:spacing w:before="240" w:after="60"/>
      <w:outlineLvl w:val="5"/>
    </w:pPr>
    <w:rPr>
      <w:rFonts w:ascii="Calibri" w:hAnsi="Calibri"/>
      <w:b/>
      <w:bCs/>
      <w:sz w:val="22"/>
      <w:szCs w:val="22"/>
    </w:rPr>
  </w:style>
  <w:style w:type="paragraph" w:styleId="Nadpis7">
    <w:name w:val="heading 7"/>
    <w:basedOn w:val="Normln"/>
    <w:next w:val="Normln"/>
    <w:link w:val="Nadpis7Char"/>
    <w:uiPriority w:val="9"/>
    <w:unhideWhenUsed/>
    <w:rsid w:val="00743F57"/>
    <w:pPr>
      <w:spacing w:before="240" w:after="60"/>
      <w:outlineLvl w:val="6"/>
    </w:pPr>
    <w:rPr>
      <w:rFonts w:ascii="Calibri" w:hAnsi="Calibri"/>
    </w:rPr>
  </w:style>
  <w:style w:type="paragraph" w:styleId="Nadpis8">
    <w:name w:val="heading 8"/>
    <w:basedOn w:val="Nadpis3"/>
    <w:next w:val="Normln"/>
    <w:link w:val="Nadpis8Char"/>
    <w:uiPriority w:val="9"/>
    <w:rsid w:val="00AB6916"/>
    <w:pPr>
      <w:spacing w:before="120" w:after="240" w:line="360" w:lineRule="auto"/>
      <w:ind w:left="1440" w:hanging="1440"/>
      <w:outlineLvl w:val="7"/>
    </w:pPr>
    <w:rPr>
      <w:rFonts w:cs="Times New Roman"/>
      <w:bCs w:val="0"/>
      <w:lang w:eastAsia="sk-SK"/>
    </w:rPr>
  </w:style>
  <w:style w:type="paragraph" w:styleId="Nadpis9">
    <w:name w:val="heading 9"/>
    <w:basedOn w:val="Normln"/>
    <w:next w:val="Normln"/>
    <w:link w:val="Nadpis9Char"/>
    <w:uiPriority w:val="9"/>
    <w:unhideWhenUsed/>
    <w:rsid w:val="00743F57"/>
    <w:pPr>
      <w:spacing w:before="240" w:after="60"/>
      <w:outlineLvl w:val="8"/>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link w:val="Nadpis4"/>
    <w:uiPriority w:val="9"/>
    <w:rsid w:val="00633434"/>
    <w:rPr>
      <w:rFonts w:ascii="Arial" w:hAnsi="Arial"/>
      <w:bCs/>
      <w:color w:val="0000DC"/>
      <w:kern w:val="32"/>
      <w:szCs w:val="28"/>
    </w:rPr>
  </w:style>
  <w:style w:type="character" w:customStyle="1" w:styleId="Nadpis6Char">
    <w:name w:val="Nadpis 6 Char"/>
    <w:link w:val="Nadpis6"/>
    <w:uiPriority w:val="9"/>
    <w:rsid w:val="00743F57"/>
    <w:rPr>
      <w:rFonts w:ascii="Calibri" w:eastAsia="Times New Roman" w:hAnsi="Calibri" w:cs="Times New Roman"/>
      <w:b/>
      <w:bCs/>
      <w:sz w:val="22"/>
      <w:szCs w:val="22"/>
    </w:rPr>
  </w:style>
  <w:style w:type="character" w:customStyle="1" w:styleId="Nadpis7Char">
    <w:name w:val="Nadpis 7 Char"/>
    <w:link w:val="Nadpis7"/>
    <w:uiPriority w:val="9"/>
    <w:rsid w:val="00743F57"/>
    <w:rPr>
      <w:rFonts w:ascii="Calibri" w:eastAsia="Times New Roman" w:hAnsi="Calibri" w:cs="Times New Roman"/>
      <w:sz w:val="24"/>
      <w:szCs w:val="24"/>
    </w:rPr>
  </w:style>
  <w:style w:type="character" w:customStyle="1" w:styleId="Nadpis9Char">
    <w:name w:val="Nadpis 9 Char"/>
    <w:link w:val="Nadpis9"/>
    <w:uiPriority w:val="9"/>
    <w:semiHidden/>
    <w:rsid w:val="00743F57"/>
    <w:rPr>
      <w:rFonts w:ascii="Cambria" w:eastAsia="Times New Roman" w:hAnsi="Cambria" w:cs="Times New Roman"/>
      <w:sz w:val="22"/>
      <w:szCs w:val="22"/>
    </w:rPr>
  </w:style>
  <w:style w:type="paragraph" w:styleId="Obsah1">
    <w:name w:val="toc 1"/>
    <w:basedOn w:val="ZP-Nadpisyzklad"/>
    <w:uiPriority w:val="39"/>
    <w:rsid w:val="00E8706F"/>
    <w:pPr>
      <w:tabs>
        <w:tab w:val="left" w:pos="480"/>
        <w:tab w:val="right" w:pos="8505"/>
      </w:tabs>
      <w:spacing w:before="240" w:after="120" w:line="280" w:lineRule="atLeast"/>
      <w:ind w:left="482" w:right="-2" w:hanging="482"/>
    </w:pPr>
    <w:rPr>
      <w:rFonts w:ascii="Cambria" w:hAnsi="Cambria"/>
      <w:b/>
      <w:bCs w:val="0"/>
      <w:noProof/>
      <w:color w:val="0000DC"/>
    </w:rPr>
  </w:style>
  <w:style w:type="paragraph" w:customStyle="1" w:styleId="ZPZklad">
    <w:name w:val="ZP: Základ"/>
    <w:link w:val="ZPZkladChar"/>
    <w:rsid w:val="0006632C"/>
    <w:pPr>
      <w:spacing w:line="300" w:lineRule="atLeast"/>
      <w:jc w:val="both"/>
    </w:pPr>
  </w:style>
  <w:style w:type="paragraph" w:customStyle="1" w:styleId="Dalodstavce">
    <w:name w:val="Další odstavce"/>
    <w:basedOn w:val="ZPZklad"/>
    <w:link w:val="DalodstavceChar"/>
    <w:uiPriority w:val="20"/>
    <w:qFormat/>
    <w:rsid w:val="00A2558D"/>
    <w:pPr>
      <w:ind w:firstLine="482"/>
    </w:pPr>
  </w:style>
  <w:style w:type="character" w:customStyle="1" w:styleId="DalodstavceChar">
    <w:name w:val="Další odstavce Char"/>
    <w:basedOn w:val="ZPZkladChar"/>
    <w:link w:val="Dalodstavce"/>
    <w:uiPriority w:val="20"/>
    <w:rsid w:val="00656B43"/>
    <w:rPr>
      <w:rFonts w:ascii="Cambria" w:hAnsi="Cambria"/>
      <w:sz w:val="24"/>
      <w:szCs w:val="24"/>
    </w:rPr>
  </w:style>
  <w:style w:type="character" w:customStyle="1" w:styleId="ZPZkladChar">
    <w:name w:val="ZP: Základ Char"/>
    <w:link w:val="ZPZklad"/>
    <w:rsid w:val="0006632C"/>
    <w:rPr>
      <w:rFonts w:ascii="Cambria" w:hAnsi="Cambria"/>
      <w:sz w:val="24"/>
      <w:szCs w:val="24"/>
    </w:rPr>
  </w:style>
  <w:style w:type="paragraph" w:customStyle="1" w:styleId="inZPNadpisy">
    <w:name w:val="inZP: Nadpisy"/>
    <w:basedOn w:val="ZPZklad"/>
    <w:link w:val="inZPNadpisyChar"/>
    <w:rsid w:val="00B9713F"/>
    <w:pPr>
      <w:keepNext/>
      <w:keepLines/>
      <w:suppressAutoHyphens/>
      <w:jc w:val="left"/>
    </w:pPr>
    <w:rPr>
      <w:rFonts w:asciiTheme="majorHAnsi" w:hAnsiTheme="majorHAnsi"/>
      <w:b/>
      <w:kern w:val="32"/>
    </w:rPr>
  </w:style>
  <w:style w:type="character" w:customStyle="1" w:styleId="inZPNadpisyChar">
    <w:name w:val="inZP: Nadpisy Char"/>
    <w:link w:val="inZPNadpisy"/>
    <w:rsid w:val="00B9713F"/>
    <w:rPr>
      <w:rFonts w:asciiTheme="majorHAnsi" w:hAnsiTheme="majorHAnsi"/>
      <w:b/>
      <w:kern w:val="32"/>
      <w:sz w:val="24"/>
      <w:szCs w:val="24"/>
      <w:lang w:val="sk-SK"/>
    </w:rPr>
  </w:style>
  <w:style w:type="paragraph" w:customStyle="1" w:styleId="ZPNadpis1vodn">
    <w:name w:val="ZP Nadpis 1 úvodní"/>
    <w:basedOn w:val="ZPNadpisy1"/>
    <w:rsid w:val="00A00BBC"/>
  </w:style>
  <w:style w:type="paragraph" w:customStyle="1" w:styleId="ZPZapatlich">
    <w:name w:val="ZP Zapatí liché"/>
    <w:basedOn w:val="inZPZhlavapaty"/>
    <w:link w:val="ZPZapatlichChar"/>
    <w:rsid w:val="0095124B"/>
    <w:pPr>
      <w:jc w:val="right"/>
    </w:pPr>
  </w:style>
  <w:style w:type="paragraph" w:customStyle="1" w:styleId="podnadpis">
    <w:name w:val="podnadpis"/>
    <w:basedOn w:val="Normln"/>
    <w:semiHidden/>
    <w:rsid w:val="00B8051E"/>
    <w:pPr>
      <w:numPr>
        <w:ilvl w:val="1"/>
        <w:numId w:val="1"/>
      </w:numPr>
    </w:pPr>
  </w:style>
  <w:style w:type="paragraph" w:customStyle="1" w:styleId="mujnadpis2">
    <w:name w:val="muj nadpis 2"/>
    <w:basedOn w:val="Normln"/>
    <w:semiHidden/>
    <w:rsid w:val="008A0030"/>
  </w:style>
  <w:style w:type="paragraph" w:customStyle="1" w:styleId="inZPZhlavstr">
    <w:name w:val="inZP: Záhlaví str."/>
    <w:basedOn w:val="inZPZhlavapaty"/>
    <w:link w:val="inZPZhlavstrChar"/>
    <w:rsid w:val="00A221A7"/>
    <w:pPr>
      <w:pBdr>
        <w:bottom w:val="single" w:sz="4" w:space="1" w:color="auto"/>
      </w:pBdr>
      <w:tabs>
        <w:tab w:val="left" w:pos="0"/>
        <w:tab w:val="right" w:pos="8505"/>
      </w:tabs>
      <w:spacing w:after="360"/>
      <w:contextualSpacing/>
    </w:pPr>
    <w:rPr>
      <w:rFonts w:asciiTheme="majorHAnsi" w:hAnsiTheme="majorHAnsi"/>
    </w:rPr>
  </w:style>
  <w:style w:type="paragraph" w:customStyle="1" w:styleId="inZPZhlavapaty">
    <w:name w:val="inZP: Záhlaví a paty"/>
    <w:basedOn w:val="ZPZklad"/>
    <w:link w:val="inZPZhlavapatyChar"/>
    <w:rsid w:val="00612ED3"/>
    <w:pPr>
      <w:keepNext/>
      <w:keepLines/>
      <w:suppressAutoHyphens/>
      <w:jc w:val="center"/>
    </w:pPr>
    <w:rPr>
      <w:smallCaps/>
    </w:rPr>
  </w:style>
  <w:style w:type="character" w:customStyle="1" w:styleId="inZPZhlavapatyChar">
    <w:name w:val="inZP: Záhlaví a paty Char"/>
    <w:basedOn w:val="ZPZkladChar"/>
    <w:link w:val="inZPZhlavapaty"/>
    <w:rsid w:val="00612ED3"/>
    <w:rPr>
      <w:rFonts w:ascii="Cambria" w:hAnsi="Cambria"/>
      <w:smallCaps/>
      <w:sz w:val="24"/>
      <w:szCs w:val="24"/>
    </w:rPr>
  </w:style>
  <w:style w:type="character" w:customStyle="1" w:styleId="inZPZhlavstrChar">
    <w:name w:val="inZP: Záhlaví str. Char"/>
    <w:basedOn w:val="inZPZhlavapatyChar"/>
    <w:link w:val="inZPZhlavstr"/>
    <w:rsid w:val="00A221A7"/>
    <w:rPr>
      <w:rFonts w:asciiTheme="majorHAnsi" w:hAnsiTheme="majorHAnsi"/>
      <w:smallCaps/>
      <w:sz w:val="24"/>
      <w:szCs w:val="24"/>
      <w:lang w:val="sk-SK"/>
    </w:rPr>
  </w:style>
  <w:style w:type="numbering" w:customStyle="1" w:styleId="ZPVetsodrkami">
    <w:name w:val="ZP: Výčet s odrážkami"/>
    <w:basedOn w:val="Bezseznamu"/>
    <w:rsid w:val="00E73BA7"/>
    <w:pPr>
      <w:numPr>
        <w:numId w:val="4"/>
      </w:numPr>
    </w:pPr>
  </w:style>
  <w:style w:type="character" w:styleId="Zstupntext">
    <w:name w:val="Placeholder Text"/>
    <w:basedOn w:val="Standardnpsmoodstavce"/>
    <w:uiPriority w:val="99"/>
    <w:semiHidden/>
    <w:rsid w:val="00E24921"/>
    <w:rPr>
      <w:color w:val="808080"/>
    </w:rPr>
  </w:style>
  <w:style w:type="paragraph" w:styleId="Zhlav">
    <w:name w:val="header"/>
    <w:basedOn w:val="Normln"/>
    <w:link w:val="ZhlavChar"/>
    <w:uiPriority w:val="99"/>
    <w:rsid w:val="00984F82"/>
    <w:pPr>
      <w:tabs>
        <w:tab w:val="center" w:pos="4536"/>
        <w:tab w:val="right" w:pos="9072"/>
      </w:tabs>
    </w:pPr>
  </w:style>
  <w:style w:type="paragraph" w:styleId="Zpat">
    <w:name w:val="footer"/>
    <w:basedOn w:val="Normln"/>
    <w:link w:val="ZpatChar"/>
    <w:uiPriority w:val="99"/>
    <w:rsid w:val="00984F82"/>
    <w:pPr>
      <w:tabs>
        <w:tab w:val="center" w:pos="4536"/>
        <w:tab w:val="right" w:pos="9072"/>
      </w:tabs>
    </w:pPr>
  </w:style>
  <w:style w:type="paragraph" w:styleId="Textpoznpodarou">
    <w:name w:val="footnote text"/>
    <w:basedOn w:val="ZPZklad"/>
    <w:link w:val="TextpoznpodarouChar"/>
    <w:rsid w:val="00E73194"/>
    <w:pPr>
      <w:ind w:left="300" w:hanging="300"/>
      <w:jc w:val="left"/>
    </w:pPr>
    <w:rPr>
      <w:sz w:val="20"/>
      <w:szCs w:val="20"/>
    </w:rPr>
  </w:style>
  <w:style w:type="character" w:styleId="Znakapoznpodarou">
    <w:name w:val="footnote reference"/>
    <w:rsid w:val="00E73194"/>
    <w:rPr>
      <w:vertAlign w:val="superscript"/>
    </w:rPr>
  </w:style>
  <w:style w:type="paragraph" w:customStyle="1" w:styleId="inZPTypprce">
    <w:name w:val="inZP: Typ práce"/>
    <w:basedOn w:val="inZPNadpisy"/>
    <w:rsid w:val="00283847"/>
    <w:pPr>
      <w:spacing w:before="560" w:after="360" w:line="360" w:lineRule="atLeast"/>
      <w:jc w:val="center"/>
    </w:pPr>
    <w:rPr>
      <w:sz w:val="36"/>
    </w:rPr>
  </w:style>
  <w:style w:type="paragraph" w:customStyle="1" w:styleId="inZPPolovinodsazen">
    <w:name w:val="inZP: Poloviční odsazení"/>
    <w:basedOn w:val="inZPNadpisy"/>
    <w:rsid w:val="00042887"/>
    <w:pPr>
      <w:spacing w:before="2400" w:after="140"/>
    </w:pPr>
  </w:style>
  <w:style w:type="paragraph" w:styleId="Obsah2">
    <w:name w:val="toc 2"/>
    <w:basedOn w:val="Normln"/>
    <w:autoRedefine/>
    <w:uiPriority w:val="39"/>
    <w:rsid w:val="006959C8"/>
    <w:pPr>
      <w:tabs>
        <w:tab w:val="left" w:pos="851"/>
        <w:tab w:val="right" w:leader="dot" w:pos="8505"/>
      </w:tabs>
      <w:spacing w:before="120"/>
      <w:ind w:left="862" w:hanging="624"/>
    </w:pPr>
    <w:rPr>
      <w:iCs/>
      <w:noProof/>
    </w:rPr>
  </w:style>
  <w:style w:type="paragraph" w:styleId="Obsah3">
    <w:name w:val="toc 3"/>
    <w:basedOn w:val="Normln"/>
    <w:autoRedefine/>
    <w:uiPriority w:val="39"/>
    <w:rsid w:val="00C35CD5"/>
    <w:pPr>
      <w:tabs>
        <w:tab w:val="left" w:pos="1361"/>
        <w:tab w:val="right" w:leader="dot" w:pos="8505"/>
      </w:tabs>
      <w:spacing w:before="120" w:line="280" w:lineRule="atLeast"/>
      <w:ind w:left="482"/>
      <w:jc w:val="both"/>
    </w:pPr>
    <w:rPr>
      <w:noProof/>
    </w:rPr>
  </w:style>
  <w:style w:type="paragraph" w:styleId="Obsah4">
    <w:name w:val="toc 4"/>
    <w:basedOn w:val="Normln"/>
    <w:next w:val="Normln"/>
    <w:autoRedefine/>
    <w:uiPriority w:val="39"/>
    <w:rsid w:val="000B205F"/>
    <w:pPr>
      <w:tabs>
        <w:tab w:val="left" w:pos="1871"/>
        <w:tab w:val="right" w:leader="dot" w:pos="8505"/>
      </w:tabs>
      <w:spacing w:before="120" w:line="260" w:lineRule="atLeast"/>
      <w:ind w:left="720"/>
    </w:pPr>
    <w:rPr>
      <w:sz w:val="22"/>
      <w:szCs w:val="20"/>
    </w:rPr>
  </w:style>
  <w:style w:type="paragraph" w:styleId="Obsah5">
    <w:name w:val="toc 5"/>
    <w:basedOn w:val="Normln"/>
    <w:next w:val="Normln"/>
    <w:autoRedefine/>
    <w:uiPriority w:val="39"/>
    <w:rsid w:val="00A86718"/>
    <w:pPr>
      <w:ind w:left="960"/>
    </w:pPr>
    <w:rPr>
      <w:sz w:val="20"/>
      <w:szCs w:val="20"/>
    </w:rPr>
  </w:style>
  <w:style w:type="paragraph" w:styleId="Obsah6">
    <w:name w:val="toc 6"/>
    <w:basedOn w:val="Normln"/>
    <w:next w:val="Normln"/>
    <w:autoRedefine/>
    <w:uiPriority w:val="39"/>
    <w:rsid w:val="00A86718"/>
    <w:pPr>
      <w:ind w:left="1200"/>
    </w:pPr>
    <w:rPr>
      <w:sz w:val="20"/>
      <w:szCs w:val="20"/>
    </w:rPr>
  </w:style>
  <w:style w:type="paragraph" w:styleId="Obsah7">
    <w:name w:val="toc 7"/>
    <w:basedOn w:val="Normln"/>
    <w:next w:val="Normln"/>
    <w:autoRedefine/>
    <w:uiPriority w:val="39"/>
    <w:rsid w:val="00A86718"/>
    <w:pPr>
      <w:ind w:left="1440"/>
    </w:pPr>
    <w:rPr>
      <w:sz w:val="20"/>
      <w:szCs w:val="20"/>
    </w:rPr>
  </w:style>
  <w:style w:type="paragraph" w:styleId="Obsah8">
    <w:name w:val="toc 8"/>
    <w:basedOn w:val="Normln"/>
    <w:next w:val="Normln"/>
    <w:autoRedefine/>
    <w:uiPriority w:val="39"/>
    <w:rsid w:val="00A86718"/>
    <w:pPr>
      <w:ind w:left="1680"/>
    </w:pPr>
    <w:rPr>
      <w:sz w:val="20"/>
      <w:szCs w:val="20"/>
    </w:rPr>
  </w:style>
  <w:style w:type="paragraph" w:styleId="Obsah9">
    <w:name w:val="toc 9"/>
    <w:basedOn w:val="ZPSeznamploh"/>
    <w:uiPriority w:val="39"/>
    <w:rsid w:val="00D06678"/>
  </w:style>
  <w:style w:type="paragraph" w:customStyle="1" w:styleId="Obsah10">
    <w:name w:val="Obsah 10"/>
    <w:basedOn w:val="ZPSeznamploh"/>
    <w:rsid w:val="006964D9"/>
    <w:pPr>
      <w:tabs>
        <w:tab w:val="left" w:pos="851"/>
      </w:tabs>
      <w:spacing w:before="120" w:after="0"/>
    </w:pPr>
  </w:style>
  <w:style w:type="paragraph" w:customStyle="1" w:styleId="ZPNadpis30">
    <w:name w:val="ZP: Nadpis 3"/>
    <w:basedOn w:val="inZPNadpisy"/>
    <w:next w:val="ZPZklad"/>
    <w:rsid w:val="009F057F"/>
    <w:pPr>
      <w:spacing w:before="280" w:after="140"/>
      <w:outlineLvl w:val="2"/>
    </w:pPr>
  </w:style>
  <w:style w:type="table" w:styleId="Tabulkasprostorovmiefekty1">
    <w:name w:val="Table 3D effects 1"/>
    <w:basedOn w:val="Normlntabulka"/>
    <w:semiHidden/>
    <w:rsid w:val="003451D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3451D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3451D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3451D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3451D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3451DC"/>
    <w:pPr>
      <w:spacing w:after="120"/>
      <w:ind w:left="1440" w:right="1440"/>
    </w:pPr>
  </w:style>
  <w:style w:type="character" w:styleId="UkzkaHTML">
    <w:name w:val="HTML Sample"/>
    <w:semiHidden/>
    <w:rsid w:val="003451DC"/>
    <w:rPr>
      <w:rFonts w:ascii="Courier New" w:hAnsi="Courier New" w:cs="Courier New"/>
    </w:rPr>
  </w:style>
  <w:style w:type="table" w:styleId="Webovtabulka1">
    <w:name w:val="Table Web 1"/>
    <w:basedOn w:val="Normlntabulka"/>
    <w:semiHidden/>
    <w:rsid w:val="003451D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3451D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3451D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zprvy">
    <w:name w:val="Message Header"/>
    <w:basedOn w:val="Normln"/>
    <w:semiHidden/>
    <w:rsid w:val="003451D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
    <w:semiHidden/>
    <w:rsid w:val="003451DC"/>
    <w:pPr>
      <w:spacing w:after="120"/>
    </w:pPr>
  </w:style>
  <w:style w:type="paragraph" w:styleId="Zkladntext-prvnodsazen">
    <w:name w:val="Body Text First Indent"/>
    <w:basedOn w:val="Zkladntext"/>
    <w:semiHidden/>
    <w:rsid w:val="003451DC"/>
    <w:pPr>
      <w:ind w:firstLine="210"/>
    </w:pPr>
  </w:style>
  <w:style w:type="paragraph" w:styleId="Zkladntextodsazen">
    <w:name w:val="Body Text Indent"/>
    <w:basedOn w:val="Normln"/>
    <w:semiHidden/>
    <w:rsid w:val="003451DC"/>
    <w:pPr>
      <w:spacing w:after="120"/>
      <w:ind w:left="283"/>
    </w:pPr>
  </w:style>
  <w:style w:type="paragraph" w:styleId="Zkladntext-prvnodsazen2">
    <w:name w:val="Body Text First Indent 2"/>
    <w:basedOn w:val="Zkladntextodsazen"/>
    <w:semiHidden/>
    <w:rsid w:val="003451DC"/>
    <w:pPr>
      <w:ind w:firstLine="210"/>
    </w:pPr>
  </w:style>
  <w:style w:type="paragraph" w:styleId="Zkladntext2">
    <w:name w:val="Body Text 2"/>
    <w:basedOn w:val="Normln"/>
    <w:semiHidden/>
    <w:rsid w:val="003451DC"/>
    <w:pPr>
      <w:spacing w:after="120" w:line="480" w:lineRule="auto"/>
    </w:pPr>
  </w:style>
  <w:style w:type="paragraph" w:styleId="Zkladntext3">
    <w:name w:val="Body Text 3"/>
    <w:basedOn w:val="Normln"/>
    <w:semiHidden/>
    <w:rsid w:val="003451DC"/>
    <w:pPr>
      <w:spacing w:after="120"/>
    </w:pPr>
    <w:rPr>
      <w:sz w:val="16"/>
      <w:szCs w:val="16"/>
    </w:rPr>
  </w:style>
  <w:style w:type="paragraph" w:styleId="Zkladntextodsazen2">
    <w:name w:val="Body Text Indent 2"/>
    <w:basedOn w:val="Normln"/>
    <w:semiHidden/>
    <w:rsid w:val="003451DC"/>
    <w:pPr>
      <w:spacing w:after="120" w:line="480" w:lineRule="auto"/>
      <w:ind w:left="283"/>
    </w:pPr>
  </w:style>
  <w:style w:type="paragraph" w:styleId="Zkladntextodsazen3">
    <w:name w:val="Body Text Indent 3"/>
    <w:basedOn w:val="Normln"/>
    <w:semiHidden/>
    <w:rsid w:val="003451DC"/>
    <w:pPr>
      <w:spacing w:after="120"/>
      <w:ind w:left="283"/>
    </w:pPr>
    <w:rPr>
      <w:sz w:val="16"/>
      <w:szCs w:val="16"/>
    </w:rPr>
  </w:style>
  <w:style w:type="paragraph" w:styleId="Zvr">
    <w:name w:val="Closing"/>
    <w:basedOn w:val="Normln"/>
    <w:semiHidden/>
    <w:rsid w:val="003451DC"/>
    <w:pPr>
      <w:ind w:left="4252"/>
    </w:pPr>
  </w:style>
  <w:style w:type="paragraph" w:styleId="Zptenadresanaoblku">
    <w:name w:val="envelope return"/>
    <w:basedOn w:val="Normln"/>
    <w:semiHidden/>
    <w:rsid w:val="003451DC"/>
    <w:rPr>
      <w:rFonts w:ascii="Arial" w:hAnsi="Arial" w:cs="Arial"/>
      <w:sz w:val="20"/>
      <w:szCs w:val="20"/>
    </w:rPr>
  </w:style>
  <w:style w:type="numbering" w:customStyle="1" w:styleId="slovnkapitol">
    <w:name w:val="Číslování kapitol"/>
    <w:uiPriority w:val="99"/>
    <w:rsid w:val="00504943"/>
    <w:pPr>
      <w:numPr>
        <w:numId w:val="5"/>
      </w:numPr>
    </w:pPr>
  </w:style>
  <w:style w:type="table" w:styleId="Mkatabulky">
    <w:name w:val="Table Grid"/>
    <w:basedOn w:val="Normlntabulka"/>
    <w:rsid w:val="0083198F"/>
    <w:pPr>
      <w:keepNext/>
      <w:keepLines/>
      <w:suppressAutoHyphens/>
      <w:spacing w:line="280" w:lineRule="atLeast"/>
      <w:jc w:val="center"/>
    </w:pPr>
    <w:rPr>
      <w:rFonts w:ascii="Bookman Old Style" w:hAnsi="Bookman Old Styl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rPr>
        <w:rFonts w:ascii="DengXian" w:hAnsi="DengXian"/>
        <w:sz w:val="24"/>
      </w:rPr>
    </w:tblStylePr>
  </w:style>
  <w:style w:type="character" w:customStyle="1" w:styleId="ZPLiteratura-jmnoautora">
    <w:name w:val="ZP: Literatura - jméno autora"/>
    <w:rsid w:val="00B06CB3"/>
    <w:rPr>
      <w:smallCaps/>
    </w:rPr>
  </w:style>
  <w:style w:type="character" w:customStyle="1" w:styleId="ZPLiteratura-nzevdla">
    <w:name w:val="ZP: Literatura - název díla"/>
    <w:rsid w:val="00B06CB3"/>
    <w:rPr>
      <w:i/>
    </w:rPr>
  </w:style>
  <w:style w:type="paragraph" w:customStyle="1" w:styleId="ZPLiteratura">
    <w:name w:val="ZP: Literatura"/>
    <w:basedOn w:val="ZPZklad"/>
    <w:rsid w:val="00DF505D"/>
    <w:pPr>
      <w:numPr>
        <w:numId w:val="3"/>
      </w:numPr>
      <w:spacing w:before="60"/>
      <w:jc w:val="left"/>
    </w:pPr>
  </w:style>
  <w:style w:type="character" w:customStyle="1" w:styleId="ZPVyznaen">
    <w:name w:val="ZP: Vyznačení"/>
    <w:rsid w:val="005253A0"/>
    <w:rPr>
      <w:i/>
    </w:rPr>
  </w:style>
  <w:style w:type="character" w:customStyle="1" w:styleId="ZPSilnvyznaen">
    <w:name w:val="ZP: Silné vyznačení"/>
    <w:rsid w:val="005253A0"/>
    <w:rPr>
      <w:b/>
    </w:rPr>
  </w:style>
  <w:style w:type="paragraph" w:customStyle="1" w:styleId="Styl1">
    <w:name w:val="Styl1"/>
    <w:basedOn w:val="Normln"/>
    <w:semiHidden/>
    <w:rsid w:val="008A0030"/>
    <w:pPr>
      <w:keepNext/>
      <w:keepLines/>
      <w:suppressAutoHyphens/>
    </w:pPr>
  </w:style>
  <w:style w:type="paragraph" w:customStyle="1" w:styleId="inZPPodpisprohlen">
    <w:name w:val="inZP: Podpis prohlášení"/>
    <w:basedOn w:val="ZPZklad"/>
    <w:link w:val="inZPPodpisprohlenChar"/>
    <w:rsid w:val="00FF3438"/>
    <w:pPr>
      <w:tabs>
        <w:tab w:val="center" w:pos="7088"/>
      </w:tabs>
      <w:spacing w:before="280"/>
    </w:pPr>
  </w:style>
  <w:style w:type="character" w:customStyle="1" w:styleId="ZPAnglicktext">
    <w:name w:val="ZP: Anglický text"/>
    <w:rsid w:val="000F1C94"/>
    <w:rPr>
      <w:lang w:val="en-GB"/>
    </w:rPr>
  </w:style>
  <w:style w:type="paragraph" w:customStyle="1" w:styleId="Rozvrendokumentu">
    <w:name w:val="Rozvržení dokumentu"/>
    <w:basedOn w:val="Normln"/>
    <w:semiHidden/>
    <w:rsid w:val="005253A0"/>
    <w:pPr>
      <w:shd w:val="clear" w:color="auto" w:fill="000080"/>
    </w:pPr>
    <w:rPr>
      <w:rFonts w:ascii="Tahoma" w:hAnsi="Tahoma" w:cs="Tahoma"/>
    </w:rPr>
  </w:style>
  <w:style w:type="paragraph" w:customStyle="1" w:styleId="Ploha1">
    <w:name w:val="Příloha 1"/>
    <w:basedOn w:val="ZPNadpis1"/>
    <w:next w:val="ZPZklad"/>
    <w:link w:val="Ploha1Char"/>
    <w:uiPriority w:val="49"/>
    <w:qFormat/>
    <w:rsid w:val="00940DA7"/>
    <w:pPr>
      <w:numPr>
        <w:numId w:val="16"/>
      </w:numPr>
    </w:pPr>
  </w:style>
  <w:style w:type="paragraph" w:customStyle="1" w:styleId="Ploha2">
    <w:name w:val="Příloha 2"/>
    <w:basedOn w:val="ZPNadpis2"/>
    <w:next w:val="ZPZklad"/>
    <w:link w:val="Ploha2Char"/>
    <w:uiPriority w:val="50"/>
    <w:qFormat/>
    <w:rsid w:val="00940DA7"/>
    <w:pPr>
      <w:numPr>
        <w:ilvl w:val="1"/>
        <w:numId w:val="16"/>
      </w:numPr>
    </w:pPr>
  </w:style>
  <w:style w:type="paragraph" w:customStyle="1" w:styleId="ZPZhlavvpravo">
    <w:name w:val="ZP: Záhlaví vpravo"/>
    <w:basedOn w:val="inZPZhlavstr"/>
    <w:rsid w:val="00713C76"/>
    <w:pPr>
      <w:jc w:val="right"/>
    </w:pPr>
  </w:style>
  <w:style w:type="paragraph" w:customStyle="1" w:styleId="ZPZhlavvlevo">
    <w:name w:val="ZP: Záhlaví vlevo"/>
    <w:basedOn w:val="inZPZhlavstr"/>
    <w:link w:val="ZPZhlavvlevoChar"/>
    <w:rsid w:val="0074241C"/>
    <w:pPr>
      <w:jc w:val="left"/>
    </w:pPr>
  </w:style>
  <w:style w:type="character" w:customStyle="1" w:styleId="ZPZhlavvlevoChar">
    <w:name w:val="ZP: Záhlaví vlevo Char"/>
    <w:basedOn w:val="inZPZhlavstrChar"/>
    <w:link w:val="ZPZhlavvlevo"/>
    <w:rsid w:val="0074241C"/>
    <w:rPr>
      <w:rFonts w:ascii="Cambria" w:hAnsi="Cambria"/>
      <w:smallCaps/>
      <w:sz w:val="24"/>
      <w:szCs w:val="24"/>
      <w:lang w:val="sk-SK"/>
    </w:rPr>
  </w:style>
  <w:style w:type="paragraph" w:customStyle="1" w:styleId="inZPKlovslova">
    <w:name w:val="inZP: Klíčová slova"/>
    <w:basedOn w:val="ZPZklad"/>
    <w:rsid w:val="00B9713F"/>
    <w:pPr>
      <w:spacing w:before="280" w:after="140"/>
      <w:jc w:val="left"/>
    </w:pPr>
    <w:rPr>
      <w:rFonts w:asciiTheme="majorHAnsi" w:hAnsiTheme="majorHAnsi"/>
      <w:b/>
    </w:rPr>
  </w:style>
  <w:style w:type="paragraph" w:customStyle="1" w:styleId="ZPZhlavtitulnlist">
    <w:name w:val="ZP: Záhlaví titulní list"/>
    <w:basedOn w:val="inZPZhlavstr"/>
    <w:rsid w:val="009951BF"/>
    <w:rPr>
      <w:b/>
      <w:sz w:val="32"/>
    </w:rPr>
  </w:style>
  <w:style w:type="paragraph" w:customStyle="1" w:styleId="ZPHlavnnadpis--plohy">
    <w:name w:val="ZP: Hlavní nadpis -- přílohy"/>
    <w:basedOn w:val="Normln"/>
    <w:next w:val="ZPZklad"/>
    <w:rsid w:val="007F013D"/>
    <w:pPr>
      <w:keepNext/>
      <w:keepLines/>
      <w:pageBreakBefore/>
      <w:numPr>
        <w:numId w:val="2"/>
      </w:numPr>
      <w:suppressAutoHyphens/>
      <w:spacing w:after="280" w:line="480" w:lineRule="atLeast"/>
      <w:outlineLvl w:val="0"/>
    </w:pPr>
    <w:rPr>
      <w:rFonts w:asciiTheme="majorHAnsi" w:hAnsiTheme="majorHAnsi"/>
      <w:b/>
      <w:kern w:val="32"/>
      <w:sz w:val="40"/>
      <w:szCs w:val="40"/>
    </w:rPr>
  </w:style>
  <w:style w:type="paragraph" w:customStyle="1" w:styleId="inZPVertiklnmezerastrnka">
    <w:name w:val="inZP: Vertikální mezera stránka"/>
    <w:basedOn w:val="ZPZklad"/>
    <w:next w:val="inZPKlovslova"/>
    <w:rsid w:val="007C294D"/>
    <w:pPr>
      <w:spacing w:before="10206"/>
    </w:pPr>
  </w:style>
  <w:style w:type="paragraph" w:customStyle="1" w:styleId="ZPOddlovaseznam">
    <w:name w:val="ZP: Oddělovač seznamů"/>
    <w:basedOn w:val="ZPZklad"/>
    <w:uiPriority w:val="28"/>
    <w:qFormat/>
    <w:rsid w:val="007C050F"/>
    <w:pPr>
      <w:spacing w:line="140" w:lineRule="exact"/>
    </w:pPr>
  </w:style>
  <w:style w:type="paragraph" w:customStyle="1" w:styleId="ZPPatatitulnstrnky">
    <w:name w:val="ZP: Pata titulní stránky"/>
    <w:basedOn w:val="inZPZhlavapaty"/>
    <w:rsid w:val="00A221A7"/>
    <w:rPr>
      <w:rFonts w:asciiTheme="majorHAnsi" w:hAnsiTheme="majorHAnsi"/>
      <w:b/>
      <w:sz w:val="32"/>
    </w:rPr>
  </w:style>
  <w:style w:type="paragraph" w:customStyle="1" w:styleId="inZPVertiklnmezerastrnkamen">
    <w:name w:val="inZP: Vertikální mezera stránka menší"/>
    <w:basedOn w:val="inZPVertiklnmezerastrnka"/>
    <w:rsid w:val="00E73BA7"/>
    <w:pPr>
      <w:spacing w:before="9400"/>
    </w:pPr>
    <w:rPr>
      <w:szCs w:val="20"/>
    </w:rPr>
  </w:style>
  <w:style w:type="paragraph" w:customStyle="1" w:styleId="ZPSeznamzkratek">
    <w:name w:val="ZP: Seznam zkratek"/>
    <w:basedOn w:val="ZPZklad"/>
    <w:rsid w:val="00DC0619"/>
    <w:pPr>
      <w:tabs>
        <w:tab w:val="left" w:pos="1985"/>
        <w:tab w:val="left" w:pos="2268"/>
      </w:tabs>
      <w:spacing w:after="140"/>
      <w:ind w:left="2268" w:hanging="2268"/>
    </w:pPr>
  </w:style>
  <w:style w:type="paragraph" w:customStyle="1" w:styleId="ZPTitulkaautor">
    <w:name w:val="ZP Titulka autor"/>
    <w:basedOn w:val="ZP-Nadpisyzklad"/>
    <w:rsid w:val="007066FD"/>
    <w:pPr>
      <w:spacing w:line="420" w:lineRule="exact"/>
      <w:jc w:val="center"/>
    </w:pPr>
    <w:rPr>
      <w:caps/>
      <w:sz w:val="34"/>
    </w:rPr>
  </w:style>
  <w:style w:type="character" w:customStyle="1" w:styleId="Ploha1Char">
    <w:name w:val="Příloha 1 Char"/>
    <w:basedOn w:val="Standardnpsmoodstavce"/>
    <w:link w:val="Ploha1"/>
    <w:uiPriority w:val="49"/>
    <w:rsid w:val="000D7A70"/>
    <w:rPr>
      <w:rFonts w:ascii="Arial" w:hAnsi="Arial" w:cs="Arial"/>
      <w:b/>
      <w:bCs/>
      <w:color w:val="0000DC"/>
      <w:sz w:val="34"/>
      <w:szCs w:val="40"/>
    </w:rPr>
  </w:style>
  <w:style w:type="numbering" w:customStyle="1" w:styleId="slovnploh">
    <w:name w:val="Číslování příloh"/>
    <w:uiPriority w:val="99"/>
    <w:rsid w:val="00940DA7"/>
    <w:pPr>
      <w:numPr>
        <w:numId w:val="6"/>
      </w:numPr>
    </w:pPr>
  </w:style>
  <w:style w:type="character" w:customStyle="1" w:styleId="TextpoznpodarouChar">
    <w:name w:val="Text pozn. pod čarou Char"/>
    <w:link w:val="Textpoznpodarou"/>
    <w:rsid w:val="00E73194"/>
    <w:rPr>
      <w:rFonts w:ascii="Cambria" w:hAnsi="Cambria"/>
      <w:lang w:val="sk-SK"/>
    </w:rPr>
  </w:style>
  <w:style w:type="paragraph" w:customStyle="1" w:styleId="ZPZaptsud">
    <w:name w:val="ZP Zapátí sudé"/>
    <w:basedOn w:val="inZPZhlavapaty"/>
    <w:rsid w:val="0095124B"/>
    <w:pPr>
      <w:jc w:val="left"/>
    </w:pPr>
  </w:style>
  <w:style w:type="character" w:customStyle="1" w:styleId="Nadpis5Char">
    <w:name w:val="Nadpis 5 Char"/>
    <w:link w:val="Nadpis5"/>
    <w:uiPriority w:val="9"/>
    <w:rsid w:val="00D95A1C"/>
    <w:rPr>
      <w:rFonts w:ascii="Arial" w:hAnsi="Arial"/>
      <w:b/>
      <w:bCs/>
      <w:color w:val="0000DC"/>
      <w:lang w:eastAsia="sk-SK"/>
    </w:rPr>
  </w:style>
  <w:style w:type="character" w:customStyle="1" w:styleId="Nadpis8Char">
    <w:name w:val="Nadpis 8 Char"/>
    <w:link w:val="Nadpis8"/>
    <w:uiPriority w:val="9"/>
    <w:rsid w:val="00AB6916"/>
    <w:rPr>
      <w:rFonts w:ascii="Arial" w:hAnsi="Arial"/>
      <w:b/>
      <w:color w:val="0000DC"/>
      <w:lang w:eastAsia="sk-SK"/>
    </w:rPr>
  </w:style>
  <w:style w:type="character" w:customStyle="1" w:styleId="Ploha2Char">
    <w:name w:val="Příloha 2 Char"/>
    <w:basedOn w:val="Standardnpsmoodstavce"/>
    <w:link w:val="Ploha2"/>
    <w:uiPriority w:val="50"/>
    <w:rsid w:val="000D7A70"/>
    <w:rPr>
      <w:rFonts w:ascii="Arial" w:hAnsi="Arial" w:cs="Arial"/>
      <w:bCs/>
      <w:color w:val="0000DC"/>
      <w:sz w:val="28"/>
      <w:szCs w:val="28"/>
    </w:rPr>
  </w:style>
  <w:style w:type="character" w:customStyle="1" w:styleId="Nadpis1Char">
    <w:name w:val="Nadpis 1 Char"/>
    <w:link w:val="Nadpis1"/>
    <w:uiPriority w:val="9"/>
    <w:rsid w:val="009B2498"/>
    <w:rPr>
      <w:rFonts w:ascii="Arial" w:hAnsi="Arial" w:cs="Arial"/>
      <w:b/>
      <w:bCs/>
      <w:color w:val="0000DC"/>
      <w:sz w:val="34"/>
      <w:szCs w:val="40"/>
    </w:rPr>
  </w:style>
  <w:style w:type="character" w:customStyle="1" w:styleId="Nadpis2Char">
    <w:name w:val="Nadpis 2 Char"/>
    <w:link w:val="Nadpis2"/>
    <w:uiPriority w:val="1"/>
    <w:rsid w:val="00D95A1C"/>
    <w:rPr>
      <w:rFonts w:ascii="Arial" w:hAnsi="Arial" w:cs="Arial"/>
      <w:iCs/>
      <w:color w:val="0000DC"/>
      <w:sz w:val="28"/>
      <w:szCs w:val="28"/>
    </w:rPr>
  </w:style>
  <w:style w:type="character" w:customStyle="1" w:styleId="Nadpis3Char">
    <w:name w:val="Nadpis 3 Char"/>
    <w:link w:val="Nadpis3"/>
    <w:uiPriority w:val="9"/>
    <w:rsid w:val="00656B43"/>
    <w:rPr>
      <w:rFonts w:ascii="Arial" w:hAnsi="Arial" w:cs="Arial"/>
      <w:b/>
      <w:bCs/>
      <w:color w:val="0000DC"/>
    </w:rPr>
  </w:style>
  <w:style w:type="paragraph" w:styleId="Nadpisobsahu">
    <w:name w:val="TOC Heading"/>
    <w:basedOn w:val="Nadpis1"/>
    <w:next w:val="Normln"/>
    <w:uiPriority w:val="39"/>
    <w:rsid w:val="00AB6916"/>
    <w:pPr>
      <w:spacing w:before="480" w:after="0" w:line="360" w:lineRule="auto"/>
      <w:outlineLvl w:val="9"/>
    </w:pPr>
    <w:rPr>
      <w:rFonts w:cs="Times New Roman"/>
      <w:color w:val="365F91"/>
      <w:spacing w:val="4"/>
      <w:sz w:val="28"/>
      <w:szCs w:val="28"/>
      <w:lang w:eastAsia="en-US"/>
    </w:rPr>
  </w:style>
  <w:style w:type="character" w:customStyle="1" w:styleId="ZhlavChar">
    <w:name w:val="Záhlaví Char"/>
    <w:link w:val="Zhlav"/>
    <w:uiPriority w:val="99"/>
    <w:rsid w:val="00AB6916"/>
    <w:rPr>
      <w:sz w:val="24"/>
      <w:szCs w:val="24"/>
    </w:rPr>
  </w:style>
  <w:style w:type="character" w:customStyle="1" w:styleId="ZpatChar">
    <w:name w:val="Zápatí Char"/>
    <w:link w:val="Zpat"/>
    <w:uiPriority w:val="99"/>
    <w:rsid w:val="00AB6916"/>
    <w:rPr>
      <w:sz w:val="24"/>
      <w:szCs w:val="24"/>
    </w:rPr>
  </w:style>
  <w:style w:type="character" w:styleId="Siln">
    <w:name w:val="Strong"/>
    <w:uiPriority w:val="22"/>
    <w:rsid w:val="00AB6916"/>
    <w:rPr>
      <w:b/>
      <w:bCs/>
    </w:rPr>
  </w:style>
  <w:style w:type="paragraph" w:styleId="Nzev">
    <w:name w:val="Title"/>
    <w:basedOn w:val="Nadpis1"/>
    <w:next w:val="Normln"/>
    <w:link w:val="NzevChar"/>
    <w:uiPriority w:val="10"/>
    <w:rsid w:val="00AB6916"/>
    <w:pPr>
      <w:spacing w:before="120" w:after="240" w:line="360" w:lineRule="auto"/>
    </w:pPr>
    <w:rPr>
      <w:rFonts w:cs="Times New Roman"/>
      <w:bCs w:val="0"/>
      <w:spacing w:val="4"/>
      <w:lang w:eastAsia="sk-SK"/>
    </w:rPr>
  </w:style>
  <w:style w:type="character" w:customStyle="1" w:styleId="NzevChar">
    <w:name w:val="Název Char"/>
    <w:link w:val="Nzev"/>
    <w:uiPriority w:val="10"/>
    <w:rsid w:val="00AB6916"/>
    <w:rPr>
      <w:rFonts w:ascii="Arial" w:hAnsi="Arial"/>
      <w:b/>
      <w:color w:val="0000DC"/>
      <w:spacing w:val="4"/>
      <w:sz w:val="34"/>
      <w:szCs w:val="40"/>
      <w:lang w:eastAsia="sk-SK"/>
    </w:rPr>
  </w:style>
  <w:style w:type="paragraph" w:styleId="Titulek">
    <w:name w:val="caption"/>
    <w:basedOn w:val="ZPZklad"/>
    <w:next w:val="Odstavec1"/>
    <w:uiPriority w:val="35"/>
    <w:qFormat/>
    <w:rsid w:val="00210BCE"/>
    <w:pPr>
      <w:spacing w:after="200" w:line="276" w:lineRule="auto"/>
      <w:jc w:val="center"/>
    </w:pPr>
    <w:rPr>
      <w:b/>
      <w:bCs/>
      <w:sz w:val="20"/>
      <w:szCs w:val="20"/>
      <w:lang w:eastAsia="sk-SK"/>
    </w:rPr>
  </w:style>
  <w:style w:type="paragraph" w:styleId="Normlnweb">
    <w:name w:val="Normal (Web)"/>
    <w:basedOn w:val="Normln"/>
    <w:uiPriority w:val="99"/>
    <w:unhideWhenUsed/>
    <w:rsid w:val="00AB6916"/>
    <w:pPr>
      <w:spacing w:after="200" w:line="276" w:lineRule="auto"/>
    </w:pPr>
    <w:rPr>
      <w:b/>
      <w:lang w:val="sk-SK" w:eastAsia="sk-SK"/>
    </w:rPr>
  </w:style>
  <w:style w:type="paragraph" w:customStyle="1" w:styleId="Podtitul">
    <w:name w:val="Podtitul"/>
    <w:basedOn w:val="Nzev"/>
    <w:next w:val="Normln"/>
    <w:link w:val="PodtitulChar"/>
    <w:uiPriority w:val="11"/>
    <w:rsid w:val="00AB6916"/>
    <w:pPr>
      <w:spacing w:after="60"/>
      <w:outlineLvl w:val="1"/>
    </w:pPr>
    <w:rPr>
      <w:sz w:val="28"/>
      <w:szCs w:val="24"/>
    </w:rPr>
  </w:style>
  <w:style w:type="character" w:customStyle="1" w:styleId="PodtitulChar">
    <w:name w:val="Podtitul Char"/>
    <w:link w:val="Podtitul"/>
    <w:uiPriority w:val="11"/>
    <w:rsid w:val="00AB6916"/>
    <w:rPr>
      <w:rFonts w:ascii="Arial" w:hAnsi="Arial"/>
      <w:b/>
      <w:color w:val="0000DC"/>
      <w:spacing w:val="4"/>
      <w:sz w:val="28"/>
      <w:lang w:eastAsia="sk-SK"/>
    </w:rPr>
  </w:style>
  <w:style w:type="paragraph" w:customStyle="1" w:styleId="ZPCitacezkona">
    <w:name w:val="ZP: Citace zákona"/>
    <w:basedOn w:val="ZPZklad"/>
    <w:rsid w:val="00A8698A"/>
    <w:rPr>
      <w:i/>
    </w:rPr>
  </w:style>
  <w:style w:type="paragraph" w:customStyle="1" w:styleId="Nadpis10">
    <w:name w:val="Nadpis 1*"/>
    <w:basedOn w:val="ZPNadpis1"/>
    <w:next w:val="Odstavec1"/>
    <w:uiPriority w:val="39"/>
    <w:qFormat/>
    <w:rsid w:val="008A7F29"/>
  </w:style>
  <w:style w:type="paragraph" w:customStyle="1" w:styleId="Nadpis20">
    <w:name w:val="Nadpis 2*"/>
    <w:basedOn w:val="ZPNadpis2"/>
    <w:next w:val="Odstavec1"/>
    <w:uiPriority w:val="40"/>
    <w:qFormat/>
    <w:rsid w:val="008A7F29"/>
  </w:style>
  <w:style w:type="paragraph" w:customStyle="1" w:styleId="Nadpis30">
    <w:name w:val="Nadpis 3*"/>
    <w:basedOn w:val="ZPNadpis3"/>
    <w:next w:val="Odstavec1"/>
    <w:uiPriority w:val="41"/>
    <w:qFormat/>
    <w:rsid w:val="00F114CA"/>
  </w:style>
  <w:style w:type="paragraph" w:styleId="Rejstk2">
    <w:name w:val="index 2"/>
    <w:basedOn w:val="Normln"/>
    <w:next w:val="Normln"/>
    <w:autoRedefine/>
    <w:rsid w:val="00930CDA"/>
    <w:pPr>
      <w:ind w:left="480" w:hanging="240"/>
    </w:pPr>
    <w:rPr>
      <w:rFonts w:cstheme="minorHAnsi"/>
      <w:sz w:val="18"/>
      <w:szCs w:val="18"/>
    </w:rPr>
  </w:style>
  <w:style w:type="paragraph" w:styleId="Rejstk1">
    <w:name w:val="index 1"/>
    <w:basedOn w:val="Normln"/>
    <w:next w:val="Normln"/>
    <w:autoRedefine/>
    <w:uiPriority w:val="99"/>
    <w:rsid w:val="00930CDA"/>
    <w:pPr>
      <w:ind w:left="240" w:hanging="240"/>
    </w:pPr>
    <w:rPr>
      <w:rFonts w:cstheme="minorHAnsi"/>
      <w:sz w:val="18"/>
      <w:szCs w:val="18"/>
    </w:rPr>
  </w:style>
  <w:style w:type="paragraph" w:styleId="Rejstk3">
    <w:name w:val="index 3"/>
    <w:basedOn w:val="Normln"/>
    <w:next w:val="Normln"/>
    <w:autoRedefine/>
    <w:rsid w:val="00930CDA"/>
    <w:pPr>
      <w:ind w:left="720" w:hanging="240"/>
    </w:pPr>
    <w:rPr>
      <w:rFonts w:cstheme="minorHAnsi"/>
      <w:sz w:val="18"/>
      <w:szCs w:val="18"/>
    </w:rPr>
  </w:style>
  <w:style w:type="paragraph" w:styleId="Rejstk4">
    <w:name w:val="index 4"/>
    <w:basedOn w:val="Normln"/>
    <w:next w:val="Normln"/>
    <w:autoRedefine/>
    <w:rsid w:val="00930CDA"/>
    <w:pPr>
      <w:ind w:left="960" w:hanging="240"/>
    </w:pPr>
    <w:rPr>
      <w:rFonts w:cstheme="minorHAnsi"/>
      <w:sz w:val="18"/>
      <w:szCs w:val="18"/>
    </w:rPr>
  </w:style>
  <w:style w:type="paragraph" w:styleId="Rejstk5">
    <w:name w:val="index 5"/>
    <w:basedOn w:val="Normln"/>
    <w:next w:val="Normln"/>
    <w:autoRedefine/>
    <w:rsid w:val="00930CDA"/>
    <w:pPr>
      <w:ind w:left="1200" w:hanging="240"/>
    </w:pPr>
    <w:rPr>
      <w:rFonts w:cstheme="minorHAnsi"/>
      <w:sz w:val="18"/>
      <w:szCs w:val="18"/>
    </w:rPr>
  </w:style>
  <w:style w:type="paragraph" w:styleId="Rejstk6">
    <w:name w:val="index 6"/>
    <w:basedOn w:val="Normln"/>
    <w:next w:val="Normln"/>
    <w:autoRedefine/>
    <w:rsid w:val="00930CDA"/>
    <w:pPr>
      <w:ind w:left="1440" w:hanging="240"/>
    </w:pPr>
    <w:rPr>
      <w:rFonts w:cstheme="minorHAnsi"/>
      <w:sz w:val="18"/>
      <w:szCs w:val="18"/>
    </w:rPr>
  </w:style>
  <w:style w:type="paragraph" w:styleId="Rejstk7">
    <w:name w:val="index 7"/>
    <w:basedOn w:val="Normln"/>
    <w:next w:val="Normln"/>
    <w:autoRedefine/>
    <w:rsid w:val="007C0619"/>
    <w:pPr>
      <w:ind w:left="1680" w:hanging="240"/>
    </w:pPr>
    <w:rPr>
      <w:rFonts w:asciiTheme="minorHAnsi" w:hAnsiTheme="minorHAnsi" w:cstheme="minorHAnsi"/>
      <w:sz w:val="18"/>
      <w:szCs w:val="18"/>
    </w:rPr>
  </w:style>
  <w:style w:type="paragraph" w:styleId="Rejstk8">
    <w:name w:val="index 8"/>
    <w:basedOn w:val="Normln"/>
    <w:next w:val="Normln"/>
    <w:autoRedefine/>
    <w:rsid w:val="00930CDA"/>
    <w:pPr>
      <w:ind w:left="1920" w:hanging="240"/>
    </w:pPr>
    <w:rPr>
      <w:rFonts w:cstheme="minorHAnsi"/>
      <w:sz w:val="18"/>
      <w:szCs w:val="18"/>
    </w:rPr>
  </w:style>
  <w:style w:type="paragraph" w:styleId="Rejstk9">
    <w:name w:val="index 9"/>
    <w:basedOn w:val="Normln"/>
    <w:next w:val="Normln"/>
    <w:autoRedefine/>
    <w:rsid w:val="00930CDA"/>
    <w:pPr>
      <w:ind w:left="2160" w:hanging="240"/>
    </w:pPr>
    <w:rPr>
      <w:rFonts w:cstheme="minorHAnsi"/>
      <w:sz w:val="18"/>
      <w:szCs w:val="18"/>
    </w:rPr>
  </w:style>
  <w:style w:type="paragraph" w:styleId="Hlavikarejstku">
    <w:name w:val="index heading"/>
    <w:basedOn w:val="Normln"/>
    <w:next w:val="Rejstk1"/>
    <w:uiPriority w:val="99"/>
    <w:rsid w:val="007C0619"/>
    <w:pPr>
      <w:spacing w:before="240" w:after="120"/>
      <w:jc w:val="center"/>
    </w:pPr>
    <w:rPr>
      <w:rFonts w:asciiTheme="minorHAnsi" w:hAnsiTheme="minorHAnsi" w:cstheme="minorHAnsi"/>
      <w:b/>
      <w:bCs/>
      <w:sz w:val="26"/>
      <w:szCs w:val="26"/>
    </w:rPr>
  </w:style>
  <w:style w:type="paragraph" w:styleId="Seznamobrzk">
    <w:name w:val="table of figures"/>
    <w:basedOn w:val="Normln"/>
    <w:next w:val="Normln"/>
    <w:uiPriority w:val="99"/>
    <w:rsid w:val="00F92E36"/>
    <w:pPr>
      <w:spacing w:line="280" w:lineRule="atLeast"/>
      <w:ind w:left="482" w:hanging="482"/>
    </w:pPr>
  </w:style>
  <w:style w:type="character" w:styleId="Hypertextovodkaz">
    <w:name w:val="Hyperlink"/>
    <w:basedOn w:val="Standardnpsmoodstavce"/>
    <w:uiPriority w:val="99"/>
    <w:unhideWhenUsed/>
    <w:rsid w:val="008B1BE6"/>
    <w:rPr>
      <w:color w:val="0563C1" w:themeColor="hyperlink"/>
      <w:u w:val="single"/>
    </w:rPr>
  </w:style>
  <w:style w:type="paragraph" w:customStyle="1" w:styleId="Obrzek">
    <w:name w:val="Obrázek"/>
    <w:basedOn w:val="ZPZklad"/>
    <w:rsid w:val="003E7C04"/>
    <w:pPr>
      <w:keepNext/>
      <w:spacing w:before="240" w:line="281" w:lineRule="auto"/>
      <w:jc w:val="center"/>
    </w:pPr>
  </w:style>
  <w:style w:type="paragraph" w:customStyle="1" w:styleId="Odstavec1">
    <w:name w:val="Odstavec 1"/>
    <w:basedOn w:val="ZPZklad"/>
    <w:next w:val="Dalodstavce"/>
    <w:link w:val="Odstavec1Char"/>
    <w:uiPriority w:val="9"/>
    <w:qFormat/>
    <w:rsid w:val="00A2558D"/>
  </w:style>
  <w:style w:type="paragraph" w:styleId="Podnadpis0">
    <w:name w:val="Subtitle"/>
    <w:basedOn w:val="Normln"/>
    <w:next w:val="Normln"/>
    <w:link w:val="PodnadpisChar"/>
    <w:uiPriority w:val="11"/>
    <w:rsid w:val="00AB68B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0"/>
    <w:uiPriority w:val="11"/>
    <w:rsid w:val="00AB68BC"/>
    <w:rPr>
      <w:rFonts w:asciiTheme="minorHAnsi" w:eastAsiaTheme="minorEastAsia" w:hAnsiTheme="minorHAnsi" w:cstheme="minorBidi"/>
      <w:color w:val="5A5A5A" w:themeColor="text1" w:themeTint="A5"/>
      <w:spacing w:val="15"/>
      <w:sz w:val="22"/>
      <w:szCs w:val="22"/>
    </w:rPr>
  </w:style>
  <w:style w:type="paragraph" w:styleId="Citt">
    <w:name w:val="Quote"/>
    <w:basedOn w:val="ZPZklad"/>
    <w:next w:val="Odstavec1"/>
    <w:link w:val="CittChar"/>
    <w:uiPriority w:val="29"/>
    <w:qFormat/>
    <w:rsid w:val="007D341B"/>
    <w:pPr>
      <w:spacing w:before="240" w:after="240"/>
      <w:ind w:left="960" w:right="960"/>
      <w:contextualSpacing/>
    </w:pPr>
    <w:rPr>
      <w:i/>
    </w:rPr>
  </w:style>
  <w:style w:type="character" w:customStyle="1" w:styleId="CittChar">
    <w:name w:val="Citát Char"/>
    <w:basedOn w:val="Standardnpsmoodstavce"/>
    <w:link w:val="Citt"/>
    <w:uiPriority w:val="29"/>
    <w:rsid w:val="00656B43"/>
    <w:rPr>
      <w:i/>
    </w:rPr>
  </w:style>
  <w:style w:type="paragraph" w:customStyle="1" w:styleId="Citt-pokraovn">
    <w:name w:val="Citát - pokračování"/>
    <w:basedOn w:val="Citt"/>
    <w:uiPriority w:val="31"/>
    <w:qFormat/>
    <w:rsid w:val="00E64A10"/>
    <w:pPr>
      <w:spacing w:before="0"/>
      <w:ind w:left="958" w:right="958" w:firstLine="482"/>
    </w:pPr>
  </w:style>
  <w:style w:type="table" w:customStyle="1" w:styleId="ZPTabulka">
    <w:name w:val="ZP Tabulka"/>
    <w:basedOn w:val="Normlntabulka"/>
    <w:uiPriority w:val="99"/>
    <w:rsid w:val="0079360C"/>
    <w:pPr>
      <w:spacing w:line="300" w:lineRule="atLeast"/>
    </w:pPr>
    <w:tblPr>
      <w:tblStyleRowBandSize w:val="1"/>
      <w:tblStyleColBandSize w:val="1"/>
      <w:jc w:val="center"/>
      <w:tblBorders>
        <w:top w:val="single" w:sz="12" w:space="0" w:color="auto"/>
        <w:bottom w:val="single" w:sz="12" w:space="0" w:color="auto"/>
      </w:tblBorders>
    </w:tblPr>
    <w:trPr>
      <w:cantSplit/>
      <w:jc w:val="center"/>
    </w:trPr>
    <w:tblStylePr w:type="firstRow">
      <w:rPr>
        <w:b/>
      </w:rPr>
      <w:tblPr/>
      <w:trPr>
        <w:cantSplit w:val="0"/>
        <w:tblHeader/>
      </w:trPr>
      <w:tcPr>
        <w:tcBorders>
          <w:top w:val="single" w:sz="12" w:space="0" w:color="auto"/>
          <w:left w:val="nil"/>
          <w:bottom w:val="single" w:sz="4" w:space="0" w:color="auto"/>
          <w:right w:val="nil"/>
          <w:insideH w:val="nil"/>
          <w:insideV w:val="nil"/>
          <w:tl2br w:val="nil"/>
          <w:tr2bl w:val="nil"/>
        </w:tcBorders>
      </w:tcPr>
    </w:tblStylePr>
    <w:tblStylePr w:type="lastRow">
      <w:rPr>
        <w:b/>
      </w:rPr>
      <w:tblPr/>
      <w:tcPr>
        <w:tcBorders>
          <w:top w:val="single" w:sz="8"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tblStylePr w:type="band1Vert">
      <w:tblPr/>
      <w:tcPr>
        <w:tcBorders>
          <w:top w:val="nil"/>
          <w:left w:val="single" w:sz="4" w:space="0" w:color="auto"/>
          <w:bottom w:val="nil"/>
          <w:right w:val="single" w:sz="4" w:space="0" w:color="auto"/>
          <w:insideH w:val="nil"/>
          <w:insideV w:val="nil"/>
          <w:tl2br w:val="nil"/>
          <w:tr2bl w:val="nil"/>
        </w:tcBorders>
      </w:tcPr>
    </w:tblStylePr>
    <w:tblStylePr w:type="band2Vert">
      <w:tblPr/>
      <w:tcPr>
        <w:tcBorders>
          <w:top w:val="nil"/>
          <w:left w:val="single" w:sz="4" w:space="0" w:color="auto"/>
          <w:bottom w:val="nil"/>
          <w:right w:val="single" w:sz="4" w:space="0" w:color="auto"/>
          <w:insideH w:val="nil"/>
          <w:insideV w:val="nil"/>
          <w:tl2br w:val="nil"/>
          <w:tr2bl w:val="nil"/>
        </w:tcBorders>
      </w:tcPr>
    </w:tblStylePr>
    <w:tblStylePr w:type="band1Horz">
      <w:tblPr/>
      <w:tcPr>
        <w:tcBorders>
          <w:top w:val="single" w:sz="4" w:space="0" w:color="auto"/>
          <w:left w:val="nil"/>
          <w:bottom w:val="nil"/>
          <w:right w:val="nil"/>
          <w:insideH w:val="nil"/>
          <w:insideV w:val="nil"/>
          <w:tl2br w:val="nil"/>
          <w:tr2bl w:val="nil"/>
        </w:tcBorders>
      </w:tcPr>
    </w:tblStylePr>
    <w:tblStylePr w:type="band2Horz">
      <w:tblPr/>
      <w:tcPr>
        <w:tcBorders>
          <w:top w:val="single" w:sz="4" w:space="0" w:color="auto"/>
          <w:left w:val="nil"/>
          <w:bottom w:val="single" w:sz="4" w:space="0" w:color="auto"/>
          <w:right w:val="nil"/>
          <w:insideH w:val="nil"/>
          <w:insideV w:val="nil"/>
          <w:tl2br w:val="nil"/>
          <w:tr2bl w:val="nil"/>
        </w:tcBorders>
      </w:tcPr>
    </w:tblStylePr>
  </w:style>
  <w:style w:type="table" w:styleId="Svtlmkatabulky">
    <w:name w:val="Grid Table Light"/>
    <w:basedOn w:val="Normlntabulka"/>
    <w:uiPriority w:val="40"/>
    <w:locked/>
    <w:rsid w:val="00095E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sttabulka1">
    <w:name w:val="Plain Table 1"/>
    <w:basedOn w:val="Normlntabulka"/>
    <w:uiPriority w:val="41"/>
    <w:locked/>
    <w:rsid w:val="00095E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rosttabulka2">
    <w:name w:val="Plain Table 2"/>
    <w:basedOn w:val="Normlntabulka"/>
    <w:uiPriority w:val="42"/>
    <w:locked/>
    <w:rsid w:val="00095EB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rosttabulka3">
    <w:name w:val="Plain Table 3"/>
    <w:basedOn w:val="Normlntabulka"/>
    <w:uiPriority w:val="43"/>
    <w:locked/>
    <w:rsid w:val="00095EB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rosttabulka4">
    <w:name w:val="Plain Table 4"/>
    <w:basedOn w:val="Normlntabulka"/>
    <w:uiPriority w:val="44"/>
    <w:locked/>
    <w:rsid w:val="00095EB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tt-zatek">
    <w:name w:val="Citát - začátek"/>
    <w:basedOn w:val="Citt"/>
    <w:next w:val="Citt-pokraovn"/>
    <w:link w:val="Citt-zatekChar"/>
    <w:uiPriority w:val="30"/>
    <w:qFormat/>
    <w:rsid w:val="00E64A10"/>
    <w:pPr>
      <w:spacing w:after="0"/>
      <w:ind w:left="958" w:right="958"/>
    </w:pPr>
  </w:style>
  <w:style w:type="character" w:customStyle="1" w:styleId="Citt-zatekChar">
    <w:name w:val="Citát - začátek Char"/>
    <w:basedOn w:val="CittChar"/>
    <w:link w:val="Citt-zatek"/>
    <w:uiPriority w:val="30"/>
    <w:rsid w:val="009B0541"/>
    <w:rPr>
      <w:i/>
    </w:rPr>
  </w:style>
  <w:style w:type="paragraph" w:styleId="Textbubliny">
    <w:name w:val="Balloon Text"/>
    <w:basedOn w:val="Normln"/>
    <w:link w:val="TextbublinyChar"/>
    <w:uiPriority w:val="99"/>
    <w:rsid w:val="0089154B"/>
    <w:rPr>
      <w:rFonts w:ascii="Segoe UI" w:hAnsi="Segoe UI" w:cs="Segoe UI"/>
      <w:sz w:val="18"/>
      <w:szCs w:val="18"/>
    </w:rPr>
  </w:style>
  <w:style w:type="character" w:customStyle="1" w:styleId="TextbublinyChar">
    <w:name w:val="Text bubliny Char"/>
    <w:basedOn w:val="Standardnpsmoodstavce"/>
    <w:link w:val="Textbubliny"/>
    <w:uiPriority w:val="99"/>
    <w:rsid w:val="0089154B"/>
    <w:rPr>
      <w:rFonts w:ascii="Segoe UI" w:hAnsi="Segoe UI" w:cs="Segoe UI"/>
      <w:sz w:val="18"/>
      <w:szCs w:val="18"/>
    </w:rPr>
  </w:style>
  <w:style w:type="paragraph" w:styleId="Odstavecseseznamem">
    <w:name w:val="List Paragraph"/>
    <w:basedOn w:val="Normln"/>
    <w:uiPriority w:val="34"/>
    <w:semiHidden/>
    <w:qFormat/>
    <w:rsid w:val="00DD5A53"/>
    <w:pPr>
      <w:ind w:left="720"/>
      <w:contextualSpacing/>
    </w:pPr>
  </w:style>
  <w:style w:type="paragraph" w:styleId="slovanseznam">
    <w:name w:val="List Number"/>
    <w:basedOn w:val="ZPZklad"/>
    <w:uiPriority w:val="21"/>
    <w:qFormat/>
    <w:rsid w:val="00033D24"/>
    <w:pPr>
      <w:numPr>
        <w:numId w:val="7"/>
      </w:numPr>
      <w:spacing w:before="120" w:after="120"/>
      <w:ind w:left="544" w:hanging="62"/>
      <w:contextualSpacing/>
    </w:pPr>
  </w:style>
  <w:style w:type="paragraph" w:styleId="slovanseznam2">
    <w:name w:val="List Number 2"/>
    <w:basedOn w:val="Normln"/>
    <w:rsid w:val="00DD5A53"/>
    <w:pPr>
      <w:numPr>
        <w:numId w:val="8"/>
      </w:numPr>
      <w:contextualSpacing/>
    </w:pPr>
  </w:style>
  <w:style w:type="paragraph" w:styleId="slovanseznam3">
    <w:name w:val="List Number 3"/>
    <w:basedOn w:val="Normln"/>
    <w:rsid w:val="00DD5A53"/>
    <w:pPr>
      <w:numPr>
        <w:numId w:val="9"/>
      </w:numPr>
      <w:contextualSpacing/>
    </w:pPr>
  </w:style>
  <w:style w:type="paragraph" w:styleId="slovanseznam4">
    <w:name w:val="List Number 4"/>
    <w:basedOn w:val="Normln"/>
    <w:rsid w:val="00DD5A53"/>
    <w:pPr>
      <w:numPr>
        <w:numId w:val="10"/>
      </w:numPr>
      <w:contextualSpacing/>
    </w:pPr>
  </w:style>
  <w:style w:type="paragraph" w:styleId="slovanseznam5">
    <w:name w:val="List Number 5"/>
    <w:basedOn w:val="Normln"/>
    <w:rsid w:val="00DD5A53"/>
    <w:pPr>
      <w:numPr>
        <w:numId w:val="11"/>
      </w:numPr>
      <w:contextualSpacing/>
    </w:pPr>
  </w:style>
  <w:style w:type="paragraph" w:styleId="Seznamsodrkami">
    <w:name w:val="List Bullet"/>
    <w:basedOn w:val="ZPZklad"/>
    <w:uiPriority w:val="22"/>
    <w:qFormat/>
    <w:rsid w:val="004E740F"/>
    <w:pPr>
      <w:numPr>
        <w:numId w:val="12"/>
      </w:numPr>
      <w:spacing w:before="120" w:after="120"/>
      <w:ind w:left="539" w:hanging="255"/>
      <w:contextualSpacing/>
    </w:pPr>
  </w:style>
  <w:style w:type="paragraph" w:styleId="Seznam">
    <w:name w:val="List"/>
    <w:basedOn w:val="Normln"/>
    <w:rsid w:val="00DD5A53"/>
    <w:pPr>
      <w:ind w:left="283" w:hanging="283"/>
      <w:contextualSpacing/>
    </w:pPr>
  </w:style>
  <w:style w:type="character" w:styleId="Nzevknihy">
    <w:name w:val="Book Title"/>
    <w:basedOn w:val="Standardnpsmoodstavce"/>
    <w:uiPriority w:val="33"/>
    <w:rsid w:val="00824749"/>
    <w:rPr>
      <w:b/>
      <w:bCs/>
      <w:i/>
      <w:iCs/>
      <w:spacing w:val="5"/>
    </w:rPr>
  </w:style>
  <w:style w:type="character" w:styleId="Odkazjemn">
    <w:name w:val="Subtle Reference"/>
    <w:basedOn w:val="Standardnpsmoodstavce"/>
    <w:uiPriority w:val="31"/>
    <w:rsid w:val="00824749"/>
    <w:rPr>
      <w:smallCaps/>
      <w:color w:val="5A5A5A" w:themeColor="text1" w:themeTint="A5"/>
    </w:rPr>
  </w:style>
  <w:style w:type="paragraph" w:styleId="Vrazncitt">
    <w:name w:val="Intense Quote"/>
    <w:basedOn w:val="Normln"/>
    <w:next w:val="Normln"/>
    <w:link w:val="VrazncittChar"/>
    <w:uiPriority w:val="30"/>
    <w:rsid w:val="0082474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VrazncittChar">
    <w:name w:val="Výrazný citát Char"/>
    <w:basedOn w:val="Standardnpsmoodstavce"/>
    <w:link w:val="Vrazncitt"/>
    <w:uiPriority w:val="30"/>
    <w:rsid w:val="00824749"/>
    <w:rPr>
      <w:i/>
      <w:iCs/>
      <w:color w:val="5B9BD5" w:themeColor="accent1"/>
      <w:sz w:val="24"/>
      <w:szCs w:val="24"/>
    </w:rPr>
  </w:style>
  <w:style w:type="character" w:styleId="Odkazintenzivn">
    <w:name w:val="Intense Reference"/>
    <w:basedOn w:val="Standardnpsmoodstavce"/>
    <w:uiPriority w:val="32"/>
    <w:rsid w:val="00824749"/>
    <w:rPr>
      <w:b/>
      <w:bCs/>
      <w:smallCaps/>
      <w:color w:val="5B9BD5" w:themeColor="accent1"/>
      <w:spacing w:val="5"/>
    </w:rPr>
  </w:style>
  <w:style w:type="character" w:styleId="Zdraznnjemn">
    <w:name w:val="Subtle Emphasis"/>
    <w:basedOn w:val="Standardnpsmoodstavce"/>
    <w:uiPriority w:val="19"/>
    <w:rsid w:val="00824749"/>
    <w:rPr>
      <w:i/>
      <w:iCs/>
      <w:color w:val="404040" w:themeColor="text1" w:themeTint="BF"/>
    </w:rPr>
  </w:style>
  <w:style w:type="character" w:styleId="Zdraznnintenzivn">
    <w:name w:val="Intense Emphasis"/>
    <w:basedOn w:val="Standardnpsmoodstavce"/>
    <w:uiPriority w:val="21"/>
    <w:rsid w:val="00824749"/>
    <w:rPr>
      <w:i/>
      <w:iCs/>
      <w:color w:val="5B9BD5" w:themeColor="accent1"/>
    </w:rPr>
  </w:style>
  <w:style w:type="paragraph" w:customStyle="1" w:styleId="Pokraovnpoloky">
    <w:name w:val="Pokračování položky"/>
    <w:basedOn w:val="ZPZklad"/>
    <w:uiPriority w:val="23"/>
    <w:qFormat/>
    <w:rsid w:val="007677DD"/>
    <w:pPr>
      <w:ind w:left="540" w:firstLine="480"/>
    </w:pPr>
  </w:style>
  <w:style w:type="paragraph" w:styleId="Pokraovnseznamu">
    <w:name w:val="List Continue"/>
    <w:basedOn w:val="Normln"/>
    <w:rsid w:val="007677DD"/>
    <w:pPr>
      <w:spacing w:after="120"/>
      <w:ind w:left="283"/>
      <w:contextualSpacing/>
    </w:pPr>
  </w:style>
  <w:style w:type="paragraph" w:styleId="Pokraovnseznamu2">
    <w:name w:val="List Continue 2"/>
    <w:basedOn w:val="Normln"/>
    <w:rsid w:val="00AA4D4E"/>
    <w:pPr>
      <w:spacing w:after="120"/>
      <w:ind w:left="566"/>
      <w:contextualSpacing/>
    </w:pPr>
  </w:style>
  <w:style w:type="paragraph" w:styleId="Pokraovnseznamu3">
    <w:name w:val="List Continue 3"/>
    <w:basedOn w:val="Normln"/>
    <w:rsid w:val="00AA4D4E"/>
    <w:pPr>
      <w:spacing w:after="120"/>
      <w:ind w:left="849"/>
      <w:contextualSpacing/>
    </w:pPr>
  </w:style>
  <w:style w:type="paragraph" w:styleId="Pokraovnseznamu4">
    <w:name w:val="List Continue 4"/>
    <w:basedOn w:val="Normln"/>
    <w:rsid w:val="00AA4D4E"/>
    <w:pPr>
      <w:spacing w:after="120"/>
      <w:ind w:left="1132"/>
      <w:contextualSpacing/>
    </w:pPr>
  </w:style>
  <w:style w:type="paragraph" w:styleId="Pokraovnseznamu5">
    <w:name w:val="List Continue 5"/>
    <w:basedOn w:val="Normln"/>
    <w:rsid w:val="00AA4D4E"/>
    <w:pPr>
      <w:spacing w:after="120"/>
      <w:ind w:left="1415"/>
      <w:contextualSpacing/>
    </w:pPr>
  </w:style>
  <w:style w:type="paragraph" w:customStyle="1" w:styleId="ZPBibilografickzznam">
    <w:name w:val="ZP Bibilografický záznam"/>
    <w:basedOn w:val="ZPZklad"/>
    <w:link w:val="ZPBibilografickzznamChar"/>
    <w:rsid w:val="00953CD9"/>
    <w:pPr>
      <w:tabs>
        <w:tab w:val="left" w:pos="2268"/>
      </w:tabs>
      <w:suppressAutoHyphens/>
      <w:spacing w:after="140"/>
      <w:ind w:left="2268" w:hanging="2268"/>
      <w:jc w:val="left"/>
    </w:pPr>
  </w:style>
  <w:style w:type="character" w:customStyle="1" w:styleId="ZPBibilografickzznamChar">
    <w:name w:val="ZP Bibilografický záznam Char"/>
    <w:basedOn w:val="Standardnpsmoodstavce"/>
    <w:link w:val="ZPBibilografickzznam"/>
    <w:rsid w:val="00953CD9"/>
  </w:style>
  <w:style w:type="paragraph" w:customStyle="1" w:styleId="ZP-Nadpisyzklad">
    <w:name w:val="ZP-Nadpisy_základ"/>
    <w:basedOn w:val="Normln"/>
    <w:link w:val="ZP-NadpisyzkladChar"/>
    <w:rsid w:val="00704143"/>
    <w:pPr>
      <w:suppressAutoHyphens/>
    </w:pPr>
    <w:rPr>
      <w:rFonts w:ascii="Arial" w:hAnsi="Arial" w:cs="Arial"/>
      <w:bCs/>
    </w:rPr>
  </w:style>
  <w:style w:type="paragraph" w:customStyle="1" w:styleId="ZPNadpisy1">
    <w:name w:val="ZP_Nadpisy 1"/>
    <w:basedOn w:val="ZP-Nadpisyzklad"/>
    <w:rsid w:val="00FD68D8"/>
    <w:pPr>
      <w:keepNext/>
      <w:keepLines/>
      <w:pageBreakBefore/>
      <w:spacing w:after="400" w:line="440" w:lineRule="atLeast"/>
    </w:pPr>
    <w:rPr>
      <w:b/>
      <w:color w:val="0000DC"/>
      <w:sz w:val="34"/>
      <w:szCs w:val="40"/>
    </w:rPr>
  </w:style>
  <w:style w:type="character" w:customStyle="1" w:styleId="ZP-NadpisyzkladChar">
    <w:name w:val="ZP-Nadpisy_základ Char"/>
    <w:basedOn w:val="Standardnpsmoodstavce"/>
    <w:link w:val="ZP-Nadpisyzklad"/>
    <w:rsid w:val="00704143"/>
    <w:rPr>
      <w:rFonts w:ascii="Arial" w:hAnsi="Arial" w:cs="Arial"/>
      <w:bCs/>
      <w:sz w:val="24"/>
      <w:szCs w:val="24"/>
    </w:rPr>
  </w:style>
  <w:style w:type="paragraph" w:customStyle="1" w:styleId="ZPNadpis1">
    <w:name w:val="ZP Nadpis 1"/>
    <w:basedOn w:val="ZPNadpisy1"/>
    <w:rsid w:val="0006632C"/>
    <w:pPr>
      <w:outlineLvl w:val="0"/>
    </w:pPr>
  </w:style>
  <w:style w:type="paragraph" w:customStyle="1" w:styleId="ZPTitulkahlavn">
    <w:name w:val="ZP Titulka hlavní"/>
    <w:basedOn w:val="ZP-Nadpisyzklad"/>
    <w:rsid w:val="006E36ED"/>
    <w:pPr>
      <w:spacing w:line="340" w:lineRule="atLeast"/>
      <w:jc w:val="center"/>
    </w:pPr>
    <w:rPr>
      <w:sz w:val="28"/>
      <w:szCs w:val="34"/>
    </w:rPr>
  </w:style>
  <w:style w:type="paragraph" w:customStyle="1" w:styleId="ZPTitulkafakulta">
    <w:name w:val="ZP Titulka fakulta"/>
    <w:basedOn w:val="ZP-Nadpisyzklad"/>
    <w:rsid w:val="004668F5"/>
    <w:pPr>
      <w:spacing w:before="425" w:after="992" w:line="360" w:lineRule="atLeast"/>
      <w:jc w:val="center"/>
    </w:pPr>
    <w:rPr>
      <w:caps/>
    </w:rPr>
  </w:style>
  <w:style w:type="paragraph" w:customStyle="1" w:styleId="ZPTitulkarok">
    <w:name w:val="ZP Titulka rok"/>
    <w:basedOn w:val="ZP-Nadpisyzklad"/>
    <w:rsid w:val="006E36ED"/>
    <w:pPr>
      <w:jc w:val="center"/>
    </w:pPr>
    <w:rPr>
      <w:sz w:val="26"/>
      <w:szCs w:val="26"/>
    </w:rPr>
  </w:style>
  <w:style w:type="paragraph" w:customStyle="1" w:styleId="ZPTitulkanzev">
    <w:name w:val="ZP Titulka název"/>
    <w:basedOn w:val="ZP-Nadpisyzklad"/>
    <w:rsid w:val="00832CB3"/>
    <w:pPr>
      <w:spacing w:line="760" w:lineRule="exact"/>
      <w:jc w:val="center"/>
    </w:pPr>
    <w:rPr>
      <w:b/>
      <w:color w:val="0000DC"/>
      <w:sz w:val="60"/>
      <w:szCs w:val="60"/>
    </w:rPr>
  </w:style>
  <w:style w:type="paragraph" w:customStyle="1" w:styleId="ZPTitulkadra">
    <w:name w:val="ZP Titulka díra"/>
    <w:rsid w:val="00704143"/>
    <w:pPr>
      <w:widowControl w:val="0"/>
    </w:pPr>
    <w:rPr>
      <w:sz w:val="16"/>
      <w:szCs w:val="16"/>
    </w:rPr>
  </w:style>
  <w:style w:type="character" w:customStyle="1" w:styleId="ZPPKlbiblografie">
    <w:name w:val="ZPP Klíč biblografie"/>
    <w:basedOn w:val="Standardnpsmoodstavce"/>
    <w:uiPriority w:val="1"/>
    <w:rsid w:val="00930CDA"/>
    <w:rPr>
      <w:rFonts w:ascii="Cambria" w:hAnsi="Cambria"/>
      <w:b/>
      <w:color w:val="0000DC"/>
    </w:rPr>
  </w:style>
  <w:style w:type="paragraph" w:customStyle="1" w:styleId="ZPNadpisy2">
    <w:name w:val="ZP_Nadpisy 2"/>
    <w:basedOn w:val="ZP-Nadpisyzklad"/>
    <w:rsid w:val="00DF23AD"/>
    <w:pPr>
      <w:keepNext/>
      <w:keepLines/>
      <w:spacing w:before="460" w:after="300" w:line="360" w:lineRule="exact"/>
    </w:pPr>
    <w:rPr>
      <w:color w:val="0000DC"/>
      <w:sz w:val="28"/>
      <w:szCs w:val="28"/>
    </w:rPr>
  </w:style>
  <w:style w:type="paragraph" w:customStyle="1" w:styleId="ZPNadpis2">
    <w:name w:val="ZP Nadpis 2"/>
    <w:basedOn w:val="ZPNadpisy2"/>
    <w:rsid w:val="00AF5B23"/>
    <w:pPr>
      <w:outlineLvl w:val="1"/>
    </w:pPr>
  </w:style>
  <w:style w:type="character" w:customStyle="1" w:styleId="ZPZapatlichChar">
    <w:name w:val="ZP Zapatí liché Char"/>
    <w:basedOn w:val="inZPZhlavapatyChar"/>
    <w:link w:val="ZPZapatlich"/>
    <w:rsid w:val="0095124B"/>
    <w:rPr>
      <w:rFonts w:ascii="Cambria" w:hAnsi="Cambria"/>
      <w:smallCaps/>
      <w:sz w:val="24"/>
      <w:szCs w:val="24"/>
    </w:rPr>
  </w:style>
  <w:style w:type="paragraph" w:customStyle="1" w:styleId="ZP-Nadpisy3">
    <w:name w:val="ZP-Nadpisy 3"/>
    <w:basedOn w:val="ZP-Nadpisyzklad"/>
    <w:rsid w:val="009124E2"/>
    <w:pPr>
      <w:keepNext/>
      <w:keepLines/>
      <w:spacing w:before="360" w:after="160" w:line="300" w:lineRule="atLeast"/>
    </w:pPr>
    <w:rPr>
      <w:b/>
      <w:color w:val="0000DC"/>
    </w:rPr>
  </w:style>
  <w:style w:type="paragraph" w:customStyle="1" w:styleId="ZPNadpis3">
    <w:name w:val="ZP Nadpis 3"/>
    <w:basedOn w:val="ZP-Nadpisy3"/>
    <w:rsid w:val="00FC3577"/>
    <w:pPr>
      <w:outlineLvl w:val="2"/>
    </w:pPr>
  </w:style>
  <w:style w:type="paragraph" w:customStyle="1" w:styleId="Pklad-nadpis">
    <w:name w:val="Příklad - nadpis"/>
    <w:basedOn w:val="Odstavec1"/>
    <w:next w:val="Pklad-text"/>
    <w:link w:val="Pklad-nadpisChar"/>
    <w:uiPriority w:val="69"/>
    <w:qFormat/>
    <w:rsid w:val="004C3A23"/>
    <w:pPr>
      <w:keepNext/>
      <w:spacing w:before="240"/>
    </w:pPr>
    <w:rPr>
      <w:rFonts w:ascii="Arial" w:hAnsi="Arial" w:cs="Arial"/>
      <w:color w:val="0000DC"/>
    </w:rPr>
  </w:style>
  <w:style w:type="paragraph" w:customStyle="1" w:styleId="Pklad-text">
    <w:name w:val="Příklad - text"/>
    <w:basedOn w:val="Odstavec1"/>
    <w:link w:val="Pklad-textChar"/>
    <w:uiPriority w:val="70"/>
    <w:qFormat/>
    <w:rsid w:val="00033D24"/>
    <w:pPr>
      <w:ind w:left="480"/>
    </w:pPr>
  </w:style>
  <w:style w:type="character" w:customStyle="1" w:styleId="Odstavec1Char">
    <w:name w:val="Odstavec 1 Char"/>
    <w:basedOn w:val="ZPZkladChar"/>
    <w:link w:val="Odstavec1"/>
    <w:uiPriority w:val="9"/>
    <w:rsid w:val="00656B43"/>
    <w:rPr>
      <w:rFonts w:ascii="Cambria" w:hAnsi="Cambria"/>
      <w:sz w:val="24"/>
      <w:szCs w:val="24"/>
    </w:rPr>
  </w:style>
  <w:style w:type="character" w:customStyle="1" w:styleId="Pklad-nadpisChar">
    <w:name w:val="Příklad - nadpis Char"/>
    <w:basedOn w:val="Odstavec1Char"/>
    <w:link w:val="Pklad-nadpis"/>
    <w:uiPriority w:val="69"/>
    <w:rsid w:val="001B43CD"/>
    <w:rPr>
      <w:rFonts w:ascii="Arial" w:hAnsi="Arial" w:cs="Arial"/>
      <w:color w:val="0000DC"/>
      <w:sz w:val="24"/>
      <w:szCs w:val="24"/>
    </w:rPr>
  </w:style>
  <w:style w:type="paragraph" w:styleId="Bibliografie">
    <w:name w:val="Bibliography"/>
    <w:basedOn w:val="Odstavec1"/>
    <w:next w:val="Normln"/>
    <w:uiPriority w:val="37"/>
    <w:unhideWhenUsed/>
    <w:rsid w:val="0037037F"/>
    <w:pPr>
      <w:tabs>
        <w:tab w:val="left" w:pos="384"/>
      </w:tabs>
      <w:spacing w:after="240" w:line="240" w:lineRule="atLeast"/>
      <w:ind w:left="384" w:hanging="384"/>
      <w:jc w:val="left"/>
    </w:pPr>
  </w:style>
  <w:style w:type="character" w:customStyle="1" w:styleId="Pklad-textChar">
    <w:name w:val="Příklad - text Char"/>
    <w:basedOn w:val="Odstavec1Char"/>
    <w:link w:val="Pklad-text"/>
    <w:uiPriority w:val="70"/>
    <w:rsid w:val="001B43CD"/>
    <w:rPr>
      <w:rFonts w:ascii="Cambria" w:hAnsi="Cambria"/>
      <w:sz w:val="24"/>
      <w:szCs w:val="24"/>
    </w:rPr>
  </w:style>
  <w:style w:type="numbering" w:customStyle="1" w:styleId="Vcerovovseznam">
    <w:name w:val="Víceúrovňový seznam"/>
    <w:uiPriority w:val="99"/>
    <w:rsid w:val="00427DF1"/>
    <w:pPr>
      <w:numPr>
        <w:numId w:val="13"/>
      </w:numPr>
    </w:pPr>
  </w:style>
  <w:style w:type="table" w:styleId="Prosttabulka5">
    <w:name w:val="Plain Table 5"/>
    <w:basedOn w:val="Normlntabulka"/>
    <w:uiPriority w:val="45"/>
    <w:locked/>
    <w:rsid w:val="00CF5E0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alodstavceEN">
    <w:name w:val="Další odstavce EN"/>
    <w:basedOn w:val="Dalodstavce"/>
    <w:rsid w:val="002E2753"/>
    <w:rPr>
      <w:lang w:val="en-GB"/>
    </w:rPr>
  </w:style>
  <w:style w:type="paragraph" w:customStyle="1" w:styleId="Odstavec1EN">
    <w:name w:val="Odstavec 1 EN"/>
    <w:basedOn w:val="Odstavec1"/>
    <w:next w:val="DalodstavceEN"/>
    <w:rsid w:val="002E2753"/>
    <w:rPr>
      <w:lang w:val="en-GB"/>
    </w:rPr>
  </w:style>
  <w:style w:type="paragraph" w:customStyle="1" w:styleId="Titulektabulky">
    <w:name w:val="Titulek tabulky"/>
    <w:basedOn w:val="Titulek"/>
    <w:rsid w:val="00953CD9"/>
    <w:pPr>
      <w:keepNext/>
      <w:spacing w:before="240"/>
    </w:pPr>
  </w:style>
  <w:style w:type="paragraph" w:customStyle="1" w:styleId="Popisobrzku">
    <w:name w:val="Popis obrázku"/>
    <w:basedOn w:val="Odstavec1"/>
    <w:next w:val="Odstavec1"/>
    <w:rsid w:val="00655A3C"/>
    <w:pPr>
      <w:spacing w:after="240" w:line="260" w:lineRule="atLeast"/>
    </w:pPr>
    <w:rPr>
      <w:sz w:val="20"/>
      <w:szCs w:val="20"/>
      <w:lang w:eastAsia="sk-SK"/>
    </w:rPr>
  </w:style>
  <w:style w:type="paragraph" w:customStyle="1" w:styleId="Titulekpedpopisem">
    <w:name w:val="Titulek před popisem"/>
    <w:basedOn w:val="Titulek"/>
    <w:rsid w:val="00F97990"/>
    <w:pPr>
      <w:keepNext/>
      <w:spacing w:after="0"/>
    </w:pPr>
  </w:style>
  <w:style w:type="paragraph" w:customStyle="1" w:styleId="Zdrojobrzku">
    <w:name w:val="Zdroj obrázku"/>
    <w:basedOn w:val="Popisobrzku"/>
    <w:next w:val="Odstavec1"/>
    <w:rsid w:val="00130C24"/>
    <w:pPr>
      <w:spacing w:before="120"/>
      <w:jc w:val="left"/>
    </w:pPr>
    <w:rPr>
      <w:i/>
    </w:rPr>
  </w:style>
  <w:style w:type="paragraph" w:customStyle="1" w:styleId="Poezie">
    <w:name w:val="Poezie"/>
    <w:basedOn w:val="Citt"/>
    <w:link w:val="PoezieChar"/>
    <w:uiPriority w:val="32"/>
    <w:qFormat/>
    <w:rsid w:val="00BB15FA"/>
    <w:pPr>
      <w:ind w:left="958" w:right="958"/>
      <w:contextualSpacing w:val="0"/>
      <w:jc w:val="left"/>
    </w:pPr>
  </w:style>
  <w:style w:type="paragraph" w:customStyle="1" w:styleId="Kdprogramu">
    <w:name w:val="Kód programu"/>
    <w:basedOn w:val="Normln"/>
    <w:link w:val="KdprogramuChar"/>
    <w:uiPriority w:val="74"/>
    <w:qFormat/>
    <w:rsid w:val="0032701E"/>
    <w:pPr>
      <w:spacing w:before="240" w:after="240"/>
      <w:contextualSpacing/>
    </w:pPr>
    <w:rPr>
      <w:rFonts w:ascii="Courier New" w:hAnsi="Courier New" w:cs="Courier New"/>
      <w:noProof/>
      <w:sz w:val="22"/>
      <w:szCs w:val="22"/>
    </w:rPr>
  </w:style>
  <w:style w:type="character" w:customStyle="1" w:styleId="PoezieChar">
    <w:name w:val="Poezie Char"/>
    <w:basedOn w:val="CittChar"/>
    <w:link w:val="Poezie"/>
    <w:uiPriority w:val="32"/>
    <w:rsid w:val="00656B43"/>
    <w:rPr>
      <w:i/>
    </w:rPr>
  </w:style>
  <w:style w:type="character" w:customStyle="1" w:styleId="KdprogramuChar">
    <w:name w:val="Kód programu Char"/>
    <w:basedOn w:val="Standardnpsmoodstavce"/>
    <w:link w:val="Kdprogramu"/>
    <w:uiPriority w:val="74"/>
    <w:rsid w:val="0032701E"/>
    <w:rPr>
      <w:rFonts w:ascii="Courier New" w:hAnsi="Courier New" w:cs="Courier New"/>
      <w:noProof/>
      <w:sz w:val="22"/>
      <w:szCs w:val="22"/>
    </w:rPr>
  </w:style>
  <w:style w:type="paragraph" w:customStyle="1" w:styleId="7C5D38C841C7463A9DD7C17FE250AFA711">
    <w:name w:val="7C5D38C841C7463A9DD7C17FE250AFA711"/>
    <w:rsid w:val="00032EBD"/>
    <w:pPr>
      <w:keepNext/>
      <w:keepLines/>
      <w:pageBreakBefore/>
      <w:numPr>
        <w:numId w:val="15"/>
      </w:numPr>
      <w:suppressAutoHyphens/>
      <w:spacing w:after="280" w:line="480" w:lineRule="atLeast"/>
      <w:ind w:left="360" w:hanging="360"/>
      <w:outlineLvl w:val="0"/>
    </w:pPr>
    <w:rPr>
      <w:rFonts w:asciiTheme="majorHAnsi" w:hAnsiTheme="majorHAnsi" w:cs="Arial"/>
      <w:b/>
      <w:bCs/>
      <w:kern w:val="32"/>
      <w:sz w:val="40"/>
      <w:szCs w:val="32"/>
      <w:lang w:val="sk-SK"/>
    </w:rPr>
  </w:style>
  <w:style w:type="paragraph" w:customStyle="1" w:styleId="8A8A910B8AA34CD7A42465204528F8A3">
    <w:name w:val="8A8A910B8AA34CD7A42465204528F8A3"/>
    <w:rsid w:val="00032EBD"/>
    <w:pPr>
      <w:keepNext/>
      <w:keepLines/>
      <w:numPr>
        <w:ilvl w:val="1"/>
        <w:numId w:val="15"/>
      </w:numPr>
      <w:tabs>
        <w:tab w:val="clear" w:pos="1440"/>
      </w:tabs>
      <w:suppressAutoHyphens/>
      <w:spacing w:before="460" w:after="300" w:line="360" w:lineRule="exact"/>
      <w:ind w:left="720"/>
      <w:outlineLvl w:val="1"/>
    </w:pPr>
    <w:rPr>
      <w:rFonts w:ascii="Arial" w:hAnsi="Arial" w:cs="Arial"/>
      <w:iCs/>
      <w:color w:val="0000DC"/>
      <w:sz w:val="28"/>
      <w:szCs w:val="28"/>
    </w:rPr>
  </w:style>
  <w:style w:type="numbering" w:customStyle="1" w:styleId="Ptirovovsmenseznam">
    <w:name w:val="Pětiúrovňový smíšený seznam"/>
    <w:uiPriority w:val="99"/>
    <w:rsid w:val="00D716C2"/>
    <w:pPr>
      <w:numPr>
        <w:numId w:val="17"/>
      </w:numPr>
    </w:pPr>
  </w:style>
  <w:style w:type="numbering" w:customStyle="1" w:styleId="Decimlnslovn">
    <w:name w:val="Decimální číslování"/>
    <w:uiPriority w:val="99"/>
    <w:rsid w:val="00AB0BEE"/>
    <w:pPr>
      <w:numPr>
        <w:numId w:val="18"/>
      </w:numPr>
    </w:pPr>
  </w:style>
  <w:style w:type="paragraph" w:customStyle="1" w:styleId="inZPPodpisypublikace">
    <w:name w:val="inZP: Podpisy publikace"/>
    <w:basedOn w:val="inZPPodpisprohlen"/>
    <w:link w:val="inZPPodpisypublikaceChar"/>
    <w:rsid w:val="00274587"/>
    <w:pPr>
      <w:tabs>
        <w:tab w:val="center" w:pos="2155"/>
      </w:tabs>
      <w:spacing w:before="600"/>
      <w:contextualSpacing/>
    </w:pPr>
  </w:style>
  <w:style w:type="character" w:customStyle="1" w:styleId="inZPPodpisprohlenChar">
    <w:name w:val="inZP: Podpis prohlášení Char"/>
    <w:basedOn w:val="ZPZkladChar"/>
    <w:link w:val="inZPPodpisprohlen"/>
    <w:rsid w:val="00274587"/>
    <w:rPr>
      <w:rFonts w:ascii="Cambria" w:hAnsi="Cambria"/>
      <w:sz w:val="24"/>
      <w:szCs w:val="24"/>
    </w:rPr>
  </w:style>
  <w:style w:type="character" w:customStyle="1" w:styleId="inZPPodpisypublikaceChar">
    <w:name w:val="inZP: Podpisy publikace Char"/>
    <w:basedOn w:val="inZPPodpisprohlenChar"/>
    <w:link w:val="inZPPodpisypublikace"/>
    <w:rsid w:val="00274587"/>
    <w:rPr>
      <w:rFonts w:ascii="Cambria" w:hAnsi="Cambria"/>
      <w:sz w:val="24"/>
      <w:szCs w:val="24"/>
    </w:rPr>
  </w:style>
  <w:style w:type="paragraph" w:customStyle="1" w:styleId="ZPNadpis4">
    <w:name w:val="ZP Nadpis 4"/>
    <w:basedOn w:val="inZPNadpisy"/>
    <w:next w:val="Odstavec1"/>
    <w:link w:val="ZPNadpis4Char"/>
    <w:rsid w:val="006B7FF0"/>
    <w:rPr>
      <w:b w:val="0"/>
      <w:color w:val="0000DC"/>
    </w:rPr>
  </w:style>
  <w:style w:type="character" w:customStyle="1" w:styleId="ZPNadpis4Char">
    <w:name w:val="ZP Nadpis 4 Char"/>
    <w:basedOn w:val="inZPNadpisyChar"/>
    <w:link w:val="ZPNadpis4"/>
    <w:rsid w:val="006B7FF0"/>
    <w:rPr>
      <w:rFonts w:asciiTheme="majorHAnsi" w:hAnsiTheme="majorHAnsi"/>
      <w:b w:val="0"/>
      <w:color w:val="0000DC"/>
      <w:kern w:val="32"/>
      <w:sz w:val="24"/>
      <w:szCs w:val="24"/>
      <w:lang w:val="sk-SK"/>
    </w:rPr>
  </w:style>
  <w:style w:type="paragraph" w:customStyle="1" w:styleId="ZPSeznamploh">
    <w:name w:val="ZP: Seznam příloh"/>
    <w:basedOn w:val="ZPSeznamzkratek"/>
    <w:rsid w:val="006964D9"/>
    <w:pPr>
      <w:tabs>
        <w:tab w:val="clear" w:pos="1985"/>
        <w:tab w:val="clear" w:pos="2268"/>
        <w:tab w:val="left" w:pos="1134"/>
        <w:tab w:val="right" w:pos="8505"/>
      </w:tabs>
      <w:ind w:left="1134" w:hanging="1134"/>
    </w:pPr>
  </w:style>
  <w:style w:type="character" w:styleId="Odkaznakoment">
    <w:name w:val="annotation reference"/>
    <w:basedOn w:val="Standardnpsmoodstavce"/>
    <w:uiPriority w:val="99"/>
    <w:rsid w:val="00F71B3B"/>
    <w:rPr>
      <w:sz w:val="16"/>
      <w:szCs w:val="16"/>
    </w:rPr>
  </w:style>
  <w:style w:type="paragraph" w:styleId="Textkomente">
    <w:name w:val="annotation text"/>
    <w:basedOn w:val="Normln"/>
    <w:link w:val="TextkomenteChar"/>
    <w:uiPriority w:val="99"/>
    <w:rsid w:val="00F71B3B"/>
    <w:rPr>
      <w:sz w:val="20"/>
      <w:szCs w:val="20"/>
    </w:rPr>
  </w:style>
  <w:style w:type="character" w:customStyle="1" w:styleId="TextkomenteChar">
    <w:name w:val="Text komentáře Char"/>
    <w:basedOn w:val="Standardnpsmoodstavce"/>
    <w:link w:val="Textkomente"/>
    <w:uiPriority w:val="99"/>
    <w:rsid w:val="00F71B3B"/>
    <w:rPr>
      <w:sz w:val="20"/>
      <w:szCs w:val="20"/>
    </w:rPr>
  </w:style>
  <w:style w:type="paragraph" w:styleId="Pedmtkomente">
    <w:name w:val="annotation subject"/>
    <w:basedOn w:val="Textkomente"/>
    <w:next w:val="Textkomente"/>
    <w:link w:val="PedmtkomenteChar"/>
    <w:uiPriority w:val="99"/>
    <w:rsid w:val="00F71B3B"/>
    <w:rPr>
      <w:b/>
      <w:bCs/>
    </w:rPr>
  </w:style>
  <w:style w:type="character" w:customStyle="1" w:styleId="PedmtkomenteChar">
    <w:name w:val="Předmět komentáře Char"/>
    <w:basedOn w:val="TextkomenteChar"/>
    <w:link w:val="Pedmtkomente"/>
    <w:uiPriority w:val="99"/>
    <w:rsid w:val="00F71B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2959">
      <w:bodyDiv w:val="1"/>
      <w:marLeft w:val="0"/>
      <w:marRight w:val="0"/>
      <w:marTop w:val="0"/>
      <w:marBottom w:val="0"/>
      <w:divBdr>
        <w:top w:val="none" w:sz="0" w:space="0" w:color="auto"/>
        <w:left w:val="none" w:sz="0" w:space="0" w:color="auto"/>
        <w:bottom w:val="none" w:sz="0" w:space="0" w:color="auto"/>
        <w:right w:val="none" w:sz="0" w:space="0" w:color="auto"/>
      </w:divBdr>
    </w:div>
    <w:div w:id="25912166">
      <w:bodyDiv w:val="1"/>
      <w:marLeft w:val="0"/>
      <w:marRight w:val="0"/>
      <w:marTop w:val="0"/>
      <w:marBottom w:val="0"/>
      <w:divBdr>
        <w:top w:val="none" w:sz="0" w:space="0" w:color="auto"/>
        <w:left w:val="none" w:sz="0" w:space="0" w:color="auto"/>
        <w:bottom w:val="none" w:sz="0" w:space="0" w:color="auto"/>
        <w:right w:val="none" w:sz="0" w:space="0" w:color="auto"/>
      </w:divBdr>
    </w:div>
    <w:div w:id="35084160">
      <w:bodyDiv w:val="1"/>
      <w:marLeft w:val="0"/>
      <w:marRight w:val="0"/>
      <w:marTop w:val="0"/>
      <w:marBottom w:val="0"/>
      <w:divBdr>
        <w:top w:val="none" w:sz="0" w:space="0" w:color="auto"/>
        <w:left w:val="none" w:sz="0" w:space="0" w:color="auto"/>
        <w:bottom w:val="none" w:sz="0" w:space="0" w:color="auto"/>
        <w:right w:val="none" w:sz="0" w:space="0" w:color="auto"/>
      </w:divBdr>
    </w:div>
    <w:div w:id="36047067">
      <w:bodyDiv w:val="1"/>
      <w:marLeft w:val="0"/>
      <w:marRight w:val="0"/>
      <w:marTop w:val="0"/>
      <w:marBottom w:val="0"/>
      <w:divBdr>
        <w:top w:val="none" w:sz="0" w:space="0" w:color="auto"/>
        <w:left w:val="none" w:sz="0" w:space="0" w:color="auto"/>
        <w:bottom w:val="none" w:sz="0" w:space="0" w:color="auto"/>
        <w:right w:val="none" w:sz="0" w:space="0" w:color="auto"/>
      </w:divBdr>
    </w:div>
    <w:div w:id="36898926">
      <w:bodyDiv w:val="1"/>
      <w:marLeft w:val="0"/>
      <w:marRight w:val="0"/>
      <w:marTop w:val="0"/>
      <w:marBottom w:val="0"/>
      <w:divBdr>
        <w:top w:val="none" w:sz="0" w:space="0" w:color="auto"/>
        <w:left w:val="none" w:sz="0" w:space="0" w:color="auto"/>
        <w:bottom w:val="none" w:sz="0" w:space="0" w:color="auto"/>
        <w:right w:val="none" w:sz="0" w:space="0" w:color="auto"/>
      </w:divBdr>
    </w:div>
    <w:div w:id="47457162">
      <w:bodyDiv w:val="1"/>
      <w:marLeft w:val="0"/>
      <w:marRight w:val="0"/>
      <w:marTop w:val="0"/>
      <w:marBottom w:val="0"/>
      <w:divBdr>
        <w:top w:val="none" w:sz="0" w:space="0" w:color="auto"/>
        <w:left w:val="none" w:sz="0" w:space="0" w:color="auto"/>
        <w:bottom w:val="none" w:sz="0" w:space="0" w:color="auto"/>
        <w:right w:val="none" w:sz="0" w:space="0" w:color="auto"/>
      </w:divBdr>
    </w:div>
    <w:div w:id="52433616">
      <w:bodyDiv w:val="1"/>
      <w:marLeft w:val="0"/>
      <w:marRight w:val="0"/>
      <w:marTop w:val="0"/>
      <w:marBottom w:val="0"/>
      <w:divBdr>
        <w:top w:val="none" w:sz="0" w:space="0" w:color="auto"/>
        <w:left w:val="none" w:sz="0" w:space="0" w:color="auto"/>
        <w:bottom w:val="none" w:sz="0" w:space="0" w:color="auto"/>
        <w:right w:val="none" w:sz="0" w:space="0" w:color="auto"/>
      </w:divBdr>
    </w:div>
    <w:div w:id="55318929">
      <w:bodyDiv w:val="1"/>
      <w:marLeft w:val="0"/>
      <w:marRight w:val="0"/>
      <w:marTop w:val="0"/>
      <w:marBottom w:val="0"/>
      <w:divBdr>
        <w:top w:val="none" w:sz="0" w:space="0" w:color="auto"/>
        <w:left w:val="none" w:sz="0" w:space="0" w:color="auto"/>
        <w:bottom w:val="none" w:sz="0" w:space="0" w:color="auto"/>
        <w:right w:val="none" w:sz="0" w:space="0" w:color="auto"/>
      </w:divBdr>
    </w:div>
    <w:div w:id="58476860">
      <w:bodyDiv w:val="1"/>
      <w:marLeft w:val="0"/>
      <w:marRight w:val="0"/>
      <w:marTop w:val="0"/>
      <w:marBottom w:val="0"/>
      <w:divBdr>
        <w:top w:val="none" w:sz="0" w:space="0" w:color="auto"/>
        <w:left w:val="none" w:sz="0" w:space="0" w:color="auto"/>
        <w:bottom w:val="none" w:sz="0" w:space="0" w:color="auto"/>
        <w:right w:val="none" w:sz="0" w:space="0" w:color="auto"/>
      </w:divBdr>
    </w:div>
    <w:div w:id="135688888">
      <w:bodyDiv w:val="1"/>
      <w:marLeft w:val="0"/>
      <w:marRight w:val="0"/>
      <w:marTop w:val="0"/>
      <w:marBottom w:val="0"/>
      <w:divBdr>
        <w:top w:val="none" w:sz="0" w:space="0" w:color="auto"/>
        <w:left w:val="none" w:sz="0" w:space="0" w:color="auto"/>
        <w:bottom w:val="none" w:sz="0" w:space="0" w:color="auto"/>
        <w:right w:val="none" w:sz="0" w:space="0" w:color="auto"/>
      </w:divBdr>
    </w:div>
    <w:div w:id="148637226">
      <w:bodyDiv w:val="1"/>
      <w:marLeft w:val="0"/>
      <w:marRight w:val="0"/>
      <w:marTop w:val="0"/>
      <w:marBottom w:val="0"/>
      <w:divBdr>
        <w:top w:val="none" w:sz="0" w:space="0" w:color="auto"/>
        <w:left w:val="none" w:sz="0" w:space="0" w:color="auto"/>
        <w:bottom w:val="none" w:sz="0" w:space="0" w:color="auto"/>
        <w:right w:val="none" w:sz="0" w:space="0" w:color="auto"/>
      </w:divBdr>
    </w:div>
    <w:div w:id="150369644">
      <w:bodyDiv w:val="1"/>
      <w:marLeft w:val="0"/>
      <w:marRight w:val="0"/>
      <w:marTop w:val="0"/>
      <w:marBottom w:val="0"/>
      <w:divBdr>
        <w:top w:val="none" w:sz="0" w:space="0" w:color="auto"/>
        <w:left w:val="none" w:sz="0" w:space="0" w:color="auto"/>
        <w:bottom w:val="none" w:sz="0" w:space="0" w:color="auto"/>
        <w:right w:val="none" w:sz="0" w:space="0" w:color="auto"/>
      </w:divBdr>
    </w:div>
    <w:div w:id="156919809">
      <w:bodyDiv w:val="1"/>
      <w:marLeft w:val="0"/>
      <w:marRight w:val="0"/>
      <w:marTop w:val="0"/>
      <w:marBottom w:val="0"/>
      <w:divBdr>
        <w:top w:val="none" w:sz="0" w:space="0" w:color="auto"/>
        <w:left w:val="none" w:sz="0" w:space="0" w:color="auto"/>
        <w:bottom w:val="none" w:sz="0" w:space="0" w:color="auto"/>
        <w:right w:val="none" w:sz="0" w:space="0" w:color="auto"/>
      </w:divBdr>
    </w:div>
    <w:div w:id="157312424">
      <w:bodyDiv w:val="1"/>
      <w:marLeft w:val="0"/>
      <w:marRight w:val="0"/>
      <w:marTop w:val="0"/>
      <w:marBottom w:val="0"/>
      <w:divBdr>
        <w:top w:val="none" w:sz="0" w:space="0" w:color="auto"/>
        <w:left w:val="none" w:sz="0" w:space="0" w:color="auto"/>
        <w:bottom w:val="none" w:sz="0" w:space="0" w:color="auto"/>
        <w:right w:val="none" w:sz="0" w:space="0" w:color="auto"/>
      </w:divBdr>
    </w:div>
    <w:div w:id="179706492">
      <w:bodyDiv w:val="1"/>
      <w:marLeft w:val="0"/>
      <w:marRight w:val="0"/>
      <w:marTop w:val="0"/>
      <w:marBottom w:val="0"/>
      <w:divBdr>
        <w:top w:val="none" w:sz="0" w:space="0" w:color="auto"/>
        <w:left w:val="none" w:sz="0" w:space="0" w:color="auto"/>
        <w:bottom w:val="none" w:sz="0" w:space="0" w:color="auto"/>
        <w:right w:val="none" w:sz="0" w:space="0" w:color="auto"/>
      </w:divBdr>
    </w:div>
    <w:div w:id="184877573">
      <w:bodyDiv w:val="1"/>
      <w:marLeft w:val="0"/>
      <w:marRight w:val="0"/>
      <w:marTop w:val="0"/>
      <w:marBottom w:val="0"/>
      <w:divBdr>
        <w:top w:val="none" w:sz="0" w:space="0" w:color="auto"/>
        <w:left w:val="none" w:sz="0" w:space="0" w:color="auto"/>
        <w:bottom w:val="none" w:sz="0" w:space="0" w:color="auto"/>
        <w:right w:val="none" w:sz="0" w:space="0" w:color="auto"/>
      </w:divBdr>
    </w:div>
    <w:div w:id="186527168">
      <w:bodyDiv w:val="1"/>
      <w:marLeft w:val="0"/>
      <w:marRight w:val="0"/>
      <w:marTop w:val="0"/>
      <w:marBottom w:val="0"/>
      <w:divBdr>
        <w:top w:val="none" w:sz="0" w:space="0" w:color="auto"/>
        <w:left w:val="none" w:sz="0" w:space="0" w:color="auto"/>
        <w:bottom w:val="none" w:sz="0" w:space="0" w:color="auto"/>
        <w:right w:val="none" w:sz="0" w:space="0" w:color="auto"/>
      </w:divBdr>
    </w:div>
    <w:div w:id="188378902">
      <w:bodyDiv w:val="1"/>
      <w:marLeft w:val="0"/>
      <w:marRight w:val="0"/>
      <w:marTop w:val="0"/>
      <w:marBottom w:val="0"/>
      <w:divBdr>
        <w:top w:val="none" w:sz="0" w:space="0" w:color="auto"/>
        <w:left w:val="none" w:sz="0" w:space="0" w:color="auto"/>
        <w:bottom w:val="none" w:sz="0" w:space="0" w:color="auto"/>
        <w:right w:val="none" w:sz="0" w:space="0" w:color="auto"/>
      </w:divBdr>
    </w:div>
    <w:div w:id="248001799">
      <w:bodyDiv w:val="1"/>
      <w:marLeft w:val="0"/>
      <w:marRight w:val="0"/>
      <w:marTop w:val="0"/>
      <w:marBottom w:val="0"/>
      <w:divBdr>
        <w:top w:val="none" w:sz="0" w:space="0" w:color="auto"/>
        <w:left w:val="none" w:sz="0" w:space="0" w:color="auto"/>
        <w:bottom w:val="none" w:sz="0" w:space="0" w:color="auto"/>
        <w:right w:val="none" w:sz="0" w:space="0" w:color="auto"/>
      </w:divBdr>
    </w:div>
    <w:div w:id="305011528">
      <w:bodyDiv w:val="1"/>
      <w:marLeft w:val="0"/>
      <w:marRight w:val="0"/>
      <w:marTop w:val="0"/>
      <w:marBottom w:val="0"/>
      <w:divBdr>
        <w:top w:val="none" w:sz="0" w:space="0" w:color="auto"/>
        <w:left w:val="none" w:sz="0" w:space="0" w:color="auto"/>
        <w:bottom w:val="none" w:sz="0" w:space="0" w:color="auto"/>
        <w:right w:val="none" w:sz="0" w:space="0" w:color="auto"/>
      </w:divBdr>
    </w:div>
    <w:div w:id="313800599">
      <w:bodyDiv w:val="1"/>
      <w:marLeft w:val="0"/>
      <w:marRight w:val="0"/>
      <w:marTop w:val="0"/>
      <w:marBottom w:val="0"/>
      <w:divBdr>
        <w:top w:val="none" w:sz="0" w:space="0" w:color="auto"/>
        <w:left w:val="none" w:sz="0" w:space="0" w:color="auto"/>
        <w:bottom w:val="none" w:sz="0" w:space="0" w:color="auto"/>
        <w:right w:val="none" w:sz="0" w:space="0" w:color="auto"/>
      </w:divBdr>
    </w:div>
    <w:div w:id="316229842">
      <w:bodyDiv w:val="1"/>
      <w:marLeft w:val="0"/>
      <w:marRight w:val="0"/>
      <w:marTop w:val="0"/>
      <w:marBottom w:val="0"/>
      <w:divBdr>
        <w:top w:val="none" w:sz="0" w:space="0" w:color="auto"/>
        <w:left w:val="none" w:sz="0" w:space="0" w:color="auto"/>
        <w:bottom w:val="none" w:sz="0" w:space="0" w:color="auto"/>
        <w:right w:val="none" w:sz="0" w:space="0" w:color="auto"/>
      </w:divBdr>
    </w:div>
    <w:div w:id="318580757">
      <w:bodyDiv w:val="1"/>
      <w:marLeft w:val="0"/>
      <w:marRight w:val="0"/>
      <w:marTop w:val="0"/>
      <w:marBottom w:val="0"/>
      <w:divBdr>
        <w:top w:val="none" w:sz="0" w:space="0" w:color="auto"/>
        <w:left w:val="none" w:sz="0" w:space="0" w:color="auto"/>
        <w:bottom w:val="none" w:sz="0" w:space="0" w:color="auto"/>
        <w:right w:val="none" w:sz="0" w:space="0" w:color="auto"/>
      </w:divBdr>
    </w:div>
    <w:div w:id="324171686">
      <w:bodyDiv w:val="1"/>
      <w:marLeft w:val="0"/>
      <w:marRight w:val="0"/>
      <w:marTop w:val="0"/>
      <w:marBottom w:val="0"/>
      <w:divBdr>
        <w:top w:val="none" w:sz="0" w:space="0" w:color="auto"/>
        <w:left w:val="none" w:sz="0" w:space="0" w:color="auto"/>
        <w:bottom w:val="none" w:sz="0" w:space="0" w:color="auto"/>
        <w:right w:val="none" w:sz="0" w:space="0" w:color="auto"/>
      </w:divBdr>
    </w:div>
    <w:div w:id="333150697">
      <w:bodyDiv w:val="1"/>
      <w:marLeft w:val="0"/>
      <w:marRight w:val="0"/>
      <w:marTop w:val="0"/>
      <w:marBottom w:val="0"/>
      <w:divBdr>
        <w:top w:val="none" w:sz="0" w:space="0" w:color="auto"/>
        <w:left w:val="none" w:sz="0" w:space="0" w:color="auto"/>
        <w:bottom w:val="none" w:sz="0" w:space="0" w:color="auto"/>
        <w:right w:val="none" w:sz="0" w:space="0" w:color="auto"/>
      </w:divBdr>
    </w:div>
    <w:div w:id="334694026">
      <w:bodyDiv w:val="1"/>
      <w:marLeft w:val="0"/>
      <w:marRight w:val="0"/>
      <w:marTop w:val="0"/>
      <w:marBottom w:val="0"/>
      <w:divBdr>
        <w:top w:val="none" w:sz="0" w:space="0" w:color="auto"/>
        <w:left w:val="none" w:sz="0" w:space="0" w:color="auto"/>
        <w:bottom w:val="none" w:sz="0" w:space="0" w:color="auto"/>
        <w:right w:val="none" w:sz="0" w:space="0" w:color="auto"/>
      </w:divBdr>
    </w:div>
    <w:div w:id="364839466">
      <w:bodyDiv w:val="1"/>
      <w:marLeft w:val="0"/>
      <w:marRight w:val="0"/>
      <w:marTop w:val="0"/>
      <w:marBottom w:val="0"/>
      <w:divBdr>
        <w:top w:val="none" w:sz="0" w:space="0" w:color="auto"/>
        <w:left w:val="none" w:sz="0" w:space="0" w:color="auto"/>
        <w:bottom w:val="none" w:sz="0" w:space="0" w:color="auto"/>
        <w:right w:val="none" w:sz="0" w:space="0" w:color="auto"/>
      </w:divBdr>
    </w:div>
    <w:div w:id="367998944">
      <w:bodyDiv w:val="1"/>
      <w:marLeft w:val="0"/>
      <w:marRight w:val="0"/>
      <w:marTop w:val="0"/>
      <w:marBottom w:val="0"/>
      <w:divBdr>
        <w:top w:val="none" w:sz="0" w:space="0" w:color="auto"/>
        <w:left w:val="none" w:sz="0" w:space="0" w:color="auto"/>
        <w:bottom w:val="none" w:sz="0" w:space="0" w:color="auto"/>
        <w:right w:val="none" w:sz="0" w:space="0" w:color="auto"/>
      </w:divBdr>
    </w:div>
    <w:div w:id="381365033">
      <w:bodyDiv w:val="1"/>
      <w:marLeft w:val="0"/>
      <w:marRight w:val="0"/>
      <w:marTop w:val="0"/>
      <w:marBottom w:val="0"/>
      <w:divBdr>
        <w:top w:val="none" w:sz="0" w:space="0" w:color="auto"/>
        <w:left w:val="none" w:sz="0" w:space="0" w:color="auto"/>
        <w:bottom w:val="none" w:sz="0" w:space="0" w:color="auto"/>
        <w:right w:val="none" w:sz="0" w:space="0" w:color="auto"/>
      </w:divBdr>
    </w:div>
    <w:div w:id="384987396">
      <w:bodyDiv w:val="1"/>
      <w:marLeft w:val="0"/>
      <w:marRight w:val="0"/>
      <w:marTop w:val="0"/>
      <w:marBottom w:val="0"/>
      <w:divBdr>
        <w:top w:val="none" w:sz="0" w:space="0" w:color="auto"/>
        <w:left w:val="none" w:sz="0" w:space="0" w:color="auto"/>
        <w:bottom w:val="none" w:sz="0" w:space="0" w:color="auto"/>
        <w:right w:val="none" w:sz="0" w:space="0" w:color="auto"/>
      </w:divBdr>
    </w:div>
    <w:div w:id="393627685">
      <w:bodyDiv w:val="1"/>
      <w:marLeft w:val="0"/>
      <w:marRight w:val="0"/>
      <w:marTop w:val="0"/>
      <w:marBottom w:val="0"/>
      <w:divBdr>
        <w:top w:val="none" w:sz="0" w:space="0" w:color="auto"/>
        <w:left w:val="none" w:sz="0" w:space="0" w:color="auto"/>
        <w:bottom w:val="none" w:sz="0" w:space="0" w:color="auto"/>
        <w:right w:val="none" w:sz="0" w:space="0" w:color="auto"/>
      </w:divBdr>
    </w:div>
    <w:div w:id="396439708">
      <w:bodyDiv w:val="1"/>
      <w:marLeft w:val="0"/>
      <w:marRight w:val="0"/>
      <w:marTop w:val="0"/>
      <w:marBottom w:val="0"/>
      <w:divBdr>
        <w:top w:val="none" w:sz="0" w:space="0" w:color="auto"/>
        <w:left w:val="none" w:sz="0" w:space="0" w:color="auto"/>
        <w:bottom w:val="none" w:sz="0" w:space="0" w:color="auto"/>
        <w:right w:val="none" w:sz="0" w:space="0" w:color="auto"/>
      </w:divBdr>
    </w:div>
    <w:div w:id="415053410">
      <w:bodyDiv w:val="1"/>
      <w:marLeft w:val="0"/>
      <w:marRight w:val="0"/>
      <w:marTop w:val="0"/>
      <w:marBottom w:val="0"/>
      <w:divBdr>
        <w:top w:val="none" w:sz="0" w:space="0" w:color="auto"/>
        <w:left w:val="none" w:sz="0" w:space="0" w:color="auto"/>
        <w:bottom w:val="none" w:sz="0" w:space="0" w:color="auto"/>
        <w:right w:val="none" w:sz="0" w:space="0" w:color="auto"/>
      </w:divBdr>
    </w:div>
    <w:div w:id="447091341">
      <w:bodyDiv w:val="1"/>
      <w:marLeft w:val="0"/>
      <w:marRight w:val="0"/>
      <w:marTop w:val="0"/>
      <w:marBottom w:val="0"/>
      <w:divBdr>
        <w:top w:val="none" w:sz="0" w:space="0" w:color="auto"/>
        <w:left w:val="none" w:sz="0" w:space="0" w:color="auto"/>
        <w:bottom w:val="none" w:sz="0" w:space="0" w:color="auto"/>
        <w:right w:val="none" w:sz="0" w:space="0" w:color="auto"/>
      </w:divBdr>
    </w:div>
    <w:div w:id="482701309">
      <w:bodyDiv w:val="1"/>
      <w:marLeft w:val="0"/>
      <w:marRight w:val="0"/>
      <w:marTop w:val="0"/>
      <w:marBottom w:val="0"/>
      <w:divBdr>
        <w:top w:val="none" w:sz="0" w:space="0" w:color="auto"/>
        <w:left w:val="none" w:sz="0" w:space="0" w:color="auto"/>
        <w:bottom w:val="none" w:sz="0" w:space="0" w:color="auto"/>
        <w:right w:val="none" w:sz="0" w:space="0" w:color="auto"/>
      </w:divBdr>
    </w:div>
    <w:div w:id="508182920">
      <w:bodyDiv w:val="1"/>
      <w:marLeft w:val="0"/>
      <w:marRight w:val="0"/>
      <w:marTop w:val="0"/>
      <w:marBottom w:val="0"/>
      <w:divBdr>
        <w:top w:val="none" w:sz="0" w:space="0" w:color="auto"/>
        <w:left w:val="none" w:sz="0" w:space="0" w:color="auto"/>
        <w:bottom w:val="none" w:sz="0" w:space="0" w:color="auto"/>
        <w:right w:val="none" w:sz="0" w:space="0" w:color="auto"/>
      </w:divBdr>
    </w:div>
    <w:div w:id="541870807">
      <w:bodyDiv w:val="1"/>
      <w:marLeft w:val="0"/>
      <w:marRight w:val="0"/>
      <w:marTop w:val="0"/>
      <w:marBottom w:val="0"/>
      <w:divBdr>
        <w:top w:val="none" w:sz="0" w:space="0" w:color="auto"/>
        <w:left w:val="none" w:sz="0" w:space="0" w:color="auto"/>
        <w:bottom w:val="none" w:sz="0" w:space="0" w:color="auto"/>
        <w:right w:val="none" w:sz="0" w:space="0" w:color="auto"/>
      </w:divBdr>
    </w:div>
    <w:div w:id="566039765">
      <w:bodyDiv w:val="1"/>
      <w:marLeft w:val="0"/>
      <w:marRight w:val="0"/>
      <w:marTop w:val="0"/>
      <w:marBottom w:val="0"/>
      <w:divBdr>
        <w:top w:val="none" w:sz="0" w:space="0" w:color="auto"/>
        <w:left w:val="none" w:sz="0" w:space="0" w:color="auto"/>
        <w:bottom w:val="none" w:sz="0" w:space="0" w:color="auto"/>
        <w:right w:val="none" w:sz="0" w:space="0" w:color="auto"/>
      </w:divBdr>
    </w:div>
    <w:div w:id="567109195">
      <w:bodyDiv w:val="1"/>
      <w:marLeft w:val="0"/>
      <w:marRight w:val="0"/>
      <w:marTop w:val="0"/>
      <w:marBottom w:val="0"/>
      <w:divBdr>
        <w:top w:val="none" w:sz="0" w:space="0" w:color="auto"/>
        <w:left w:val="none" w:sz="0" w:space="0" w:color="auto"/>
        <w:bottom w:val="none" w:sz="0" w:space="0" w:color="auto"/>
        <w:right w:val="none" w:sz="0" w:space="0" w:color="auto"/>
      </w:divBdr>
    </w:div>
    <w:div w:id="582685701">
      <w:bodyDiv w:val="1"/>
      <w:marLeft w:val="0"/>
      <w:marRight w:val="0"/>
      <w:marTop w:val="0"/>
      <w:marBottom w:val="0"/>
      <w:divBdr>
        <w:top w:val="none" w:sz="0" w:space="0" w:color="auto"/>
        <w:left w:val="none" w:sz="0" w:space="0" w:color="auto"/>
        <w:bottom w:val="none" w:sz="0" w:space="0" w:color="auto"/>
        <w:right w:val="none" w:sz="0" w:space="0" w:color="auto"/>
      </w:divBdr>
    </w:div>
    <w:div w:id="618224173">
      <w:bodyDiv w:val="1"/>
      <w:marLeft w:val="0"/>
      <w:marRight w:val="0"/>
      <w:marTop w:val="0"/>
      <w:marBottom w:val="0"/>
      <w:divBdr>
        <w:top w:val="none" w:sz="0" w:space="0" w:color="auto"/>
        <w:left w:val="none" w:sz="0" w:space="0" w:color="auto"/>
        <w:bottom w:val="none" w:sz="0" w:space="0" w:color="auto"/>
        <w:right w:val="none" w:sz="0" w:space="0" w:color="auto"/>
      </w:divBdr>
      <w:divsChild>
        <w:div w:id="1604655730">
          <w:marLeft w:val="3"/>
          <w:marRight w:val="3"/>
          <w:marTop w:val="150"/>
          <w:marBottom w:val="150"/>
          <w:divBdr>
            <w:top w:val="none" w:sz="0" w:space="0" w:color="auto"/>
            <w:left w:val="none" w:sz="0" w:space="0" w:color="auto"/>
            <w:bottom w:val="none" w:sz="0" w:space="0" w:color="auto"/>
            <w:right w:val="none" w:sz="0" w:space="0" w:color="auto"/>
          </w:divBdr>
        </w:div>
      </w:divsChild>
    </w:div>
    <w:div w:id="665980196">
      <w:bodyDiv w:val="1"/>
      <w:marLeft w:val="0"/>
      <w:marRight w:val="0"/>
      <w:marTop w:val="0"/>
      <w:marBottom w:val="0"/>
      <w:divBdr>
        <w:top w:val="none" w:sz="0" w:space="0" w:color="auto"/>
        <w:left w:val="none" w:sz="0" w:space="0" w:color="auto"/>
        <w:bottom w:val="none" w:sz="0" w:space="0" w:color="auto"/>
        <w:right w:val="none" w:sz="0" w:space="0" w:color="auto"/>
      </w:divBdr>
    </w:div>
    <w:div w:id="668754257">
      <w:bodyDiv w:val="1"/>
      <w:marLeft w:val="0"/>
      <w:marRight w:val="0"/>
      <w:marTop w:val="0"/>
      <w:marBottom w:val="0"/>
      <w:divBdr>
        <w:top w:val="none" w:sz="0" w:space="0" w:color="auto"/>
        <w:left w:val="none" w:sz="0" w:space="0" w:color="auto"/>
        <w:bottom w:val="none" w:sz="0" w:space="0" w:color="auto"/>
        <w:right w:val="none" w:sz="0" w:space="0" w:color="auto"/>
      </w:divBdr>
    </w:div>
    <w:div w:id="676737843">
      <w:bodyDiv w:val="1"/>
      <w:marLeft w:val="0"/>
      <w:marRight w:val="0"/>
      <w:marTop w:val="0"/>
      <w:marBottom w:val="0"/>
      <w:divBdr>
        <w:top w:val="none" w:sz="0" w:space="0" w:color="auto"/>
        <w:left w:val="none" w:sz="0" w:space="0" w:color="auto"/>
        <w:bottom w:val="none" w:sz="0" w:space="0" w:color="auto"/>
        <w:right w:val="none" w:sz="0" w:space="0" w:color="auto"/>
      </w:divBdr>
    </w:div>
    <w:div w:id="680935243">
      <w:bodyDiv w:val="1"/>
      <w:marLeft w:val="0"/>
      <w:marRight w:val="0"/>
      <w:marTop w:val="0"/>
      <w:marBottom w:val="0"/>
      <w:divBdr>
        <w:top w:val="none" w:sz="0" w:space="0" w:color="auto"/>
        <w:left w:val="none" w:sz="0" w:space="0" w:color="auto"/>
        <w:bottom w:val="none" w:sz="0" w:space="0" w:color="auto"/>
        <w:right w:val="none" w:sz="0" w:space="0" w:color="auto"/>
      </w:divBdr>
    </w:div>
    <w:div w:id="682976946">
      <w:bodyDiv w:val="1"/>
      <w:marLeft w:val="0"/>
      <w:marRight w:val="0"/>
      <w:marTop w:val="0"/>
      <w:marBottom w:val="0"/>
      <w:divBdr>
        <w:top w:val="none" w:sz="0" w:space="0" w:color="auto"/>
        <w:left w:val="none" w:sz="0" w:space="0" w:color="auto"/>
        <w:bottom w:val="none" w:sz="0" w:space="0" w:color="auto"/>
        <w:right w:val="none" w:sz="0" w:space="0" w:color="auto"/>
      </w:divBdr>
      <w:divsChild>
        <w:div w:id="1296643931">
          <w:marLeft w:val="0"/>
          <w:marRight w:val="0"/>
          <w:marTop w:val="0"/>
          <w:marBottom w:val="0"/>
          <w:divBdr>
            <w:top w:val="none" w:sz="0" w:space="0" w:color="auto"/>
            <w:left w:val="none" w:sz="0" w:space="0" w:color="auto"/>
            <w:bottom w:val="none" w:sz="0" w:space="0" w:color="auto"/>
            <w:right w:val="none" w:sz="0" w:space="0" w:color="auto"/>
          </w:divBdr>
          <w:divsChild>
            <w:div w:id="503517497">
              <w:marLeft w:val="0"/>
              <w:marRight w:val="0"/>
              <w:marTop w:val="0"/>
              <w:marBottom w:val="0"/>
              <w:divBdr>
                <w:top w:val="none" w:sz="0" w:space="0" w:color="auto"/>
                <w:left w:val="none" w:sz="0" w:space="0" w:color="auto"/>
                <w:bottom w:val="none" w:sz="0" w:space="0" w:color="auto"/>
                <w:right w:val="none" w:sz="0" w:space="0" w:color="auto"/>
              </w:divBdr>
              <w:divsChild>
                <w:div w:id="776216776">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690300282">
      <w:bodyDiv w:val="1"/>
      <w:marLeft w:val="0"/>
      <w:marRight w:val="0"/>
      <w:marTop w:val="0"/>
      <w:marBottom w:val="0"/>
      <w:divBdr>
        <w:top w:val="none" w:sz="0" w:space="0" w:color="auto"/>
        <w:left w:val="none" w:sz="0" w:space="0" w:color="auto"/>
        <w:bottom w:val="none" w:sz="0" w:space="0" w:color="auto"/>
        <w:right w:val="none" w:sz="0" w:space="0" w:color="auto"/>
      </w:divBdr>
    </w:div>
    <w:div w:id="714474790">
      <w:bodyDiv w:val="1"/>
      <w:marLeft w:val="0"/>
      <w:marRight w:val="0"/>
      <w:marTop w:val="0"/>
      <w:marBottom w:val="0"/>
      <w:divBdr>
        <w:top w:val="none" w:sz="0" w:space="0" w:color="auto"/>
        <w:left w:val="none" w:sz="0" w:space="0" w:color="auto"/>
        <w:bottom w:val="none" w:sz="0" w:space="0" w:color="auto"/>
        <w:right w:val="none" w:sz="0" w:space="0" w:color="auto"/>
      </w:divBdr>
    </w:div>
    <w:div w:id="716971697">
      <w:bodyDiv w:val="1"/>
      <w:marLeft w:val="0"/>
      <w:marRight w:val="0"/>
      <w:marTop w:val="0"/>
      <w:marBottom w:val="0"/>
      <w:divBdr>
        <w:top w:val="none" w:sz="0" w:space="0" w:color="auto"/>
        <w:left w:val="none" w:sz="0" w:space="0" w:color="auto"/>
        <w:bottom w:val="none" w:sz="0" w:space="0" w:color="auto"/>
        <w:right w:val="none" w:sz="0" w:space="0" w:color="auto"/>
      </w:divBdr>
    </w:div>
    <w:div w:id="740296346">
      <w:bodyDiv w:val="1"/>
      <w:marLeft w:val="0"/>
      <w:marRight w:val="0"/>
      <w:marTop w:val="0"/>
      <w:marBottom w:val="0"/>
      <w:divBdr>
        <w:top w:val="none" w:sz="0" w:space="0" w:color="auto"/>
        <w:left w:val="none" w:sz="0" w:space="0" w:color="auto"/>
        <w:bottom w:val="none" w:sz="0" w:space="0" w:color="auto"/>
        <w:right w:val="none" w:sz="0" w:space="0" w:color="auto"/>
      </w:divBdr>
    </w:div>
    <w:div w:id="743528385">
      <w:bodyDiv w:val="1"/>
      <w:marLeft w:val="0"/>
      <w:marRight w:val="0"/>
      <w:marTop w:val="0"/>
      <w:marBottom w:val="0"/>
      <w:divBdr>
        <w:top w:val="none" w:sz="0" w:space="0" w:color="auto"/>
        <w:left w:val="none" w:sz="0" w:space="0" w:color="auto"/>
        <w:bottom w:val="none" w:sz="0" w:space="0" w:color="auto"/>
        <w:right w:val="none" w:sz="0" w:space="0" w:color="auto"/>
      </w:divBdr>
    </w:div>
    <w:div w:id="764226596">
      <w:bodyDiv w:val="1"/>
      <w:marLeft w:val="0"/>
      <w:marRight w:val="0"/>
      <w:marTop w:val="0"/>
      <w:marBottom w:val="0"/>
      <w:divBdr>
        <w:top w:val="none" w:sz="0" w:space="0" w:color="auto"/>
        <w:left w:val="none" w:sz="0" w:space="0" w:color="auto"/>
        <w:bottom w:val="none" w:sz="0" w:space="0" w:color="auto"/>
        <w:right w:val="none" w:sz="0" w:space="0" w:color="auto"/>
      </w:divBdr>
    </w:div>
    <w:div w:id="772363492">
      <w:bodyDiv w:val="1"/>
      <w:marLeft w:val="0"/>
      <w:marRight w:val="0"/>
      <w:marTop w:val="0"/>
      <w:marBottom w:val="0"/>
      <w:divBdr>
        <w:top w:val="none" w:sz="0" w:space="0" w:color="auto"/>
        <w:left w:val="none" w:sz="0" w:space="0" w:color="auto"/>
        <w:bottom w:val="none" w:sz="0" w:space="0" w:color="auto"/>
        <w:right w:val="none" w:sz="0" w:space="0" w:color="auto"/>
      </w:divBdr>
    </w:div>
    <w:div w:id="776877108">
      <w:bodyDiv w:val="1"/>
      <w:marLeft w:val="0"/>
      <w:marRight w:val="0"/>
      <w:marTop w:val="0"/>
      <w:marBottom w:val="0"/>
      <w:divBdr>
        <w:top w:val="none" w:sz="0" w:space="0" w:color="auto"/>
        <w:left w:val="none" w:sz="0" w:space="0" w:color="auto"/>
        <w:bottom w:val="none" w:sz="0" w:space="0" w:color="auto"/>
        <w:right w:val="none" w:sz="0" w:space="0" w:color="auto"/>
      </w:divBdr>
    </w:div>
    <w:div w:id="780300565">
      <w:bodyDiv w:val="1"/>
      <w:marLeft w:val="0"/>
      <w:marRight w:val="0"/>
      <w:marTop w:val="0"/>
      <w:marBottom w:val="0"/>
      <w:divBdr>
        <w:top w:val="none" w:sz="0" w:space="0" w:color="auto"/>
        <w:left w:val="none" w:sz="0" w:space="0" w:color="auto"/>
        <w:bottom w:val="none" w:sz="0" w:space="0" w:color="auto"/>
        <w:right w:val="none" w:sz="0" w:space="0" w:color="auto"/>
      </w:divBdr>
    </w:div>
    <w:div w:id="787116375">
      <w:bodyDiv w:val="1"/>
      <w:marLeft w:val="0"/>
      <w:marRight w:val="0"/>
      <w:marTop w:val="0"/>
      <w:marBottom w:val="0"/>
      <w:divBdr>
        <w:top w:val="none" w:sz="0" w:space="0" w:color="auto"/>
        <w:left w:val="none" w:sz="0" w:space="0" w:color="auto"/>
        <w:bottom w:val="none" w:sz="0" w:space="0" w:color="auto"/>
        <w:right w:val="none" w:sz="0" w:space="0" w:color="auto"/>
      </w:divBdr>
    </w:div>
    <w:div w:id="799342942">
      <w:bodyDiv w:val="1"/>
      <w:marLeft w:val="0"/>
      <w:marRight w:val="0"/>
      <w:marTop w:val="0"/>
      <w:marBottom w:val="0"/>
      <w:divBdr>
        <w:top w:val="none" w:sz="0" w:space="0" w:color="auto"/>
        <w:left w:val="none" w:sz="0" w:space="0" w:color="auto"/>
        <w:bottom w:val="none" w:sz="0" w:space="0" w:color="auto"/>
        <w:right w:val="none" w:sz="0" w:space="0" w:color="auto"/>
      </w:divBdr>
    </w:div>
    <w:div w:id="814641656">
      <w:bodyDiv w:val="1"/>
      <w:marLeft w:val="0"/>
      <w:marRight w:val="0"/>
      <w:marTop w:val="0"/>
      <w:marBottom w:val="0"/>
      <w:divBdr>
        <w:top w:val="none" w:sz="0" w:space="0" w:color="auto"/>
        <w:left w:val="none" w:sz="0" w:space="0" w:color="auto"/>
        <w:bottom w:val="none" w:sz="0" w:space="0" w:color="auto"/>
        <w:right w:val="none" w:sz="0" w:space="0" w:color="auto"/>
      </w:divBdr>
    </w:div>
    <w:div w:id="824973471">
      <w:bodyDiv w:val="1"/>
      <w:marLeft w:val="0"/>
      <w:marRight w:val="0"/>
      <w:marTop w:val="0"/>
      <w:marBottom w:val="0"/>
      <w:divBdr>
        <w:top w:val="none" w:sz="0" w:space="0" w:color="auto"/>
        <w:left w:val="none" w:sz="0" w:space="0" w:color="auto"/>
        <w:bottom w:val="none" w:sz="0" w:space="0" w:color="auto"/>
        <w:right w:val="none" w:sz="0" w:space="0" w:color="auto"/>
      </w:divBdr>
    </w:div>
    <w:div w:id="853228077">
      <w:bodyDiv w:val="1"/>
      <w:marLeft w:val="0"/>
      <w:marRight w:val="0"/>
      <w:marTop w:val="0"/>
      <w:marBottom w:val="0"/>
      <w:divBdr>
        <w:top w:val="none" w:sz="0" w:space="0" w:color="auto"/>
        <w:left w:val="none" w:sz="0" w:space="0" w:color="auto"/>
        <w:bottom w:val="none" w:sz="0" w:space="0" w:color="auto"/>
        <w:right w:val="none" w:sz="0" w:space="0" w:color="auto"/>
      </w:divBdr>
    </w:div>
    <w:div w:id="893080848">
      <w:bodyDiv w:val="1"/>
      <w:marLeft w:val="0"/>
      <w:marRight w:val="0"/>
      <w:marTop w:val="0"/>
      <w:marBottom w:val="0"/>
      <w:divBdr>
        <w:top w:val="none" w:sz="0" w:space="0" w:color="auto"/>
        <w:left w:val="none" w:sz="0" w:space="0" w:color="auto"/>
        <w:bottom w:val="none" w:sz="0" w:space="0" w:color="auto"/>
        <w:right w:val="none" w:sz="0" w:space="0" w:color="auto"/>
      </w:divBdr>
    </w:div>
    <w:div w:id="901645781">
      <w:bodyDiv w:val="1"/>
      <w:marLeft w:val="0"/>
      <w:marRight w:val="0"/>
      <w:marTop w:val="0"/>
      <w:marBottom w:val="0"/>
      <w:divBdr>
        <w:top w:val="none" w:sz="0" w:space="0" w:color="auto"/>
        <w:left w:val="none" w:sz="0" w:space="0" w:color="auto"/>
        <w:bottom w:val="none" w:sz="0" w:space="0" w:color="auto"/>
        <w:right w:val="none" w:sz="0" w:space="0" w:color="auto"/>
      </w:divBdr>
    </w:div>
    <w:div w:id="902300294">
      <w:bodyDiv w:val="1"/>
      <w:marLeft w:val="0"/>
      <w:marRight w:val="0"/>
      <w:marTop w:val="0"/>
      <w:marBottom w:val="0"/>
      <w:divBdr>
        <w:top w:val="none" w:sz="0" w:space="0" w:color="auto"/>
        <w:left w:val="none" w:sz="0" w:space="0" w:color="auto"/>
        <w:bottom w:val="none" w:sz="0" w:space="0" w:color="auto"/>
        <w:right w:val="none" w:sz="0" w:space="0" w:color="auto"/>
      </w:divBdr>
    </w:div>
    <w:div w:id="923951332">
      <w:bodyDiv w:val="1"/>
      <w:marLeft w:val="0"/>
      <w:marRight w:val="0"/>
      <w:marTop w:val="0"/>
      <w:marBottom w:val="0"/>
      <w:divBdr>
        <w:top w:val="none" w:sz="0" w:space="0" w:color="auto"/>
        <w:left w:val="none" w:sz="0" w:space="0" w:color="auto"/>
        <w:bottom w:val="none" w:sz="0" w:space="0" w:color="auto"/>
        <w:right w:val="none" w:sz="0" w:space="0" w:color="auto"/>
      </w:divBdr>
    </w:div>
    <w:div w:id="924531405">
      <w:bodyDiv w:val="1"/>
      <w:marLeft w:val="0"/>
      <w:marRight w:val="0"/>
      <w:marTop w:val="0"/>
      <w:marBottom w:val="0"/>
      <w:divBdr>
        <w:top w:val="none" w:sz="0" w:space="0" w:color="auto"/>
        <w:left w:val="none" w:sz="0" w:space="0" w:color="auto"/>
        <w:bottom w:val="none" w:sz="0" w:space="0" w:color="auto"/>
        <w:right w:val="none" w:sz="0" w:space="0" w:color="auto"/>
      </w:divBdr>
    </w:div>
    <w:div w:id="929966168">
      <w:bodyDiv w:val="1"/>
      <w:marLeft w:val="0"/>
      <w:marRight w:val="0"/>
      <w:marTop w:val="0"/>
      <w:marBottom w:val="0"/>
      <w:divBdr>
        <w:top w:val="none" w:sz="0" w:space="0" w:color="auto"/>
        <w:left w:val="none" w:sz="0" w:space="0" w:color="auto"/>
        <w:bottom w:val="none" w:sz="0" w:space="0" w:color="auto"/>
        <w:right w:val="none" w:sz="0" w:space="0" w:color="auto"/>
      </w:divBdr>
    </w:div>
    <w:div w:id="937642950">
      <w:bodyDiv w:val="1"/>
      <w:marLeft w:val="0"/>
      <w:marRight w:val="0"/>
      <w:marTop w:val="0"/>
      <w:marBottom w:val="0"/>
      <w:divBdr>
        <w:top w:val="none" w:sz="0" w:space="0" w:color="auto"/>
        <w:left w:val="none" w:sz="0" w:space="0" w:color="auto"/>
        <w:bottom w:val="none" w:sz="0" w:space="0" w:color="auto"/>
        <w:right w:val="none" w:sz="0" w:space="0" w:color="auto"/>
      </w:divBdr>
    </w:div>
    <w:div w:id="952131376">
      <w:bodyDiv w:val="1"/>
      <w:marLeft w:val="0"/>
      <w:marRight w:val="0"/>
      <w:marTop w:val="0"/>
      <w:marBottom w:val="0"/>
      <w:divBdr>
        <w:top w:val="none" w:sz="0" w:space="0" w:color="auto"/>
        <w:left w:val="none" w:sz="0" w:space="0" w:color="auto"/>
        <w:bottom w:val="none" w:sz="0" w:space="0" w:color="auto"/>
        <w:right w:val="none" w:sz="0" w:space="0" w:color="auto"/>
      </w:divBdr>
    </w:div>
    <w:div w:id="952243925">
      <w:bodyDiv w:val="1"/>
      <w:marLeft w:val="0"/>
      <w:marRight w:val="0"/>
      <w:marTop w:val="0"/>
      <w:marBottom w:val="0"/>
      <w:divBdr>
        <w:top w:val="none" w:sz="0" w:space="0" w:color="auto"/>
        <w:left w:val="none" w:sz="0" w:space="0" w:color="auto"/>
        <w:bottom w:val="none" w:sz="0" w:space="0" w:color="auto"/>
        <w:right w:val="none" w:sz="0" w:space="0" w:color="auto"/>
      </w:divBdr>
    </w:div>
    <w:div w:id="957566358">
      <w:bodyDiv w:val="1"/>
      <w:marLeft w:val="0"/>
      <w:marRight w:val="0"/>
      <w:marTop w:val="0"/>
      <w:marBottom w:val="0"/>
      <w:divBdr>
        <w:top w:val="none" w:sz="0" w:space="0" w:color="auto"/>
        <w:left w:val="none" w:sz="0" w:space="0" w:color="auto"/>
        <w:bottom w:val="none" w:sz="0" w:space="0" w:color="auto"/>
        <w:right w:val="none" w:sz="0" w:space="0" w:color="auto"/>
      </w:divBdr>
    </w:div>
    <w:div w:id="973825279">
      <w:bodyDiv w:val="1"/>
      <w:marLeft w:val="0"/>
      <w:marRight w:val="0"/>
      <w:marTop w:val="0"/>
      <w:marBottom w:val="0"/>
      <w:divBdr>
        <w:top w:val="none" w:sz="0" w:space="0" w:color="auto"/>
        <w:left w:val="none" w:sz="0" w:space="0" w:color="auto"/>
        <w:bottom w:val="none" w:sz="0" w:space="0" w:color="auto"/>
        <w:right w:val="none" w:sz="0" w:space="0" w:color="auto"/>
      </w:divBdr>
    </w:div>
    <w:div w:id="976950787">
      <w:bodyDiv w:val="1"/>
      <w:marLeft w:val="0"/>
      <w:marRight w:val="0"/>
      <w:marTop w:val="0"/>
      <w:marBottom w:val="0"/>
      <w:divBdr>
        <w:top w:val="none" w:sz="0" w:space="0" w:color="auto"/>
        <w:left w:val="none" w:sz="0" w:space="0" w:color="auto"/>
        <w:bottom w:val="none" w:sz="0" w:space="0" w:color="auto"/>
        <w:right w:val="none" w:sz="0" w:space="0" w:color="auto"/>
      </w:divBdr>
    </w:div>
    <w:div w:id="991787082">
      <w:bodyDiv w:val="1"/>
      <w:marLeft w:val="0"/>
      <w:marRight w:val="0"/>
      <w:marTop w:val="0"/>
      <w:marBottom w:val="0"/>
      <w:divBdr>
        <w:top w:val="none" w:sz="0" w:space="0" w:color="auto"/>
        <w:left w:val="none" w:sz="0" w:space="0" w:color="auto"/>
        <w:bottom w:val="none" w:sz="0" w:space="0" w:color="auto"/>
        <w:right w:val="none" w:sz="0" w:space="0" w:color="auto"/>
      </w:divBdr>
    </w:div>
    <w:div w:id="1021778466">
      <w:bodyDiv w:val="1"/>
      <w:marLeft w:val="0"/>
      <w:marRight w:val="0"/>
      <w:marTop w:val="0"/>
      <w:marBottom w:val="0"/>
      <w:divBdr>
        <w:top w:val="none" w:sz="0" w:space="0" w:color="auto"/>
        <w:left w:val="none" w:sz="0" w:space="0" w:color="auto"/>
        <w:bottom w:val="none" w:sz="0" w:space="0" w:color="auto"/>
        <w:right w:val="none" w:sz="0" w:space="0" w:color="auto"/>
      </w:divBdr>
    </w:div>
    <w:div w:id="1025448473">
      <w:bodyDiv w:val="1"/>
      <w:marLeft w:val="0"/>
      <w:marRight w:val="0"/>
      <w:marTop w:val="0"/>
      <w:marBottom w:val="0"/>
      <w:divBdr>
        <w:top w:val="none" w:sz="0" w:space="0" w:color="auto"/>
        <w:left w:val="none" w:sz="0" w:space="0" w:color="auto"/>
        <w:bottom w:val="none" w:sz="0" w:space="0" w:color="auto"/>
        <w:right w:val="none" w:sz="0" w:space="0" w:color="auto"/>
      </w:divBdr>
    </w:div>
    <w:div w:id="1045519418">
      <w:bodyDiv w:val="1"/>
      <w:marLeft w:val="0"/>
      <w:marRight w:val="0"/>
      <w:marTop w:val="0"/>
      <w:marBottom w:val="0"/>
      <w:divBdr>
        <w:top w:val="none" w:sz="0" w:space="0" w:color="auto"/>
        <w:left w:val="none" w:sz="0" w:space="0" w:color="auto"/>
        <w:bottom w:val="none" w:sz="0" w:space="0" w:color="auto"/>
        <w:right w:val="none" w:sz="0" w:space="0" w:color="auto"/>
      </w:divBdr>
    </w:div>
    <w:div w:id="1047488709">
      <w:bodyDiv w:val="1"/>
      <w:marLeft w:val="0"/>
      <w:marRight w:val="0"/>
      <w:marTop w:val="0"/>
      <w:marBottom w:val="0"/>
      <w:divBdr>
        <w:top w:val="none" w:sz="0" w:space="0" w:color="auto"/>
        <w:left w:val="none" w:sz="0" w:space="0" w:color="auto"/>
        <w:bottom w:val="none" w:sz="0" w:space="0" w:color="auto"/>
        <w:right w:val="none" w:sz="0" w:space="0" w:color="auto"/>
      </w:divBdr>
    </w:div>
    <w:div w:id="1057244456">
      <w:bodyDiv w:val="1"/>
      <w:marLeft w:val="0"/>
      <w:marRight w:val="0"/>
      <w:marTop w:val="0"/>
      <w:marBottom w:val="0"/>
      <w:divBdr>
        <w:top w:val="none" w:sz="0" w:space="0" w:color="auto"/>
        <w:left w:val="none" w:sz="0" w:space="0" w:color="auto"/>
        <w:bottom w:val="none" w:sz="0" w:space="0" w:color="auto"/>
        <w:right w:val="none" w:sz="0" w:space="0" w:color="auto"/>
      </w:divBdr>
    </w:div>
    <w:div w:id="1058937286">
      <w:bodyDiv w:val="1"/>
      <w:marLeft w:val="0"/>
      <w:marRight w:val="0"/>
      <w:marTop w:val="0"/>
      <w:marBottom w:val="0"/>
      <w:divBdr>
        <w:top w:val="none" w:sz="0" w:space="0" w:color="auto"/>
        <w:left w:val="none" w:sz="0" w:space="0" w:color="auto"/>
        <w:bottom w:val="none" w:sz="0" w:space="0" w:color="auto"/>
        <w:right w:val="none" w:sz="0" w:space="0" w:color="auto"/>
      </w:divBdr>
    </w:div>
    <w:div w:id="1064720612">
      <w:bodyDiv w:val="1"/>
      <w:marLeft w:val="0"/>
      <w:marRight w:val="0"/>
      <w:marTop w:val="0"/>
      <w:marBottom w:val="0"/>
      <w:divBdr>
        <w:top w:val="none" w:sz="0" w:space="0" w:color="auto"/>
        <w:left w:val="none" w:sz="0" w:space="0" w:color="auto"/>
        <w:bottom w:val="none" w:sz="0" w:space="0" w:color="auto"/>
        <w:right w:val="none" w:sz="0" w:space="0" w:color="auto"/>
      </w:divBdr>
    </w:div>
    <w:div w:id="1077943770">
      <w:bodyDiv w:val="1"/>
      <w:marLeft w:val="0"/>
      <w:marRight w:val="0"/>
      <w:marTop w:val="0"/>
      <w:marBottom w:val="0"/>
      <w:divBdr>
        <w:top w:val="none" w:sz="0" w:space="0" w:color="auto"/>
        <w:left w:val="none" w:sz="0" w:space="0" w:color="auto"/>
        <w:bottom w:val="none" w:sz="0" w:space="0" w:color="auto"/>
        <w:right w:val="none" w:sz="0" w:space="0" w:color="auto"/>
      </w:divBdr>
    </w:div>
    <w:div w:id="1082607215">
      <w:bodyDiv w:val="1"/>
      <w:marLeft w:val="0"/>
      <w:marRight w:val="0"/>
      <w:marTop w:val="0"/>
      <w:marBottom w:val="0"/>
      <w:divBdr>
        <w:top w:val="none" w:sz="0" w:space="0" w:color="auto"/>
        <w:left w:val="none" w:sz="0" w:space="0" w:color="auto"/>
        <w:bottom w:val="none" w:sz="0" w:space="0" w:color="auto"/>
        <w:right w:val="none" w:sz="0" w:space="0" w:color="auto"/>
      </w:divBdr>
    </w:div>
    <w:div w:id="1096051333">
      <w:bodyDiv w:val="1"/>
      <w:marLeft w:val="0"/>
      <w:marRight w:val="0"/>
      <w:marTop w:val="0"/>
      <w:marBottom w:val="0"/>
      <w:divBdr>
        <w:top w:val="none" w:sz="0" w:space="0" w:color="auto"/>
        <w:left w:val="none" w:sz="0" w:space="0" w:color="auto"/>
        <w:bottom w:val="none" w:sz="0" w:space="0" w:color="auto"/>
        <w:right w:val="none" w:sz="0" w:space="0" w:color="auto"/>
      </w:divBdr>
    </w:div>
    <w:div w:id="1153834405">
      <w:bodyDiv w:val="1"/>
      <w:marLeft w:val="0"/>
      <w:marRight w:val="0"/>
      <w:marTop w:val="0"/>
      <w:marBottom w:val="0"/>
      <w:divBdr>
        <w:top w:val="none" w:sz="0" w:space="0" w:color="auto"/>
        <w:left w:val="none" w:sz="0" w:space="0" w:color="auto"/>
        <w:bottom w:val="none" w:sz="0" w:space="0" w:color="auto"/>
        <w:right w:val="none" w:sz="0" w:space="0" w:color="auto"/>
      </w:divBdr>
    </w:div>
    <w:div w:id="1185634625">
      <w:bodyDiv w:val="1"/>
      <w:marLeft w:val="0"/>
      <w:marRight w:val="0"/>
      <w:marTop w:val="0"/>
      <w:marBottom w:val="0"/>
      <w:divBdr>
        <w:top w:val="none" w:sz="0" w:space="0" w:color="auto"/>
        <w:left w:val="none" w:sz="0" w:space="0" w:color="auto"/>
        <w:bottom w:val="none" w:sz="0" w:space="0" w:color="auto"/>
        <w:right w:val="none" w:sz="0" w:space="0" w:color="auto"/>
      </w:divBdr>
    </w:div>
    <w:div w:id="1188060281">
      <w:bodyDiv w:val="1"/>
      <w:marLeft w:val="0"/>
      <w:marRight w:val="0"/>
      <w:marTop w:val="0"/>
      <w:marBottom w:val="0"/>
      <w:divBdr>
        <w:top w:val="none" w:sz="0" w:space="0" w:color="auto"/>
        <w:left w:val="none" w:sz="0" w:space="0" w:color="auto"/>
        <w:bottom w:val="none" w:sz="0" w:space="0" w:color="auto"/>
        <w:right w:val="none" w:sz="0" w:space="0" w:color="auto"/>
      </w:divBdr>
    </w:div>
    <w:div w:id="1191410692">
      <w:bodyDiv w:val="1"/>
      <w:marLeft w:val="0"/>
      <w:marRight w:val="0"/>
      <w:marTop w:val="0"/>
      <w:marBottom w:val="0"/>
      <w:divBdr>
        <w:top w:val="none" w:sz="0" w:space="0" w:color="auto"/>
        <w:left w:val="none" w:sz="0" w:space="0" w:color="auto"/>
        <w:bottom w:val="none" w:sz="0" w:space="0" w:color="auto"/>
        <w:right w:val="none" w:sz="0" w:space="0" w:color="auto"/>
      </w:divBdr>
    </w:div>
    <w:div w:id="1194463723">
      <w:bodyDiv w:val="1"/>
      <w:marLeft w:val="0"/>
      <w:marRight w:val="0"/>
      <w:marTop w:val="0"/>
      <w:marBottom w:val="0"/>
      <w:divBdr>
        <w:top w:val="none" w:sz="0" w:space="0" w:color="auto"/>
        <w:left w:val="none" w:sz="0" w:space="0" w:color="auto"/>
        <w:bottom w:val="none" w:sz="0" w:space="0" w:color="auto"/>
        <w:right w:val="none" w:sz="0" w:space="0" w:color="auto"/>
      </w:divBdr>
    </w:div>
    <w:div w:id="1201287702">
      <w:bodyDiv w:val="1"/>
      <w:marLeft w:val="0"/>
      <w:marRight w:val="0"/>
      <w:marTop w:val="0"/>
      <w:marBottom w:val="0"/>
      <w:divBdr>
        <w:top w:val="none" w:sz="0" w:space="0" w:color="auto"/>
        <w:left w:val="none" w:sz="0" w:space="0" w:color="auto"/>
        <w:bottom w:val="none" w:sz="0" w:space="0" w:color="auto"/>
        <w:right w:val="none" w:sz="0" w:space="0" w:color="auto"/>
      </w:divBdr>
    </w:div>
    <w:div w:id="1217814566">
      <w:bodyDiv w:val="1"/>
      <w:marLeft w:val="0"/>
      <w:marRight w:val="0"/>
      <w:marTop w:val="0"/>
      <w:marBottom w:val="0"/>
      <w:divBdr>
        <w:top w:val="none" w:sz="0" w:space="0" w:color="auto"/>
        <w:left w:val="none" w:sz="0" w:space="0" w:color="auto"/>
        <w:bottom w:val="none" w:sz="0" w:space="0" w:color="auto"/>
        <w:right w:val="none" w:sz="0" w:space="0" w:color="auto"/>
      </w:divBdr>
    </w:div>
    <w:div w:id="1218974936">
      <w:bodyDiv w:val="1"/>
      <w:marLeft w:val="0"/>
      <w:marRight w:val="0"/>
      <w:marTop w:val="0"/>
      <w:marBottom w:val="0"/>
      <w:divBdr>
        <w:top w:val="none" w:sz="0" w:space="0" w:color="auto"/>
        <w:left w:val="none" w:sz="0" w:space="0" w:color="auto"/>
        <w:bottom w:val="none" w:sz="0" w:space="0" w:color="auto"/>
        <w:right w:val="none" w:sz="0" w:space="0" w:color="auto"/>
      </w:divBdr>
    </w:div>
    <w:div w:id="1234244670">
      <w:bodyDiv w:val="1"/>
      <w:marLeft w:val="0"/>
      <w:marRight w:val="0"/>
      <w:marTop w:val="0"/>
      <w:marBottom w:val="0"/>
      <w:divBdr>
        <w:top w:val="none" w:sz="0" w:space="0" w:color="auto"/>
        <w:left w:val="none" w:sz="0" w:space="0" w:color="auto"/>
        <w:bottom w:val="none" w:sz="0" w:space="0" w:color="auto"/>
        <w:right w:val="none" w:sz="0" w:space="0" w:color="auto"/>
      </w:divBdr>
    </w:div>
    <w:div w:id="1238976544">
      <w:bodyDiv w:val="1"/>
      <w:marLeft w:val="0"/>
      <w:marRight w:val="0"/>
      <w:marTop w:val="0"/>
      <w:marBottom w:val="0"/>
      <w:divBdr>
        <w:top w:val="none" w:sz="0" w:space="0" w:color="auto"/>
        <w:left w:val="none" w:sz="0" w:space="0" w:color="auto"/>
        <w:bottom w:val="none" w:sz="0" w:space="0" w:color="auto"/>
        <w:right w:val="none" w:sz="0" w:space="0" w:color="auto"/>
      </w:divBdr>
    </w:div>
    <w:div w:id="1242983017">
      <w:bodyDiv w:val="1"/>
      <w:marLeft w:val="0"/>
      <w:marRight w:val="0"/>
      <w:marTop w:val="0"/>
      <w:marBottom w:val="0"/>
      <w:divBdr>
        <w:top w:val="none" w:sz="0" w:space="0" w:color="auto"/>
        <w:left w:val="none" w:sz="0" w:space="0" w:color="auto"/>
        <w:bottom w:val="none" w:sz="0" w:space="0" w:color="auto"/>
        <w:right w:val="none" w:sz="0" w:space="0" w:color="auto"/>
      </w:divBdr>
    </w:div>
    <w:div w:id="1249775884">
      <w:bodyDiv w:val="1"/>
      <w:marLeft w:val="0"/>
      <w:marRight w:val="0"/>
      <w:marTop w:val="0"/>
      <w:marBottom w:val="0"/>
      <w:divBdr>
        <w:top w:val="none" w:sz="0" w:space="0" w:color="auto"/>
        <w:left w:val="none" w:sz="0" w:space="0" w:color="auto"/>
        <w:bottom w:val="none" w:sz="0" w:space="0" w:color="auto"/>
        <w:right w:val="none" w:sz="0" w:space="0" w:color="auto"/>
      </w:divBdr>
    </w:div>
    <w:div w:id="1250195694">
      <w:bodyDiv w:val="1"/>
      <w:marLeft w:val="0"/>
      <w:marRight w:val="0"/>
      <w:marTop w:val="0"/>
      <w:marBottom w:val="0"/>
      <w:divBdr>
        <w:top w:val="none" w:sz="0" w:space="0" w:color="auto"/>
        <w:left w:val="none" w:sz="0" w:space="0" w:color="auto"/>
        <w:bottom w:val="none" w:sz="0" w:space="0" w:color="auto"/>
        <w:right w:val="none" w:sz="0" w:space="0" w:color="auto"/>
      </w:divBdr>
    </w:div>
    <w:div w:id="1292175319">
      <w:bodyDiv w:val="1"/>
      <w:marLeft w:val="0"/>
      <w:marRight w:val="0"/>
      <w:marTop w:val="0"/>
      <w:marBottom w:val="0"/>
      <w:divBdr>
        <w:top w:val="none" w:sz="0" w:space="0" w:color="auto"/>
        <w:left w:val="none" w:sz="0" w:space="0" w:color="auto"/>
        <w:bottom w:val="none" w:sz="0" w:space="0" w:color="auto"/>
        <w:right w:val="none" w:sz="0" w:space="0" w:color="auto"/>
      </w:divBdr>
    </w:div>
    <w:div w:id="1332641119">
      <w:bodyDiv w:val="1"/>
      <w:marLeft w:val="0"/>
      <w:marRight w:val="0"/>
      <w:marTop w:val="0"/>
      <w:marBottom w:val="0"/>
      <w:divBdr>
        <w:top w:val="none" w:sz="0" w:space="0" w:color="auto"/>
        <w:left w:val="none" w:sz="0" w:space="0" w:color="auto"/>
        <w:bottom w:val="none" w:sz="0" w:space="0" w:color="auto"/>
        <w:right w:val="none" w:sz="0" w:space="0" w:color="auto"/>
      </w:divBdr>
    </w:div>
    <w:div w:id="1359357519">
      <w:bodyDiv w:val="1"/>
      <w:marLeft w:val="0"/>
      <w:marRight w:val="0"/>
      <w:marTop w:val="0"/>
      <w:marBottom w:val="0"/>
      <w:divBdr>
        <w:top w:val="none" w:sz="0" w:space="0" w:color="auto"/>
        <w:left w:val="none" w:sz="0" w:space="0" w:color="auto"/>
        <w:bottom w:val="none" w:sz="0" w:space="0" w:color="auto"/>
        <w:right w:val="none" w:sz="0" w:space="0" w:color="auto"/>
      </w:divBdr>
    </w:div>
    <w:div w:id="1377123569">
      <w:bodyDiv w:val="1"/>
      <w:marLeft w:val="0"/>
      <w:marRight w:val="0"/>
      <w:marTop w:val="0"/>
      <w:marBottom w:val="0"/>
      <w:divBdr>
        <w:top w:val="none" w:sz="0" w:space="0" w:color="auto"/>
        <w:left w:val="none" w:sz="0" w:space="0" w:color="auto"/>
        <w:bottom w:val="none" w:sz="0" w:space="0" w:color="auto"/>
        <w:right w:val="none" w:sz="0" w:space="0" w:color="auto"/>
      </w:divBdr>
    </w:div>
    <w:div w:id="1378697753">
      <w:bodyDiv w:val="1"/>
      <w:marLeft w:val="0"/>
      <w:marRight w:val="0"/>
      <w:marTop w:val="0"/>
      <w:marBottom w:val="0"/>
      <w:divBdr>
        <w:top w:val="none" w:sz="0" w:space="0" w:color="auto"/>
        <w:left w:val="none" w:sz="0" w:space="0" w:color="auto"/>
        <w:bottom w:val="none" w:sz="0" w:space="0" w:color="auto"/>
        <w:right w:val="none" w:sz="0" w:space="0" w:color="auto"/>
      </w:divBdr>
    </w:div>
    <w:div w:id="1385642658">
      <w:bodyDiv w:val="1"/>
      <w:marLeft w:val="0"/>
      <w:marRight w:val="0"/>
      <w:marTop w:val="0"/>
      <w:marBottom w:val="0"/>
      <w:divBdr>
        <w:top w:val="none" w:sz="0" w:space="0" w:color="auto"/>
        <w:left w:val="none" w:sz="0" w:space="0" w:color="auto"/>
        <w:bottom w:val="none" w:sz="0" w:space="0" w:color="auto"/>
        <w:right w:val="none" w:sz="0" w:space="0" w:color="auto"/>
      </w:divBdr>
    </w:div>
    <w:div w:id="1395397806">
      <w:bodyDiv w:val="1"/>
      <w:marLeft w:val="0"/>
      <w:marRight w:val="0"/>
      <w:marTop w:val="0"/>
      <w:marBottom w:val="0"/>
      <w:divBdr>
        <w:top w:val="none" w:sz="0" w:space="0" w:color="auto"/>
        <w:left w:val="none" w:sz="0" w:space="0" w:color="auto"/>
        <w:bottom w:val="none" w:sz="0" w:space="0" w:color="auto"/>
        <w:right w:val="none" w:sz="0" w:space="0" w:color="auto"/>
      </w:divBdr>
    </w:div>
    <w:div w:id="1406535990">
      <w:bodyDiv w:val="1"/>
      <w:marLeft w:val="0"/>
      <w:marRight w:val="0"/>
      <w:marTop w:val="0"/>
      <w:marBottom w:val="0"/>
      <w:divBdr>
        <w:top w:val="none" w:sz="0" w:space="0" w:color="auto"/>
        <w:left w:val="none" w:sz="0" w:space="0" w:color="auto"/>
        <w:bottom w:val="none" w:sz="0" w:space="0" w:color="auto"/>
        <w:right w:val="none" w:sz="0" w:space="0" w:color="auto"/>
      </w:divBdr>
    </w:div>
    <w:div w:id="1407072280">
      <w:bodyDiv w:val="1"/>
      <w:marLeft w:val="0"/>
      <w:marRight w:val="0"/>
      <w:marTop w:val="0"/>
      <w:marBottom w:val="0"/>
      <w:divBdr>
        <w:top w:val="none" w:sz="0" w:space="0" w:color="auto"/>
        <w:left w:val="none" w:sz="0" w:space="0" w:color="auto"/>
        <w:bottom w:val="none" w:sz="0" w:space="0" w:color="auto"/>
        <w:right w:val="none" w:sz="0" w:space="0" w:color="auto"/>
      </w:divBdr>
    </w:div>
    <w:div w:id="1469861736">
      <w:bodyDiv w:val="1"/>
      <w:marLeft w:val="0"/>
      <w:marRight w:val="0"/>
      <w:marTop w:val="0"/>
      <w:marBottom w:val="0"/>
      <w:divBdr>
        <w:top w:val="none" w:sz="0" w:space="0" w:color="auto"/>
        <w:left w:val="none" w:sz="0" w:space="0" w:color="auto"/>
        <w:bottom w:val="none" w:sz="0" w:space="0" w:color="auto"/>
        <w:right w:val="none" w:sz="0" w:space="0" w:color="auto"/>
      </w:divBdr>
    </w:div>
    <w:div w:id="1470516974">
      <w:bodyDiv w:val="1"/>
      <w:marLeft w:val="0"/>
      <w:marRight w:val="0"/>
      <w:marTop w:val="0"/>
      <w:marBottom w:val="0"/>
      <w:divBdr>
        <w:top w:val="none" w:sz="0" w:space="0" w:color="auto"/>
        <w:left w:val="none" w:sz="0" w:space="0" w:color="auto"/>
        <w:bottom w:val="none" w:sz="0" w:space="0" w:color="auto"/>
        <w:right w:val="none" w:sz="0" w:space="0" w:color="auto"/>
      </w:divBdr>
    </w:div>
    <w:div w:id="1484353505">
      <w:bodyDiv w:val="1"/>
      <w:marLeft w:val="0"/>
      <w:marRight w:val="0"/>
      <w:marTop w:val="0"/>
      <w:marBottom w:val="0"/>
      <w:divBdr>
        <w:top w:val="none" w:sz="0" w:space="0" w:color="auto"/>
        <w:left w:val="none" w:sz="0" w:space="0" w:color="auto"/>
        <w:bottom w:val="none" w:sz="0" w:space="0" w:color="auto"/>
        <w:right w:val="none" w:sz="0" w:space="0" w:color="auto"/>
      </w:divBdr>
    </w:div>
    <w:div w:id="1488133709">
      <w:bodyDiv w:val="1"/>
      <w:marLeft w:val="0"/>
      <w:marRight w:val="0"/>
      <w:marTop w:val="0"/>
      <w:marBottom w:val="0"/>
      <w:divBdr>
        <w:top w:val="none" w:sz="0" w:space="0" w:color="auto"/>
        <w:left w:val="none" w:sz="0" w:space="0" w:color="auto"/>
        <w:bottom w:val="none" w:sz="0" w:space="0" w:color="auto"/>
        <w:right w:val="none" w:sz="0" w:space="0" w:color="auto"/>
      </w:divBdr>
    </w:div>
    <w:div w:id="1514997268">
      <w:bodyDiv w:val="1"/>
      <w:marLeft w:val="0"/>
      <w:marRight w:val="0"/>
      <w:marTop w:val="0"/>
      <w:marBottom w:val="0"/>
      <w:divBdr>
        <w:top w:val="none" w:sz="0" w:space="0" w:color="auto"/>
        <w:left w:val="none" w:sz="0" w:space="0" w:color="auto"/>
        <w:bottom w:val="none" w:sz="0" w:space="0" w:color="auto"/>
        <w:right w:val="none" w:sz="0" w:space="0" w:color="auto"/>
      </w:divBdr>
    </w:div>
    <w:div w:id="1522738554">
      <w:bodyDiv w:val="1"/>
      <w:marLeft w:val="0"/>
      <w:marRight w:val="0"/>
      <w:marTop w:val="0"/>
      <w:marBottom w:val="0"/>
      <w:divBdr>
        <w:top w:val="none" w:sz="0" w:space="0" w:color="auto"/>
        <w:left w:val="none" w:sz="0" w:space="0" w:color="auto"/>
        <w:bottom w:val="none" w:sz="0" w:space="0" w:color="auto"/>
        <w:right w:val="none" w:sz="0" w:space="0" w:color="auto"/>
      </w:divBdr>
    </w:div>
    <w:div w:id="1533377568">
      <w:bodyDiv w:val="1"/>
      <w:marLeft w:val="0"/>
      <w:marRight w:val="0"/>
      <w:marTop w:val="0"/>
      <w:marBottom w:val="0"/>
      <w:divBdr>
        <w:top w:val="none" w:sz="0" w:space="0" w:color="auto"/>
        <w:left w:val="none" w:sz="0" w:space="0" w:color="auto"/>
        <w:bottom w:val="none" w:sz="0" w:space="0" w:color="auto"/>
        <w:right w:val="none" w:sz="0" w:space="0" w:color="auto"/>
      </w:divBdr>
    </w:div>
    <w:div w:id="1548175604">
      <w:bodyDiv w:val="1"/>
      <w:marLeft w:val="0"/>
      <w:marRight w:val="0"/>
      <w:marTop w:val="0"/>
      <w:marBottom w:val="0"/>
      <w:divBdr>
        <w:top w:val="none" w:sz="0" w:space="0" w:color="auto"/>
        <w:left w:val="none" w:sz="0" w:space="0" w:color="auto"/>
        <w:bottom w:val="none" w:sz="0" w:space="0" w:color="auto"/>
        <w:right w:val="none" w:sz="0" w:space="0" w:color="auto"/>
      </w:divBdr>
    </w:div>
    <w:div w:id="1570799586">
      <w:bodyDiv w:val="1"/>
      <w:marLeft w:val="0"/>
      <w:marRight w:val="0"/>
      <w:marTop w:val="0"/>
      <w:marBottom w:val="0"/>
      <w:divBdr>
        <w:top w:val="none" w:sz="0" w:space="0" w:color="auto"/>
        <w:left w:val="none" w:sz="0" w:space="0" w:color="auto"/>
        <w:bottom w:val="none" w:sz="0" w:space="0" w:color="auto"/>
        <w:right w:val="none" w:sz="0" w:space="0" w:color="auto"/>
      </w:divBdr>
    </w:div>
    <w:div w:id="1598446478">
      <w:bodyDiv w:val="1"/>
      <w:marLeft w:val="0"/>
      <w:marRight w:val="0"/>
      <w:marTop w:val="0"/>
      <w:marBottom w:val="0"/>
      <w:divBdr>
        <w:top w:val="none" w:sz="0" w:space="0" w:color="auto"/>
        <w:left w:val="none" w:sz="0" w:space="0" w:color="auto"/>
        <w:bottom w:val="none" w:sz="0" w:space="0" w:color="auto"/>
        <w:right w:val="none" w:sz="0" w:space="0" w:color="auto"/>
      </w:divBdr>
    </w:div>
    <w:div w:id="1606185670">
      <w:bodyDiv w:val="1"/>
      <w:marLeft w:val="0"/>
      <w:marRight w:val="0"/>
      <w:marTop w:val="0"/>
      <w:marBottom w:val="0"/>
      <w:divBdr>
        <w:top w:val="none" w:sz="0" w:space="0" w:color="auto"/>
        <w:left w:val="none" w:sz="0" w:space="0" w:color="auto"/>
        <w:bottom w:val="none" w:sz="0" w:space="0" w:color="auto"/>
        <w:right w:val="none" w:sz="0" w:space="0" w:color="auto"/>
      </w:divBdr>
    </w:div>
    <w:div w:id="1607078482">
      <w:bodyDiv w:val="1"/>
      <w:marLeft w:val="0"/>
      <w:marRight w:val="0"/>
      <w:marTop w:val="0"/>
      <w:marBottom w:val="0"/>
      <w:divBdr>
        <w:top w:val="none" w:sz="0" w:space="0" w:color="auto"/>
        <w:left w:val="none" w:sz="0" w:space="0" w:color="auto"/>
        <w:bottom w:val="none" w:sz="0" w:space="0" w:color="auto"/>
        <w:right w:val="none" w:sz="0" w:space="0" w:color="auto"/>
      </w:divBdr>
    </w:div>
    <w:div w:id="1609658346">
      <w:bodyDiv w:val="1"/>
      <w:marLeft w:val="0"/>
      <w:marRight w:val="0"/>
      <w:marTop w:val="0"/>
      <w:marBottom w:val="0"/>
      <w:divBdr>
        <w:top w:val="none" w:sz="0" w:space="0" w:color="auto"/>
        <w:left w:val="none" w:sz="0" w:space="0" w:color="auto"/>
        <w:bottom w:val="none" w:sz="0" w:space="0" w:color="auto"/>
        <w:right w:val="none" w:sz="0" w:space="0" w:color="auto"/>
      </w:divBdr>
    </w:div>
    <w:div w:id="1624071278">
      <w:bodyDiv w:val="1"/>
      <w:marLeft w:val="0"/>
      <w:marRight w:val="0"/>
      <w:marTop w:val="0"/>
      <w:marBottom w:val="0"/>
      <w:divBdr>
        <w:top w:val="none" w:sz="0" w:space="0" w:color="auto"/>
        <w:left w:val="none" w:sz="0" w:space="0" w:color="auto"/>
        <w:bottom w:val="none" w:sz="0" w:space="0" w:color="auto"/>
        <w:right w:val="none" w:sz="0" w:space="0" w:color="auto"/>
      </w:divBdr>
    </w:div>
    <w:div w:id="1629816581">
      <w:bodyDiv w:val="1"/>
      <w:marLeft w:val="0"/>
      <w:marRight w:val="0"/>
      <w:marTop w:val="0"/>
      <w:marBottom w:val="0"/>
      <w:divBdr>
        <w:top w:val="none" w:sz="0" w:space="0" w:color="auto"/>
        <w:left w:val="none" w:sz="0" w:space="0" w:color="auto"/>
        <w:bottom w:val="none" w:sz="0" w:space="0" w:color="auto"/>
        <w:right w:val="none" w:sz="0" w:space="0" w:color="auto"/>
      </w:divBdr>
    </w:div>
    <w:div w:id="1645697406">
      <w:bodyDiv w:val="1"/>
      <w:marLeft w:val="0"/>
      <w:marRight w:val="0"/>
      <w:marTop w:val="0"/>
      <w:marBottom w:val="0"/>
      <w:divBdr>
        <w:top w:val="none" w:sz="0" w:space="0" w:color="auto"/>
        <w:left w:val="none" w:sz="0" w:space="0" w:color="auto"/>
        <w:bottom w:val="none" w:sz="0" w:space="0" w:color="auto"/>
        <w:right w:val="none" w:sz="0" w:space="0" w:color="auto"/>
      </w:divBdr>
    </w:div>
    <w:div w:id="1647472580">
      <w:bodyDiv w:val="1"/>
      <w:marLeft w:val="0"/>
      <w:marRight w:val="0"/>
      <w:marTop w:val="0"/>
      <w:marBottom w:val="0"/>
      <w:divBdr>
        <w:top w:val="none" w:sz="0" w:space="0" w:color="auto"/>
        <w:left w:val="none" w:sz="0" w:space="0" w:color="auto"/>
        <w:bottom w:val="none" w:sz="0" w:space="0" w:color="auto"/>
        <w:right w:val="none" w:sz="0" w:space="0" w:color="auto"/>
      </w:divBdr>
    </w:div>
    <w:div w:id="1652443992">
      <w:bodyDiv w:val="1"/>
      <w:marLeft w:val="0"/>
      <w:marRight w:val="0"/>
      <w:marTop w:val="0"/>
      <w:marBottom w:val="0"/>
      <w:divBdr>
        <w:top w:val="none" w:sz="0" w:space="0" w:color="auto"/>
        <w:left w:val="none" w:sz="0" w:space="0" w:color="auto"/>
        <w:bottom w:val="none" w:sz="0" w:space="0" w:color="auto"/>
        <w:right w:val="none" w:sz="0" w:space="0" w:color="auto"/>
      </w:divBdr>
    </w:div>
    <w:div w:id="1656449944">
      <w:bodyDiv w:val="1"/>
      <w:marLeft w:val="0"/>
      <w:marRight w:val="0"/>
      <w:marTop w:val="0"/>
      <w:marBottom w:val="0"/>
      <w:divBdr>
        <w:top w:val="none" w:sz="0" w:space="0" w:color="auto"/>
        <w:left w:val="none" w:sz="0" w:space="0" w:color="auto"/>
        <w:bottom w:val="none" w:sz="0" w:space="0" w:color="auto"/>
        <w:right w:val="none" w:sz="0" w:space="0" w:color="auto"/>
      </w:divBdr>
    </w:div>
    <w:div w:id="1666129545">
      <w:bodyDiv w:val="1"/>
      <w:marLeft w:val="0"/>
      <w:marRight w:val="0"/>
      <w:marTop w:val="0"/>
      <w:marBottom w:val="0"/>
      <w:divBdr>
        <w:top w:val="none" w:sz="0" w:space="0" w:color="auto"/>
        <w:left w:val="none" w:sz="0" w:space="0" w:color="auto"/>
        <w:bottom w:val="none" w:sz="0" w:space="0" w:color="auto"/>
        <w:right w:val="none" w:sz="0" w:space="0" w:color="auto"/>
      </w:divBdr>
    </w:div>
    <w:div w:id="1676148978">
      <w:bodyDiv w:val="1"/>
      <w:marLeft w:val="0"/>
      <w:marRight w:val="0"/>
      <w:marTop w:val="0"/>
      <w:marBottom w:val="0"/>
      <w:divBdr>
        <w:top w:val="none" w:sz="0" w:space="0" w:color="auto"/>
        <w:left w:val="none" w:sz="0" w:space="0" w:color="auto"/>
        <w:bottom w:val="none" w:sz="0" w:space="0" w:color="auto"/>
        <w:right w:val="none" w:sz="0" w:space="0" w:color="auto"/>
      </w:divBdr>
    </w:div>
    <w:div w:id="1764760020">
      <w:bodyDiv w:val="1"/>
      <w:marLeft w:val="0"/>
      <w:marRight w:val="0"/>
      <w:marTop w:val="0"/>
      <w:marBottom w:val="0"/>
      <w:divBdr>
        <w:top w:val="none" w:sz="0" w:space="0" w:color="auto"/>
        <w:left w:val="none" w:sz="0" w:space="0" w:color="auto"/>
        <w:bottom w:val="none" w:sz="0" w:space="0" w:color="auto"/>
        <w:right w:val="none" w:sz="0" w:space="0" w:color="auto"/>
      </w:divBdr>
    </w:div>
    <w:div w:id="1775636303">
      <w:bodyDiv w:val="1"/>
      <w:marLeft w:val="0"/>
      <w:marRight w:val="0"/>
      <w:marTop w:val="0"/>
      <w:marBottom w:val="0"/>
      <w:divBdr>
        <w:top w:val="none" w:sz="0" w:space="0" w:color="auto"/>
        <w:left w:val="none" w:sz="0" w:space="0" w:color="auto"/>
        <w:bottom w:val="none" w:sz="0" w:space="0" w:color="auto"/>
        <w:right w:val="none" w:sz="0" w:space="0" w:color="auto"/>
      </w:divBdr>
    </w:div>
    <w:div w:id="1778403734">
      <w:bodyDiv w:val="1"/>
      <w:marLeft w:val="0"/>
      <w:marRight w:val="0"/>
      <w:marTop w:val="0"/>
      <w:marBottom w:val="0"/>
      <w:divBdr>
        <w:top w:val="none" w:sz="0" w:space="0" w:color="auto"/>
        <w:left w:val="none" w:sz="0" w:space="0" w:color="auto"/>
        <w:bottom w:val="none" w:sz="0" w:space="0" w:color="auto"/>
        <w:right w:val="none" w:sz="0" w:space="0" w:color="auto"/>
      </w:divBdr>
    </w:div>
    <w:div w:id="1786121179">
      <w:bodyDiv w:val="1"/>
      <w:marLeft w:val="0"/>
      <w:marRight w:val="0"/>
      <w:marTop w:val="0"/>
      <w:marBottom w:val="0"/>
      <w:divBdr>
        <w:top w:val="none" w:sz="0" w:space="0" w:color="auto"/>
        <w:left w:val="none" w:sz="0" w:space="0" w:color="auto"/>
        <w:bottom w:val="none" w:sz="0" w:space="0" w:color="auto"/>
        <w:right w:val="none" w:sz="0" w:space="0" w:color="auto"/>
      </w:divBdr>
    </w:div>
    <w:div w:id="1801416878">
      <w:bodyDiv w:val="1"/>
      <w:marLeft w:val="0"/>
      <w:marRight w:val="0"/>
      <w:marTop w:val="0"/>
      <w:marBottom w:val="0"/>
      <w:divBdr>
        <w:top w:val="none" w:sz="0" w:space="0" w:color="auto"/>
        <w:left w:val="none" w:sz="0" w:space="0" w:color="auto"/>
        <w:bottom w:val="none" w:sz="0" w:space="0" w:color="auto"/>
        <w:right w:val="none" w:sz="0" w:space="0" w:color="auto"/>
      </w:divBdr>
    </w:div>
    <w:div w:id="1810973120">
      <w:bodyDiv w:val="1"/>
      <w:marLeft w:val="0"/>
      <w:marRight w:val="0"/>
      <w:marTop w:val="0"/>
      <w:marBottom w:val="0"/>
      <w:divBdr>
        <w:top w:val="none" w:sz="0" w:space="0" w:color="auto"/>
        <w:left w:val="none" w:sz="0" w:space="0" w:color="auto"/>
        <w:bottom w:val="none" w:sz="0" w:space="0" w:color="auto"/>
        <w:right w:val="none" w:sz="0" w:space="0" w:color="auto"/>
      </w:divBdr>
    </w:div>
    <w:div w:id="1814171831">
      <w:bodyDiv w:val="1"/>
      <w:marLeft w:val="0"/>
      <w:marRight w:val="0"/>
      <w:marTop w:val="0"/>
      <w:marBottom w:val="0"/>
      <w:divBdr>
        <w:top w:val="none" w:sz="0" w:space="0" w:color="auto"/>
        <w:left w:val="none" w:sz="0" w:space="0" w:color="auto"/>
        <w:bottom w:val="none" w:sz="0" w:space="0" w:color="auto"/>
        <w:right w:val="none" w:sz="0" w:space="0" w:color="auto"/>
      </w:divBdr>
    </w:div>
    <w:div w:id="1827285500">
      <w:bodyDiv w:val="1"/>
      <w:marLeft w:val="0"/>
      <w:marRight w:val="0"/>
      <w:marTop w:val="0"/>
      <w:marBottom w:val="0"/>
      <w:divBdr>
        <w:top w:val="none" w:sz="0" w:space="0" w:color="auto"/>
        <w:left w:val="none" w:sz="0" w:space="0" w:color="auto"/>
        <w:bottom w:val="none" w:sz="0" w:space="0" w:color="auto"/>
        <w:right w:val="none" w:sz="0" w:space="0" w:color="auto"/>
      </w:divBdr>
    </w:div>
    <w:div w:id="1842355892">
      <w:bodyDiv w:val="1"/>
      <w:marLeft w:val="0"/>
      <w:marRight w:val="0"/>
      <w:marTop w:val="0"/>
      <w:marBottom w:val="0"/>
      <w:divBdr>
        <w:top w:val="none" w:sz="0" w:space="0" w:color="auto"/>
        <w:left w:val="none" w:sz="0" w:space="0" w:color="auto"/>
        <w:bottom w:val="none" w:sz="0" w:space="0" w:color="auto"/>
        <w:right w:val="none" w:sz="0" w:space="0" w:color="auto"/>
      </w:divBdr>
    </w:div>
    <w:div w:id="1870944897">
      <w:bodyDiv w:val="1"/>
      <w:marLeft w:val="0"/>
      <w:marRight w:val="0"/>
      <w:marTop w:val="0"/>
      <w:marBottom w:val="0"/>
      <w:divBdr>
        <w:top w:val="none" w:sz="0" w:space="0" w:color="auto"/>
        <w:left w:val="none" w:sz="0" w:space="0" w:color="auto"/>
        <w:bottom w:val="none" w:sz="0" w:space="0" w:color="auto"/>
        <w:right w:val="none" w:sz="0" w:space="0" w:color="auto"/>
      </w:divBdr>
    </w:div>
    <w:div w:id="1872064632">
      <w:bodyDiv w:val="1"/>
      <w:marLeft w:val="0"/>
      <w:marRight w:val="0"/>
      <w:marTop w:val="0"/>
      <w:marBottom w:val="0"/>
      <w:divBdr>
        <w:top w:val="none" w:sz="0" w:space="0" w:color="auto"/>
        <w:left w:val="none" w:sz="0" w:space="0" w:color="auto"/>
        <w:bottom w:val="none" w:sz="0" w:space="0" w:color="auto"/>
        <w:right w:val="none" w:sz="0" w:space="0" w:color="auto"/>
      </w:divBdr>
    </w:div>
    <w:div w:id="1874227497">
      <w:bodyDiv w:val="1"/>
      <w:marLeft w:val="0"/>
      <w:marRight w:val="0"/>
      <w:marTop w:val="0"/>
      <w:marBottom w:val="0"/>
      <w:divBdr>
        <w:top w:val="none" w:sz="0" w:space="0" w:color="auto"/>
        <w:left w:val="none" w:sz="0" w:space="0" w:color="auto"/>
        <w:bottom w:val="none" w:sz="0" w:space="0" w:color="auto"/>
        <w:right w:val="none" w:sz="0" w:space="0" w:color="auto"/>
      </w:divBdr>
    </w:div>
    <w:div w:id="1889684724">
      <w:bodyDiv w:val="1"/>
      <w:marLeft w:val="0"/>
      <w:marRight w:val="0"/>
      <w:marTop w:val="0"/>
      <w:marBottom w:val="0"/>
      <w:divBdr>
        <w:top w:val="none" w:sz="0" w:space="0" w:color="auto"/>
        <w:left w:val="none" w:sz="0" w:space="0" w:color="auto"/>
        <w:bottom w:val="none" w:sz="0" w:space="0" w:color="auto"/>
        <w:right w:val="none" w:sz="0" w:space="0" w:color="auto"/>
      </w:divBdr>
    </w:div>
    <w:div w:id="1918317733">
      <w:bodyDiv w:val="1"/>
      <w:marLeft w:val="0"/>
      <w:marRight w:val="0"/>
      <w:marTop w:val="0"/>
      <w:marBottom w:val="0"/>
      <w:divBdr>
        <w:top w:val="none" w:sz="0" w:space="0" w:color="auto"/>
        <w:left w:val="none" w:sz="0" w:space="0" w:color="auto"/>
        <w:bottom w:val="none" w:sz="0" w:space="0" w:color="auto"/>
        <w:right w:val="none" w:sz="0" w:space="0" w:color="auto"/>
      </w:divBdr>
    </w:div>
    <w:div w:id="1918975200">
      <w:bodyDiv w:val="1"/>
      <w:marLeft w:val="0"/>
      <w:marRight w:val="0"/>
      <w:marTop w:val="0"/>
      <w:marBottom w:val="0"/>
      <w:divBdr>
        <w:top w:val="none" w:sz="0" w:space="0" w:color="auto"/>
        <w:left w:val="none" w:sz="0" w:space="0" w:color="auto"/>
        <w:bottom w:val="none" w:sz="0" w:space="0" w:color="auto"/>
        <w:right w:val="none" w:sz="0" w:space="0" w:color="auto"/>
      </w:divBdr>
    </w:div>
    <w:div w:id="1927886455">
      <w:bodyDiv w:val="1"/>
      <w:marLeft w:val="0"/>
      <w:marRight w:val="0"/>
      <w:marTop w:val="0"/>
      <w:marBottom w:val="0"/>
      <w:divBdr>
        <w:top w:val="none" w:sz="0" w:space="0" w:color="auto"/>
        <w:left w:val="none" w:sz="0" w:space="0" w:color="auto"/>
        <w:bottom w:val="none" w:sz="0" w:space="0" w:color="auto"/>
        <w:right w:val="none" w:sz="0" w:space="0" w:color="auto"/>
      </w:divBdr>
    </w:div>
    <w:div w:id="1940915329">
      <w:bodyDiv w:val="1"/>
      <w:marLeft w:val="0"/>
      <w:marRight w:val="0"/>
      <w:marTop w:val="0"/>
      <w:marBottom w:val="0"/>
      <w:divBdr>
        <w:top w:val="none" w:sz="0" w:space="0" w:color="auto"/>
        <w:left w:val="none" w:sz="0" w:space="0" w:color="auto"/>
        <w:bottom w:val="none" w:sz="0" w:space="0" w:color="auto"/>
        <w:right w:val="none" w:sz="0" w:space="0" w:color="auto"/>
      </w:divBdr>
    </w:div>
    <w:div w:id="1947958952">
      <w:bodyDiv w:val="1"/>
      <w:marLeft w:val="0"/>
      <w:marRight w:val="0"/>
      <w:marTop w:val="0"/>
      <w:marBottom w:val="0"/>
      <w:divBdr>
        <w:top w:val="none" w:sz="0" w:space="0" w:color="auto"/>
        <w:left w:val="none" w:sz="0" w:space="0" w:color="auto"/>
        <w:bottom w:val="none" w:sz="0" w:space="0" w:color="auto"/>
        <w:right w:val="none" w:sz="0" w:space="0" w:color="auto"/>
      </w:divBdr>
    </w:div>
    <w:div w:id="1951400603">
      <w:bodyDiv w:val="1"/>
      <w:marLeft w:val="0"/>
      <w:marRight w:val="0"/>
      <w:marTop w:val="0"/>
      <w:marBottom w:val="0"/>
      <w:divBdr>
        <w:top w:val="none" w:sz="0" w:space="0" w:color="auto"/>
        <w:left w:val="none" w:sz="0" w:space="0" w:color="auto"/>
        <w:bottom w:val="none" w:sz="0" w:space="0" w:color="auto"/>
        <w:right w:val="none" w:sz="0" w:space="0" w:color="auto"/>
      </w:divBdr>
    </w:div>
    <w:div w:id="1956019205">
      <w:bodyDiv w:val="1"/>
      <w:marLeft w:val="0"/>
      <w:marRight w:val="0"/>
      <w:marTop w:val="0"/>
      <w:marBottom w:val="0"/>
      <w:divBdr>
        <w:top w:val="none" w:sz="0" w:space="0" w:color="auto"/>
        <w:left w:val="none" w:sz="0" w:space="0" w:color="auto"/>
        <w:bottom w:val="none" w:sz="0" w:space="0" w:color="auto"/>
        <w:right w:val="none" w:sz="0" w:space="0" w:color="auto"/>
      </w:divBdr>
    </w:div>
    <w:div w:id="2007245151">
      <w:bodyDiv w:val="1"/>
      <w:marLeft w:val="0"/>
      <w:marRight w:val="0"/>
      <w:marTop w:val="0"/>
      <w:marBottom w:val="0"/>
      <w:divBdr>
        <w:top w:val="none" w:sz="0" w:space="0" w:color="auto"/>
        <w:left w:val="none" w:sz="0" w:space="0" w:color="auto"/>
        <w:bottom w:val="none" w:sz="0" w:space="0" w:color="auto"/>
        <w:right w:val="none" w:sz="0" w:space="0" w:color="auto"/>
      </w:divBdr>
    </w:div>
    <w:div w:id="2036299138">
      <w:bodyDiv w:val="1"/>
      <w:marLeft w:val="0"/>
      <w:marRight w:val="0"/>
      <w:marTop w:val="0"/>
      <w:marBottom w:val="0"/>
      <w:divBdr>
        <w:top w:val="none" w:sz="0" w:space="0" w:color="auto"/>
        <w:left w:val="none" w:sz="0" w:space="0" w:color="auto"/>
        <w:bottom w:val="none" w:sz="0" w:space="0" w:color="auto"/>
        <w:right w:val="none" w:sz="0" w:space="0" w:color="auto"/>
      </w:divBdr>
    </w:div>
    <w:div w:id="2036542983">
      <w:bodyDiv w:val="1"/>
      <w:marLeft w:val="0"/>
      <w:marRight w:val="0"/>
      <w:marTop w:val="0"/>
      <w:marBottom w:val="0"/>
      <w:divBdr>
        <w:top w:val="none" w:sz="0" w:space="0" w:color="auto"/>
        <w:left w:val="none" w:sz="0" w:space="0" w:color="auto"/>
        <w:bottom w:val="none" w:sz="0" w:space="0" w:color="auto"/>
        <w:right w:val="none" w:sz="0" w:space="0" w:color="auto"/>
      </w:divBdr>
    </w:div>
    <w:div w:id="2057850332">
      <w:bodyDiv w:val="1"/>
      <w:marLeft w:val="0"/>
      <w:marRight w:val="0"/>
      <w:marTop w:val="0"/>
      <w:marBottom w:val="0"/>
      <w:divBdr>
        <w:top w:val="none" w:sz="0" w:space="0" w:color="auto"/>
        <w:left w:val="none" w:sz="0" w:space="0" w:color="auto"/>
        <w:bottom w:val="none" w:sz="0" w:space="0" w:color="auto"/>
        <w:right w:val="none" w:sz="0" w:space="0" w:color="auto"/>
      </w:divBdr>
    </w:div>
    <w:div w:id="2061392972">
      <w:bodyDiv w:val="1"/>
      <w:marLeft w:val="0"/>
      <w:marRight w:val="0"/>
      <w:marTop w:val="0"/>
      <w:marBottom w:val="0"/>
      <w:divBdr>
        <w:top w:val="none" w:sz="0" w:space="0" w:color="auto"/>
        <w:left w:val="none" w:sz="0" w:space="0" w:color="auto"/>
        <w:bottom w:val="none" w:sz="0" w:space="0" w:color="auto"/>
        <w:right w:val="none" w:sz="0" w:space="0" w:color="auto"/>
      </w:divBdr>
    </w:div>
    <w:div w:id="2126464645">
      <w:bodyDiv w:val="1"/>
      <w:marLeft w:val="0"/>
      <w:marRight w:val="0"/>
      <w:marTop w:val="0"/>
      <w:marBottom w:val="0"/>
      <w:divBdr>
        <w:top w:val="none" w:sz="0" w:space="0" w:color="auto"/>
        <w:left w:val="none" w:sz="0" w:space="0" w:color="auto"/>
        <w:bottom w:val="none" w:sz="0" w:space="0" w:color="auto"/>
        <w:right w:val="none" w:sz="0" w:space="0" w:color="auto"/>
      </w:divBdr>
    </w:div>
    <w:div w:id="212954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footer" Target="footer7.xml"/><Relationship Id="rId39" Type="http://schemas.openxmlformats.org/officeDocument/2006/relationships/header" Target="header11.xml"/><Relationship Id="rId21" Type="http://schemas.openxmlformats.org/officeDocument/2006/relationships/footer" Target="footer4.xml"/><Relationship Id="rId34" Type="http://schemas.openxmlformats.org/officeDocument/2006/relationships/image" Target="media/image5.png"/><Relationship Id="rId42" Type="http://schemas.openxmlformats.org/officeDocument/2006/relationships/image" Target="media/image7.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5.xml"/><Relationship Id="rId32" Type="http://schemas.openxmlformats.org/officeDocument/2006/relationships/chart" Target="charts/chart2.xml"/><Relationship Id="rId37" Type="http://schemas.openxmlformats.org/officeDocument/2006/relationships/header" Target="header9.xml"/><Relationship Id="rId40" Type="http://schemas.openxmlformats.org/officeDocument/2006/relationships/header" Target="header12.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footer" Target="footer6.xml"/><Relationship Id="rId28" Type="http://schemas.openxmlformats.org/officeDocument/2006/relationships/header" Target="header8.xml"/><Relationship Id="rId36" Type="http://schemas.openxmlformats.org/officeDocument/2006/relationships/chart" Target="charts/chart5.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chart" Target="charts/chart1.xml"/><Relationship Id="rId44" Type="http://schemas.openxmlformats.org/officeDocument/2006/relationships/header" Target="header1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7.xml"/><Relationship Id="rId30" Type="http://schemas.openxmlformats.org/officeDocument/2006/relationships/image" Target="media/image4.png"/><Relationship Id="rId35" Type="http://schemas.openxmlformats.org/officeDocument/2006/relationships/chart" Target="charts/chart4.xml"/><Relationship Id="rId43" Type="http://schemas.openxmlformats.org/officeDocument/2006/relationships/header" Target="header1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0.emf"/><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chart" Target="charts/chart3.xml"/><Relationship Id="rId38" Type="http://schemas.openxmlformats.org/officeDocument/2006/relationships/header" Target="header10.xml"/><Relationship Id="rId46" Type="http://schemas.openxmlformats.org/officeDocument/2006/relationships/glossaryDocument" Target="glossary/document.xml"/><Relationship Id="rId20" Type="http://schemas.openxmlformats.org/officeDocument/2006/relationships/footer" Target="footer3.xml"/><Relationship Id="rId4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2060\OneDrive\Dokumenty\Vlastn&#237;%20&#353;ablony%20Office\N&#225;zev%20pr&#225;ce.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fa2eb9e1a5a704a5/Plocha/V&#253;zkum%20DP%20(rok%202023).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fa2eb9e1a5a704a5/Plocha/V&#253;zkum%20DP%20(rok%2020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fa2eb9e1a5a704a5/Plocha/V&#253;zkum%20DP%20(rok%2020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fa2eb9e1a5a704a5/Plocha/V&#253;zkum%20DP%20(rok%20202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fa2eb9e1a5a704a5/Plocha/V&#253;zkum%20DP%20(rok%202023).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899685075798558"/>
          <c:y val="5.0211854359326583E-2"/>
          <c:w val="0.47193477116540167"/>
          <c:h val="0.84742430560665893"/>
        </c:manualLayout>
      </c:layout>
      <c:doughnutChart>
        <c:varyColors val="1"/>
        <c:ser>
          <c:idx val="0"/>
          <c:order val="0"/>
          <c:tx>
            <c:strRef>
              <c:f>'tab. do DP'!$CI$15:$CI$16</c:f>
              <c:strCache>
                <c:ptCount val="2"/>
                <c:pt idx="0">
                  <c:v>rok 2019</c:v>
                </c:pt>
                <c:pt idx="1">
                  <c:v>(n)</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2AC-4B44-B384-1659B347189C}"/>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F2AC-4B44-B384-1659B347189C}"/>
              </c:ext>
            </c:extLst>
          </c:dPt>
          <c:dLbls>
            <c:dLbl>
              <c:idx val="0"/>
              <c:layout>
                <c:manualLayout>
                  <c:x val="-7.8976942594181278E-3"/>
                  <c:y val="-2.3840524607321282E-2"/>
                </c:manualLayout>
              </c:layout>
              <c:tx>
                <c:rich>
                  <a:bodyPr rot="2220000" spcFirstLastPara="1" vertOverflow="ellipsis" wrap="square" anchor="ctr" anchorCtr="1"/>
                  <a:lstStyle/>
                  <a:p>
                    <a:pPr>
                      <a:defRPr sz="900" b="1" i="0" u="none" strike="noStrike" kern="1200" baseline="0">
                        <a:ln>
                          <a:noFill/>
                        </a:ln>
                        <a:solidFill>
                          <a:schemeClr val="tx1"/>
                        </a:solidFill>
                        <a:latin typeface="+mn-lt"/>
                        <a:ea typeface="+mn-ea"/>
                        <a:cs typeface="+mn-cs"/>
                      </a:defRPr>
                    </a:pPr>
                    <a:fld id="{475FCAA6-8D7B-4DCD-ABA6-2AE3F6217EF2}" type="PERCENTAGE">
                      <a:rPr lang="en-US" b="1">
                        <a:solidFill>
                          <a:schemeClr val="tx1"/>
                        </a:solidFill>
                      </a:rPr>
                      <a:pPr>
                        <a:defRPr>
                          <a:solidFill>
                            <a:schemeClr val="tx1"/>
                          </a:solidFill>
                        </a:defRPr>
                      </a:pPr>
                      <a:t>[PROCENTO]</a:t>
                    </a:fld>
                    <a:endParaRPr lang="cs-CZ"/>
                  </a:p>
                </c:rich>
              </c:tx>
              <c:numFmt formatCode="0.00%" sourceLinked="0"/>
              <c:spPr>
                <a:noFill/>
                <a:ln>
                  <a:noFill/>
                </a:ln>
                <a:effectLst/>
              </c:spPr>
              <c:txPr>
                <a:bodyPr rot="2220000" spcFirstLastPara="1" vertOverflow="ellipsis" wrap="square" anchor="ctr" anchorCtr="1"/>
                <a:lstStyle/>
                <a:p>
                  <a:pPr>
                    <a:defRPr sz="900" b="1" i="0" u="none" strike="noStrike" kern="1200" baseline="0">
                      <a:ln>
                        <a:noFill/>
                      </a:ln>
                      <a:solidFill>
                        <a:schemeClr val="tx1"/>
                      </a:solidFill>
                      <a:latin typeface="+mn-lt"/>
                      <a:ea typeface="+mn-ea"/>
                      <a:cs typeface="+mn-cs"/>
                    </a:defRPr>
                  </a:pPr>
                  <a:endParaRPr lang="cs-CZ"/>
                </a:p>
              </c:txPr>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2AC-4B44-B384-1659B347189C}"/>
                </c:ext>
              </c:extLst>
            </c:dLbl>
            <c:dLbl>
              <c:idx val="1"/>
              <c:layout>
                <c:manualLayout>
                  <c:x val="5.8313980703834645E-2"/>
                  <c:y val="8.6145820557476965E-2"/>
                </c:manualLayout>
              </c:layout>
              <c:tx>
                <c:rich>
                  <a:bodyPr rot="1320000" spcFirstLastPara="1" vertOverflow="ellipsis" wrap="square" anchor="ctr" anchorCtr="1"/>
                  <a:lstStyle/>
                  <a:p>
                    <a:pPr>
                      <a:defRPr sz="900" b="1" i="0" u="none" strike="noStrike" kern="1200" baseline="0">
                        <a:ln>
                          <a:noFill/>
                        </a:ln>
                        <a:solidFill>
                          <a:schemeClr val="tx1"/>
                        </a:solidFill>
                        <a:latin typeface="+mn-lt"/>
                        <a:ea typeface="+mn-ea"/>
                        <a:cs typeface="+mn-cs"/>
                      </a:defRPr>
                    </a:pPr>
                    <a:fld id="{A31C5FDF-8BCB-48F8-BCD2-B6ED5CAE27DC}" type="PERCENTAGE">
                      <a:rPr lang="en-US" b="1">
                        <a:solidFill>
                          <a:schemeClr val="tx1"/>
                        </a:solidFill>
                      </a:rPr>
                      <a:pPr>
                        <a:defRPr>
                          <a:solidFill>
                            <a:schemeClr val="tx1"/>
                          </a:solidFill>
                        </a:defRPr>
                      </a:pPr>
                      <a:t>[PROCENTO]</a:t>
                    </a:fld>
                    <a:endParaRPr lang="cs-CZ"/>
                  </a:p>
                </c:rich>
              </c:tx>
              <c:numFmt formatCode="0.00%" sourceLinked="0"/>
              <c:spPr>
                <a:noFill/>
                <a:ln>
                  <a:noFill/>
                </a:ln>
                <a:effectLst/>
              </c:spPr>
              <c:txPr>
                <a:bodyPr rot="1320000" spcFirstLastPara="1" vertOverflow="ellipsis" wrap="square" anchor="ctr" anchorCtr="1"/>
                <a:lstStyle/>
                <a:p>
                  <a:pPr>
                    <a:defRPr sz="900" b="1" i="0" u="none" strike="noStrike" kern="1200" baseline="0">
                      <a:ln>
                        <a:noFill/>
                      </a:ln>
                      <a:solidFill>
                        <a:schemeClr val="tx1"/>
                      </a:solidFill>
                      <a:latin typeface="+mn-lt"/>
                      <a:ea typeface="+mn-ea"/>
                      <a:cs typeface="+mn-cs"/>
                    </a:defRPr>
                  </a:pPr>
                  <a:endParaRPr lang="cs-CZ"/>
                </a:p>
              </c:txPr>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2AC-4B44-B384-1659B347189C}"/>
                </c:ext>
              </c:extLst>
            </c:dLbl>
            <c:numFmt formatCode="0.00%" sourceLinked="0"/>
            <c:spPr>
              <a:noFill/>
              <a:ln>
                <a:noFill/>
              </a:ln>
              <a:effectLst/>
            </c:spPr>
            <c:txPr>
              <a:bodyPr rot="0" spcFirstLastPara="1" vertOverflow="ellipsis" vert="horz" wrap="square" anchor="ctr" anchorCtr="1"/>
              <a:lstStyle/>
              <a:p>
                <a:pPr>
                  <a:defRPr sz="900" b="1" i="0" u="none" strike="noStrike" kern="1200" baseline="0">
                    <a:ln>
                      <a:noFill/>
                    </a:ln>
                    <a:solidFill>
                      <a:schemeClr val="tx1"/>
                    </a:solidFill>
                    <a:latin typeface="+mn-lt"/>
                    <a:ea typeface="+mn-ea"/>
                    <a:cs typeface="+mn-cs"/>
                  </a:defRPr>
                </a:pPr>
                <a:endParaRPr lang="cs-CZ"/>
              </a:p>
            </c:txPr>
            <c:showLegendKey val="0"/>
            <c:showVal val="0"/>
            <c:showCatName val="0"/>
            <c:showSerName val="0"/>
            <c:showPercent val="1"/>
            <c:showBubbleSize val="0"/>
            <c:showLeaderLines val="0"/>
            <c:extLst>
              <c:ext xmlns:c15="http://schemas.microsoft.com/office/drawing/2012/chart" uri="{CE6537A1-D6FC-4f65-9D91-7224C49458BB}"/>
            </c:extLst>
          </c:dLbls>
          <c:cat>
            <c:strRef>
              <c:f>'tab. do DP'!$CH$17:$CH$18</c:f>
              <c:strCache>
                <c:ptCount val="2"/>
                <c:pt idx="0">
                  <c:v>75 a více let</c:v>
                </c:pt>
                <c:pt idx="1">
                  <c:v>18-74 let</c:v>
                </c:pt>
              </c:strCache>
            </c:strRef>
          </c:cat>
          <c:val>
            <c:numRef>
              <c:f>'tab. do DP'!$CI$17:$CI$18</c:f>
              <c:numCache>
                <c:formatCode>General</c:formatCode>
                <c:ptCount val="2"/>
                <c:pt idx="0">
                  <c:v>510</c:v>
                </c:pt>
                <c:pt idx="1">
                  <c:v>1180</c:v>
                </c:pt>
              </c:numCache>
            </c:numRef>
          </c:val>
          <c:extLst>
            <c:ext xmlns:c16="http://schemas.microsoft.com/office/drawing/2014/chart" uri="{C3380CC4-5D6E-409C-BE32-E72D297353CC}">
              <c16:uniqueId val="{00000004-F2AC-4B44-B384-1659B347189C}"/>
            </c:ext>
          </c:extLst>
        </c:ser>
        <c:ser>
          <c:idx val="1"/>
          <c:order val="1"/>
          <c:tx>
            <c:strRef>
              <c:f>'tab. do DP'!$CJ$15:$CJ$16</c:f>
              <c:strCache>
                <c:ptCount val="2"/>
                <c:pt idx="0">
                  <c:v>rok 2023</c:v>
                </c:pt>
                <c:pt idx="1">
                  <c:v>(n)</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6-F2AC-4B44-B384-1659B347189C}"/>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8-F2AC-4B44-B384-1659B347189C}"/>
              </c:ext>
            </c:extLst>
          </c:dPt>
          <c:dLbls>
            <c:dLbl>
              <c:idx val="0"/>
              <c:layout>
                <c:manualLayout>
                  <c:x val="-3.6972720533458729E-2"/>
                  <c:y val="-9.5058912028519821E-2"/>
                </c:manualLayout>
              </c:layout>
              <c:tx>
                <c:rich>
                  <a:bodyPr rot="2220000" spcFirstLastPara="1" vertOverflow="ellipsis" wrap="square" anchor="ctr" anchorCtr="1"/>
                  <a:lstStyle/>
                  <a:p>
                    <a:pPr>
                      <a:defRPr sz="900" b="1" i="0" u="none" strike="noStrike" kern="1200" baseline="0">
                        <a:ln>
                          <a:noFill/>
                        </a:ln>
                        <a:solidFill>
                          <a:schemeClr val="tx1"/>
                        </a:solidFill>
                        <a:latin typeface="+mn-lt"/>
                        <a:ea typeface="+mn-ea"/>
                        <a:cs typeface="+mn-cs"/>
                      </a:defRPr>
                    </a:pPr>
                    <a:fld id="{53CEB962-DD2A-4CAF-9940-CC010793D6E9}" type="PERCENTAGE">
                      <a:rPr lang="en-US">
                        <a:solidFill>
                          <a:schemeClr val="tx1"/>
                        </a:solidFill>
                      </a:rPr>
                      <a:pPr>
                        <a:defRPr>
                          <a:solidFill>
                            <a:schemeClr val="tx1"/>
                          </a:solidFill>
                        </a:defRPr>
                      </a:pPr>
                      <a:t>[PROCENTO]</a:t>
                    </a:fld>
                    <a:endParaRPr lang="cs-CZ"/>
                  </a:p>
                </c:rich>
              </c:tx>
              <c:numFmt formatCode="0.00%" sourceLinked="0"/>
              <c:spPr>
                <a:noFill/>
                <a:ln>
                  <a:noFill/>
                </a:ln>
                <a:effectLst/>
              </c:spPr>
              <c:txPr>
                <a:bodyPr rot="2220000" spcFirstLastPara="1" vertOverflow="ellipsis" wrap="square" anchor="ctr" anchorCtr="1"/>
                <a:lstStyle/>
                <a:p>
                  <a:pPr>
                    <a:defRPr sz="900" b="1" i="0" u="none" strike="noStrike" kern="1200" baseline="0">
                      <a:ln>
                        <a:noFill/>
                      </a:ln>
                      <a:solidFill>
                        <a:schemeClr val="tx1"/>
                      </a:solidFill>
                      <a:latin typeface="+mn-lt"/>
                      <a:ea typeface="+mn-ea"/>
                      <a:cs typeface="+mn-cs"/>
                    </a:defRPr>
                  </a:pPr>
                  <a:endParaRPr lang="cs-CZ"/>
                </a:p>
              </c:txPr>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F2AC-4B44-B384-1659B347189C}"/>
                </c:ext>
              </c:extLst>
            </c:dLbl>
            <c:dLbl>
              <c:idx val="1"/>
              <c:layout>
                <c:manualLayout>
                  <c:x val="9.5249894462492851E-2"/>
                  <c:y val="0.14762888283824335"/>
                </c:manualLayout>
              </c:layout>
              <c:tx>
                <c:rich>
                  <a:bodyPr rot="1320000" spcFirstLastPara="1" vertOverflow="ellipsis" wrap="square" anchor="ctr" anchorCtr="1"/>
                  <a:lstStyle/>
                  <a:p>
                    <a:pPr>
                      <a:defRPr sz="900" b="1" i="0" u="none" strike="noStrike" kern="1200" baseline="0">
                        <a:ln>
                          <a:noFill/>
                        </a:ln>
                        <a:solidFill>
                          <a:schemeClr val="tx1"/>
                        </a:solidFill>
                        <a:latin typeface="+mn-lt"/>
                        <a:ea typeface="+mn-ea"/>
                        <a:cs typeface="+mn-cs"/>
                      </a:defRPr>
                    </a:pPr>
                    <a:fld id="{31DDED16-C4AC-414A-A464-23D9367EFA65}" type="PERCENTAGE">
                      <a:rPr lang="en-US">
                        <a:solidFill>
                          <a:schemeClr val="tx1"/>
                        </a:solidFill>
                      </a:rPr>
                      <a:pPr>
                        <a:defRPr>
                          <a:solidFill>
                            <a:schemeClr val="tx1"/>
                          </a:solidFill>
                        </a:defRPr>
                      </a:pPr>
                      <a:t>[PROCENTO]</a:t>
                    </a:fld>
                    <a:endParaRPr lang="cs-CZ"/>
                  </a:p>
                </c:rich>
              </c:tx>
              <c:numFmt formatCode="0.00%" sourceLinked="0"/>
              <c:spPr>
                <a:noFill/>
                <a:ln>
                  <a:noFill/>
                </a:ln>
                <a:effectLst/>
              </c:spPr>
              <c:txPr>
                <a:bodyPr rot="1320000" spcFirstLastPara="1" vertOverflow="ellipsis" wrap="square" anchor="ctr" anchorCtr="1"/>
                <a:lstStyle/>
                <a:p>
                  <a:pPr>
                    <a:defRPr sz="900" b="1" i="0" u="none" strike="noStrike" kern="1200" baseline="0">
                      <a:ln>
                        <a:noFill/>
                      </a:ln>
                      <a:solidFill>
                        <a:schemeClr val="tx1"/>
                      </a:solidFill>
                      <a:latin typeface="+mn-lt"/>
                      <a:ea typeface="+mn-ea"/>
                      <a:cs typeface="+mn-cs"/>
                    </a:defRPr>
                  </a:pPr>
                  <a:endParaRPr lang="cs-CZ"/>
                </a:p>
              </c:txPr>
              <c:showLegendKey val="0"/>
              <c:showVal val="0"/>
              <c:showCatName val="0"/>
              <c:showSerName val="0"/>
              <c:showPercent val="1"/>
              <c:showBubbleSize val="0"/>
              <c:extLst>
                <c:ext xmlns:c15="http://schemas.microsoft.com/office/drawing/2012/chart" uri="{CE6537A1-D6FC-4f65-9D91-7224C49458BB}">
                  <c15:layout>
                    <c:manualLayout>
                      <c:w val="0.10231576822128004"/>
                      <c:h val="5.628245067497404E-2"/>
                    </c:manualLayout>
                  </c15:layout>
                  <c15:dlblFieldTable/>
                  <c15:showDataLabelsRange val="0"/>
                </c:ext>
                <c:ext xmlns:c16="http://schemas.microsoft.com/office/drawing/2014/chart" uri="{C3380CC4-5D6E-409C-BE32-E72D297353CC}">
                  <c16:uniqueId val="{00000008-F2AC-4B44-B384-1659B347189C}"/>
                </c:ext>
              </c:extLst>
            </c:dLbl>
            <c:numFmt formatCode="0.00%" sourceLinked="0"/>
            <c:spPr>
              <a:noFill/>
              <a:ln>
                <a:noFill/>
              </a:ln>
              <a:effectLst/>
            </c:spPr>
            <c:txPr>
              <a:bodyPr rot="0" spcFirstLastPara="1" vertOverflow="ellipsis" vert="horz" wrap="square" anchor="ctr" anchorCtr="1"/>
              <a:lstStyle/>
              <a:p>
                <a:pPr>
                  <a:defRPr sz="900" b="1" i="0" u="none" strike="noStrike" kern="1200" baseline="0">
                    <a:ln>
                      <a:noFill/>
                    </a:ln>
                    <a:solidFill>
                      <a:schemeClr val="tx1"/>
                    </a:solidFill>
                    <a:latin typeface="+mn-lt"/>
                    <a:ea typeface="+mn-ea"/>
                    <a:cs typeface="+mn-cs"/>
                  </a:defRPr>
                </a:pPr>
                <a:endParaRPr lang="cs-CZ"/>
              </a:p>
            </c:txPr>
            <c:showLegendKey val="0"/>
            <c:showVal val="0"/>
            <c:showCatName val="0"/>
            <c:showSerName val="0"/>
            <c:showPercent val="1"/>
            <c:showBubbleSize val="0"/>
            <c:showLeaderLines val="0"/>
            <c:extLst>
              <c:ext xmlns:c15="http://schemas.microsoft.com/office/drawing/2012/chart" uri="{CE6537A1-D6FC-4f65-9D91-7224C49458BB}"/>
            </c:extLst>
          </c:dLbls>
          <c:cat>
            <c:strRef>
              <c:f>'tab. do DP'!$CH$17:$CH$18</c:f>
              <c:strCache>
                <c:ptCount val="2"/>
                <c:pt idx="0">
                  <c:v>75 a více let</c:v>
                </c:pt>
                <c:pt idx="1">
                  <c:v>18-74 let</c:v>
                </c:pt>
              </c:strCache>
            </c:strRef>
          </c:cat>
          <c:val>
            <c:numRef>
              <c:f>'tab. do DP'!$CJ$17:$CJ$18</c:f>
              <c:numCache>
                <c:formatCode>General</c:formatCode>
                <c:ptCount val="2"/>
                <c:pt idx="0">
                  <c:v>598</c:v>
                </c:pt>
                <c:pt idx="1">
                  <c:v>1133</c:v>
                </c:pt>
              </c:numCache>
            </c:numRef>
          </c:val>
          <c:extLst>
            <c:ext xmlns:c16="http://schemas.microsoft.com/office/drawing/2014/chart" uri="{C3380CC4-5D6E-409C-BE32-E72D297353CC}">
              <c16:uniqueId val="{00000009-F2AC-4B44-B384-1659B347189C}"/>
            </c:ext>
          </c:extLst>
        </c:ser>
        <c:dLbls>
          <c:showLegendKey val="0"/>
          <c:showVal val="0"/>
          <c:showCatName val="0"/>
          <c:showSerName val="0"/>
          <c:showPercent val="1"/>
          <c:showBubbleSize val="0"/>
          <c:showLeaderLines val="0"/>
        </c:dLbls>
        <c:firstSliceAng val="0"/>
        <c:holeSize val="50"/>
      </c:doughnutChart>
      <c:spPr>
        <a:noFill/>
        <a:ln>
          <a:noFill/>
        </a:ln>
        <a:effectLst/>
      </c:spPr>
    </c:plotArea>
    <c:legend>
      <c:legendPos val="t"/>
      <c:layout>
        <c:manualLayout>
          <c:xMode val="edge"/>
          <c:yMode val="edge"/>
          <c:x val="0.75402270587099585"/>
          <c:y val="6.9444403561704324E-2"/>
          <c:w val="0.19929146608235382"/>
          <c:h val="0.17366039525433152"/>
        </c:manualLayout>
      </c:layout>
      <c:overlay val="0"/>
      <c:spPr>
        <a:noFill/>
        <a:ln>
          <a:solidFill>
            <a:schemeClr val="accent1"/>
          </a:solid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ln>
            <a:noFill/>
          </a:ln>
        </a:defRPr>
      </a:pPr>
      <a:endParaRPr lang="cs-CZ"/>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List2!$P$76</c:f>
              <c:strCache>
                <c:ptCount val="1"/>
                <c:pt idx="0">
                  <c:v>18-74 let</c:v>
                </c:pt>
              </c:strCache>
            </c:strRef>
          </c:tx>
          <c:spPr>
            <a:solidFill>
              <a:schemeClr val="accent1"/>
            </a:solidFill>
            <a:ln>
              <a:noFill/>
            </a:ln>
            <a:effectLst/>
          </c:spPr>
          <c:invertIfNegative val="0"/>
          <c:cat>
            <c:multiLvlStrRef>
              <c:f>List2!$Q$74:$T$75</c:f>
              <c:multiLvlStrCache>
                <c:ptCount val="4"/>
                <c:lvl>
                  <c:pt idx="0">
                    <c:v>Muži</c:v>
                  </c:pt>
                  <c:pt idx="1">
                    <c:v>Ženy</c:v>
                  </c:pt>
                  <c:pt idx="2">
                    <c:v>Muži</c:v>
                  </c:pt>
                  <c:pt idx="3">
                    <c:v>Ženy</c:v>
                  </c:pt>
                </c:lvl>
                <c:lvl>
                  <c:pt idx="0">
                    <c:v>Rok 2019</c:v>
                  </c:pt>
                  <c:pt idx="2">
                    <c:v>Rok 2023</c:v>
                  </c:pt>
                </c:lvl>
              </c:multiLvlStrCache>
            </c:multiLvlStrRef>
          </c:cat>
          <c:val>
            <c:numRef>
              <c:f>List2!$Q$76:$T$76</c:f>
              <c:numCache>
                <c:formatCode>General</c:formatCode>
                <c:ptCount val="4"/>
                <c:pt idx="0">
                  <c:v>602</c:v>
                </c:pt>
                <c:pt idx="1">
                  <c:v>579</c:v>
                </c:pt>
                <c:pt idx="2">
                  <c:v>548</c:v>
                </c:pt>
                <c:pt idx="3">
                  <c:v>585</c:v>
                </c:pt>
              </c:numCache>
            </c:numRef>
          </c:val>
          <c:extLst>
            <c:ext xmlns:c16="http://schemas.microsoft.com/office/drawing/2014/chart" uri="{C3380CC4-5D6E-409C-BE32-E72D297353CC}">
              <c16:uniqueId val="{00000000-7587-4574-A329-2873B79752E7}"/>
            </c:ext>
          </c:extLst>
        </c:ser>
        <c:ser>
          <c:idx val="1"/>
          <c:order val="1"/>
          <c:tx>
            <c:strRef>
              <c:f>List2!$P$77</c:f>
              <c:strCache>
                <c:ptCount val="1"/>
                <c:pt idx="0">
                  <c:v>75 a více let</c:v>
                </c:pt>
              </c:strCache>
            </c:strRef>
          </c:tx>
          <c:spPr>
            <a:solidFill>
              <a:schemeClr val="accent2"/>
            </a:solidFill>
            <a:ln>
              <a:noFill/>
            </a:ln>
            <a:effectLst/>
          </c:spPr>
          <c:invertIfNegative val="0"/>
          <c:cat>
            <c:multiLvlStrRef>
              <c:f>List2!$Q$74:$T$75</c:f>
              <c:multiLvlStrCache>
                <c:ptCount val="4"/>
                <c:lvl>
                  <c:pt idx="0">
                    <c:v>Muži</c:v>
                  </c:pt>
                  <c:pt idx="1">
                    <c:v>Ženy</c:v>
                  </c:pt>
                  <c:pt idx="2">
                    <c:v>Muži</c:v>
                  </c:pt>
                  <c:pt idx="3">
                    <c:v>Ženy</c:v>
                  </c:pt>
                </c:lvl>
                <c:lvl>
                  <c:pt idx="0">
                    <c:v>Rok 2019</c:v>
                  </c:pt>
                  <c:pt idx="2">
                    <c:v>Rok 2023</c:v>
                  </c:pt>
                </c:lvl>
              </c:multiLvlStrCache>
            </c:multiLvlStrRef>
          </c:cat>
          <c:val>
            <c:numRef>
              <c:f>List2!$Q$77:$T$77</c:f>
              <c:numCache>
                <c:formatCode>General</c:formatCode>
                <c:ptCount val="4"/>
                <c:pt idx="0">
                  <c:v>173</c:v>
                </c:pt>
                <c:pt idx="1">
                  <c:v>336</c:v>
                </c:pt>
                <c:pt idx="2">
                  <c:v>231</c:v>
                </c:pt>
                <c:pt idx="3">
                  <c:v>367</c:v>
                </c:pt>
              </c:numCache>
            </c:numRef>
          </c:val>
          <c:extLst>
            <c:ext xmlns:c16="http://schemas.microsoft.com/office/drawing/2014/chart" uri="{C3380CC4-5D6E-409C-BE32-E72D297353CC}">
              <c16:uniqueId val="{00000001-7587-4574-A329-2873B79752E7}"/>
            </c:ext>
          </c:extLst>
        </c:ser>
        <c:dLbls>
          <c:showLegendKey val="0"/>
          <c:showVal val="0"/>
          <c:showCatName val="0"/>
          <c:showSerName val="0"/>
          <c:showPercent val="0"/>
          <c:showBubbleSize val="0"/>
        </c:dLbls>
        <c:gapWidth val="219"/>
        <c:overlap val="-27"/>
        <c:axId val="23043455"/>
        <c:axId val="23040095"/>
      </c:barChart>
      <c:catAx>
        <c:axId val="230434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Věkové</a:t>
                </a:r>
                <a:r>
                  <a:rPr lang="cs-CZ" baseline="0"/>
                  <a:t> kategorie pacientů v letech</a:t>
                </a:r>
                <a:endParaRPr lang="cs-CZ"/>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3040095"/>
        <c:crosses val="autoZero"/>
        <c:auto val="1"/>
        <c:lblAlgn val="ctr"/>
        <c:lblOffset val="100"/>
        <c:noMultiLvlLbl val="0"/>
      </c:catAx>
      <c:valAx>
        <c:axId val="230400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Množství</a:t>
                </a:r>
                <a:r>
                  <a:rPr lang="cs-CZ" baseline="0"/>
                  <a:t> ošetřených pacientů</a:t>
                </a:r>
                <a:endParaRPr lang="cs-CZ"/>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3043455"/>
        <c:crosses val="autoZero"/>
        <c:crossBetween val="between"/>
        <c:majorUnit val="50"/>
      </c:valAx>
      <c:spPr>
        <a:noFill/>
        <a:ln>
          <a:noFill/>
        </a:ln>
        <a:effectLst/>
      </c:spPr>
    </c:plotArea>
    <c:legend>
      <c:legendPos val="b"/>
      <c:overlay val="0"/>
      <c:spPr>
        <a:noFill/>
        <a:ln>
          <a:solidFill>
            <a:schemeClr val="accent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lumMod val="90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zk.!$A$59</c:f>
              <c:strCache>
                <c:ptCount val="1"/>
                <c:pt idx="0">
                  <c:v>75-79 let</c:v>
                </c:pt>
              </c:strCache>
            </c:strRef>
          </c:tx>
          <c:spPr>
            <a:solidFill>
              <a:schemeClr val="accent1"/>
            </a:solidFill>
            <a:ln>
              <a:noFill/>
            </a:ln>
            <a:effectLst/>
          </c:spPr>
          <c:invertIfNegative val="0"/>
          <c:cat>
            <c:multiLvlStrRef>
              <c:f>zk.!$B$57:$E$58</c:f>
              <c:multiLvlStrCache>
                <c:ptCount val="4"/>
                <c:lvl>
                  <c:pt idx="0">
                    <c:v>Muži</c:v>
                  </c:pt>
                  <c:pt idx="1">
                    <c:v>Ženy</c:v>
                  </c:pt>
                  <c:pt idx="2">
                    <c:v>Muži</c:v>
                  </c:pt>
                  <c:pt idx="3">
                    <c:v>Ženy</c:v>
                  </c:pt>
                </c:lvl>
                <c:lvl>
                  <c:pt idx="0">
                    <c:v>Rok 2019</c:v>
                  </c:pt>
                  <c:pt idx="2">
                    <c:v>Rok 2023</c:v>
                  </c:pt>
                </c:lvl>
              </c:multiLvlStrCache>
            </c:multiLvlStrRef>
          </c:cat>
          <c:val>
            <c:numRef>
              <c:f>zk.!$B$59:$E$59</c:f>
              <c:numCache>
                <c:formatCode>General</c:formatCode>
                <c:ptCount val="4"/>
                <c:pt idx="0">
                  <c:v>77</c:v>
                </c:pt>
                <c:pt idx="1">
                  <c:v>111</c:v>
                </c:pt>
                <c:pt idx="2">
                  <c:v>94</c:v>
                </c:pt>
                <c:pt idx="3">
                  <c:v>123</c:v>
                </c:pt>
              </c:numCache>
            </c:numRef>
          </c:val>
          <c:extLst>
            <c:ext xmlns:c16="http://schemas.microsoft.com/office/drawing/2014/chart" uri="{C3380CC4-5D6E-409C-BE32-E72D297353CC}">
              <c16:uniqueId val="{00000000-E72D-40ED-9D4E-39FCCAF0522B}"/>
            </c:ext>
          </c:extLst>
        </c:ser>
        <c:ser>
          <c:idx val="1"/>
          <c:order val="1"/>
          <c:tx>
            <c:strRef>
              <c:f>zk.!$A$60</c:f>
              <c:strCache>
                <c:ptCount val="1"/>
                <c:pt idx="0">
                  <c:v>80-84 let</c:v>
                </c:pt>
              </c:strCache>
            </c:strRef>
          </c:tx>
          <c:spPr>
            <a:solidFill>
              <a:schemeClr val="accent2"/>
            </a:solidFill>
            <a:ln>
              <a:noFill/>
            </a:ln>
            <a:effectLst/>
          </c:spPr>
          <c:invertIfNegative val="0"/>
          <c:cat>
            <c:multiLvlStrRef>
              <c:f>zk.!$B$57:$E$58</c:f>
              <c:multiLvlStrCache>
                <c:ptCount val="4"/>
                <c:lvl>
                  <c:pt idx="0">
                    <c:v>Muži</c:v>
                  </c:pt>
                  <c:pt idx="1">
                    <c:v>Ženy</c:v>
                  </c:pt>
                  <c:pt idx="2">
                    <c:v>Muži</c:v>
                  </c:pt>
                  <c:pt idx="3">
                    <c:v>Ženy</c:v>
                  </c:pt>
                </c:lvl>
                <c:lvl>
                  <c:pt idx="0">
                    <c:v>Rok 2019</c:v>
                  </c:pt>
                  <c:pt idx="2">
                    <c:v>Rok 2023</c:v>
                  </c:pt>
                </c:lvl>
              </c:multiLvlStrCache>
            </c:multiLvlStrRef>
          </c:cat>
          <c:val>
            <c:numRef>
              <c:f>zk.!$B$60:$E$60</c:f>
              <c:numCache>
                <c:formatCode>General</c:formatCode>
                <c:ptCount val="4"/>
                <c:pt idx="0">
                  <c:v>37</c:v>
                </c:pt>
                <c:pt idx="1">
                  <c:v>92</c:v>
                </c:pt>
                <c:pt idx="2">
                  <c:v>85</c:v>
                </c:pt>
                <c:pt idx="3">
                  <c:v>122</c:v>
                </c:pt>
              </c:numCache>
            </c:numRef>
          </c:val>
          <c:extLst>
            <c:ext xmlns:c16="http://schemas.microsoft.com/office/drawing/2014/chart" uri="{C3380CC4-5D6E-409C-BE32-E72D297353CC}">
              <c16:uniqueId val="{00000001-E72D-40ED-9D4E-39FCCAF0522B}"/>
            </c:ext>
          </c:extLst>
        </c:ser>
        <c:ser>
          <c:idx val="2"/>
          <c:order val="2"/>
          <c:tx>
            <c:strRef>
              <c:f>zk.!$A$61</c:f>
              <c:strCache>
                <c:ptCount val="1"/>
                <c:pt idx="0">
                  <c:v>85-89 let</c:v>
                </c:pt>
              </c:strCache>
            </c:strRef>
          </c:tx>
          <c:spPr>
            <a:solidFill>
              <a:schemeClr val="accent3"/>
            </a:solidFill>
            <a:ln>
              <a:noFill/>
            </a:ln>
            <a:effectLst/>
          </c:spPr>
          <c:invertIfNegative val="0"/>
          <c:cat>
            <c:multiLvlStrRef>
              <c:f>zk.!$B$57:$E$58</c:f>
              <c:multiLvlStrCache>
                <c:ptCount val="4"/>
                <c:lvl>
                  <c:pt idx="0">
                    <c:v>Muži</c:v>
                  </c:pt>
                  <c:pt idx="1">
                    <c:v>Ženy</c:v>
                  </c:pt>
                  <c:pt idx="2">
                    <c:v>Muži</c:v>
                  </c:pt>
                  <c:pt idx="3">
                    <c:v>Ženy</c:v>
                  </c:pt>
                </c:lvl>
                <c:lvl>
                  <c:pt idx="0">
                    <c:v>Rok 2019</c:v>
                  </c:pt>
                  <c:pt idx="2">
                    <c:v>Rok 2023</c:v>
                  </c:pt>
                </c:lvl>
              </c:multiLvlStrCache>
            </c:multiLvlStrRef>
          </c:cat>
          <c:val>
            <c:numRef>
              <c:f>zk.!$B$61:$E$61</c:f>
              <c:numCache>
                <c:formatCode>General</c:formatCode>
                <c:ptCount val="4"/>
                <c:pt idx="0">
                  <c:v>36</c:v>
                </c:pt>
                <c:pt idx="1">
                  <c:v>73</c:v>
                </c:pt>
                <c:pt idx="2">
                  <c:v>32</c:v>
                </c:pt>
                <c:pt idx="3">
                  <c:v>69</c:v>
                </c:pt>
              </c:numCache>
            </c:numRef>
          </c:val>
          <c:extLst>
            <c:ext xmlns:c16="http://schemas.microsoft.com/office/drawing/2014/chart" uri="{C3380CC4-5D6E-409C-BE32-E72D297353CC}">
              <c16:uniqueId val="{00000002-E72D-40ED-9D4E-39FCCAF0522B}"/>
            </c:ext>
          </c:extLst>
        </c:ser>
        <c:ser>
          <c:idx val="3"/>
          <c:order val="3"/>
          <c:tx>
            <c:strRef>
              <c:f>zk.!$A$62</c:f>
              <c:strCache>
                <c:ptCount val="1"/>
                <c:pt idx="0">
                  <c:v>90 a více let</c:v>
                </c:pt>
              </c:strCache>
            </c:strRef>
          </c:tx>
          <c:spPr>
            <a:solidFill>
              <a:schemeClr val="accent4"/>
            </a:solidFill>
            <a:ln>
              <a:noFill/>
            </a:ln>
            <a:effectLst/>
          </c:spPr>
          <c:invertIfNegative val="0"/>
          <c:cat>
            <c:multiLvlStrRef>
              <c:f>zk.!$B$57:$E$58</c:f>
              <c:multiLvlStrCache>
                <c:ptCount val="4"/>
                <c:lvl>
                  <c:pt idx="0">
                    <c:v>Muži</c:v>
                  </c:pt>
                  <c:pt idx="1">
                    <c:v>Ženy</c:v>
                  </c:pt>
                  <c:pt idx="2">
                    <c:v>Muži</c:v>
                  </c:pt>
                  <c:pt idx="3">
                    <c:v>Ženy</c:v>
                  </c:pt>
                </c:lvl>
                <c:lvl>
                  <c:pt idx="0">
                    <c:v>Rok 2019</c:v>
                  </c:pt>
                  <c:pt idx="2">
                    <c:v>Rok 2023</c:v>
                  </c:pt>
                </c:lvl>
              </c:multiLvlStrCache>
            </c:multiLvlStrRef>
          </c:cat>
          <c:val>
            <c:numRef>
              <c:f>zk.!$B$62:$E$62</c:f>
              <c:numCache>
                <c:formatCode>General</c:formatCode>
                <c:ptCount val="4"/>
                <c:pt idx="0">
                  <c:v>23</c:v>
                </c:pt>
                <c:pt idx="1">
                  <c:v>60</c:v>
                </c:pt>
                <c:pt idx="2">
                  <c:v>20</c:v>
                </c:pt>
                <c:pt idx="3">
                  <c:v>53</c:v>
                </c:pt>
              </c:numCache>
            </c:numRef>
          </c:val>
          <c:extLst>
            <c:ext xmlns:c16="http://schemas.microsoft.com/office/drawing/2014/chart" uri="{C3380CC4-5D6E-409C-BE32-E72D297353CC}">
              <c16:uniqueId val="{00000003-E72D-40ED-9D4E-39FCCAF0522B}"/>
            </c:ext>
          </c:extLst>
        </c:ser>
        <c:dLbls>
          <c:showLegendKey val="0"/>
          <c:showVal val="0"/>
          <c:showCatName val="0"/>
          <c:showSerName val="0"/>
          <c:showPercent val="0"/>
          <c:showBubbleSize val="0"/>
        </c:dLbls>
        <c:gapWidth val="219"/>
        <c:overlap val="-27"/>
        <c:axId val="2072087856"/>
        <c:axId val="2072094576"/>
      </c:barChart>
      <c:catAx>
        <c:axId val="2072087856"/>
        <c:scaling>
          <c:orientation val="minMax"/>
        </c:scaling>
        <c:delete val="0"/>
        <c:axPos val="b"/>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cs-CZ" sz="1000" b="0" i="0" u="none" strike="noStrike" kern="1200" baseline="0">
                    <a:solidFill>
                      <a:sysClr val="windowText" lastClr="000000">
                        <a:lumMod val="65000"/>
                        <a:lumOff val="35000"/>
                      </a:sysClr>
                    </a:solidFill>
                  </a:rPr>
                  <a:t>Věkové kategorie pacientů v letech</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2094576"/>
        <c:crosses val="autoZero"/>
        <c:auto val="1"/>
        <c:lblAlgn val="ctr"/>
        <c:lblOffset val="100"/>
        <c:noMultiLvlLbl val="0"/>
      </c:catAx>
      <c:valAx>
        <c:axId val="2072094576"/>
        <c:scaling>
          <c:orientation val="minMax"/>
          <c:max val="1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cs-CZ" sz="1000" b="0" i="0" u="none" strike="noStrike" kern="1200" baseline="0">
                    <a:solidFill>
                      <a:sysClr val="windowText" lastClr="000000">
                        <a:lumMod val="65000"/>
                        <a:lumOff val="35000"/>
                      </a:sysClr>
                    </a:solidFill>
                  </a:rPr>
                  <a:t>Množství ošetřených pacientů</a:t>
                </a: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2087856"/>
        <c:crosses val="autoZero"/>
        <c:crossBetween val="between"/>
      </c:valAx>
      <c:spPr>
        <a:noFill/>
        <a:ln>
          <a:noFill/>
        </a:ln>
        <a:effectLst/>
      </c:spPr>
    </c:plotArea>
    <c:legend>
      <c:legendPos val="b"/>
      <c:overlay val="0"/>
      <c:spPr>
        <a:noFill/>
        <a:ln>
          <a:solidFill>
            <a:schemeClr val="accent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ROK 2019</a:t>
            </a:r>
            <a:endParaRPr lang="en-US"/>
          </a:p>
        </c:rich>
      </c:tx>
      <c:layout>
        <c:manualLayout>
          <c:xMode val="edge"/>
          <c:yMode val="edge"/>
          <c:x val="0.79228455818022747"/>
          <c:y val="0.11124952664499027"/>
        </c:manualLayout>
      </c:layout>
      <c:overlay val="1"/>
      <c:spPr>
        <a:solidFill>
          <a:schemeClr val="bg1"/>
        </a:solidFill>
        <a:ln>
          <a:solidFill>
            <a:schemeClr val="accent1"/>
          </a:solid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List2!$R$31</c:f>
              <c:strCache>
                <c:ptCount val="1"/>
              </c:strCache>
            </c:strRef>
          </c:tx>
          <c:spPr>
            <a:solidFill>
              <a:schemeClr val="accent1"/>
            </a:solidFill>
            <a:ln>
              <a:noFill/>
            </a:ln>
            <a:effectLst/>
          </c:spPr>
          <c:invertIfNegative val="0"/>
          <c:cat>
            <c:strRef>
              <c:f>List2!$Q$32:$Q$43</c:f>
              <c:strCache>
                <c:ptCount val="12"/>
                <c:pt idx="0">
                  <c:v>R07.4</c:v>
                </c:pt>
                <c:pt idx="1">
                  <c:v>R06.0</c:v>
                </c:pt>
                <c:pt idx="2">
                  <c:v>R55</c:v>
                </c:pt>
                <c:pt idx="3">
                  <c:v>I10</c:v>
                </c:pt>
                <c:pt idx="4">
                  <c:v>J18.0</c:v>
                </c:pt>
                <c:pt idx="5">
                  <c:v>R42</c:v>
                </c:pt>
                <c:pt idx="6">
                  <c:v>I50.0</c:v>
                </c:pt>
                <c:pt idx="7">
                  <c:v>K30</c:v>
                </c:pt>
                <c:pt idx="8">
                  <c:v>I48.1</c:v>
                </c:pt>
                <c:pt idx="9">
                  <c:v>I64</c:v>
                </c:pt>
                <c:pt idx="10">
                  <c:v>R50.9</c:v>
                </c:pt>
                <c:pt idx="11">
                  <c:v>R53</c:v>
                </c:pt>
              </c:strCache>
            </c:strRef>
          </c:cat>
          <c:val>
            <c:numRef>
              <c:f>List2!$R$32:$R$43</c:f>
              <c:numCache>
                <c:formatCode>General</c:formatCode>
                <c:ptCount val="12"/>
                <c:pt idx="0">
                  <c:v>10.31</c:v>
                </c:pt>
                <c:pt idx="1">
                  <c:v>8.25</c:v>
                </c:pt>
                <c:pt idx="2">
                  <c:v>8.25</c:v>
                </c:pt>
                <c:pt idx="3">
                  <c:v>7.22</c:v>
                </c:pt>
                <c:pt idx="4">
                  <c:v>5.15</c:v>
                </c:pt>
                <c:pt idx="5">
                  <c:v>5.15</c:v>
                </c:pt>
                <c:pt idx="6">
                  <c:v>4.12</c:v>
                </c:pt>
                <c:pt idx="7">
                  <c:v>4.12</c:v>
                </c:pt>
                <c:pt idx="8">
                  <c:v>3.09</c:v>
                </c:pt>
                <c:pt idx="9">
                  <c:v>3.09</c:v>
                </c:pt>
                <c:pt idx="10">
                  <c:v>3.09</c:v>
                </c:pt>
                <c:pt idx="11">
                  <c:v>3.09</c:v>
                </c:pt>
              </c:numCache>
            </c:numRef>
          </c:val>
          <c:extLst>
            <c:ext xmlns:c16="http://schemas.microsoft.com/office/drawing/2014/chart" uri="{C3380CC4-5D6E-409C-BE32-E72D297353CC}">
              <c16:uniqueId val="{00000000-B4AC-4731-8055-5DF2E609EE19}"/>
            </c:ext>
          </c:extLst>
        </c:ser>
        <c:dLbls>
          <c:showLegendKey val="0"/>
          <c:showVal val="0"/>
          <c:showCatName val="0"/>
          <c:showSerName val="0"/>
          <c:showPercent val="0"/>
          <c:showBubbleSize val="0"/>
        </c:dLbls>
        <c:gapWidth val="219"/>
        <c:overlap val="-27"/>
        <c:axId val="511456735"/>
        <c:axId val="511457215"/>
      </c:barChart>
      <c:catAx>
        <c:axId val="51145673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Diagnózy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11457215"/>
        <c:crosses val="autoZero"/>
        <c:auto val="1"/>
        <c:lblAlgn val="ctr"/>
        <c:lblOffset val="100"/>
        <c:noMultiLvlLbl val="0"/>
      </c:catAx>
      <c:valAx>
        <c:axId val="5114572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Zastoupení</a:t>
                </a:r>
                <a:r>
                  <a:rPr lang="cs-CZ" baseline="0"/>
                  <a:t> diagnóz (v %)</a:t>
                </a:r>
                <a:endParaRPr lang="cs-CZ"/>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1145673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ROK 202</a:t>
            </a:r>
            <a:r>
              <a:rPr lang="cs-CZ"/>
              <a:t>3</a:t>
            </a:r>
            <a:endParaRPr lang="en-US"/>
          </a:p>
        </c:rich>
      </c:tx>
      <c:layout>
        <c:manualLayout>
          <c:xMode val="edge"/>
          <c:yMode val="edge"/>
          <c:x val="0.79506233595800535"/>
          <c:y val="0.11126449273469216"/>
        </c:manualLayout>
      </c:layout>
      <c:overlay val="1"/>
      <c:spPr>
        <a:solidFill>
          <a:schemeClr val="bg1"/>
        </a:solidFill>
        <a:ln>
          <a:solidFill>
            <a:schemeClr val="accent1"/>
          </a:solid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List2!$U$30:$U$31</c:f>
              <c:strCache>
                <c:ptCount val="2"/>
                <c:pt idx="0">
                  <c:v>ROK 2023</c:v>
                </c:pt>
                <c:pt idx="1">
                  <c:v>(%)</c:v>
                </c:pt>
              </c:strCache>
            </c:strRef>
          </c:tx>
          <c:spPr>
            <a:solidFill>
              <a:schemeClr val="accent1"/>
            </a:solidFill>
            <a:ln>
              <a:noFill/>
            </a:ln>
            <a:effectLst/>
          </c:spPr>
          <c:invertIfNegative val="0"/>
          <c:cat>
            <c:strRef>
              <c:f>List2!$T$32:$T$43</c:f>
              <c:strCache>
                <c:ptCount val="12"/>
                <c:pt idx="0">
                  <c:v>R55</c:v>
                </c:pt>
                <c:pt idx="1">
                  <c:v>R06.0</c:v>
                </c:pt>
                <c:pt idx="2">
                  <c:v>R07.4</c:v>
                </c:pt>
                <c:pt idx="3">
                  <c:v>I10</c:v>
                </c:pt>
                <c:pt idx="4">
                  <c:v>I64</c:v>
                </c:pt>
                <c:pt idx="5">
                  <c:v>R53</c:v>
                </c:pt>
                <c:pt idx="6">
                  <c:v>R42</c:v>
                </c:pt>
                <c:pt idx="7">
                  <c:v>R50.9</c:v>
                </c:pt>
                <c:pt idx="8">
                  <c:v>I50.0</c:v>
                </c:pt>
                <c:pt idx="9">
                  <c:v>N39.0</c:v>
                </c:pt>
                <c:pt idx="10">
                  <c:v>J18.0</c:v>
                </c:pt>
                <c:pt idx="11">
                  <c:v>I48.1</c:v>
                </c:pt>
              </c:strCache>
            </c:strRef>
          </c:cat>
          <c:val>
            <c:numRef>
              <c:f>List2!$U$32:$U$43</c:f>
              <c:numCache>
                <c:formatCode>General</c:formatCode>
                <c:ptCount val="12"/>
                <c:pt idx="0">
                  <c:v>11.62</c:v>
                </c:pt>
                <c:pt idx="1">
                  <c:v>10.61</c:v>
                </c:pt>
                <c:pt idx="2">
                  <c:v>7.58</c:v>
                </c:pt>
                <c:pt idx="3">
                  <c:v>7.58</c:v>
                </c:pt>
                <c:pt idx="4">
                  <c:v>4.55</c:v>
                </c:pt>
                <c:pt idx="5">
                  <c:v>4.55</c:v>
                </c:pt>
                <c:pt idx="6">
                  <c:v>4.04</c:v>
                </c:pt>
                <c:pt idx="7">
                  <c:v>4.04</c:v>
                </c:pt>
                <c:pt idx="8">
                  <c:v>3.54</c:v>
                </c:pt>
                <c:pt idx="9" formatCode="0.00">
                  <c:v>3.03</c:v>
                </c:pt>
                <c:pt idx="10" formatCode="0.00">
                  <c:v>3.03</c:v>
                </c:pt>
                <c:pt idx="11">
                  <c:v>2.02</c:v>
                </c:pt>
              </c:numCache>
            </c:numRef>
          </c:val>
          <c:extLst>
            <c:ext xmlns:c16="http://schemas.microsoft.com/office/drawing/2014/chart" uri="{C3380CC4-5D6E-409C-BE32-E72D297353CC}">
              <c16:uniqueId val="{00000000-A9F1-41A4-AD41-9BB9B9A8C4C8}"/>
            </c:ext>
          </c:extLst>
        </c:ser>
        <c:dLbls>
          <c:showLegendKey val="0"/>
          <c:showVal val="0"/>
          <c:showCatName val="0"/>
          <c:showSerName val="0"/>
          <c:showPercent val="0"/>
          <c:showBubbleSize val="0"/>
        </c:dLbls>
        <c:gapWidth val="219"/>
        <c:overlap val="-27"/>
        <c:axId val="1561460031"/>
        <c:axId val="1561458591"/>
      </c:barChart>
      <c:catAx>
        <c:axId val="156146003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Diagnózy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561458591"/>
        <c:crosses val="autoZero"/>
        <c:auto val="1"/>
        <c:lblAlgn val="ctr"/>
        <c:lblOffset val="100"/>
        <c:noMultiLvlLbl val="0"/>
      </c:catAx>
      <c:valAx>
        <c:axId val="1561458591"/>
        <c:scaling>
          <c:orientation val="minMax"/>
          <c:max val="1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Zastoupení</a:t>
                </a:r>
                <a:r>
                  <a:rPr lang="cs-CZ" baseline="0"/>
                  <a:t> diagnóz (v %)</a:t>
                </a:r>
                <a:endParaRPr lang="cs-CZ"/>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5614600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0.41269</cdr:x>
      <cdr:y>0.18322</cdr:y>
    </cdr:from>
    <cdr:to>
      <cdr:x>0.54707</cdr:x>
      <cdr:y>0.24398</cdr:y>
    </cdr:to>
    <cdr:sp macro="" textlink="">
      <cdr:nvSpPr>
        <cdr:cNvPr id="2" name="TextovéPole 1">
          <a:extLst xmlns:a="http://schemas.openxmlformats.org/drawingml/2006/main">
            <a:ext uri="{FF2B5EF4-FFF2-40B4-BE49-F238E27FC236}">
              <a16:creationId xmlns:a16="http://schemas.microsoft.com/office/drawing/2014/main" id="{DDFB46E6-7934-D42C-CCF1-E1F4AFFF5FFE}"/>
            </a:ext>
          </a:extLst>
        </cdr:cNvPr>
        <cdr:cNvSpPr txBox="1"/>
      </cdr:nvSpPr>
      <cdr:spPr>
        <a:xfrm xmlns:a="http://schemas.openxmlformats.org/drawingml/2006/main">
          <a:off x="2265750" y="560189"/>
          <a:ext cx="737774" cy="185775"/>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vertOverflow="clip" wrap="none" rtlCol="0" anchor="ctr"/>
        <a:lstStyle xmlns:a="http://schemas.openxmlformats.org/drawingml/2006/main"/>
        <a:p xmlns:a="http://schemas.openxmlformats.org/drawingml/2006/main">
          <a:pPr algn="ctr"/>
          <a:r>
            <a:rPr lang="cs-CZ" sz="1000" b="1" kern="1200"/>
            <a:t>ROK </a:t>
          </a:r>
          <a:r>
            <a:rPr lang="cs-CZ" sz="1000" b="1" kern="1200">
              <a:ln>
                <a:noFill/>
              </a:ln>
            </a:rPr>
            <a:t>2019</a:t>
          </a:r>
        </a:p>
      </cdr:txBody>
    </cdr:sp>
  </cdr:relSizeAnchor>
  <cdr:relSizeAnchor xmlns:cdr="http://schemas.openxmlformats.org/drawingml/2006/chartDrawing">
    <cdr:from>
      <cdr:x>0.41252</cdr:x>
      <cdr:y>0.07714</cdr:y>
    </cdr:from>
    <cdr:to>
      <cdr:x>0.5469</cdr:x>
      <cdr:y>0.13674</cdr:y>
    </cdr:to>
    <cdr:sp macro="" textlink="">
      <cdr:nvSpPr>
        <cdr:cNvPr id="3" name="TextovéPole 1">
          <a:extLst xmlns:a="http://schemas.openxmlformats.org/drawingml/2006/main">
            <a:ext uri="{FF2B5EF4-FFF2-40B4-BE49-F238E27FC236}">
              <a16:creationId xmlns:a16="http://schemas.microsoft.com/office/drawing/2014/main" id="{01F587ED-0978-50BE-8943-9F31C9F5897A}"/>
            </a:ext>
          </a:extLst>
        </cdr:cNvPr>
        <cdr:cNvSpPr txBox="1"/>
      </cdr:nvSpPr>
      <cdr:spPr>
        <a:xfrm xmlns:a="http://schemas.openxmlformats.org/drawingml/2006/main">
          <a:off x="2264802" y="235872"/>
          <a:ext cx="737774" cy="182229"/>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rot="0" wrap="non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cs-CZ" sz="1000" b="1" kern="1200"/>
            <a:t>ROK </a:t>
          </a:r>
          <a:r>
            <a:rPr lang="cs-CZ" sz="1000" b="1" kern="1200">
              <a:ln>
                <a:noFill/>
              </a:ln>
            </a:rPr>
            <a:t>2023</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1F0FEF06E64EDBB2EC014BE2C904E2"/>
        <w:category>
          <w:name w:val="Obecné"/>
          <w:gallery w:val="placeholder"/>
        </w:category>
        <w:types>
          <w:type w:val="bbPlcHdr"/>
        </w:types>
        <w:behaviors>
          <w:behavior w:val="content"/>
        </w:behaviors>
        <w:guid w:val="{02DD0DD8-FCD3-431B-852E-1185EA79485D}"/>
      </w:docPartPr>
      <w:docPartBody>
        <w:p w:rsidR="00CD7860" w:rsidRDefault="00CD7860">
          <w:pPr>
            <w:pStyle w:val="7A1F0FEF06E64EDBB2EC014BE2C904E2"/>
          </w:pPr>
          <w:r w:rsidRPr="00F01F66">
            <w:rPr>
              <w:rStyle w:val="Zstupntext"/>
            </w:rPr>
            <w:t>[Zvolte druh závěrečné práce]</w:t>
          </w:r>
        </w:p>
      </w:docPartBody>
    </w:docPart>
    <w:docPart>
      <w:docPartPr>
        <w:name w:val="EE617C243D6D4FABBF989EAF73BB2512"/>
        <w:category>
          <w:name w:val="Obecné"/>
          <w:gallery w:val="placeholder"/>
        </w:category>
        <w:types>
          <w:type w:val="bbPlcHdr"/>
        </w:types>
        <w:behaviors>
          <w:behavior w:val="content"/>
        </w:behaviors>
        <w:guid w:val="{1860455B-C041-4048-8AB6-6609F2069940}"/>
      </w:docPartPr>
      <w:docPartBody>
        <w:p w:rsidR="00CD7860" w:rsidRDefault="00CD7860">
          <w:pPr>
            <w:pStyle w:val="EE617C243D6D4FABBF989EAF73BB2512"/>
          </w:pPr>
          <w:r w:rsidRPr="001133CC">
            <w:rPr>
              <w:rStyle w:val="Zstupntext"/>
            </w:rPr>
            <w:t>[Autor]</w:t>
          </w:r>
        </w:p>
      </w:docPartBody>
    </w:docPart>
    <w:docPart>
      <w:docPartPr>
        <w:name w:val="CE18481513CD44BDB90F25D565AC0A4C"/>
        <w:category>
          <w:name w:val="Obecné"/>
          <w:gallery w:val="placeholder"/>
        </w:category>
        <w:types>
          <w:type w:val="bbPlcHdr"/>
        </w:types>
        <w:behaviors>
          <w:behavior w:val="content"/>
        </w:behaviors>
        <w:guid w:val="{73754C2B-FD5C-470A-9FEC-C17F14B4E10C}"/>
      </w:docPartPr>
      <w:docPartBody>
        <w:p w:rsidR="00CD7860" w:rsidRDefault="00CD7860">
          <w:pPr>
            <w:pStyle w:val="CE18481513CD44BDB90F25D565AC0A4C"/>
          </w:pPr>
          <w:r>
            <w:rPr>
              <w:rStyle w:val="Zstupntext"/>
            </w:rPr>
            <w:t>[Rok odevzdání práce]</w:t>
          </w:r>
        </w:p>
      </w:docPartBody>
    </w:docPart>
    <w:docPart>
      <w:docPartPr>
        <w:name w:val="A3F2D9EB49CE4F9BB23F34CB88B26D23"/>
        <w:category>
          <w:name w:val="Obecné"/>
          <w:gallery w:val="placeholder"/>
        </w:category>
        <w:types>
          <w:type w:val="bbPlcHdr"/>
        </w:types>
        <w:behaviors>
          <w:behavior w:val="content"/>
        </w:behaviors>
        <w:guid w:val="{45C43FF1-0A8D-4DFD-8339-D5CA5BB56888}"/>
      </w:docPartPr>
      <w:docPartBody>
        <w:p w:rsidR="00CD7860" w:rsidRDefault="00CD7860">
          <w:pPr>
            <w:pStyle w:val="A3F2D9EB49CE4F9BB23F34CB88B26D23"/>
          </w:pPr>
          <w:r w:rsidRPr="00060E55">
            <w:rPr>
              <w:rStyle w:val="Zstupntext"/>
            </w:rPr>
            <w:t>[Autor]</w:t>
          </w:r>
        </w:p>
      </w:docPartBody>
    </w:docPart>
    <w:docPart>
      <w:docPartPr>
        <w:name w:val="3DB29A78B1AB44E5A0A7C7BFCEC4E8D4"/>
        <w:category>
          <w:name w:val="Obecné"/>
          <w:gallery w:val="placeholder"/>
        </w:category>
        <w:types>
          <w:type w:val="bbPlcHdr"/>
        </w:types>
        <w:behaviors>
          <w:behavior w:val="content"/>
        </w:behaviors>
        <w:guid w:val="{593448E6-1C39-4A71-BE96-3F7DCB379A8E}"/>
      </w:docPartPr>
      <w:docPartBody>
        <w:p w:rsidR="00CD7860" w:rsidRDefault="00CD7860">
          <w:pPr>
            <w:pStyle w:val="3DB29A78B1AB44E5A0A7C7BFCEC4E8D4"/>
          </w:pPr>
          <w:r w:rsidRPr="00060E55">
            <w:rPr>
              <w:rStyle w:val="Zstupntext"/>
            </w:rPr>
            <w:t>[Název]</w:t>
          </w:r>
        </w:p>
      </w:docPartBody>
    </w:docPart>
    <w:docPart>
      <w:docPartPr>
        <w:name w:val="C183BA6229154D94A73CCCE1BA95848E"/>
        <w:category>
          <w:name w:val="Obecné"/>
          <w:gallery w:val="placeholder"/>
        </w:category>
        <w:types>
          <w:type w:val="bbPlcHdr"/>
        </w:types>
        <w:behaviors>
          <w:behavior w:val="content"/>
        </w:behaviors>
        <w:guid w:val="{14677059-848B-4F1F-938E-79BE5ACE8268}"/>
      </w:docPartPr>
      <w:docPartBody>
        <w:p w:rsidR="00CD7860" w:rsidRDefault="00CD7860">
          <w:pPr>
            <w:pStyle w:val="C183BA6229154D94A73CCCE1BA95848E"/>
          </w:pPr>
          <w:r w:rsidRPr="00746487">
            <w:rPr>
              <w:rStyle w:val="Zstupntext"/>
            </w:rPr>
            <w:t>[Nadřízený]</w:t>
          </w:r>
        </w:p>
      </w:docPartBody>
    </w:docPart>
    <w:docPart>
      <w:docPartPr>
        <w:name w:val="8B0580F2067F4E168083310A96E431C1"/>
        <w:category>
          <w:name w:val="Obecné"/>
          <w:gallery w:val="placeholder"/>
        </w:category>
        <w:types>
          <w:type w:val="bbPlcHdr"/>
        </w:types>
        <w:behaviors>
          <w:behavior w:val="content"/>
        </w:behaviors>
        <w:guid w:val="{3501AFE9-DB09-45A1-ADBA-7928198703E7}"/>
      </w:docPartPr>
      <w:docPartBody>
        <w:p w:rsidR="00CD7860" w:rsidRDefault="00CD7860">
          <w:pPr>
            <w:pStyle w:val="8B0580F2067F4E168083310A96E431C1"/>
          </w:pPr>
          <w:r w:rsidRPr="00746487">
            <w:rPr>
              <w:rStyle w:val="Zstupntext"/>
            </w:rPr>
            <w:t xml:space="preserve">[Napište 5–10 klíčových slov v češtině. Stejný seznam musí být vložen do </w:t>
          </w:r>
          <w:r w:rsidRPr="009E515C">
            <w:rPr>
              <w:rStyle w:val="Zstupntext"/>
            </w:rPr>
            <w:t>Archiv</w:t>
          </w:r>
          <w:r>
            <w:rPr>
              <w:rStyle w:val="Zstupntext"/>
            </w:rPr>
            <w:t>u</w:t>
          </w:r>
          <w:r w:rsidRPr="009E515C">
            <w:rPr>
              <w:rStyle w:val="Zstupntext"/>
            </w:rPr>
            <w:t xml:space="preserve"> závěrečné práce</w:t>
          </w:r>
          <w:r w:rsidRPr="00746487">
            <w:rPr>
              <w:rStyle w:val="Zstupntext"/>
            </w:rPr>
            <w:t xml:space="preserve"> v</w:t>
          </w:r>
          <w:r>
            <w:rPr>
              <w:rStyle w:val="Zstupntext"/>
            </w:rPr>
            <w:t> I</w:t>
          </w:r>
          <w:r w:rsidRPr="00746487">
            <w:rPr>
              <w:rStyle w:val="Zstupntext"/>
            </w:rPr>
            <w:t>nformačním systému MU.]</w:t>
          </w:r>
        </w:p>
      </w:docPartBody>
    </w:docPart>
    <w:docPart>
      <w:docPartPr>
        <w:name w:val="81032CFB149D4181BA3E48ABCD3817BF"/>
        <w:category>
          <w:name w:val="Obecné"/>
          <w:gallery w:val="placeholder"/>
        </w:category>
        <w:types>
          <w:type w:val="bbPlcHdr"/>
        </w:types>
        <w:behaviors>
          <w:behavior w:val="content"/>
        </w:behaviors>
        <w:guid w:val="{5D40DD24-D160-4FD5-AE8F-F5EE7B6571DE}"/>
      </w:docPartPr>
      <w:docPartBody>
        <w:p w:rsidR="00CD7860" w:rsidRDefault="00CD7860">
          <w:pPr>
            <w:pStyle w:val="81032CFB149D4181BA3E48ABCD3817BF"/>
          </w:pPr>
          <w:r w:rsidRPr="00060E55">
            <w:rPr>
              <w:rStyle w:val="Zstupntext"/>
            </w:rPr>
            <w:t>[Autor]</w:t>
          </w:r>
        </w:p>
      </w:docPartBody>
    </w:docPart>
    <w:docPart>
      <w:docPartPr>
        <w:name w:val="D272BC17A68C4E5682D038750618ACB1"/>
        <w:category>
          <w:name w:val="Obecné"/>
          <w:gallery w:val="placeholder"/>
        </w:category>
        <w:types>
          <w:type w:val="bbPlcHdr"/>
        </w:types>
        <w:behaviors>
          <w:behavior w:val="content"/>
        </w:behaviors>
        <w:guid w:val="{3AE8FF4C-4876-41D9-BCB2-A8B78BF8C24A}"/>
      </w:docPartPr>
      <w:docPartBody>
        <w:p w:rsidR="00CD7860" w:rsidRDefault="00CD7860">
          <w:pPr>
            <w:pStyle w:val="D272BC17A68C4E5682D038750618ACB1"/>
          </w:pPr>
          <w:r w:rsidRPr="00F01F66">
            <w:rPr>
              <w:rStyle w:val="Zstupntext"/>
            </w:rPr>
            <w:t>[Zadejte anglický název katedry nebo ústavu]</w:t>
          </w:r>
        </w:p>
      </w:docPartBody>
    </w:docPart>
    <w:docPart>
      <w:docPartPr>
        <w:name w:val="C86D46A6659C416E82C82100CB5D11DA"/>
        <w:category>
          <w:name w:val="Obecné"/>
          <w:gallery w:val="placeholder"/>
        </w:category>
        <w:types>
          <w:type w:val="bbPlcHdr"/>
        </w:types>
        <w:behaviors>
          <w:behavior w:val="content"/>
        </w:behaviors>
        <w:guid w:val="{E2A389D1-A21D-4A39-9C6E-70C2E226BE89}"/>
      </w:docPartPr>
      <w:docPartBody>
        <w:p w:rsidR="00CD7860" w:rsidRDefault="00CD7860">
          <w:pPr>
            <w:pStyle w:val="C86D46A6659C416E82C82100CB5D11DA"/>
          </w:pPr>
          <w:r w:rsidRPr="00746487">
            <w:rPr>
              <w:rStyle w:val="Zstupntext"/>
              <w:lang w:val="en-GB"/>
            </w:rPr>
            <w:t>[Klepněte a napište název práce v angličtině]</w:t>
          </w:r>
        </w:p>
      </w:docPartBody>
    </w:docPart>
    <w:docPart>
      <w:docPartPr>
        <w:name w:val="52E2DAC343ED4B6DB70D436F20CD6875"/>
        <w:category>
          <w:name w:val="Obecné"/>
          <w:gallery w:val="placeholder"/>
        </w:category>
        <w:types>
          <w:type w:val="bbPlcHdr"/>
        </w:types>
        <w:behaviors>
          <w:behavior w:val="content"/>
        </w:behaviors>
        <w:guid w:val="{51CB942F-435A-4CDB-8418-81A6D7AB3B75}"/>
      </w:docPartPr>
      <w:docPartBody>
        <w:p w:rsidR="00CD7860" w:rsidRDefault="00CD7860">
          <w:pPr>
            <w:pStyle w:val="52E2DAC343ED4B6DB70D436F20CD6875"/>
          </w:pPr>
          <w:r w:rsidRPr="00746487">
            <w:rPr>
              <w:rStyle w:val="Zstupntext"/>
              <w:lang w:val="en-GB"/>
            </w:rPr>
            <w:t>[Nadřízený]</w:t>
          </w:r>
        </w:p>
      </w:docPartBody>
    </w:docPart>
    <w:docPart>
      <w:docPartPr>
        <w:name w:val="9729234533D441BD9542CED1A20D8267"/>
        <w:category>
          <w:name w:val="Obecné"/>
          <w:gallery w:val="placeholder"/>
        </w:category>
        <w:types>
          <w:type w:val="bbPlcHdr"/>
        </w:types>
        <w:behaviors>
          <w:behavior w:val="content"/>
        </w:behaviors>
        <w:guid w:val="{0ABCF066-D0AF-498E-BCFE-A720E0815947}"/>
      </w:docPartPr>
      <w:docPartBody>
        <w:p w:rsidR="00CD7860" w:rsidRDefault="00CD7860">
          <w:pPr>
            <w:pStyle w:val="9729234533D441BD9542CED1A20D8267"/>
          </w:pPr>
          <w:r w:rsidRPr="00781B50">
            <w:rPr>
              <w:rStyle w:val="Zstupntext"/>
              <w:lang w:val="en-GB"/>
            </w:rPr>
            <w:t>[Napište 5–10 klíčových slov v angličtině. Stejný seznam musí být vložen do Archivu závěrečné práce v Informačním systému MU.]</w:t>
          </w:r>
        </w:p>
        <w:bookmarkStart w:id="0" w:name="_Hlk48908568"/>
        <w:bookmarkEnd w:id="0"/>
      </w:docPartBody>
    </w:docPart>
    <w:docPart>
      <w:docPartPr>
        <w:name w:val="258E598C835648A6B2E0365FD76FF6F6"/>
        <w:category>
          <w:name w:val="Obecné"/>
          <w:gallery w:val="placeholder"/>
        </w:category>
        <w:types>
          <w:type w:val="bbPlcHdr"/>
        </w:types>
        <w:behaviors>
          <w:behavior w:val="content"/>
        </w:behaviors>
        <w:guid w:val="{21A57876-47D1-405E-86AE-C54E3C858074}"/>
      </w:docPartPr>
      <w:docPartBody>
        <w:p w:rsidR="00CD7860" w:rsidRDefault="00CD7860">
          <w:pPr>
            <w:pStyle w:val="258E598C835648A6B2E0365FD76FF6F6"/>
          </w:pPr>
          <w:r w:rsidRPr="00F01F66">
            <w:rPr>
              <w:rStyle w:val="Zstupntext"/>
            </w:rPr>
            <w:t>[Vyberte druh práce]</w:t>
          </w:r>
        </w:p>
      </w:docPartBody>
    </w:docPart>
    <w:docPart>
      <w:docPartPr>
        <w:name w:val="FA408374FCA145BB8BF3513BF5E357EE"/>
        <w:category>
          <w:name w:val="Obecné"/>
          <w:gallery w:val="placeholder"/>
        </w:category>
        <w:types>
          <w:type w:val="bbPlcHdr"/>
        </w:types>
        <w:behaviors>
          <w:behavior w:val="content"/>
        </w:behaviors>
        <w:guid w:val="{1C11E160-4D3D-43B3-94B7-D4F3D7544C8E}"/>
      </w:docPartPr>
      <w:docPartBody>
        <w:p w:rsidR="00CD7860" w:rsidRDefault="00CD7860">
          <w:pPr>
            <w:pStyle w:val="FA408374FCA145BB8BF3513BF5E357EE"/>
          </w:pPr>
          <w:r w:rsidRPr="001133CC">
            <w:rPr>
              <w:rStyle w:val="Zstupntext"/>
            </w:rPr>
            <w:t>[Název]</w:t>
          </w:r>
        </w:p>
      </w:docPartBody>
    </w:docPart>
    <w:docPart>
      <w:docPartPr>
        <w:name w:val="DECBB30BA24A4130A964347D30261BB4"/>
        <w:category>
          <w:name w:val="Obecné"/>
          <w:gallery w:val="placeholder"/>
        </w:category>
        <w:types>
          <w:type w:val="bbPlcHdr"/>
        </w:types>
        <w:behaviors>
          <w:behavior w:val="content"/>
        </w:behaviors>
        <w:guid w:val="{CE2828C8-1576-4D5B-8DDE-EB3857958AFE}"/>
      </w:docPartPr>
      <w:docPartBody>
        <w:p w:rsidR="00CD7860" w:rsidRDefault="00CD7860">
          <w:pPr>
            <w:pStyle w:val="DECBB30BA24A4130A964347D30261BB4"/>
          </w:pPr>
          <w:r w:rsidRPr="006174FE">
            <w:rPr>
              <w:rStyle w:val="Zstupntext"/>
            </w:rPr>
            <w:t>Zvolte položku.</w:t>
          </w:r>
        </w:p>
      </w:docPartBody>
    </w:docPart>
    <w:docPart>
      <w:docPartPr>
        <w:name w:val="95E5F4E6FFCB4167BD79D2951BF2B912"/>
        <w:category>
          <w:name w:val="Obecné"/>
          <w:gallery w:val="placeholder"/>
        </w:category>
        <w:types>
          <w:type w:val="bbPlcHdr"/>
        </w:types>
        <w:behaviors>
          <w:behavior w:val="content"/>
        </w:behaviors>
        <w:guid w:val="{F6BAD0DA-924F-446B-BAC0-9DAC80F03BA5}"/>
      </w:docPartPr>
      <w:docPartBody>
        <w:p w:rsidR="00CD7860" w:rsidRDefault="00CD7860">
          <w:pPr>
            <w:pStyle w:val="95E5F4E6FFCB4167BD79D2951BF2B912"/>
          </w:pPr>
          <w:r w:rsidRPr="00746487">
            <w:rPr>
              <w:rStyle w:val="Zstupntext"/>
            </w:rPr>
            <w:t xml:space="preserve">[vyberte podle </w:t>
          </w:r>
          <w:r>
            <w:rPr>
              <w:rStyle w:val="Zstupntext"/>
            </w:rPr>
            <w:t>mluvnického rodu</w:t>
          </w:r>
          <w:r w:rsidRPr="00746487">
            <w:rPr>
              <w:rStyle w:val="Zstupntext"/>
            </w:rPr>
            <w:t>]</w:t>
          </w:r>
        </w:p>
      </w:docPartBody>
    </w:docPart>
    <w:docPart>
      <w:docPartPr>
        <w:name w:val="7D16F3658B614A719121AE52F28C8ED3"/>
        <w:category>
          <w:name w:val="Obecné"/>
          <w:gallery w:val="placeholder"/>
        </w:category>
        <w:types>
          <w:type w:val="bbPlcHdr"/>
        </w:types>
        <w:behaviors>
          <w:behavior w:val="content"/>
        </w:behaviors>
        <w:guid w:val="{08D3DE3E-5058-41B0-98EB-D4E6B7A6AD73}"/>
      </w:docPartPr>
      <w:docPartBody>
        <w:p w:rsidR="00CD7860" w:rsidRDefault="00CD7860">
          <w:pPr>
            <w:pStyle w:val="7D16F3658B614A719121AE52F28C8ED3"/>
          </w:pPr>
          <w:r w:rsidRPr="0001165A">
            <w:rPr>
              <w:rStyle w:val="Zstupntext"/>
            </w:rPr>
            <w:t>Klikněte nebo klepněte sem a zadejte datum.</w:t>
          </w:r>
        </w:p>
      </w:docPartBody>
    </w:docPart>
    <w:docPart>
      <w:docPartPr>
        <w:name w:val="B063D8DCB8A54C589B3C664838C1A000"/>
        <w:category>
          <w:name w:val="Obecné"/>
          <w:gallery w:val="placeholder"/>
        </w:category>
        <w:types>
          <w:type w:val="bbPlcHdr"/>
        </w:types>
        <w:behaviors>
          <w:behavior w:val="content"/>
        </w:behaviors>
        <w:guid w:val="{1534851A-C687-47C5-9992-037FD318C81F}"/>
      </w:docPartPr>
      <w:docPartBody>
        <w:p w:rsidR="00CD7860" w:rsidRDefault="00CD7860">
          <w:pPr>
            <w:pStyle w:val="B063D8DCB8A54C589B3C664838C1A000"/>
          </w:pPr>
          <w:r w:rsidRPr="00943580">
            <w:rPr>
              <w:rStyle w:val="Zstupntext"/>
            </w:rPr>
            <w:t>[Autor]</w:t>
          </w:r>
        </w:p>
      </w:docPartBody>
    </w:docPart>
    <w:docPart>
      <w:docPartPr>
        <w:name w:val="9EAEE7C7310241F39F91DD4E51A7BB7C"/>
        <w:category>
          <w:name w:val="Obecné"/>
          <w:gallery w:val="placeholder"/>
        </w:category>
        <w:types>
          <w:type w:val="bbPlcHdr"/>
        </w:types>
        <w:behaviors>
          <w:behavior w:val="content"/>
        </w:behaviors>
        <w:guid w:val="{EB2A89AE-A7FC-4E9D-A95E-2AA6605EBBB0}"/>
      </w:docPartPr>
      <w:docPartBody>
        <w:p w:rsidR="00CD7860" w:rsidRDefault="00CD7860">
          <w:pPr>
            <w:pStyle w:val="9EAEE7C7310241F39F91DD4E51A7BB7C"/>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56C83B58E6E04ADBA23547DDFA553D85"/>
        <w:category>
          <w:name w:val="Obecné"/>
          <w:gallery w:val="placeholder"/>
        </w:category>
        <w:types>
          <w:type w:val="bbPlcHdr"/>
        </w:types>
        <w:behaviors>
          <w:behavior w:val="content"/>
        </w:behaviors>
        <w:guid w:val="{F0E01196-AAE9-4C77-B238-B81F1FEBB578}"/>
      </w:docPartPr>
      <w:docPartBody>
        <w:p w:rsidR="00CD7860" w:rsidRDefault="00CD7860">
          <w:pPr>
            <w:pStyle w:val="56C83B58E6E04ADBA23547DDFA553D85"/>
          </w:pPr>
          <w:r>
            <w:t xml:space="preserve">     </w:t>
          </w:r>
        </w:p>
      </w:docPartBody>
    </w:docPart>
    <w:docPart>
      <w:docPartPr>
        <w:name w:val="89A648D50CAD42F78E927A74BB72F6EB"/>
        <w:category>
          <w:name w:val="Obecné"/>
          <w:gallery w:val="placeholder"/>
        </w:category>
        <w:types>
          <w:type w:val="bbPlcHdr"/>
        </w:types>
        <w:behaviors>
          <w:behavior w:val="content"/>
        </w:behaviors>
        <w:guid w:val="{24098C52-BDC2-452E-9E5D-5AD8BF15DF13}"/>
      </w:docPartPr>
      <w:docPartBody>
        <w:p w:rsidR="00CD7860" w:rsidRDefault="00CD7860">
          <w:pPr>
            <w:pStyle w:val="89A648D50CAD42F78E927A74BB72F6EB"/>
          </w:pPr>
          <w:r w:rsidRPr="009D6AD8">
            <w:rPr>
              <w:rStyle w:val="Zstupntext"/>
            </w:rPr>
            <w:t>[Název]</w:t>
          </w:r>
        </w:p>
      </w:docPartBody>
    </w:docPart>
    <w:docPart>
      <w:docPartPr>
        <w:name w:val="288D6EF1884A4ABD900E0D9ADB0ED5C2"/>
        <w:category>
          <w:name w:val="Obecné"/>
          <w:gallery w:val="placeholder"/>
        </w:category>
        <w:types>
          <w:type w:val="bbPlcHdr"/>
        </w:types>
        <w:behaviors>
          <w:behavior w:val="content"/>
        </w:behaviors>
        <w:guid w:val="{08CF8698-964A-4849-ABAE-E3EA5A466DD7}"/>
      </w:docPartPr>
      <w:docPartBody>
        <w:p w:rsidR="00CD7860" w:rsidRDefault="00CD7860" w:rsidP="00CD7860">
          <w:pPr>
            <w:pStyle w:val="288D6EF1884A4ABD900E0D9ADB0ED5C2"/>
          </w:pPr>
          <w:r>
            <w:rPr>
              <w:rStyle w:val="Zstupntext"/>
            </w:rPr>
            <w:t>[Rok odevzdání práce]</w:t>
          </w:r>
        </w:p>
      </w:docPartBody>
    </w:docPart>
    <w:docPart>
      <w:docPartPr>
        <w:name w:val="032A1619D324464BA6E8A98AB93174AF"/>
        <w:category>
          <w:name w:val="Obecné"/>
          <w:gallery w:val="placeholder"/>
        </w:category>
        <w:types>
          <w:type w:val="bbPlcHdr"/>
        </w:types>
        <w:behaviors>
          <w:behavior w:val="content"/>
        </w:behaviors>
        <w:guid w:val="{E1CE8C57-CD42-422F-B7F6-13ABD42678CA}"/>
      </w:docPartPr>
      <w:docPartBody>
        <w:p w:rsidR="00CD7860" w:rsidRDefault="00CD7860" w:rsidP="00CD7860">
          <w:pPr>
            <w:pStyle w:val="032A1619D324464BA6E8A98AB93174AF"/>
          </w:pPr>
          <w:r>
            <w:rPr>
              <w:rStyle w:val="Zstupntext"/>
            </w:rPr>
            <w:t>[Rok odevzdání práce]</w:t>
          </w:r>
        </w:p>
      </w:docPartBody>
    </w:docPart>
    <w:docPart>
      <w:docPartPr>
        <w:name w:val="099F8FC7D4CD4D6A9C6E413E621385E0"/>
        <w:category>
          <w:name w:val="Obecné"/>
          <w:gallery w:val="placeholder"/>
        </w:category>
        <w:types>
          <w:type w:val="bbPlcHdr"/>
        </w:types>
        <w:behaviors>
          <w:behavior w:val="content"/>
        </w:behaviors>
        <w:guid w:val="{C9F2FB75-6E7F-4E0E-AEE5-A86FEA2DC356}"/>
      </w:docPartPr>
      <w:docPartBody>
        <w:p w:rsidR="009108A4" w:rsidRDefault="003F5411" w:rsidP="003F5411">
          <w:pPr>
            <w:pStyle w:val="099F8FC7D4CD4D6A9C6E413E621385E0"/>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14EBF9F054D3476583113B18CE943721"/>
        <w:category>
          <w:name w:val="Obecné"/>
          <w:gallery w:val="placeholder"/>
        </w:category>
        <w:types>
          <w:type w:val="bbPlcHdr"/>
        </w:types>
        <w:behaviors>
          <w:behavior w:val="content"/>
        </w:behaviors>
        <w:guid w:val="{9808A8BB-41F0-46F0-9684-3BFF6DBB4A7D}"/>
      </w:docPartPr>
      <w:docPartBody>
        <w:p w:rsidR="001A2EF8" w:rsidRDefault="00CE16F0" w:rsidP="00CE16F0">
          <w:pPr>
            <w:pStyle w:val="14EBF9F054D3476583113B18CE943721"/>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5077C46EF48D4C31BD38C8313C849108"/>
        <w:category>
          <w:name w:val="Obecné"/>
          <w:gallery w:val="placeholder"/>
        </w:category>
        <w:types>
          <w:type w:val="bbPlcHdr"/>
        </w:types>
        <w:behaviors>
          <w:behavior w:val="content"/>
        </w:behaviors>
        <w:guid w:val="{8FD74E20-4595-46EB-B926-5213949655FB}"/>
      </w:docPartPr>
      <w:docPartBody>
        <w:p w:rsidR="001C357C" w:rsidRDefault="00E3035C" w:rsidP="00E3035C">
          <w:pPr>
            <w:pStyle w:val="5077C46EF48D4C31BD38C8313C849108"/>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48A5540970534A16B73D020A6F591C7B"/>
        <w:category>
          <w:name w:val="Obecné"/>
          <w:gallery w:val="placeholder"/>
        </w:category>
        <w:types>
          <w:type w:val="bbPlcHdr"/>
        </w:types>
        <w:behaviors>
          <w:behavior w:val="content"/>
        </w:behaviors>
        <w:guid w:val="{30A097DD-BD1B-4F42-BED2-54ACD2FB11C8}"/>
      </w:docPartPr>
      <w:docPartBody>
        <w:p w:rsidR="00A72A41" w:rsidRDefault="0050107B" w:rsidP="0050107B">
          <w:pPr>
            <w:pStyle w:val="48A5540970534A16B73D020A6F591C7B"/>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F0DFDB32757B441984148277A40249CE"/>
        <w:category>
          <w:name w:val="Obecné"/>
          <w:gallery w:val="placeholder"/>
        </w:category>
        <w:types>
          <w:type w:val="bbPlcHdr"/>
        </w:types>
        <w:behaviors>
          <w:behavior w:val="content"/>
        </w:behaviors>
        <w:guid w:val="{F30D625C-CAE4-400D-91D9-EEB6E60ECB46}"/>
      </w:docPartPr>
      <w:docPartBody>
        <w:p w:rsidR="00A72A41" w:rsidRDefault="0050107B" w:rsidP="0050107B">
          <w:pPr>
            <w:pStyle w:val="F0DFDB32757B441984148277A40249CE"/>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07233A74121D49D1A8AE906BF08B76B1"/>
        <w:category>
          <w:name w:val="Obecné"/>
          <w:gallery w:val="placeholder"/>
        </w:category>
        <w:types>
          <w:type w:val="bbPlcHdr"/>
        </w:types>
        <w:behaviors>
          <w:behavior w:val="content"/>
        </w:behaviors>
        <w:guid w:val="{C3E86CA1-DE47-4A29-85B4-4657761DCE4B}"/>
      </w:docPartPr>
      <w:docPartBody>
        <w:p w:rsidR="00A72A41" w:rsidRDefault="0050107B" w:rsidP="0050107B">
          <w:pPr>
            <w:pStyle w:val="07233A74121D49D1A8AE906BF08B76B1"/>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CBE1FDC9E1C340BF91395FBB32707BC7"/>
        <w:category>
          <w:name w:val="Obecné"/>
          <w:gallery w:val="placeholder"/>
        </w:category>
        <w:types>
          <w:type w:val="bbPlcHdr"/>
        </w:types>
        <w:behaviors>
          <w:behavior w:val="content"/>
        </w:behaviors>
        <w:guid w:val="{C6BB1B0B-B4B6-42EB-9EE4-4262911D29FF}"/>
      </w:docPartPr>
      <w:docPartBody>
        <w:p w:rsidR="00A72A41" w:rsidRDefault="0050107B" w:rsidP="0050107B">
          <w:pPr>
            <w:pStyle w:val="CBE1FDC9E1C340BF91395FBB32707BC7"/>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B26E80FD11C14CDA880E72FA4B67D7E2"/>
        <w:category>
          <w:name w:val="Obecné"/>
          <w:gallery w:val="placeholder"/>
        </w:category>
        <w:types>
          <w:type w:val="bbPlcHdr"/>
        </w:types>
        <w:behaviors>
          <w:behavior w:val="content"/>
        </w:behaviors>
        <w:guid w:val="{7C86EB89-B381-4B25-8E24-E5E3E9B899CF}"/>
      </w:docPartPr>
      <w:docPartBody>
        <w:p w:rsidR="00A72A41" w:rsidRDefault="0050107B" w:rsidP="0050107B">
          <w:pPr>
            <w:pStyle w:val="B26E80FD11C14CDA880E72FA4B67D7E2"/>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D1755065BEA9479AAA12231344832E60"/>
        <w:category>
          <w:name w:val="Obecné"/>
          <w:gallery w:val="placeholder"/>
        </w:category>
        <w:types>
          <w:type w:val="bbPlcHdr"/>
        </w:types>
        <w:behaviors>
          <w:behavior w:val="content"/>
        </w:behaviors>
        <w:guid w:val="{9F86F0DE-B61C-4B20-8B57-27B727383DEA}"/>
      </w:docPartPr>
      <w:docPartBody>
        <w:p w:rsidR="00A72A41" w:rsidRDefault="0050107B" w:rsidP="0050107B">
          <w:pPr>
            <w:pStyle w:val="D1755065BEA9479AAA12231344832E60"/>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E1C68DEE495C4EA5931662B669A4F84F"/>
        <w:category>
          <w:name w:val="Obecné"/>
          <w:gallery w:val="placeholder"/>
        </w:category>
        <w:types>
          <w:type w:val="bbPlcHdr"/>
        </w:types>
        <w:behaviors>
          <w:behavior w:val="content"/>
        </w:behaviors>
        <w:guid w:val="{C088F71A-DF99-439E-BC94-2A4D0905D868}"/>
      </w:docPartPr>
      <w:docPartBody>
        <w:p w:rsidR="00A72A41" w:rsidRDefault="0050107B" w:rsidP="0050107B">
          <w:pPr>
            <w:pStyle w:val="E1C68DEE495C4EA5931662B669A4F84F"/>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B74F812FDCCC4A7887BD9957E0B553AE"/>
        <w:category>
          <w:name w:val="Obecné"/>
          <w:gallery w:val="placeholder"/>
        </w:category>
        <w:types>
          <w:type w:val="bbPlcHdr"/>
        </w:types>
        <w:behaviors>
          <w:behavior w:val="content"/>
        </w:behaviors>
        <w:guid w:val="{C71249B1-1109-499A-B555-2E4DD567A71E}"/>
      </w:docPartPr>
      <w:docPartBody>
        <w:p w:rsidR="00A72A41" w:rsidRDefault="0050107B" w:rsidP="0050107B">
          <w:pPr>
            <w:pStyle w:val="B74F812FDCCC4A7887BD9957E0B553AE"/>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FA3E59A8182E4796B5638967DBEE8858"/>
        <w:category>
          <w:name w:val="Obecné"/>
          <w:gallery w:val="placeholder"/>
        </w:category>
        <w:types>
          <w:type w:val="bbPlcHdr"/>
        </w:types>
        <w:behaviors>
          <w:behavior w:val="content"/>
        </w:behaviors>
        <w:guid w:val="{C7E498D7-1ED3-40A8-8B7F-AC0ED04B42BB}"/>
      </w:docPartPr>
      <w:docPartBody>
        <w:p w:rsidR="00A72A41" w:rsidRDefault="0050107B" w:rsidP="0050107B">
          <w:pPr>
            <w:pStyle w:val="FA3E59A8182E4796B5638967DBEE8858"/>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2D11DC41BF204A58B529D0926285CA8E"/>
        <w:category>
          <w:name w:val="Obecné"/>
          <w:gallery w:val="placeholder"/>
        </w:category>
        <w:types>
          <w:type w:val="bbPlcHdr"/>
        </w:types>
        <w:behaviors>
          <w:behavior w:val="content"/>
        </w:behaviors>
        <w:guid w:val="{7DE37B27-4D5C-49E8-A0B4-169B66D5D2EC}"/>
      </w:docPartPr>
      <w:docPartBody>
        <w:p w:rsidR="00A72A41" w:rsidRDefault="0050107B" w:rsidP="0050107B">
          <w:pPr>
            <w:pStyle w:val="2D11DC41BF204A58B529D0926285CA8E"/>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C5DEE9E4DAAC457DBEC0D64D5913C977"/>
        <w:category>
          <w:name w:val="Obecné"/>
          <w:gallery w:val="placeholder"/>
        </w:category>
        <w:types>
          <w:type w:val="bbPlcHdr"/>
        </w:types>
        <w:behaviors>
          <w:behavior w:val="content"/>
        </w:behaviors>
        <w:guid w:val="{E68C6996-3DFC-47DE-A4C4-A1083F1D7D31}"/>
      </w:docPartPr>
      <w:docPartBody>
        <w:p w:rsidR="00A72A41" w:rsidRDefault="0050107B" w:rsidP="0050107B">
          <w:pPr>
            <w:pStyle w:val="C5DEE9E4DAAC457DBEC0D64D5913C977"/>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E6BFFC919FE243AD991790FAEAD847A8"/>
        <w:category>
          <w:name w:val="Obecné"/>
          <w:gallery w:val="placeholder"/>
        </w:category>
        <w:types>
          <w:type w:val="bbPlcHdr"/>
        </w:types>
        <w:behaviors>
          <w:behavior w:val="content"/>
        </w:behaviors>
        <w:guid w:val="{8F257BDD-B93E-41BE-92D9-C3467B9BF2A9}"/>
      </w:docPartPr>
      <w:docPartBody>
        <w:p w:rsidR="00A72A41" w:rsidRDefault="0050107B" w:rsidP="0050107B">
          <w:pPr>
            <w:pStyle w:val="E6BFFC919FE243AD991790FAEAD847A8"/>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88D64C89778349B19A8E1E728111AB67"/>
        <w:category>
          <w:name w:val="Obecné"/>
          <w:gallery w:val="placeholder"/>
        </w:category>
        <w:types>
          <w:type w:val="bbPlcHdr"/>
        </w:types>
        <w:behaviors>
          <w:behavior w:val="content"/>
        </w:behaviors>
        <w:guid w:val="{E6A5494C-BF03-43C2-BA40-72551567C018}"/>
      </w:docPartPr>
      <w:docPartBody>
        <w:p w:rsidR="00A72A41" w:rsidRDefault="0050107B" w:rsidP="0050107B">
          <w:pPr>
            <w:pStyle w:val="88D64C89778349B19A8E1E728111AB67"/>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935DB51E088E4D51828DB386B13FA844"/>
        <w:category>
          <w:name w:val="Obecné"/>
          <w:gallery w:val="placeholder"/>
        </w:category>
        <w:types>
          <w:type w:val="bbPlcHdr"/>
        </w:types>
        <w:behaviors>
          <w:behavior w:val="content"/>
        </w:behaviors>
        <w:guid w:val="{94EB9FEC-5305-40A0-9F47-B4C8F48F9D70}"/>
      </w:docPartPr>
      <w:docPartBody>
        <w:p w:rsidR="00A72A41" w:rsidRDefault="0050107B" w:rsidP="0050107B">
          <w:pPr>
            <w:pStyle w:val="935DB51E088E4D51828DB386B13FA844"/>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BDC3EEC7B59B48478DC75C5EE0D5E647"/>
        <w:category>
          <w:name w:val="Obecné"/>
          <w:gallery w:val="placeholder"/>
        </w:category>
        <w:types>
          <w:type w:val="bbPlcHdr"/>
        </w:types>
        <w:behaviors>
          <w:behavior w:val="content"/>
        </w:behaviors>
        <w:guid w:val="{EE12D498-E3F6-4362-9D4A-5803893E55F0}"/>
      </w:docPartPr>
      <w:docPartBody>
        <w:p w:rsidR="00A72A41" w:rsidRDefault="0050107B" w:rsidP="0050107B">
          <w:pPr>
            <w:pStyle w:val="BDC3EEC7B59B48478DC75C5EE0D5E647"/>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8DE450B976C64B599C79827FE4F89468"/>
        <w:category>
          <w:name w:val="Obecné"/>
          <w:gallery w:val="placeholder"/>
        </w:category>
        <w:types>
          <w:type w:val="bbPlcHdr"/>
        </w:types>
        <w:behaviors>
          <w:behavior w:val="content"/>
        </w:behaviors>
        <w:guid w:val="{3C8285BC-AF05-4559-9149-30D5EACC4D97}"/>
      </w:docPartPr>
      <w:docPartBody>
        <w:p w:rsidR="008713A5" w:rsidRDefault="00E0145F" w:rsidP="00E0145F">
          <w:pPr>
            <w:pStyle w:val="8DE450B976C64B599C79827FE4F89468"/>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860"/>
    <w:rsid w:val="000003C7"/>
    <w:rsid w:val="0001102A"/>
    <w:rsid w:val="000115F4"/>
    <w:rsid w:val="00012F82"/>
    <w:rsid w:val="00024B74"/>
    <w:rsid w:val="000325C5"/>
    <w:rsid w:val="00051F02"/>
    <w:rsid w:val="00075159"/>
    <w:rsid w:val="00075F3B"/>
    <w:rsid w:val="00083D20"/>
    <w:rsid w:val="000B5349"/>
    <w:rsid w:val="000B56B8"/>
    <w:rsid w:val="000E08F2"/>
    <w:rsid w:val="000F5652"/>
    <w:rsid w:val="00106F63"/>
    <w:rsid w:val="00111AF1"/>
    <w:rsid w:val="00115C2E"/>
    <w:rsid w:val="001857EB"/>
    <w:rsid w:val="001A2EF8"/>
    <w:rsid w:val="001C000A"/>
    <w:rsid w:val="001C357C"/>
    <w:rsid w:val="001D4AEC"/>
    <w:rsid w:val="001E3C77"/>
    <w:rsid w:val="00225634"/>
    <w:rsid w:val="0025064A"/>
    <w:rsid w:val="00254C2E"/>
    <w:rsid w:val="002638FA"/>
    <w:rsid w:val="00263DDB"/>
    <w:rsid w:val="00276EF1"/>
    <w:rsid w:val="0029001E"/>
    <w:rsid w:val="002914B4"/>
    <w:rsid w:val="00297CFB"/>
    <w:rsid w:val="002A4D01"/>
    <w:rsid w:val="002A5489"/>
    <w:rsid w:val="002F0B17"/>
    <w:rsid w:val="002F3012"/>
    <w:rsid w:val="003012B9"/>
    <w:rsid w:val="00363814"/>
    <w:rsid w:val="003A52B2"/>
    <w:rsid w:val="003A6373"/>
    <w:rsid w:val="003B003F"/>
    <w:rsid w:val="003B69D9"/>
    <w:rsid w:val="003B6D31"/>
    <w:rsid w:val="003D0645"/>
    <w:rsid w:val="003E6C1E"/>
    <w:rsid w:val="003F5411"/>
    <w:rsid w:val="004447F6"/>
    <w:rsid w:val="004B2977"/>
    <w:rsid w:val="004B739C"/>
    <w:rsid w:val="004B7EF9"/>
    <w:rsid w:val="004C0138"/>
    <w:rsid w:val="004C7FA0"/>
    <w:rsid w:val="004E50CA"/>
    <w:rsid w:val="004F6CEB"/>
    <w:rsid w:val="0050107B"/>
    <w:rsid w:val="00517E84"/>
    <w:rsid w:val="00526E0C"/>
    <w:rsid w:val="00535610"/>
    <w:rsid w:val="005502D6"/>
    <w:rsid w:val="00560019"/>
    <w:rsid w:val="0058484F"/>
    <w:rsid w:val="005F4A51"/>
    <w:rsid w:val="00600D02"/>
    <w:rsid w:val="00612CDF"/>
    <w:rsid w:val="00620383"/>
    <w:rsid w:val="00622D18"/>
    <w:rsid w:val="006303E1"/>
    <w:rsid w:val="00631158"/>
    <w:rsid w:val="00633135"/>
    <w:rsid w:val="006456AF"/>
    <w:rsid w:val="00646DBF"/>
    <w:rsid w:val="006547B5"/>
    <w:rsid w:val="00657D9E"/>
    <w:rsid w:val="00662D0D"/>
    <w:rsid w:val="0066503D"/>
    <w:rsid w:val="00667AEC"/>
    <w:rsid w:val="006810D8"/>
    <w:rsid w:val="00695D01"/>
    <w:rsid w:val="00696646"/>
    <w:rsid w:val="0069673E"/>
    <w:rsid w:val="006A160F"/>
    <w:rsid w:val="006B167A"/>
    <w:rsid w:val="006C121C"/>
    <w:rsid w:val="006D0BA8"/>
    <w:rsid w:val="006E5816"/>
    <w:rsid w:val="006F1055"/>
    <w:rsid w:val="006F32B5"/>
    <w:rsid w:val="00700EE2"/>
    <w:rsid w:val="007244FB"/>
    <w:rsid w:val="00730502"/>
    <w:rsid w:val="00747FF5"/>
    <w:rsid w:val="00756760"/>
    <w:rsid w:val="00763A18"/>
    <w:rsid w:val="007673BD"/>
    <w:rsid w:val="007705A1"/>
    <w:rsid w:val="007737E0"/>
    <w:rsid w:val="00775861"/>
    <w:rsid w:val="007873FC"/>
    <w:rsid w:val="007A6CE6"/>
    <w:rsid w:val="007B61C7"/>
    <w:rsid w:val="007F0641"/>
    <w:rsid w:val="008047A7"/>
    <w:rsid w:val="00827426"/>
    <w:rsid w:val="00852D55"/>
    <w:rsid w:val="00860235"/>
    <w:rsid w:val="0086167C"/>
    <w:rsid w:val="0086407E"/>
    <w:rsid w:val="00865F7D"/>
    <w:rsid w:val="008713A5"/>
    <w:rsid w:val="008B5899"/>
    <w:rsid w:val="008C670C"/>
    <w:rsid w:val="008D7F37"/>
    <w:rsid w:val="008E6AA1"/>
    <w:rsid w:val="008F4392"/>
    <w:rsid w:val="00905DF3"/>
    <w:rsid w:val="009108A4"/>
    <w:rsid w:val="0091591C"/>
    <w:rsid w:val="00917B09"/>
    <w:rsid w:val="009248E9"/>
    <w:rsid w:val="00976892"/>
    <w:rsid w:val="0098027D"/>
    <w:rsid w:val="009A475C"/>
    <w:rsid w:val="009D0C2F"/>
    <w:rsid w:val="009D6EC5"/>
    <w:rsid w:val="009F2B27"/>
    <w:rsid w:val="00A21A81"/>
    <w:rsid w:val="00A53EF0"/>
    <w:rsid w:val="00A57218"/>
    <w:rsid w:val="00A71460"/>
    <w:rsid w:val="00A72A41"/>
    <w:rsid w:val="00A81B68"/>
    <w:rsid w:val="00A84D81"/>
    <w:rsid w:val="00A8537A"/>
    <w:rsid w:val="00AC7759"/>
    <w:rsid w:val="00AE50BC"/>
    <w:rsid w:val="00AE6063"/>
    <w:rsid w:val="00B027E1"/>
    <w:rsid w:val="00B073A3"/>
    <w:rsid w:val="00B20091"/>
    <w:rsid w:val="00B5020F"/>
    <w:rsid w:val="00B66E91"/>
    <w:rsid w:val="00B83F5D"/>
    <w:rsid w:val="00BB4440"/>
    <w:rsid w:val="00BC42D7"/>
    <w:rsid w:val="00BD7BC4"/>
    <w:rsid w:val="00BF08B3"/>
    <w:rsid w:val="00BF2B06"/>
    <w:rsid w:val="00C0258D"/>
    <w:rsid w:val="00C176E2"/>
    <w:rsid w:val="00C45102"/>
    <w:rsid w:val="00C77AF2"/>
    <w:rsid w:val="00C77EA1"/>
    <w:rsid w:val="00CC6C00"/>
    <w:rsid w:val="00CC70F3"/>
    <w:rsid w:val="00CD0D29"/>
    <w:rsid w:val="00CD7860"/>
    <w:rsid w:val="00CE16F0"/>
    <w:rsid w:val="00D017EB"/>
    <w:rsid w:val="00D31658"/>
    <w:rsid w:val="00D42719"/>
    <w:rsid w:val="00D43DE1"/>
    <w:rsid w:val="00D525AB"/>
    <w:rsid w:val="00D5260B"/>
    <w:rsid w:val="00D55871"/>
    <w:rsid w:val="00D71F43"/>
    <w:rsid w:val="00D853D2"/>
    <w:rsid w:val="00D9372B"/>
    <w:rsid w:val="00DC0619"/>
    <w:rsid w:val="00DC3B5E"/>
    <w:rsid w:val="00DD4AAC"/>
    <w:rsid w:val="00DF75E0"/>
    <w:rsid w:val="00DF7C42"/>
    <w:rsid w:val="00E0145F"/>
    <w:rsid w:val="00E16281"/>
    <w:rsid w:val="00E20AC5"/>
    <w:rsid w:val="00E25FEB"/>
    <w:rsid w:val="00E3034D"/>
    <w:rsid w:val="00E3035C"/>
    <w:rsid w:val="00E675A4"/>
    <w:rsid w:val="00E80E20"/>
    <w:rsid w:val="00E86512"/>
    <w:rsid w:val="00E86D63"/>
    <w:rsid w:val="00EF04BD"/>
    <w:rsid w:val="00EF0C9E"/>
    <w:rsid w:val="00F0513B"/>
    <w:rsid w:val="00F11DCB"/>
    <w:rsid w:val="00F209EF"/>
    <w:rsid w:val="00F31068"/>
    <w:rsid w:val="00F3155D"/>
    <w:rsid w:val="00F45290"/>
    <w:rsid w:val="00F502D4"/>
    <w:rsid w:val="00F55664"/>
    <w:rsid w:val="00F86223"/>
    <w:rsid w:val="00F87B0F"/>
    <w:rsid w:val="00F96FF6"/>
    <w:rsid w:val="00F97B70"/>
    <w:rsid w:val="00FC2507"/>
    <w:rsid w:val="00FD7F81"/>
    <w:rsid w:val="00FE76A2"/>
    <w:rsid w:val="00FF51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E0145F"/>
    <w:rPr>
      <w:color w:val="808080"/>
    </w:rPr>
  </w:style>
  <w:style w:type="paragraph" w:customStyle="1" w:styleId="7A1F0FEF06E64EDBB2EC014BE2C904E2">
    <w:name w:val="7A1F0FEF06E64EDBB2EC014BE2C904E2"/>
  </w:style>
  <w:style w:type="paragraph" w:customStyle="1" w:styleId="EE617C243D6D4FABBF989EAF73BB2512">
    <w:name w:val="EE617C243D6D4FABBF989EAF73BB2512"/>
  </w:style>
  <w:style w:type="paragraph" w:customStyle="1" w:styleId="CE18481513CD44BDB90F25D565AC0A4C">
    <w:name w:val="CE18481513CD44BDB90F25D565AC0A4C"/>
  </w:style>
  <w:style w:type="paragraph" w:customStyle="1" w:styleId="41FA0A8A94AE448FAAD57C2BAE9CDF14">
    <w:name w:val="41FA0A8A94AE448FAAD57C2BAE9CDF14"/>
  </w:style>
  <w:style w:type="paragraph" w:customStyle="1" w:styleId="A3F2D9EB49CE4F9BB23F34CB88B26D23">
    <w:name w:val="A3F2D9EB49CE4F9BB23F34CB88B26D23"/>
  </w:style>
  <w:style w:type="paragraph" w:customStyle="1" w:styleId="3DB29A78B1AB44E5A0A7C7BFCEC4E8D4">
    <w:name w:val="3DB29A78B1AB44E5A0A7C7BFCEC4E8D4"/>
  </w:style>
  <w:style w:type="paragraph" w:customStyle="1" w:styleId="AD8097ADB7384520B0B6A61182BACE12">
    <w:name w:val="AD8097ADB7384520B0B6A61182BACE12"/>
  </w:style>
  <w:style w:type="paragraph" w:customStyle="1" w:styleId="C183BA6229154D94A73CCCE1BA95848E">
    <w:name w:val="C183BA6229154D94A73CCCE1BA95848E"/>
  </w:style>
  <w:style w:type="paragraph" w:customStyle="1" w:styleId="54BC6ECDD8EA49A98038E8BF97FB4129">
    <w:name w:val="54BC6ECDD8EA49A98038E8BF97FB4129"/>
  </w:style>
  <w:style w:type="paragraph" w:customStyle="1" w:styleId="8B0580F2067F4E168083310A96E431C1">
    <w:name w:val="8B0580F2067F4E168083310A96E431C1"/>
  </w:style>
  <w:style w:type="paragraph" w:customStyle="1" w:styleId="81032CFB149D4181BA3E48ABCD3817BF">
    <w:name w:val="81032CFB149D4181BA3E48ABCD3817BF"/>
  </w:style>
  <w:style w:type="paragraph" w:customStyle="1" w:styleId="D272BC17A68C4E5682D038750618ACB1">
    <w:name w:val="D272BC17A68C4E5682D038750618ACB1"/>
  </w:style>
  <w:style w:type="paragraph" w:customStyle="1" w:styleId="C86D46A6659C416E82C82100CB5D11DA">
    <w:name w:val="C86D46A6659C416E82C82100CB5D11DA"/>
  </w:style>
  <w:style w:type="paragraph" w:customStyle="1" w:styleId="602C804C59D84969B73FB0F87244004F">
    <w:name w:val="602C804C59D84969B73FB0F87244004F"/>
  </w:style>
  <w:style w:type="paragraph" w:customStyle="1" w:styleId="2F5984E6D8DD4B798FBB0F53257282E4">
    <w:name w:val="2F5984E6D8DD4B798FBB0F53257282E4"/>
  </w:style>
  <w:style w:type="paragraph" w:customStyle="1" w:styleId="52E2DAC343ED4B6DB70D436F20CD6875">
    <w:name w:val="52E2DAC343ED4B6DB70D436F20CD6875"/>
  </w:style>
  <w:style w:type="paragraph" w:customStyle="1" w:styleId="D94563C9ABDC4873B677489A7533068A">
    <w:name w:val="D94563C9ABDC4873B677489A7533068A"/>
  </w:style>
  <w:style w:type="paragraph" w:customStyle="1" w:styleId="9729234533D441BD9542CED1A20D8267">
    <w:name w:val="9729234533D441BD9542CED1A20D8267"/>
  </w:style>
  <w:style w:type="paragraph" w:customStyle="1" w:styleId="Odstavec1">
    <w:name w:val="Odstavec 1"/>
    <w:basedOn w:val="Normln"/>
    <w:next w:val="Normln"/>
    <w:link w:val="Odstavec1Char"/>
    <w:uiPriority w:val="9"/>
    <w:qFormat/>
    <w:pPr>
      <w:spacing w:after="0" w:line="300" w:lineRule="atLeast"/>
      <w:jc w:val="both"/>
    </w:pPr>
    <w:rPr>
      <w:rFonts w:ascii="Cambria" w:eastAsia="Times New Roman" w:hAnsi="Cambria" w:cs="Times New Roman"/>
      <w:kern w:val="0"/>
      <w14:ligatures w14:val="none"/>
    </w:rPr>
  </w:style>
  <w:style w:type="character" w:customStyle="1" w:styleId="Odstavec1Char">
    <w:name w:val="Odstavec 1 Char"/>
    <w:basedOn w:val="Standardnpsmoodstavce"/>
    <w:link w:val="Odstavec1"/>
    <w:uiPriority w:val="9"/>
    <w:rPr>
      <w:rFonts w:ascii="Cambria" w:eastAsia="Times New Roman" w:hAnsi="Cambria" w:cs="Times New Roman"/>
      <w:kern w:val="0"/>
      <w14:ligatures w14:val="none"/>
    </w:rPr>
  </w:style>
  <w:style w:type="paragraph" w:customStyle="1" w:styleId="585E54119D88459E94121E426B5699A5">
    <w:name w:val="585E54119D88459E94121E426B5699A5"/>
  </w:style>
  <w:style w:type="paragraph" w:customStyle="1" w:styleId="B3D4DA80BEBF40BCACDF2B303F57604D">
    <w:name w:val="B3D4DA80BEBF40BCACDF2B303F57604D"/>
  </w:style>
  <w:style w:type="paragraph" w:customStyle="1" w:styleId="258E598C835648A6B2E0365FD76FF6F6">
    <w:name w:val="258E598C835648A6B2E0365FD76FF6F6"/>
  </w:style>
  <w:style w:type="paragraph" w:customStyle="1" w:styleId="FA408374FCA145BB8BF3513BF5E357EE">
    <w:name w:val="FA408374FCA145BB8BF3513BF5E357EE"/>
  </w:style>
  <w:style w:type="paragraph" w:customStyle="1" w:styleId="DECBB30BA24A4130A964347D30261BB4">
    <w:name w:val="DECBB30BA24A4130A964347D30261BB4"/>
  </w:style>
  <w:style w:type="paragraph" w:customStyle="1" w:styleId="95E5F4E6FFCB4167BD79D2951BF2B912">
    <w:name w:val="95E5F4E6FFCB4167BD79D2951BF2B912"/>
  </w:style>
  <w:style w:type="paragraph" w:customStyle="1" w:styleId="7D16F3658B614A719121AE52F28C8ED3">
    <w:name w:val="7D16F3658B614A719121AE52F28C8ED3"/>
  </w:style>
  <w:style w:type="paragraph" w:customStyle="1" w:styleId="B063D8DCB8A54C589B3C664838C1A000">
    <w:name w:val="B063D8DCB8A54C589B3C664838C1A000"/>
  </w:style>
  <w:style w:type="paragraph" w:customStyle="1" w:styleId="D8DE423060D14ED0AD18442414951D2A">
    <w:name w:val="D8DE423060D14ED0AD18442414951D2A"/>
  </w:style>
  <w:style w:type="paragraph" w:customStyle="1" w:styleId="9EAEE7C7310241F39F91DD4E51A7BB7C">
    <w:name w:val="9EAEE7C7310241F39F91DD4E51A7BB7C"/>
  </w:style>
  <w:style w:type="paragraph" w:customStyle="1" w:styleId="2E34E248C255484A9AB139BBCA894B7B">
    <w:name w:val="2E34E248C255484A9AB139BBCA894B7B"/>
  </w:style>
  <w:style w:type="paragraph" w:customStyle="1" w:styleId="1FE8A486A45646D7BDA15548DA51AD41">
    <w:name w:val="1FE8A486A45646D7BDA15548DA51AD41"/>
  </w:style>
  <w:style w:type="paragraph" w:customStyle="1" w:styleId="7699DABA94B64FF4865ECA0BDA5901FF">
    <w:name w:val="7699DABA94B64FF4865ECA0BDA5901FF"/>
  </w:style>
  <w:style w:type="paragraph" w:customStyle="1" w:styleId="388DFCA4AFE94EBE99D7C40F961C6723">
    <w:name w:val="388DFCA4AFE94EBE99D7C40F961C6723"/>
  </w:style>
  <w:style w:type="paragraph" w:customStyle="1" w:styleId="C77271C869FA4528A9CC030C6BAC8FBE">
    <w:name w:val="C77271C869FA4528A9CC030C6BAC8FBE"/>
  </w:style>
  <w:style w:type="paragraph" w:customStyle="1" w:styleId="86A088AFB3A0432B8D198168BD8C01DE">
    <w:name w:val="86A088AFB3A0432B8D198168BD8C01DE"/>
  </w:style>
  <w:style w:type="paragraph" w:customStyle="1" w:styleId="E01D51310BF9483CBBCF307A12DE374A">
    <w:name w:val="E01D51310BF9483CBBCF307A12DE374A"/>
  </w:style>
  <w:style w:type="paragraph" w:customStyle="1" w:styleId="DB2A0490A4B64E0AA0406981C9E1A1AC">
    <w:name w:val="DB2A0490A4B64E0AA0406981C9E1A1AC"/>
  </w:style>
  <w:style w:type="paragraph" w:customStyle="1" w:styleId="DEFE88AC57824578982F452854A48818">
    <w:name w:val="DEFE88AC57824578982F452854A48818"/>
  </w:style>
  <w:style w:type="paragraph" w:customStyle="1" w:styleId="11EEDA7BAC4F46B59A1A30D16DABB7ED">
    <w:name w:val="11EEDA7BAC4F46B59A1A30D16DABB7ED"/>
  </w:style>
  <w:style w:type="paragraph" w:customStyle="1" w:styleId="56C83B58E6E04ADBA23547DDFA553D85">
    <w:name w:val="56C83B58E6E04ADBA23547DDFA553D85"/>
  </w:style>
  <w:style w:type="paragraph" w:customStyle="1" w:styleId="05BA098761384C4A9AD08DE3FF0DCB84">
    <w:name w:val="05BA098761384C4A9AD08DE3FF0DCB84"/>
  </w:style>
  <w:style w:type="paragraph" w:customStyle="1" w:styleId="89A648D50CAD42F78E927A74BB72F6EB">
    <w:name w:val="89A648D50CAD42F78E927A74BB72F6EB"/>
  </w:style>
  <w:style w:type="paragraph" w:customStyle="1" w:styleId="288D6EF1884A4ABD900E0D9ADB0ED5C2">
    <w:name w:val="288D6EF1884A4ABD900E0D9ADB0ED5C2"/>
    <w:rsid w:val="00CD7860"/>
  </w:style>
  <w:style w:type="paragraph" w:customStyle="1" w:styleId="032A1619D324464BA6E8A98AB93174AF">
    <w:name w:val="032A1619D324464BA6E8A98AB93174AF"/>
    <w:rsid w:val="00CD7860"/>
  </w:style>
  <w:style w:type="paragraph" w:customStyle="1" w:styleId="099F8FC7D4CD4D6A9C6E413E621385E0">
    <w:name w:val="099F8FC7D4CD4D6A9C6E413E621385E0"/>
    <w:rsid w:val="003F5411"/>
  </w:style>
  <w:style w:type="paragraph" w:customStyle="1" w:styleId="14EBF9F054D3476583113B18CE943721">
    <w:name w:val="14EBF9F054D3476583113B18CE943721"/>
    <w:rsid w:val="00CE16F0"/>
  </w:style>
  <w:style w:type="paragraph" w:customStyle="1" w:styleId="A28F64A26BD847B5AA3EBA2704AB7AE1">
    <w:name w:val="A28F64A26BD847B5AA3EBA2704AB7AE1"/>
    <w:rsid w:val="00276EF1"/>
  </w:style>
  <w:style w:type="paragraph" w:customStyle="1" w:styleId="668765DE15C0443C8C7E4BBC3CA7F791">
    <w:name w:val="668765DE15C0443C8C7E4BBC3CA7F791"/>
    <w:rsid w:val="0098027D"/>
  </w:style>
  <w:style w:type="paragraph" w:customStyle="1" w:styleId="0CD0F8F575634B76A5ADBE8B884A1A77">
    <w:name w:val="0CD0F8F575634B76A5ADBE8B884A1A77"/>
    <w:rsid w:val="0098027D"/>
  </w:style>
  <w:style w:type="paragraph" w:customStyle="1" w:styleId="40AA8B1AA23940EB9FC2EDB72CA53018">
    <w:name w:val="40AA8B1AA23940EB9FC2EDB72CA53018"/>
    <w:rsid w:val="0098027D"/>
  </w:style>
  <w:style w:type="paragraph" w:customStyle="1" w:styleId="B092F43061A941B7864759F70B2919ED">
    <w:name w:val="B092F43061A941B7864759F70B2919ED"/>
    <w:rsid w:val="00FE76A2"/>
  </w:style>
  <w:style w:type="paragraph" w:customStyle="1" w:styleId="77FF98DB65454DDFAF8ABB350F4C79B9">
    <w:name w:val="77FF98DB65454DDFAF8ABB350F4C79B9"/>
    <w:rsid w:val="00FE76A2"/>
  </w:style>
  <w:style w:type="paragraph" w:customStyle="1" w:styleId="C2CF5BAF7B814011808195BD491F1C7F">
    <w:name w:val="C2CF5BAF7B814011808195BD491F1C7F"/>
    <w:rsid w:val="00FE76A2"/>
  </w:style>
  <w:style w:type="paragraph" w:customStyle="1" w:styleId="F479AD2832F3468BB25F4216CEDACA24">
    <w:name w:val="F479AD2832F3468BB25F4216CEDACA24"/>
    <w:rsid w:val="000325C5"/>
  </w:style>
  <w:style w:type="paragraph" w:customStyle="1" w:styleId="760D3460AF1F41B58B942C28FE60FF5C">
    <w:name w:val="760D3460AF1F41B58B942C28FE60FF5C"/>
    <w:rsid w:val="000325C5"/>
  </w:style>
  <w:style w:type="paragraph" w:customStyle="1" w:styleId="FBA85B475B0D4449B2C02ED3D3F8D47E">
    <w:name w:val="FBA85B475B0D4449B2C02ED3D3F8D47E"/>
    <w:rsid w:val="000325C5"/>
  </w:style>
  <w:style w:type="paragraph" w:customStyle="1" w:styleId="79E4FFCE6AE045758BAFF2130E273CEF">
    <w:name w:val="79E4FFCE6AE045758BAFF2130E273CEF"/>
    <w:rsid w:val="000325C5"/>
  </w:style>
  <w:style w:type="paragraph" w:customStyle="1" w:styleId="62DEBBFE22F84DA58FF02C7135474F5A">
    <w:name w:val="62DEBBFE22F84DA58FF02C7135474F5A"/>
    <w:rsid w:val="000325C5"/>
  </w:style>
  <w:style w:type="paragraph" w:customStyle="1" w:styleId="A23033E3679B4132B622534CE754C3EA">
    <w:name w:val="A23033E3679B4132B622534CE754C3EA"/>
    <w:rsid w:val="000325C5"/>
  </w:style>
  <w:style w:type="paragraph" w:customStyle="1" w:styleId="F6D53F39FFDF4EF9A1D0F348E41503D4">
    <w:name w:val="F6D53F39FFDF4EF9A1D0F348E41503D4"/>
    <w:rsid w:val="00E3035C"/>
  </w:style>
  <w:style w:type="paragraph" w:customStyle="1" w:styleId="9EFF0F103BC7419D903109455B5B2FD8">
    <w:name w:val="9EFF0F103BC7419D903109455B5B2FD8"/>
    <w:rsid w:val="00E3035C"/>
  </w:style>
  <w:style w:type="paragraph" w:customStyle="1" w:styleId="AC3C7A35B1F14937805D16674873CBCB">
    <w:name w:val="AC3C7A35B1F14937805D16674873CBCB"/>
    <w:rsid w:val="00E3035C"/>
  </w:style>
  <w:style w:type="paragraph" w:customStyle="1" w:styleId="5077C46EF48D4C31BD38C8313C849108">
    <w:name w:val="5077C46EF48D4C31BD38C8313C849108"/>
    <w:rsid w:val="00E3035C"/>
  </w:style>
  <w:style w:type="paragraph" w:customStyle="1" w:styleId="59591872E2CA48ED97285DBAF179624C">
    <w:name w:val="59591872E2CA48ED97285DBAF179624C"/>
    <w:rsid w:val="00E3035C"/>
  </w:style>
  <w:style w:type="paragraph" w:customStyle="1" w:styleId="F709958D41DB4B0B8C0D8B2F3C061E5E">
    <w:name w:val="F709958D41DB4B0B8C0D8B2F3C061E5E"/>
    <w:rsid w:val="003E6C1E"/>
  </w:style>
  <w:style w:type="paragraph" w:customStyle="1" w:styleId="93B25A637C28486CA81905560D0EB982">
    <w:name w:val="93B25A637C28486CA81905560D0EB982"/>
    <w:rsid w:val="003A6373"/>
  </w:style>
  <w:style w:type="paragraph" w:customStyle="1" w:styleId="79A47A0ECD804436BD4460D5176ADB11">
    <w:name w:val="79A47A0ECD804436BD4460D5176ADB11"/>
    <w:rsid w:val="006A160F"/>
  </w:style>
  <w:style w:type="paragraph" w:customStyle="1" w:styleId="3CB3BD5451B048D8A20F7E284A4F9531">
    <w:name w:val="3CB3BD5451B048D8A20F7E284A4F9531"/>
    <w:rsid w:val="00C45102"/>
  </w:style>
  <w:style w:type="paragraph" w:customStyle="1" w:styleId="B3E4BF4F12374E919F8A64C90DE80985">
    <w:name w:val="B3E4BF4F12374E919F8A64C90DE80985"/>
    <w:rsid w:val="001857EB"/>
  </w:style>
  <w:style w:type="paragraph" w:customStyle="1" w:styleId="CDD7D742267B4178ABB88C2693092B99">
    <w:name w:val="CDD7D742267B4178ABB88C2693092B99"/>
    <w:rsid w:val="001857EB"/>
  </w:style>
  <w:style w:type="paragraph" w:customStyle="1" w:styleId="6F778CB2115A4766844140F08CAD5919">
    <w:name w:val="6F778CB2115A4766844140F08CAD5919"/>
    <w:rsid w:val="0050107B"/>
  </w:style>
  <w:style w:type="paragraph" w:customStyle="1" w:styleId="4853774551324A8F90D3E5CCE843BC8E">
    <w:name w:val="4853774551324A8F90D3E5CCE843BC8E"/>
    <w:rsid w:val="0050107B"/>
  </w:style>
  <w:style w:type="paragraph" w:customStyle="1" w:styleId="48A5540970534A16B73D020A6F591C7B">
    <w:name w:val="48A5540970534A16B73D020A6F591C7B"/>
    <w:rsid w:val="0050107B"/>
  </w:style>
  <w:style w:type="paragraph" w:customStyle="1" w:styleId="F0DFDB32757B441984148277A40249CE">
    <w:name w:val="F0DFDB32757B441984148277A40249CE"/>
    <w:rsid w:val="0050107B"/>
  </w:style>
  <w:style w:type="paragraph" w:customStyle="1" w:styleId="07233A74121D49D1A8AE906BF08B76B1">
    <w:name w:val="07233A74121D49D1A8AE906BF08B76B1"/>
    <w:rsid w:val="0050107B"/>
  </w:style>
  <w:style w:type="paragraph" w:customStyle="1" w:styleId="CBE1FDC9E1C340BF91395FBB32707BC7">
    <w:name w:val="CBE1FDC9E1C340BF91395FBB32707BC7"/>
    <w:rsid w:val="0050107B"/>
  </w:style>
  <w:style w:type="paragraph" w:customStyle="1" w:styleId="B26E80FD11C14CDA880E72FA4B67D7E2">
    <w:name w:val="B26E80FD11C14CDA880E72FA4B67D7E2"/>
    <w:rsid w:val="0050107B"/>
  </w:style>
  <w:style w:type="paragraph" w:customStyle="1" w:styleId="D1755065BEA9479AAA12231344832E60">
    <w:name w:val="D1755065BEA9479AAA12231344832E60"/>
    <w:rsid w:val="0050107B"/>
  </w:style>
  <w:style w:type="paragraph" w:customStyle="1" w:styleId="E1C68DEE495C4EA5931662B669A4F84F">
    <w:name w:val="E1C68DEE495C4EA5931662B669A4F84F"/>
    <w:rsid w:val="0050107B"/>
  </w:style>
  <w:style w:type="paragraph" w:customStyle="1" w:styleId="B74F812FDCCC4A7887BD9957E0B553AE">
    <w:name w:val="B74F812FDCCC4A7887BD9957E0B553AE"/>
    <w:rsid w:val="0050107B"/>
  </w:style>
  <w:style w:type="paragraph" w:customStyle="1" w:styleId="FA3E59A8182E4796B5638967DBEE8858">
    <w:name w:val="FA3E59A8182E4796B5638967DBEE8858"/>
    <w:rsid w:val="0050107B"/>
  </w:style>
  <w:style w:type="paragraph" w:customStyle="1" w:styleId="2D11DC41BF204A58B529D0926285CA8E">
    <w:name w:val="2D11DC41BF204A58B529D0926285CA8E"/>
    <w:rsid w:val="0050107B"/>
  </w:style>
  <w:style w:type="paragraph" w:customStyle="1" w:styleId="C5DEE9E4DAAC457DBEC0D64D5913C977">
    <w:name w:val="C5DEE9E4DAAC457DBEC0D64D5913C977"/>
    <w:rsid w:val="0050107B"/>
  </w:style>
  <w:style w:type="paragraph" w:customStyle="1" w:styleId="E6BFFC919FE243AD991790FAEAD847A8">
    <w:name w:val="E6BFFC919FE243AD991790FAEAD847A8"/>
    <w:rsid w:val="0050107B"/>
  </w:style>
  <w:style w:type="paragraph" w:customStyle="1" w:styleId="88D64C89778349B19A8E1E728111AB67">
    <w:name w:val="88D64C89778349B19A8E1E728111AB67"/>
    <w:rsid w:val="0050107B"/>
  </w:style>
  <w:style w:type="paragraph" w:customStyle="1" w:styleId="E09A1C1AA4B644DCB8FF32BD67A9828D">
    <w:name w:val="E09A1C1AA4B644DCB8FF32BD67A9828D"/>
    <w:rsid w:val="0050107B"/>
  </w:style>
  <w:style w:type="paragraph" w:customStyle="1" w:styleId="715B2A8A540C49B7AEFDBA4D00C51EF6">
    <w:name w:val="715B2A8A540C49B7AEFDBA4D00C51EF6"/>
    <w:rsid w:val="0050107B"/>
  </w:style>
  <w:style w:type="paragraph" w:customStyle="1" w:styleId="B422A61880454F03AC3BD1CD1124A878">
    <w:name w:val="B422A61880454F03AC3BD1CD1124A878"/>
    <w:rsid w:val="0050107B"/>
  </w:style>
  <w:style w:type="paragraph" w:customStyle="1" w:styleId="935DB51E088E4D51828DB386B13FA844">
    <w:name w:val="935DB51E088E4D51828DB386B13FA844"/>
    <w:rsid w:val="0050107B"/>
  </w:style>
  <w:style w:type="paragraph" w:customStyle="1" w:styleId="BDC3EEC7B59B48478DC75C5EE0D5E647">
    <w:name w:val="BDC3EEC7B59B48478DC75C5EE0D5E647"/>
    <w:rsid w:val="0050107B"/>
  </w:style>
  <w:style w:type="paragraph" w:customStyle="1" w:styleId="8DE450B976C64B599C79827FE4F89468">
    <w:name w:val="8DE450B976C64B599C79827FE4F89468"/>
    <w:rsid w:val="00E014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ísmo MU">
      <a:majorFont>
        <a:latin typeface="Arial"/>
        <a:ea typeface=""/>
        <a:cs typeface=""/>
      </a:majorFont>
      <a:minorFont>
        <a:latin typeface="Cambria"/>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0E94A790C08CC49A260A2015B6A86EF" ma:contentTypeVersion="7" ma:contentTypeDescription="Vytvoří nový dokument" ma:contentTypeScope="" ma:versionID="ac9f507721b520b5014780526db486ed">
  <xsd:schema xmlns:xsd="http://www.w3.org/2001/XMLSchema" xmlns:xs="http://www.w3.org/2001/XMLSchema" xmlns:p="http://schemas.microsoft.com/office/2006/metadata/properties" xmlns:ns3="6dcc31d3-a197-4d43-a16a-b83ed8350ac5" xmlns:ns4="472a6580-9d75-4026-b9a1-81e3e662033b" targetNamespace="http://schemas.microsoft.com/office/2006/metadata/properties" ma:root="true" ma:fieldsID="9db40eeeb9aa35b6c0b2d67e042a5980" ns3:_="" ns4:_="">
    <xsd:import namespace="6dcc31d3-a197-4d43-a16a-b83ed8350ac5"/>
    <xsd:import namespace="472a6580-9d75-4026-b9a1-81e3e66203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c31d3-a197-4d43-a16a-b83ed8350ac5"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SharingHintHash" ma:index="10" nillable="true" ma:displayName="Hodnota hash upozornění na sdílení"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2a6580-9d75-4026-b9a1-81e3e662033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Styl2CitacePRO.xsl" StyleName="Styl 2 Citace PRO" Version="0"/>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4B6DE1-1359-4F9D-9333-5EF34851C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c31d3-a197-4d43-a16a-b83ed8350ac5"/>
    <ds:schemaRef ds:uri="472a6580-9d75-4026-b9a1-81e3e66203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7A1668-7143-4DCF-B6FB-536B28195E15}">
  <ds:schemaRefs>
    <ds:schemaRef ds:uri="http://schemas.openxmlformats.org/officeDocument/2006/bibliography"/>
  </ds:schemaRefs>
</ds:datastoreItem>
</file>

<file path=customXml/itemProps3.xml><?xml version="1.0" encoding="utf-8"?>
<ds:datastoreItem xmlns:ds="http://schemas.openxmlformats.org/officeDocument/2006/customXml" ds:itemID="{9780EA93-13D8-4095-8BEE-AB4B160FCC9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DD7CA2D-D9C9-4293-B5ED-F5E30FE380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Název práce</Template>
  <TotalTime>13046</TotalTime>
  <Pages>96</Pages>
  <Words>48124</Words>
  <Characters>283938</Characters>
  <Application>Microsoft Office Word</Application>
  <DocSecurity>0</DocSecurity>
  <Lines>2366</Lines>
  <Paragraphs>662</Paragraphs>
  <ScaleCrop>false</ScaleCrop>
  <HeadingPairs>
    <vt:vector size="2" baseType="variant">
      <vt:variant>
        <vt:lpstr>Název</vt:lpstr>
      </vt:variant>
      <vt:variant>
        <vt:i4>1</vt:i4>
      </vt:variant>
    </vt:vector>
  </HeadingPairs>
  <TitlesOfParts>
    <vt:vector size="1" baseType="lpstr">
      <vt:lpstr>Stárnutí české populace a jeho dopady na urgentní příjmy</vt:lpstr>
    </vt:vector>
  </TitlesOfParts>
  <Manager>Mgr. Pavlína Kaňová, Ph.D.</Manager>
  <Company>Pracoviště Institut biostatistiky a analýz</Company>
  <LinksUpToDate>false</LinksUpToDate>
  <CharactersWithSpaces>331400</CharactersWithSpaces>
  <SharedDoc>false</SharedDoc>
  <HLinks>
    <vt:vector size="474" baseType="variant">
      <vt:variant>
        <vt:i4>1179650</vt:i4>
      </vt:variant>
      <vt:variant>
        <vt:i4>186</vt:i4>
      </vt:variant>
      <vt:variant>
        <vt:i4>0</vt:i4>
      </vt:variant>
      <vt:variant>
        <vt:i4>5</vt:i4>
      </vt:variant>
      <vt:variant>
        <vt:lpwstr>http://www.psp.cz/sqw/text/tiskt.sqw?O=5&amp;CT=837&amp;CT1=0%20</vt:lpwstr>
      </vt:variant>
      <vt:variant>
        <vt:lpwstr/>
      </vt:variant>
      <vt:variant>
        <vt:i4>6619258</vt:i4>
      </vt:variant>
      <vt:variant>
        <vt:i4>183</vt:i4>
      </vt:variant>
      <vt:variant>
        <vt:i4>0</vt:i4>
      </vt:variant>
      <vt:variant>
        <vt:i4>5</vt:i4>
      </vt:variant>
      <vt:variant>
        <vt:lpwstr>http://bundesrecht.juris.de/zpo/index.html</vt:lpwstr>
      </vt:variant>
      <vt:variant>
        <vt:lpwstr/>
      </vt:variant>
      <vt:variant>
        <vt:i4>2359331</vt:i4>
      </vt:variant>
      <vt:variant>
        <vt:i4>180</vt:i4>
      </vt:variant>
      <vt:variant>
        <vt:i4>0</vt:i4>
      </vt:variant>
      <vt:variant>
        <vt:i4>5</vt:i4>
      </vt:variant>
      <vt:variant>
        <vt:lpwstr>http://www.altalex.com/index.php?idnot=1178</vt:lpwstr>
      </vt:variant>
      <vt:variant>
        <vt:lpwstr/>
      </vt:variant>
      <vt:variant>
        <vt:i4>1179667</vt:i4>
      </vt:variant>
      <vt:variant>
        <vt:i4>177</vt:i4>
      </vt:variant>
      <vt:variant>
        <vt:i4>0</vt:i4>
      </vt:variant>
      <vt:variant>
        <vt:i4>5</vt:i4>
      </vt:variant>
      <vt:variant>
        <vt:lpwstr>http://www.altalex.com/index.php?idnot=33724</vt:lpwstr>
      </vt:variant>
      <vt:variant>
        <vt:lpwstr/>
      </vt:variant>
      <vt:variant>
        <vt:i4>4915310</vt:i4>
      </vt:variant>
      <vt:variant>
        <vt:i4>174</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1966101</vt:i4>
      </vt:variant>
      <vt:variant>
        <vt:i4>171</vt:i4>
      </vt:variant>
      <vt:variant>
        <vt:i4>0</vt:i4>
      </vt:variant>
      <vt:variant>
        <vt:i4>5</vt:i4>
      </vt:variant>
      <vt:variant>
        <vt:lpwstr>http://www.admin.ch/ch/d/sr/2/291.de.pdf</vt:lpwstr>
      </vt:variant>
      <vt:variant>
        <vt:lpwstr/>
      </vt:variant>
      <vt:variant>
        <vt:i4>6815852</vt:i4>
      </vt:variant>
      <vt:variant>
        <vt:i4>168</vt:i4>
      </vt:variant>
      <vt:variant>
        <vt:i4>0</vt:i4>
      </vt:variant>
      <vt:variant>
        <vt:i4>5</vt:i4>
      </vt:variant>
      <vt:variant>
        <vt:lpwstr>http://www.bj.admin.ch/bj/de/home/themen/wirtschaft/internationales_privatrecht/lugano_uebereinkommen/0.html</vt:lpwstr>
      </vt:variant>
      <vt:variant>
        <vt:lpwstr/>
      </vt:variant>
      <vt:variant>
        <vt:i4>589893</vt:i4>
      </vt:variant>
      <vt:variant>
        <vt:i4>165</vt:i4>
      </vt:variant>
      <vt:variant>
        <vt:i4>0</vt:i4>
      </vt:variant>
      <vt:variant>
        <vt:i4>5</vt:i4>
      </vt:variant>
      <vt:variant>
        <vt:lpwstr>http://eur-lex.europa.eu/cs/index.htm</vt:lpwstr>
      </vt:variant>
      <vt:variant>
        <vt:lpwstr/>
      </vt:variant>
      <vt:variant>
        <vt:i4>4456515</vt:i4>
      </vt:variant>
      <vt:variant>
        <vt:i4>162</vt:i4>
      </vt:variant>
      <vt:variant>
        <vt:i4>0</vt:i4>
      </vt:variant>
      <vt:variant>
        <vt:i4>5</vt:i4>
      </vt:variant>
      <vt:variant>
        <vt:lpwstr>http://www.ssrn.com/</vt:lpwstr>
      </vt:variant>
      <vt:variant>
        <vt:lpwstr/>
      </vt:variant>
      <vt:variant>
        <vt:i4>5177360</vt:i4>
      </vt:variant>
      <vt:variant>
        <vt:i4>159</vt:i4>
      </vt:variant>
      <vt:variant>
        <vt:i4>0</vt:i4>
      </vt:variant>
      <vt:variant>
        <vt:i4>5</vt:i4>
      </vt:variant>
      <vt:variant>
        <vt:lpwstr>http://www.jstor.org/</vt:lpwstr>
      </vt:variant>
      <vt:variant>
        <vt:lpwstr/>
      </vt:variant>
      <vt:variant>
        <vt:i4>2556020</vt:i4>
      </vt:variant>
      <vt:variant>
        <vt:i4>156</vt:i4>
      </vt:variant>
      <vt:variant>
        <vt:i4>0</vt:i4>
      </vt:variant>
      <vt:variant>
        <vt:i4>5</vt:i4>
      </vt:variant>
      <vt:variant>
        <vt:lpwstr>http://www.kluwerlawonline.com/</vt:lpwstr>
      </vt:variant>
      <vt:variant>
        <vt:lpwstr/>
      </vt:variant>
      <vt:variant>
        <vt:i4>3407976</vt:i4>
      </vt:variant>
      <vt:variant>
        <vt:i4>153</vt:i4>
      </vt:variant>
      <vt:variant>
        <vt:i4>0</vt:i4>
      </vt:variant>
      <vt:variant>
        <vt:i4>5</vt:i4>
      </vt:variant>
      <vt:variant>
        <vt:lpwstr>http://heinonline.org/</vt:lpwstr>
      </vt:variant>
      <vt:variant>
        <vt:lpwstr/>
      </vt:variant>
      <vt:variant>
        <vt:i4>7340066</vt:i4>
      </vt:variant>
      <vt:variant>
        <vt:i4>150</vt:i4>
      </vt:variant>
      <vt:variant>
        <vt:i4>0</vt:i4>
      </vt:variant>
      <vt:variant>
        <vt:i4>5</vt:i4>
      </vt:variant>
      <vt:variant>
        <vt:lpwstr>http://heinonline.org/HOL/PDF?handle=hein.journals/ejlr4&amp;collection=journals&amp;id=79&amp;print=18&amp;sectioncount=1&amp;ext=.pdf</vt:lpwstr>
      </vt:variant>
      <vt:variant>
        <vt:lpwstr/>
      </vt:variant>
      <vt:variant>
        <vt:i4>7733285</vt:i4>
      </vt:variant>
      <vt:variant>
        <vt:i4>147</vt:i4>
      </vt:variant>
      <vt:variant>
        <vt:i4>0</vt:i4>
      </vt:variant>
      <vt:variant>
        <vt:i4>5</vt:i4>
      </vt:variant>
      <vt:variant>
        <vt:lpwstr>http://heinonline.org/HOL/PDF?handle=hein.journals/cybil38&amp;collection=journals&amp;id=163&amp;print=34&amp;sectioncount=1&amp;ext=.pdf</vt:lpwstr>
      </vt:variant>
      <vt:variant>
        <vt:lpwstr/>
      </vt:variant>
      <vt:variant>
        <vt:i4>5242929</vt:i4>
      </vt:variant>
      <vt:variant>
        <vt:i4>144</vt:i4>
      </vt:variant>
      <vt:variant>
        <vt:i4>0</vt:i4>
      </vt:variant>
      <vt:variant>
        <vt:i4>5</vt:i4>
      </vt:variant>
      <vt:variant>
        <vt:lpwstr>http://www.veron.com/publications/Publications/ECJ_Restores_Torpedo_Power.pdf</vt:lpwstr>
      </vt:variant>
      <vt:variant>
        <vt:lpwstr/>
      </vt:variant>
      <vt:variant>
        <vt:i4>8257577</vt:i4>
      </vt:variant>
      <vt:variant>
        <vt:i4>141</vt:i4>
      </vt:variant>
      <vt:variant>
        <vt:i4>0</vt:i4>
      </vt:variant>
      <vt:variant>
        <vt:i4>5</vt:i4>
      </vt:variant>
      <vt:variant>
        <vt:lpwstr>http://heinonline.org/HOL/PDF?handle=hein.journals/ejlr4&amp;collection=journals&amp;id=67&amp;print=12&amp;sectioncount=1&amp;ext=.pdf</vt:lpwstr>
      </vt:variant>
      <vt:variant>
        <vt:lpwstr/>
      </vt:variant>
      <vt:variant>
        <vt:i4>3932221</vt:i4>
      </vt:variant>
      <vt:variant>
        <vt:i4>138</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vt:lpwstr>
      </vt:variant>
      <vt:variant>
        <vt:lpwstr>xml=http://www.kluwerlawonline.com/pdfhits.php?type=hitlist&amp;num=1&amp;</vt:lpwstr>
      </vt:variant>
      <vt:variant>
        <vt:i4>2424866</vt:i4>
      </vt:variant>
      <vt:variant>
        <vt:i4>135</vt:i4>
      </vt:variant>
      <vt:variant>
        <vt:i4>0</vt:i4>
      </vt:variant>
      <vt:variant>
        <vt:i4>5</vt:i4>
      </vt:variant>
      <vt:variant>
        <vt:lpwstr>http://www.simons-law.com/library/pdf/e/443.pdf</vt:lpwstr>
      </vt:variant>
      <vt:variant>
        <vt:lpwstr/>
      </vt:variant>
      <vt:variant>
        <vt:i4>327704</vt:i4>
      </vt:variant>
      <vt:variant>
        <vt:i4>132</vt:i4>
      </vt:variant>
      <vt:variant>
        <vt:i4>0</vt:i4>
      </vt:variant>
      <vt:variant>
        <vt:i4>5</vt:i4>
      </vt:variant>
      <vt:variant>
        <vt:lpwstr>http://www.judicium.it/news/pistis01.html</vt:lpwstr>
      </vt:variant>
      <vt:variant>
        <vt:lpwstr/>
      </vt:variant>
      <vt:variant>
        <vt:i4>3735608</vt:i4>
      </vt:variant>
      <vt:variant>
        <vt:i4>129</vt:i4>
      </vt:variant>
      <vt:variant>
        <vt:i4>0</vt:i4>
      </vt:variant>
      <vt:variant>
        <vt:i4>5</vt:i4>
      </vt:variant>
      <vt:variant>
        <vt:lpwstr>http://www.scandinavianlaw.se/pdf/14-3.pdf</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5832708</vt:i4>
      </vt:variant>
      <vt:variant>
        <vt:i4>123</vt:i4>
      </vt:variant>
      <vt:variant>
        <vt:i4>0</vt:i4>
      </vt:variant>
      <vt:variant>
        <vt:i4>5</vt:i4>
      </vt:variant>
      <vt:variant>
        <vt:lpwstr>http://heinonline.org/HOL/PDFsearchable?handle=hein.journals/incolq54&amp;collection=journals&amp;id=823&amp;print=16&amp;sectioncount=1&amp;ext=.pdf</vt:lpwstr>
      </vt:variant>
      <vt:variant>
        <vt:lpwstr/>
      </vt:variant>
      <vt:variant>
        <vt:i4>5767180</vt:i4>
      </vt:variant>
      <vt:variant>
        <vt:i4>120</vt:i4>
      </vt:variant>
      <vt:variant>
        <vt:i4>0</vt:i4>
      </vt:variant>
      <vt:variant>
        <vt:i4>5</vt:i4>
      </vt:variant>
      <vt:variant>
        <vt:lpwstr>http://heinonline.org/HOL/PDFsearchable?handle=hein.journals/incolq54&amp;collection=journals&amp;id=943&amp;print=18&amp;sectioncount=1&amp;ext=.pdf</vt:lpwstr>
      </vt:variant>
      <vt:variant>
        <vt:lpwstr/>
      </vt:variant>
      <vt:variant>
        <vt:i4>13631553</vt:i4>
      </vt:variant>
      <vt:variant>
        <vt:i4>117</vt:i4>
      </vt:variant>
      <vt:variant>
        <vt:i4>0</vt:i4>
      </vt:variant>
      <vt:variant>
        <vt:i4>5</vt:i4>
      </vt:variant>
      <vt:variant>
        <vt:lpwstr>http://heinonline.org/HOL/PDF?handle=hein.journals/ejlr4&amp;collection=journals&amp;id=29&amp;print=18&amp;sectioncount=1&amp;ext=.pdf </vt:lpwstr>
      </vt:variant>
      <vt:variant>
        <vt:lpwstr/>
      </vt:variant>
      <vt:variant>
        <vt:i4>2162805</vt:i4>
      </vt:variant>
      <vt:variant>
        <vt:i4>114</vt:i4>
      </vt:variant>
      <vt:variant>
        <vt:i4>0</vt:i4>
      </vt:variant>
      <vt:variant>
        <vt:i4>5</vt:i4>
      </vt:variant>
      <vt:variant>
        <vt:lpwstr>http://heinonline.org/HOL/PDF?handle=hein.journals/amcomp51&amp;collection=journals&amp;id=623&amp;print=28&amp;sectioncount=1&amp;ext=.pdf</vt:lpwstr>
      </vt:variant>
      <vt:variant>
        <vt:lpwstr/>
      </vt:variant>
      <vt:variant>
        <vt:i4>7798800</vt:i4>
      </vt:variant>
      <vt:variant>
        <vt:i4>111</vt:i4>
      </vt:variant>
      <vt:variant>
        <vt:i4>0</vt:i4>
      </vt:variant>
      <vt:variant>
        <vt:i4>5</vt:i4>
      </vt:variant>
      <vt:variant>
        <vt:lpwstr>http://www.estig.ipbeja.pt/~ac_direito/legals11.pdf</vt:lpwstr>
      </vt:variant>
      <vt:variant>
        <vt:lpwstr/>
      </vt:variant>
      <vt:variant>
        <vt:i4>7536697</vt:i4>
      </vt:variant>
      <vt:variant>
        <vt:i4>108</vt:i4>
      </vt:variant>
      <vt:variant>
        <vt:i4>0</vt:i4>
      </vt:variant>
      <vt:variant>
        <vt:i4>5</vt:i4>
      </vt:variant>
      <vt:variant>
        <vt:lpwstr>http://www.jstor.org/stable/pdfplus/760615.pdf</vt:lpwstr>
      </vt:variant>
      <vt:variant>
        <vt:lpwstr/>
      </vt:variant>
      <vt:variant>
        <vt:i4>1048610</vt:i4>
      </vt:variant>
      <vt:variant>
        <vt:i4>105</vt:i4>
      </vt:variant>
      <vt:variant>
        <vt:i4>0</vt:i4>
      </vt:variant>
      <vt:variant>
        <vt:i4>5</vt:i4>
      </vt:variant>
      <vt:variant>
        <vt:lpwstr>http://papers.ssrn.com/sol3/papers.cfm?abstract_id=1045181</vt:lpwstr>
      </vt:variant>
      <vt:variant>
        <vt:lpwstr/>
      </vt:variant>
      <vt:variant>
        <vt:i4>6357028</vt:i4>
      </vt:variant>
      <vt:variant>
        <vt:i4>102</vt:i4>
      </vt:variant>
      <vt:variant>
        <vt:i4>0</vt:i4>
      </vt:variant>
      <vt:variant>
        <vt:i4>5</vt:i4>
      </vt:variant>
      <vt:variant>
        <vt:lpwstr>http://heinonline.org/HOL/PDF?handle=hein.journals/vuwlr33&amp;collection=journals&amp;id=269&amp;print=26&amp;sectioncount=1&amp;ext=.pdf</vt:lpwstr>
      </vt:variant>
      <vt:variant>
        <vt:lpwstr/>
      </vt:variant>
      <vt:variant>
        <vt:i4>5242929</vt:i4>
      </vt:variant>
      <vt:variant>
        <vt:i4>147</vt:i4>
      </vt:variant>
      <vt:variant>
        <vt:i4>0</vt:i4>
      </vt:variant>
      <vt:variant>
        <vt:i4>5</vt:i4>
      </vt:variant>
      <vt:variant>
        <vt:lpwstr>http://www.veron.com/publications/Publications/ECJ_Restores_Torpedo_Power.pdf</vt:lpwstr>
      </vt:variant>
      <vt:variant>
        <vt:lpwstr/>
      </vt:variant>
      <vt:variant>
        <vt:i4>2424866</vt:i4>
      </vt:variant>
      <vt:variant>
        <vt:i4>144</vt:i4>
      </vt:variant>
      <vt:variant>
        <vt:i4>0</vt:i4>
      </vt:variant>
      <vt:variant>
        <vt:i4>5</vt:i4>
      </vt:variant>
      <vt:variant>
        <vt:lpwstr>http://www.simons-law.com/library/pdf/e/443.pdf</vt:lpwstr>
      </vt:variant>
      <vt:variant>
        <vt:lpwstr/>
      </vt:variant>
      <vt:variant>
        <vt:i4>5242929</vt:i4>
      </vt:variant>
      <vt:variant>
        <vt:i4>141</vt:i4>
      </vt:variant>
      <vt:variant>
        <vt:i4>0</vt:i4>
      </vt:variant>
      <vt:variant>
        <vt:i4>5</vt:i4>
      </vt:variant>
      <vt:variant>
        <vt:lpwstr>http://www.veron.com/publications/Publications/ECJ_Restores_Torpedo_Power.pdf</vt:lpwstr>
      </vt:variant>
      <vt:variant>
        <vt:lpwstr/>
      </vt:variant>
      <vt:variant>
        <vt:i4>983054</vt:i4>
      </vt:variant>
      <vt:variant>
        <vt:i4>138</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7798800</vt:i4>
      </vt:variant>
      <vt:variant>
        <vt:i4>135</vt:i4>
      </vt:variant>
      <vt:variant>
        <vt:i4>0</vt:i4>
      </vt:variant>
      <vt:variant>
        <vt:i4>5</vt:i4>
      </vt:variant>
      <vt:variant>
        <vt:lpwstr>http://www.estig.ipbeja.pt/~ac_direito/legals11.pdf</vt:lpwstr>
      </vt:variant>
      <vt:variant>
        <vt:lpwstr/>
      </vt:variant>
      <vt:variant>
        <vt:i4>983054</vt:i4>
      </vt:variant>
      <vt:variant>
        <vt:i4>132</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327704</vt:i4>
      </vt:variant>
      <vt:variant>
        <vt:i4>129</vt:i4>
      </vt:variant>
      <vt:variant>
        <vt:i4>0</vt:i4>
      </vt:variant>
      <vt:variant>
        <vt:i4>5</vt:i4>
      </vt:variant>
      <vt:variant>
        <vt:lpwstr>http://www.judicium.it/news/pistis01.html</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8257577</vt:i4>
      </vt:variant>
      <vt:variant>
        <vt:i4>123</vt:i4>
      </vt:variant>
      <vt:variant>
        <vt:i4>0</vt:i4>
      </vt:variant>
      <vt:variant>
        <vt:i4>5</vt:i4>
      </vt:variant>
      <vt:variant>
        <vt:lpwstr>http://heinonline.org/HOL/PDF?handle=hein.journals/ejlr4&amp;collection=journals&amp;id=67&amp;print=12&amp;sectioncount=1&amp;ext=.pdf</vt:lpwstr>
      </vt:variant>
      <vt:variant>
        <vt:lpwstr/>
      </vt:variant>
      <vt:variant>
        <vt:i4>5832708</vt:i4>
      </vt:variant>
      <vt:variant>
        <vt:i4>120</vt:i4>
      </vt:variant>
      <vt:variant>
        <vt:i4>0</vt:i4>
      </vt:variant>
      <vt:variant>
        <vt:i4>5</vt:i4>
      </vt:variant>
      <vt:variant>
        <vt:lpwstr>http://heinonline.org/HOL/PDFsearchable?handle=hein.journals/incolq54&amp;collection=journals&amp;id=823&amp;print=16&amp;sectioncount=1&amp;ext=.pdf</vt:lpwstr>
      </vt:variant>
      <vt:variant>
        <vt:lpwstr/>
      </vt:variant>
      <vt:variant>
        <vt:i4>8257577</vt:i4>
      </vt:variant>
      <vt:variant>
        <vt:i4>117</vt:i4>
      </vt:variant>
      <vt:variant>
        <vt:i4>0</vt:i4>
      </vt:variant>
      <vt:variant>
        <vt:i4>5</vt:i4>
      </vt:variant>
      <vt:variant>
        <vt:lpwstr>http://heinonline.org/HOL/PDF?handle=hein.journals/ejlr4&amp;collection=journals&amp;id=67&amp;print=12&amp;sectioncount=1&amp;ext=.pdf</vt:lpwstr>
      </vt:variant>
      <vt:variant>
        <vt:lpwstr/>
      </vt:variant>
      <vt:variant>
        <vt:i4>8257577</vt:i4>
      </vt:variant>
      <vt:variant>
        <vt:i4>114</vt:i4>
      </vt:variant>
      <vt:variant>
        <vt:i4>0</vt:i4>
      </vt:variant>
      <vt:variant>
        <vt:i4>5</vt:i4>
      </vt:variant>
      <vt:variant>
        <vt:lpwstr>http://heinonline.org/HOL/PDF?handle=hein.journals/ejlr4&amp;collection=journals&amp;id=67&amp;print=12&amp;sectioncount=1&amp;ext=.pdf</vt:lpwstr>
      </vt:variant>
      <vt:variant>
        <vt:lpwstr/>
      </vt:variant>
      <vt:variant>
        <vt:i4>7340066</vt:i4>
      </vt:variant>
      <vt:variant>
        <vt:i4>111</vt:i4>
      </vt:variant>
      <vt:variant>
        <vt:i4>0</vt:i4>
      </vt:variant>
      <vt:variant>
        <vt:i4>5</vt:i4>
      </vt:variant>
      <vt:variant>
        <vt:lpwstr>http://heinonline.org/HOL/PDF?handle=hein.journals/ejlr4&amp;collection=journals&amp;id=79&amp;print=18&amp;sectioncount=1&amp;ext=.pdf</vt:lpwstr>
      </vt:variant>
      <vt:variant>
        <vt:lpwstr/>
      </vt:variant>
      <vt:variant>
        <vt:i4>8257577</vt:i4>
      </vt:variant>
      <vt:variant>
        <vt:i4>108</vt:i4>
      </vt:variant>
      <vt:variant>
        <vt:i4>0</vt:i4>
      </vt:variant>
      <vt:variant>
        <vt:i4>5</vt:i4>
      </vt:variant>
      <vt:variant>
        <vt:lpwstr>http://heinonline.org/HOL/PDF?handle=hein.journals/ejlr4&amp;collection=journals&amp;id=67&amp;print=12&amp;sectioncount=1&amp;ext=.pdf</vt:lpwstr>
      </vt:variant>
      <vt:variant>
        <vt:lpwstr/>
      </vt:variant>
      <vt:variant>
        <vt:i4>7536697</vt:i4>
      </vt:variant>
      <vt:variant>
        <vt:i4>105</vt:i4>
      </vt:variant>
      <vt:variant>
        <vt:i4>0</vt:i4>
      </vt:variant>
      <vt:variant>
        <vt:i4>5</vt:i4>
      </vt:variant>
      <vt:variant>
        <vt:lpwstr>http://www.jstor.org/stable/pdfplus/760615.pdf</vt:lpwstr>
      </vt:variant>
      <vt:variant>
        <vt:lpwstr/>
      </vt:variant>
      <vt:variant>
        <vt:i4>7340071</vt:i4>
      </vt:variant>
      <vt:variant>
        <vt:i4>102</vt:i4>
      </vt:variant>
      <vt:variant>
        <vt:i4>0</vt:i4>
      </vt:variant>
      <vt:variant>
        <vt:i4>5</vt:i4>
      </vt:variant>
      <vt:variant>
        <vt:lpwstr>http://heinonline.org/HOL/PDF?handle=hein.journals/ejlr4&amp;collection=journals&amp;id=29&amp;print=18&amp;sectioncount=1&amp;ext=.pdf</vt:lpwstr>
      </vt:variant>
      <vt:variant>
        <vt:lpwstr/>
      </vt:variant>
      <vt:variant>
        <vt:i4>7340066</vt:i4>
      </vt:variant>
      <vt:variant>
        <vt:i4>99</vt:i4>
      </vt:variant>
      <vt:variant>
        <vt:i4>0</vt:i4>
      </vt:variant>
      <vt:variant>
        <vt:i4>5</vt:i4>
      </vt:variant>
      <vt:variant>
        <vt:lpwstr>http://heinonline.org/HOL/PDF?handle=hein.journals/ejlr4&amp;collection=journals&amp;id=79&amp;print=18&amp;sectioncount=1&amp;ext=.pdf</vt:lpwstr>
      </vt:variant>
      <vt:variant>
        <vt:lpwstr/>
      </vt:variant>
      <vt:variant>
        <vt:i4>2949167</vt:i4>
      </vt:variant>
      <vt:variant>
        <vt:i4>96</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23xml=http://www.kluwerlawonline.com/pdfhits.php?type=hitlist&amp;num=1&amp;</vt:lpwstr>
      </vt:variant>
      <vt:variant>
        <vt:lpwstr/>
      </vt:variant>
      <vt:variant>
        <vt:i4>5832708</vt:i4>
      </vt:variant>
      <vt:variant>
        <vt:i4>93</vt:i4>
      </vt:variant>
      <vt:variant>
        <vt:i4>0</vt:i4>
      </vt:variant>
      <vt:variant>
        <vt:i4>5</vt:i4>
      </vt:variant>
      <vt:variant>
        <vt:lpwstr>http://heinonline.org/HOL/PDFsearchable?handle=hein.journals/incolq54&amp;collection=journals&amp;id=823&amp;print=16&amp;sectioncount=1&amp;ext=.pdf</vt:lpwstr>
      </vt:variant>
      <vt:variant>
        <vt:lpwstr/>
      </vt:variant>
      <vt:variant>
        <vt:i4>2162805</vt:i4>
      </vt:variant>
      <vt:variant>
        <vt:i4>90</vt:i4>
      </vt:variant>
      <vt:variant>
        <vt:i4>0</vt:i4>
      </vt:variant>
      <vt:variant>
        <vt:i4>5</vt:i4>
      </vt:variant>
      <vt:variant>
        <vt:lpwstr>http://heinonline.org/HOL/PDF?handle=hein.journals/amcomp51&amp;collection=journals&amp;id=623&amp;print=28&amp;sectioncount=1&amp;ext=.pdf</vt:lpwstr>
      </vt:variant>
      <vt:variant>
        <vt:lpwstr/>
      </vt:variant>
      <vt:variant>
        <vt:i4>5767180</vt:i4>
      </vt:variant>
      <vt:variant>
        <vt:i4>87</vt:i4>
      </vt:variant>
      <vt:variant>
        <vt:i4>0</vt:i4>
      </vt:variant>
      <vt:variant>
        <vt:i4>5</vt:i4>
      </vt:variant>
      <vt:variant>
        <vt:lpwstr>http://heinonline.org/HOL/PDFsearchable?handle=hein.journals/incolq54&amp;collection=journals&amp;id=943&amp;print=18&amp;sectioncount=1&amp;ext=.pdf</vt:lpwstr>
      </vt:variant>
      <vt:variant>
        <vt:lpwstr/>
      </vt:variant>
      <vt:variant>
        <vt:i4>5832708</vt:i4>
      </vt:variant>
      <vt:variant>
        <vt:i4>84</vt:i4>
      </vt:variant>
      <vt:variant>
        <vt:i4>0</vt:i4>
      </vt:variant>
      <vt:variant>
        <vt:i4>5</vt:i4>
      </vt:variant>
      <vt:variant>
        <vt:lpwstr>http://heinonline.org/HOL/PDFsearchable?handle=hein.journals/incolq54&amp;collection=journals&amp;id=823&amp;print=16&amp;sectioncount=1&amp;ext=.pdf</vt:lpwstr>
      </vt:variant>
      <vt:variant>
        <vt:lpwstr/>
      </vt:variant>
      <vt:variant>
        <vt:i4>6357028</vt:i4>
      </vt:variant>
      <vt:variant>
        <vt:i4>81</vt:i4>
      </vt:variant>
      <vt:variant>
        <vt:i4>0</vt:i4>
      </vt:variant>
      <vt:variant>
        <vt:i4>5</vt:i4>
      </vt:variant>
      <vt:variant>
        <vt:lpwstr>http://heinonline.org/HOL/PDF?handle=hein.journals/vuwlr33&amp;collection=journals&amp;id=269&amp;print=26&amp;sectioncount=1&amp;ext=.pdf</vt:lpwstr>
      </vt:variant>
      <vt:variant>
        <vt:lpwstr/>
      </vt:variant>
      <vt:variant>
        <vt:i4>327704</vt:i4>
      </vt:variant>
      <vt:variant>
        <vt:i4>78</vt:i4>
      </vt:variant>
      <vt:variant>
        <vt:i4>0</vt:i4>
      </vt:variant>
      <vt:variant>
        <vt:i4>5</vt:i4>
      </vt:variant>
      <vt:variant>
        <vt:lpwstr>http://www.judicium.it/news/pistis01.html</vt:lpwstr>
      </vt:variant>
      <vt:variant>
        <vt:lpwstr/>
      </vt:variant>
      <vt:variant>
        <vt:i4>327704</vt:i4>
      </vt:variant>
      <vt:variant>
        <vt:i4>75</vt:i4>
      </vt:variant>
      <vt:variant>
        <vt:i4>0</vt:i4>
      </vt:variant>
      <vt:variant>
        <vt:i4>5</vt:i4>
      </vt:variant>
      <vt:variant>
        <vt:lpwstr>http://www.judicium.it/news/pistis01.html</vt:lpwstr>
      </vt:variant>
      <vt:variant>
        <vt:lpwstr/>
      </vt:variant>
      <vt:variant>
        <vt:i4>2162805</vt:i4>
      </vt:variant>
      <vt:variant>
        <vt:i4>72</vt:i4>
      </vt:variant>
      <vt:variant>
        <vt:i4>0</vt:i4>
      </vt:variant>
      <vt:variant>
        <vt:i4>5</vt:i4>
      </vt:variant>
      <vt:variant>
        <vt:lpwstr>http://heinonline.org/HOL/PDF?handle=hein.journals/amcomp51&amp;collection=journals&amp;id=623&amp;print=28&amp;sectioncount=1&amp;ext=.pdf</vt:lpwstr>
      </vt:variant>
      <vt:variant>
        <vt:lpwstr/>
      </vt:variant>
      <vt:variant>
        <vt:i4>6357028</vt:i4>
      </vt:variant>
      <vt:variant>
        <vt:i4>69</vt:i4>
      </vt:variant>
      <vt:variant>
        <vt:i4>0</vt:i4>
      </vt:variant>
      <vt:variant>
        <vt:i4>5</vt:i4>
      </vt:variant>
      <vt:variant>
        <vt:lpwstr>http://heinonline.org/HOL/PDF?handle=hein.journals/vuwlr33&amp;collection=journals&amp;id=269&amp;print=26&amp;sectioncount=1&amp;ext=.pdf</vt:lpwstr>
      </vt:variant>
      <vt:variant>
        <vt:lpwstr/>
      </vt:variant>
      <vt:variant>
        <vt:i4>1179650</vt:i4>
      </vt:variant>
      <vt:variant>
        <vt:i4>66</vt:i4>
      </vt:variant>
      <vt:variant>
        <vt:i4>0</vt:i4>
      </vt:variant>
      <vt:variant>
        <vt:i4>5</vt:i4>
      </vt:variant>
      <vt:variant>
        <vt:lpwstr>http://www.psp.cz/sqw/text/tiskt.sqw?O=5&amp;CT=837&amp;CT1=0%20</vt:lpwstr>
      </vt:variant>
      <vt:variant>
        <vt:lpwstr/>
      </vt:variant>
      <vt:variant>
        <vt:i4>7340066</vt:i4>
      </vt:variant>
      <vt:variant>
        <vt:i4>63</vt:i4>
      </vt:variant>
      <vt:variant>
        <vt:i4>0</vt:i4>
      </vt:variant>
      <vt:variant>
        <vt:i4>5</vt:i4>
      </vt:variant>
      <vt:variant>
        <vt:lpwstr>http://heinonline.org/HOL/PDF?handle=hein.journals/ejlr4&amp;collection=journals&amp;id=79&amp;print=18&amp;sectioncount=1&amp;ext=.pdf</vt:lpwstr>
      </vt:variant>
      <vt:variant>
        <vt:lpwstr/>
      </vt:variant>
      <vt:variant>
        <vt:i4>2359331</vt:i4>
      </vt:variant>
      <vt:variant>
        <vt:i4>60</vt:i4>
      </vt:variant>
      <vt:variant>
        <vt:i4>0</vt:i4>
      </vt:variant>
      <vt:variant>
        <vt:i4>5</vt:i4>
      </vt:variant>
      <vt:variant>
        <vt:lpwstr>http://www.altalex.com/index.php?idnot=1178</vt:lpwstr>
      </vt:variant>
      <vt:variant>
        <vt:lpwstr/>
      </vt:variant>
      <vt:variant>
        <vt:i4>7340066</vt:i4>
      </vt:variant>
      <vt:variant>
        <vt:i4>57</vt:i4>
      </vt:variant>
      <vt:variant>
        <vt:i4>0</vt:i4>
      </vt:variant>
      <vt:variant>
        <vt:i4>5</vt:i4>
      </vt:variant>
      <vt:variant>
        <vt:lpwstr>http://heinonline.org/HOL/PDF?handle=hein.journals/ejlr4&amp;collection=journals&amp;id=79&amp;print=18&amp;sectioncount=1&amp;ext=.pdf</vt:lpwstr>
      </vt:variant>
      <vt:variant>
        <vt:lpwstr/>
      </vt:variant>
      <vt:variant>
        <vt:i4>1179667</vt:i4>
      </vt:variant>
      <vt:variant>
        <vt:i4>54</vt:i4>
      </vt:variant>
      <vt:variant>
        <vt:i4>0</vt:i4>
      </vt:variant>
      <vt:variant>
        <vt:i4>5</vt:i4>
      </vt:variant>
      <vt:variant>
        <vt:lpwstr>http://www.altalex.com/index.php?idnot=33724</vt:lpwstr>
      </vt:variant>
      <vt:variant>
        <vt:lpwstr/>
      </vt:variant>
      <vt:variant>
        <vt:i4>2359331</vt:i4>
      </vt:variant>
      <vt:variant>
        <vt:i4>51</vt:i4>
      </vt:variant>
      <vt:variant>
        <vt:i4>0</vt:i4>
      </vt:variant>
      <vt:variant>
        <vt:i4>5</vt:i4>
      </vt:variant>
      <vt:variant>
        <vt:lpwstr>http://www.altalex.com/index.php?idnot=1178</vt:lpwstr>
      </vt:variant>
      <vt:variant>
        <vt:lpwstr/>
      </vt:variant>
      <vt:variant>
        <vt:i4>4915310</vt:i4>
      </vt:variant>
      <vt:variant>
        <vt:i4>48</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3735608</vt:i4>
      </vt:variant>
      <vt:variant>
        <vt:i4>45</vt:i4>
      </vt:variant>
      <vt:variant>
        <vt:i4>0</vt:i4>
      </vt:variant>
      <vt:variant>
        <vt:i4>5</vt:i4>
      </vt:variant>
      <vt:variant>
        <vt:lpwstr>http://www.scandinavianlaw.se/pdf/14-3.pdf</vt:lpwstr>
      </vt:variant>
      <vt:variant>
        <vt:lpwstr/>
      </vt:variant>
      <vt:variant>
        <vt:i4>3735608</vt:i4>
      </vt:variant>
      <vt:variant>
        <vt:i4>42</vt:i4>
      </vt:variant>
      <vt:variant>
        <vt:i4>0</vt:i4>
      </vt:variant>
      <vt:variant>
        <vt:i4>5</vt:i4>
      </vt:variant>
      <vt:variant>
        <vt:lpwstr>http://www.scandinavianlaw.se/pdf/14-3.pdf</vt:lpwstr>
      </vt:variant>
      <vt:variant>
        <vt:lpwstr/>
      </vt:variant>
      <vt:variant>
        <vt:i4>6619258</vt:i4>
      </vt:variant>
      <vt:variant>
        <vt:i4>39</vt:i4>
      </vt:variant>
      <vt:variant>
        <vt:i4>0</vt:i4>
      </vt:variant>
      <vt:variant>
        <vt:i4>5</vt:i4>
      </vt:variant>
      <vt:variant>
        <vt:lpwstr>http://bundesrecht.juris.de/zpo/index.html</vt:lpwstr>
      </vt:variant>
      <vt:variant>
        <vt:lpwstr/>
      </vt:variant>
      <vt:variant>
        <vt:i4>7340066</vt:i4>
      </vt:variant>
      <vt:variant>
        <vt:i4>36</vt:i4>
      </vt:variant>
      <vt:variant>
        <vt:i4>0</vt:i4>
      </vt:variant>
      <vt:variant>
        <vt:i4>5</vt:i4>
      </vt:variant>
      <vt:variant>
        <vt:lpwstr>http://heinonline.org/HOL/PDF?handle=hein.journals/ejlr4&amp;collection=journals&amp;id=79&amp;print=18&amp;sectioncount=1&amp;ext=.pdf</vt:lpwstr>
      </vt:variant>
      <vt:variant>
        <vt:lpwstr/>
      </vt:variant>
      <vt:variant>
        <vt:i4>1966101</vt:i4>
      </vt:variant>
      <vt:variant>
        <vt:i4>33</vt:i4>
      </vt:variant>
      <vt:variant>
        <vt:i4>0</vt:i4>
      </vt:variant>
      <vt:variant>
        <vt:i4>5</vt:i4>
      </vt:variant>
      <vt:variant>
        <vt:lpwstr>http://www.admin.ch/ch/d/sr/2/291.de.pdf</vt:lpwstr>
      </vt:variant>
      <vt:variant>
        <vt:lpwstr/>
      </vt:variant>
      <vt:variant>
        <vt:i4>6815852</vt:i4>
      </vt:variant>
      <vt:variant>
        <vt:i4>30</vt:i4>
      </vt:variant>
      <vt:variant>
        <vt:i4>0</vt:i4>
      </vt:variant>
      <vt:variant>
        <vt:i4>5</vt:i4>
      </vt:variant>
      <vt:variant>
        <vt:lpwstr>http://www.bj.admin.ch/bj/de/home/themen/wirtschaft/internationales_privatrecht/lugano_uebereinkommen/0.html</vt:lpwstr>
      </vt:variant>
      <vt:variant>
        <vt:lpwstr/>
      </vt:variant>
      <vt:variant>
        <vt:i4>3735608</vt:i4>
      </vt:variant>
      <vt:variant>
        <vt:i4>27</vt:i4>
      </vt:variant>
      <vt:variant>
        <vt:i4>0</vt:i4>
      </vt:variant>
      <vt:variant>
        <vt:i4>5</vt:i4>
      </vt:variant>
      <vt:variant>
        <vt:lpwstr>http://www.scandinavianlaw.se/pdf/14-3.pdf</vt:lpwstr>
      </vt:variant>
      <vt:variant>
        <vt:lpwstr/>
      </vt:variant>
      <vt:variant>
        <vt:i4>2162805</vt:i4>
      </vt:variant>
      <vt:variant>
        <vt:i4>24</vt:i4>
      </vt:variant>
      <vt:variant>
        <vt:i4>0</vt:i4>
      </vt:variant>
      <vt:variant>
        <vt:i4>5</vt:i4>
      </vt:variant>
      <vt:variant>
        <vt:lpwstr>http://heinonline.org/HOL/PDF?handle=hein.journals/amcomp51&amp;collection=journals&amp;id=623&amp;print=28&amp;sectioncount=1&amp;ext=.pdf</vt:lpwstr>
      </vt:variant>
      <vt:variant>
        <vt:lpwstr/>
      </vt:variant>
      <vt:variant>
        <vt:i4>2162805</vt:i4>
      </vt:variant>
      <vt:variant>
        <vt:i4>21</vt:i4>
      </vt:variant>
      <vt:variant>
        <vt:i4>0</vt:i4>
      </vt:variant>
      <vt:variant>
        <vt:i4>5</vt:i4>
      </vt:variant>
      <vt:variant>
        <vt:lpwstr>http://heinonline.org/HOL/PDF?handle=hein.journals/amcomp51&amp;collection=journals&amp;id=623&amp;print=28&amp;sectioncount=1&amp;ext=.pdf</vt:lpwstr>
      </vt:variant>
      <vt:variant>
        <vt:lpwstr/>
      </vt:variant>
      <vt:variant>
        <vt:i4>3735608</vt:i4>
      </vt:variant>
      <vt:variant>
        <vt:i4>18</vt:i4>
      </vt:variant>
      <vt:variant>
        <vt:i4>0</vt:i4>
      </vt:variant>
      <vt:variant>
        <vt:i4>5</vt:i4>
      </vt:variant>
      <vt:variant>
        <vt:lpwstr>http://www.scandinavianlaw.se/pdf/14-3.pdf</vt:lpwstr>
      </vt:variant>
      <vt:variant>
        <vt:lpwstr/>
      </vt:variant>
      <vt:variant>
        <vt:i4>7733285</vt:i4>
      </vt:variant>
      <vt:variant>
        <vt:i4>15</vt:i4>
      </vt:variant>
      <vt:variant>
        <vt:i4>0</vt:i4>
      </vt:variant>
      <vt:variant>
        <vt:i4>5</vt:i4>
      </vt:variant>
      <vt:variant>
        <vt:lpwstr>http://heinonline.org/HOL/PDF?handle=hein.journals/cybil38&amp;collection=journals&amp;id=163&amp;print=34&amp;sectioncount=1&amp;ext=.pdf</vt:lpwstr>
      </vt:variant>
      <vt:variant>
        <vt:lpwstr/>
      </vt:variant>
      <vt:variant>
        <vt:i4>1048610</vt:i4>
      </vt:variant>
      <vt:variant>
        <vt:i4>12</vt:i4>
      </vt:variant>
      <vt:variant>
        <vt:i4>0</vt:i4>
      </vt:variant>
      <vt:variant>
        <vt:i4>5</vt:i4>
      </vt:variant>
      <vt:variant>
        <vt:lpwstr>http://papers.ssrn.com/sol3/papers.cfm?abstract_id=1045181</vt:lpwstr>
      </vt:variant>
      <vt:variant>
        <vt:lpwstr/>
      </vt:variant>
      <vt:variant>
        <vt:i4>1048610</vt:i4>
      </vt:variant>
      <vt:variant>
        <vt:i4>9</vt:i4>
      </vt:variant>
      <vt:variant>
        <vt:i4>0</vt:i4>
      </vt:variant>
      <vt:variant>
        <vt:i4>5</vt:i4>
      </vt:variant>
      <vt:variant>
        <vt:lpwstr>http://papers.ssrn.com/sol3/papers.cfm?abstract_id=1045181</vt:lpwstr>
      </vt:variant>
      <vt:variant>
        <vt:lpwstr/>
      </vt:variant>
      <vt:variant>
        <vt:i4>6619258</vt:i4>
      </vt:variant>
      <vt:variant>
        <vt:i4>6</vt:i4>
      </vt:variant>
      <vt:variant>
        <vt:i4>0</vt:i4>
      </vt:variant>
      <vt:variant>
        <vt:i4>5</vt:i4>
      </vt:variant>
      <vt:variant>
        <vt:lpwstr>http://bundesrecht.juris.de/zpo/index.html</vt:lpwstr>
      </vt:variant>
      <vt:variant>
        <vt:lpwstr/>
      </vt:variant>
      <vt:variant>
        <vt:i4>1179667</vt:i4>
      </vt:variant>
      <vt:variant>
        <vt:i4>3</vt:i4>
      </vt:variant>
      <vt:variant>
        <vt:i4>0</vt:i4>
      </vt:variant>
      <vt:variant>
        <vt:i4>5</vt:i4>
      </vt:variant>
      <vt:variant>
        <vt:lpwstr>http://www.altalex.com/index.php?idnot=33724</vt:lpwstr>
      </vt:variant>
      <vt:variant>
        <vt:lpwstr/>
      </vt:variant>
      <vt:variant>
        <vt:i4>4915310</vt:i4>
      </vt:variant>
      <vt:variant>
        <vt:i4>0</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Stárnutí české populace a jeho dopady na urgentní příjmy</dc:title>
  <dc:subject/>
  <dc:creator>Bc. Jiří Řehánek</dc:creator>
  <cp:keywords/>
  <cp:lastModifiedBy>J R</cp:lastModifiedBy>
  <cp:revision>9498</cp:revision>
  <cp:lastPrinted>2016-12-09T09:46:00Z</cp:lastPrinted>
  <dcterms:created xsi:type="dcterms:W3CDTF">2024-04-09T09:55:00Z</dcterms:created>
  <dcterms:modified xsi:type="dcterms:W3CDTF">2025-04-14T09:23:00Z</dcterms:modified>
  <cp:category>Napište akademický rok odevzdání práce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0x01010020E94A790C08CC49A260A2015B6A86EF</vt:lpwstr>
  </property>
  <property fmtid="{D5CDD505-2E9C-101B-9397-08002B2CF9AE}" pid="3" name="ZOTERO_PREF_2">
    <vt:lpwstr>maticJournalAbbreviations" value="true"/&gt;&lt;/prefs&gt;&lt;/data&gt;</vt:lpwstr>
  </property>
  <property fmtid="{D5CDD505-2E9C-101B-9397-08002B2CF9AE}" pid="4" name="MU_SABLONA">
    <vt:lpwstr>MED-dipl-cesky</vt:lpwstr>
  </property>
  <property fmtid="{D5CDD505-2E9C-101B-9397-08002B2CF9AE}" pid="5" name="MU_VYGENEROVANO">
    <vt:filetime>2022-11-09T23:00:00Z</vt:filetime>
  </property>
  <property fmtid="{D5CDD505-2E9C-101B-9397-08002B2CF9AE}" pid="6" name="MU_LOGO">
    <vt:lpwstr>NOVE</vt:lpwstr>
  </property>
  <property fmtid="{D5CDD505-2E9C-101B-9397-08002B2CF9AE}" pid="7" name="MU_VERZE">
    <vt:lpwstr>3.4.1</vt:lpwstr>
  </property>
  <property fmtid="{D5CDD505-2E9C-101B-9397-08002B2CF9AE}" pid="8" name="ZOTERO_PREF_1">
    <vt:lpwstr>&lt;data data-version="3" zotero-version="6.0.36"&gt;&lt;session id="bjOR38qZ"/&gt;&lt;style id="http://www.zotero.org/styles/american-medical-association" hasBibliography="1" bibliographyStyleHasBeenSet="1"/&gt;&lt;prefs&gt;&lt;pref name="fieldType" value="Field"/&gt;&lt;pref name="auto</vt:lpwstr>
  </property>
</Properties>
</file>