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C4406A" w14:textId="77777777" w:rsidR="00832CB3" w:rsidRDefault="00832CB3" w:rsidP="00D83E7E">
      <w:pPr>
        <w:pStyle w:val="ZPTitulkafakulta"/>
        <w:spacing w:before="0" w:after="0" w:line="240" w:lineRule="auto"/>
      </w:pPr>
      <w:r>
        <w:rPr>
          <w:noProof/>
        </w:rPr>
        <mc:AlternateContent>
          <mc:Choice Requires="wps">
            <w:drawing>
              <wp:inline distT="0" distB="0" distL="0" distR="0" wp14:anchorId="473CF8A8" wp14:editId="091C2A0A">
                <wp:extent cx="4572000" cy="1404620"/>
                <wp:effectExtent l="0" t="0" r="0" b="0"/>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noFill/>
                          <a:miter lim="800000"/>
                          <a:headEnd/>
                          <a:tailEnd/>
                        </a:ln>
                      </wps:spPr>
                      <wps:txbx>
                        <w:txbxContent>
                          <w:p w14:paraId="5B9B29C2" w14:textId="77777777" w:rsidR="00385F02" w:rsidRDefault="00385F02" w:rsidP="00832CB3">
                            <w:pPr>
                              <w:pStyle w:val="ZPZhlavtitulnlist"/>
                              <w:pBdr>
                                <w:bottom w:val="none" w:sz="0" w:space="0" w:color="auto"/>
                              </w:pBdr>
                              <w:spacing w:after="0"/>
                              <w:rPr>
                                <w:rStyle w:val="ZP-NadpisyzkladChar"/>
                              </w:rPr>
                            </w:pPr>
                            <w:r>
                              <w:rPr>
                                <w:noProof/>
                              </w:rPr>
                              <w:drawing>
                                <wp:inline distT="0" distB="0" distL="0" distR="0" wp14:anchorId="13C8A13A" wp14:editId="12DDEC90">
                                  <wp:extent cx="2268000" cy="7704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68000" cy="770400"/>
                                          </a:xfrm>
                                          <a:prstGeom prst="rect">
                                            <a:avLst/>
                                          </a:prstGeom>
                                        </pic:spPr>
                                      </pic:pic>
                                    </a:graphicData>
                                  </a:graphic>
                                </wp:inline>
                              </w:drawing>
                            </w:r>
                          </w:p>
                          <w:p w14:paraId="6A9DD270" w14:textId="77777777" w:rsidR="00385F02" w:rsidRDefault="00385F02" w:rsidP="00832CB3">
                            <w:pPr>
                              <w:pStyle w:val="ZPTitulkafakulta"/>
                            </w:pPr>
                            <w:r w:rsidRPr="00DD5A2A">
                              <w:t>fakulta</w:t>
                            </w:r>
                            <w:r>
                              <w:t xml:space="preserve"> sociálních studií</w:t>
                            </w:r>
                          </w:p>
                          <w:p w14:paraId="439F0028" w14:textId="77777777" w:rsidR="00385F02" w:rsidRDefault="00385F02" w:rsidP="00940EE8">
                            <w:pPr>
                              <w:pStyle w:val="ZPTitulkanzev"/>
                            </w:pPr>
                            <w:sdt>
                              <w:sdt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t xml:space="preserve">Rámování kritiky vlád Andreje Babiše </w:t>
                                </w:r>
                                <w:r w:rsidRPr="00AC1ACB">
                                  <w:t>vybranými opozičními stranami</w:t>
                                </w:r>
                              </w:sdtContent>
                            </w:sdt>
                          </w:p>
                        </w:txbxContent>
                      </wps:txbx>
                      <wps:bodyPr rot="0" vert="horz" wrap="square" lIns="91440" tIns="45720" rIns="91440" bIns="45720" anchor="t" anchorCtr="0">
                        <a:spAutoFit/>
                      </wps:bodyPr>
                    </wps:wsp>
                  </a:graphicData>
                </a:graphic>
              </wp:inline>
            </w:drawing>
          </mc:Choice>
          <mc:Fallback>
            <w:pict>
              <v:shapetype w14:anchorId="473CF8A8" id="_x0000_t202" coordsize="21600,21600" o:spt="202" path="m,l,21600r21600,l21600,xe">
                <v:stroke joinstyle="miter"/>
                <v:path gradientshapeok="t" o:connecttype="rect"/>
              </v:shapetype>
              <v:shape id="Textové pole 2" o:spid="_x0000_s1026"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" stroked="f">
                <v:textbox style="mso-fit-shape-to-text:t">
                  <w:txbxContent>
                    <w:p w14:paraId="5B9B29C2" w14:textId="77777777" w:rsidR="00385F02" w:rsidRDefault="00385F02" w:rsidP="00832CB3">
                      <w:pPr>
                        <w:pStyle w:val="ZPZhlavtitulnlist"/>
                        <w:pBdr>
                          <w:bottom w:val="none" w:sz="0" w:space="0" w:color="auto"/>
                        </w:pBdr>
                        <w:spacing w:after="0"/>
                        <w:rPr>
                          <w:rStyle w:val="ZP-NadpisyzkladChar"/>
                        </w:rPr>
                      </w:pPr>
                      <w:r>
                        <w:rPr>
                          <w:noProof/>
                        </w:rPr>
                        <w:drawing>
                          <wp:inline distT="0" distB="0" distL="0" distR="0" wp14:anchorId="13C8A13A" wp14:editId="12DDEC90">
                            <wp:extent cx="2268000" cy="7704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68000" cy="770400"/>
                                    </a:xfrm>
                                    <a:prstGeom prst="rect">
                                      <a:avLst/>
                                    </a:prstGeom>
                                  </pic:spPr>
                                </pic:pic>
                              </a:graphicData>
                            </a:graphic>
                          </wp:inline>
                        </w:drawing>
                      </w:r>
                    </w:p>
                    <w:p w14:paraId="6A9DD270" w14:textId="77777777" w:rsidR="00385F02" w:rsidRDefault="00385F02" w:rsidP="00832CB3">
                      <w:pPr>
                        <w:pStyle w:val="ZPTitulkafakulta"/>
                      </w:pPr>
                      <w:r w:rsidRPr="00DD5A2A">
                        <w:t>fakulta</w:t>
                      </w:r>
                      <w:r>
                        <w:t xml:space="preserve"> sociálních studií</w:t>
                      </w:r>
                    </w:p>
                    <w:p w14:paraId="439F0028" w14:textId="77777777" w:rsidR="00385F02" w:rsidRDefault="00385F02" w:rsidP="00940EE8">
                      <w:pPr>
                        <w:pStyle w:val="ZPTitulkanzev"/>
                      </w:pPr>
                      <w:sdt>
                        <w:sdt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t xml:space="preserve">Rámování kritiky vlád Andreje Babiše </w:t>
                          </w:r>
                          <w:r w:rsidRPr="00AC1ACB">
                            <w:t>vybranými opozičními stranami</w:t>
                          </w:r>
                        </w:sdtContent>
                      </w:sdt>
                    </w:p>
                  </w:txbxContent>
                </v:textbox>
                <w10:anchorlock/>
              </v:shape>
            </w:pict>
          </mc:Fallback>
        </mc:AlternateContent>
      </w:r>
    </w:p>
    <w:p w14:paraId="54E7D78E" w14:textId="77777777" w:rsidR="00832CB3" w:rsidRDefault="00385F02" w:rsidP="00832CB3">
      <w:pPr>
        <w:pStyle w:val="ZPTitulkahlavn"/>
      </w:pPr>
      <w:sdt>
        <w:sdtPr>
          <w:id w:val="995605782"/>
          <w:placeholder>
            <w:docPart w:val="CEB39245E3F44BBCBEAE7388EF57E725"/>
          </w:placeholder>
          <w:comboBox>
            <w:listItem w:displayText="Zvolte druh závěrečné práce" w:value=""/>
            <w:listItem w:displayText="Diplomová práce" w:value="Diplomová práce"/>
            <w:listItem w:displayText="Bakalářská práce" w:value="Bakalářská práce"/>
            <w:listItem w:displayText="Disertační práce" w:value="Disertační práce"/>
          </w:comboBox>
        </w:sdtPr>
        <w:sdtContent>
          <w:r w:rsidR="00AC1ACB">
            <w:t>Bakalářská práce</w:t>
          </w:r>
        </w:sdtContent>
      </w:sdt>
    </w:p>
    <w:p w14:paraId="5D455380" w14:textId="77777777" w:rsidR="00832CB3" w:rsidRDefault="00385F02" w:rsidP="00832CB3">
      <w:pPr>
        <w:pStyle w:val="ZPTitulkaautor"/>
      </w:pPr>
      <w:sdt>
        <w:sdtPr>
          <w:alias w:val="Autor"/>
          <w:tag w:val=""/>
          <w:id w:val="678628427"/>
          <w:placeholder>
            <w:docPart w:val="7F9FA80A6D7441598AC7F97EA40D4FD0"/>
          </w:placeholder>
          <w:dataBinding w:prefixMappings="xmlns:ns0='http://purl.org/dc/elements/1.1/' xmlns:ns1='http://schemas.openxmlformats.org/package/2006/metadata/core-properties' " w:xpath="/ns1:coreProperties[1]/ns0:creator[1]" w:storeItemID="{6C3C8BC8-F283-45AE-878A-BAB7291924A1}"/>
          <w:text/>
        </w:sdtPr>
        <w:sdtContent>
          <w:r w:rsidR="00AC1ACB">
            <w:t>Lucie Švehlíková</w:t>
          </w:r>
        </w:sdtContent>
      </w:sdt>
    </w:p>
    <w:p w14:paraId="47A14B70" w14:textId="77777777" w:rsidR="00832CB3" w:rsidRPr="00704143" w:rsidRDefault="00832CB3" w:rsidP="00704143">
      <w:pPr>
        <w:pStyle w:val="ZPTitulkadra"/>
      </w:pPr>
    </w:p>
    <w:p w14:paraId="11D7DDC9" w14:textId="77777777" w:rsidR="00B75A1B" w:rsidRDefault="00830CE4" w:rsidP="00704143">
      <w:pPr>
        <w:pStyle w:val="ZPPatatitulnstrnky"/>
        <w:keepNext w:val="0"/>
        <w:keepLines w:val="0"/>
        <w:widowControl w:val="0"/>
      </w:pPr>
      <w:r w:rsidRPr="00830CE4">
        <w:rPr>
          <w:noProof/>
        </w:rPr>
        <mc:AlternateContent>
          <mc:Choice Requires="wps">
            <w:drawing>
              <wp:inline distT="0" distB="0" distL="0" distR="0" wp14:anchorId="18856F6B" wp14:editId="52100EAC">
                <wp:extent cx="4572000" cy="1152000"/>
                <wp:effectExtent l="0" t="0" r="0" b="1270"/>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152000"/>
                        </a:xfrm>
                        <a:prstGeom prst="rect">
                          <a:avLst/>
                        </a:prstGeom>
                        <a:solidFill>
                          <a:srgbClr val="FFFFFF"/>
                        </a:solidFill>
                        <a:ln w="9525">
                          <a:noFill/>
                          <a:miter lim="800000"/>
                          <a:headEnd/>
                          <a:tailEnd/>
                        </a:ln>
                      </wps:spPr>
                      <wps:txbx>
                        <w:txbxContent>
                          <w:p w14:paraId="3A054D39" w14:textId="77777777" w:rsidR="00385F02" w:rsidRDefault="00385F02" w:rsidP="006E36ED">
                            <w:pPr>
                              <w:pStyle w:val="ZPTitulkahlavn"/>
                              <w:spacing w:after="340"/>
                            </w:pPr>
                            <w:r>
                              <w:t xml:space="preserve">Vedoucí práce: </w:t>
                            </w:r>
                            <w:sdt>
                              <w:sdtPr>
                                <w:alias w:val="Nadřízený"/>
                                <w:tag w:val=""/>
                                <w:id w:val="321477507"/>
                                <w:dataBinding w:prefixMappings="xmlns:ns0='http://schemas.openxmlformats.org/officeDocument/2006/extended-properties' " w:xpath="/ns0:Properties[1]/ns0:Manager[1]" w:storeItemID="{6668398D-A668-4E3E-A5EB-62B293D839F1}"/>
                                <w:text/>
                              </w:sdtPr>
                              <w:sdtContent>
                                <w:r w:rsidRPr="00AC1ACB">
                                  <w:t>Mgr. Miloš Gregor, Ph.D.</w:t>
                                </w:r>
                              </w:sdtContent>
                            </w:sdt>
                          </w:p>
                          <w:p w14:paraId="7870675C" w14:textId="77777777" w:rsidR="00385F02" w:rsidRDefault="00385F02" w:rsidP="00DD5A2A">
                            <w:pPr>
                              <w:pStyle w:val="ZPTitulkahlavn"/>
                            </w:pPr>
                            <w:r>
                              <w:t xml:space="preserve"> </w:t>
                            </w:r>
                            <w:bookmarkStart w:id="0" w:name="KATEDRA"/>
                            <w:sdt>
                              <w:sdtPr>
                                <w:id w:val="1524597887"/>
                                <w:comboBox>
                                  <w:listItem w:displayText="Zvolte katedru nebo ústav" w:value=""/>
                                  <w:listItem w:displayText="Katedra environmentálních studií " w:value="Katedra environmentálních studií "/>
                                  <w:listItem w:displayText="Katedra mediálních studií a žurnalistiky " w:value="Katedra mediálních studií a žurnalistiky "/>
                                  <w:listItem w:displayText="Katedra mezinárodních vztahů a evropských studií " w:value="Katedra mezinárodních vztahů a evropských studií "/>
                                  <w:listItem w:displayText="Katedra politologie " w:value="Katedra politologie "/>
                                  <w:listItem w:displayText="Katedra psychologie " w:value="Katedra psychologie "/>
                                  <w:listItem w:displayText="Katedra sociální politiky a sociální práce " w:value="Katedra sociální politiky a sociální práce "/>
                                  <w:listItem w:displayText="Katedra sociologie " w:value="Katedra sociologie "/>
                                </w:comboBox>
                              </w:sdtPr>
                              <w:sdtContent>
                                <w:r>
                                  <w:t xml:space="preserve">Katedra politologie </w:t>
                                </w:r>
                              </w:sdtContent>
                            </w:sdt>
                            <w:r>
                              <w:t xml:space="preserve"> </w:t>
                            </w:r>
                            <w:bookmarkEnd w:id="0"/>
                          </w:p>
                          <w:bookmarkStart w:id="1" w:name="OBOR"/>
                          <w:p w14:paraId="0B3A2498" w14:textId="77777777" w:rsidR="00385F02" w:rsidRDefault="00385F02" w:rsidP="00940EE8">
                            <w:pPr>
                              <w:pStyle w:val="ZPTitulkahlavn"/>
                            </w:pPr>
                            <w:sdt>
                              <w:sdtPr>
                                <w:alias w:val="Studijní program"/>
                                <w:tag w:val="OBOR"/>
                                <w:id w:val="-790127104"/>
                                <w:comboBox>
                                  <w:listItem w:displayText="Vyberte program" w:value=""/>
                                  <w:listItem w:displayText="Bezpečnostní a strategická studia" w:value="Bezpečnostní a strategická studia"/>
                                  <w:listItem w:displayText="Environmentální studia " w:value="Environmentální studia "/>
                                  <w:listItem w:displayText="Evropská studia" w:value="Evropská studia"/>
                                  <w:listItem w:displayText="Genderová studia " w:value="Genderová studia "/>
                                  <w:listItem w:displayText="Humanitní environmentalistika" w:value="Humanitní environmentalistika"/>
                                  <w:listItem w:displayText="Mediální a žurnalistická studia/Media and Journalism Studies " w:value="Mediální a žurnalistická studia/Media and Journalism Studies "/>
                                  <w:listItem w:displayText="Mediální studia a žurnalistika " w:value="Mediální studia a žurnalistika "/>
                                  <w:listItem w:displayText="Mezinárodní vztahy" w:value="Mezinárodní vztahy"/>
                                  <w:listItem w:displayText="Mezinárodní vztahy a energetická bezpečnost " w:value="Mezinárodní vztahy a energetická bezpečnost "/>
                                  <w:listItem w:displayText="Obecná psychologie " w:value="Obecná psychologie "/>
                                  <w:listItem w:displayText="Politologie " w:value="Politologie "/>
                                  <w:listItem w:displayText="Psychologie" w:value="Psychologie"/>
                                  <w:listItem w:displayText="Sociální antropologie" w:value="Sociální antropologie"/>
                                  <w:listItem w:displayText="Sociální politika a sociální práce" w:value="Sociální politika a sociální práce"/>
                                  <w:listItem w:displayText="Sociální práce " w:value="Sociální práce "/>
                                  <w:listItem w:displayText="Sociální psychologie " w:value="Sociální psychologie "/>
                                  <w:listItem w:displayText="Sociologie" w:value="Sociologie"/>
                                  <w:listItem w:displayText="Veřejná politika a lidské zdroje " w:value="Veřejná politika a lidské zdroje "/>
                                  <w:listItem w:displayText="Vývojová psychologie " w:value="Vývojová psychologie "/>
                                  <w:listItem w:displayText="Žurnalistika " w:value="Žurnalistika "/>
                                </w:comboBox>
                              </w:sdtPr>
                              <w:sdtContent>
                                <w:r>
                                  <w:t xml:space="preserve">Politologie </w:t>
                                </w:r>
                              </w:sdtContent>
                            </w:sdt>
                            <w:bookmarkEnd w:id="1"/>
                            <w:r>
                              <w:t xml:space="preserve"> </w:t>
                            </w:r>
                          </w:p>
                        </w:txbxContent>
                      </wps:txbx>
                      <wps:bodyPr rot="0" vert="horz" wrap="square" lIns="91440" tIns="45720" rIns="91440" bIns="45720" anchor="t" anchorCtr="0">
                        <a:spAutoFit/>
                      </wps:bodyPr>
                    </wps:wsp>
                  </a:graphicData>
                </a:graphic>
              </wp:inline>
            </w:drawing>
          </mc:Choice>
          <mc:Fallback>
            <w:pict>
              <v:shape w14:anchorId="18856F6B" id="_x0000_s1027" type="#_x0000_t202" style="width:5in;height:9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" stroked="f">
                <v:textbox style="mso-fit-shape-to-text:t">
                  <w:txbxContent>
                    <w:p w14:paraId="3A054D39" w14:textId="77777777" w:rsidR="00385F02" w:rsidRDefault="00385F02" w:rsidP="006E36ED">
                      <w:pPr>
                        <w:pStyle w:val="ZPTitulkahlavn"/>
                        <w:spacing w:after="340"/>
                      </w:pPr>
                      <w:r>
                        <w:t xml:space="preserve">Vedoucí práce: </w:t>
                      </w:r>
                      <w:sdt>
                        <w:sdtPr>
                          <w:alias w:val="Nadřízený"/>
                          <w:tag w:val=""/>
                          <w:id w:val="321477507"/>
                          <w:dataBinding w:prefixMappings="xmlns:ns0='http://schemas.openxmlformats.org/officeDocument/2006/extended-properties' " w:xpath="/ns0:Properties[1]/ns0:Manager[1]" w:storeItemID="{6668398D-A668-4E3E-A5EB-62B293D839F1}"/>
                          <w:text/>
                        </w:sdtPr>
                        <w:sdtContent>
                          <w:r w:rsidRPr="00AC1ACB">
                            <w:t>Mgr. Miloš Gregor, Ph.D.</w:t>
                          </w:r>
                        </w:sdtContent>
                      </w:sdt>
                    </w:p>
                    <w:p w14:paraId="7870675C" w14:textId="77777777" w:rsidR="00385F02" w:rsidRDefault="00385F02" w:rsidP="00DD5A2A">
                      <w:pPr>
                        <w:pStyle w:val="ZPTitulkahlavn"/>
                      </w:pPr>
                      <w:r>
                        <w:t xml:space="preserve"> </w:t>
                      </w:r>
                      <w:bookmarkStart w:id="2" w:name="KATEDRA"/>
                      <w:sdt>
                        <w:sdtPr>
                          <w:id w:val="1524597887"/>
                          <w:comboBox>
                            <w:listItem w:displayText="Zvolte katedru nebo ústav" w:value=""/>
                            <w:listItem w:displayText="Katedra environmentálních studií " w:value="Katedra environmentálních studií "/>
                            <w:listItem w:displayText="Katedra mediálních studií a žurnalistiky " w:value="Katedra mediálních studií a žurnalistiky "/>
                            <w:listItem w:displayText="Katedra mezinárodních vztahů a evropských studií " w:value="Katedra mezinárodních vztahů a evropských studií "/>
                            <w:listItem w:displayText="Katedra politologie " w:value="Katedra politologie "/>
                            <w:listItem w:displayText="Katedra psychologie " w:value="Katedra psychologie "/>
                            <w:listItem w:displayText="Katedra sociální politiky a sociální práce " w:value="Katedra sociální politiky a sociální práce "/>
                            <w:listItem w:displayText="Katedra sociologie " w:value="Katedra sociologie "/>
                          </w:comboBox>
                        </w:sdtPr>
                        <w:sdtContent>
                          <w:r>
                            <w:t xml:space="preserve">Katedra politologie </w:t>
                          </w:r>
                        </w:sdtContent>
                      </w:sdt>
                      <w:r>
                        <w:t xml:space="preserve"> </w:t>
                      </w:r>
                      <w:bookmarkEnd w:id="2"/>
                    </w:p>
                    <w:bookmarkStart w:id="3" w:name="OBOR"/>
                    <w:p w14:paraId="0B3A2498" w14:textId="77777777" w:rsidR="00385F02" w:rsidRDefault="00385F02" w:rsidP="00940EE8">
                      <w:pPr>
                        <w:pStyle w:val="ZPTitulkahlavn"/>
                      </w:pPr>
                      <w:sdt>
                        <w:sdtPr>
                          <w:alias w:val="Studijní program"/>
                          <w:tag w:val="OBOR"/>
                          <w:id w:val="-790127104"/>
                          <w:comboBox>
                            <w:listItem w:displayText="Vyberte program" w:value=""/>
                            <w:listItem w:displayText="Bezpečnostní a strategická studia" w:value="Bezpečnostní a strategická studia"/>
                            <w:listItem w:displayText="Environmentální studia " w:value="Environmentální studia "/>
                            <w:listItem w:displayText="Evropská studia" w:value="Evropská studia"/>
                            <w:listItem w:displayText="Genderová studia " w:value="Genderová studia "/>
                            <w:listItem w:displayText="Humanitní environmentalistika" w:value="Humanitní environmentalistika"/>
                            <w:listItem w:displayText="Mediální a žurnalistická studia/Media and Journalism Studies " w:value="Mediální a žurnalistická studia/Media and Journalism Studies "/>
                            <w:listItem w:displayText="Mediální studia a žurnalistika " w:value="Mediální studia a žurnalistika "/>
                            <w:listItem w:displayText="Mezinárodní vztahy" w:value="Mezinárodní vztahy"/>
                            <w:listItem w:displayText="Mezinárodní vztahy a energetická bezpečnost " w:value="Mezinárodní vztahy a energetická bezpečnost "/>
                            <w:listItem w:displayText="Obecná psychologie " w:value="Obecná psychologie "/>
                            <w:listItem w:displayText="Politologie " w:value="Politologie "/>
                            <w:listItem w:displayText="Psychologie" w:value="Psychologie"/>
                            <w:listItem w:displayText="Sociální antropologie" w:value="Sociální antropologie"/>
                            <w:listItem w:displayText="Sociální politika a sociální práce" w:value="Sociální politika a sociální práce"/>
                            <w:listItem w:displayText="Sociální práce " w:value="Sociální práce "/>
                            <w:listItem w:displayText="Sociální psychologie " w:value="Sociální psychologie "/>
                            <w:listItem w:displayText="Sociologie" w:value="Sociologie"/>
                            <w:listItem w:displayText="Veřejná politika a lidské zdroje " w:value="Veřejná politika a lidské zdroje "/>
                            <w:listItem w:displayText="Vývojová psychologie " w:value="Vývojová psychologie "/>
                            <w:listItem w:displayText="Žurnalistika " w:value="Žurnalistika "/>
                          </w:comboBox>
                        </w:sdtPr>
                        <w:sdtContent>
                          <w:r>
                            <w:t xml:space="preserve">Politologie </w:t>
                          </w:r>
                        </w:sdtContent>
                      </w:sdt>
                      <w:bookmarkEnd w:id="3"/>
                      <w:r>
                        <w:t xml:space="preserve"> </w:t>
                      </w:r>
                    </w:p>
                  </w:txbxContent>
                </v:textbox>
                <w10:anchorlock/>
              </v:shape>
            </w:pict>
          </mc:Fallback>
        </mc:AlternateContent>
      </w:r>
    </w:p>
    <w:p w14:paraId="2164102F" w14:textId="77777777" w:rsidR="00825B26" w:rsidRPr="00FB7AC5" w:rsidRDefault="00DD5A2A" w:rsidP="00832CB3">
      <w:pPr>
        <w:pStyle w:val="ZPTitulkarok"/>
        <w:sectPr w:rsidR="00825B26" w:rsidRPr="00FB7AC5" w:rsidSect="00E37130">
          <w:headerReference w:type="even" r:id="rId9"/>
          <w:footerReference w:type="even" r:id="rId10"/>
          <w:footerReference w:type="default" r:id="rId11"/>
          <w:pgSz w:w="11906" w:h="16838" w:code="9"/>
          <w:pgMar w:top="2381" w:right="2019" w:bottom="2381" w:left="505" w:header="2019" w:footer="1276" w:gutter="2019"/>
          <w:cols w:space="708"/>
          <w:vAlign w:val="both"/>
          <w:titlePg/>
          <w:docGrid w:linePitch="360"/>
        </w:sectPr>
      </w:pPr>
      <w:r w:rsidRPr="006E36ED">
        <w:t>Brno</w:t>
      </w:r>
      <w:r w:rsidR="007468F6">
        <w:t xml:space="preserve"> </w:t>
      </w:r>
      <w:sdt>
        <w:sdtPr>
          <w:alias w:val="Akademický rok"/>
          <w:tag w:val=""/>
          <w:id w:val="1601917966"/>
          <w:placeholder>
            <w:docPart w:val="FC8B3B48F4FC4BD1A0253CB6BAB59169"/>
          </w:placeholder>
          <w:dataBinding w:prefixMappings="xmlns:ns0='http://purl.org/dc/elements/1.1/' xmlns:ns1='http://schemas.openxmlformats.org/package/2006/metadata/core-properties' " w:xpath="/ns1:coreProperties[1]/ns1:category[1]" w:storeItemID="{6C3C8BC8-F283-45AE-878A-BAB7291924A1}"/>
          <w:text/>
        </w:sdtPr>
        <w:sdtContent>
          <w:r w:rsidR="00AC1ACB">
            <w:rPr>
              <w:color w:val="808080" w:themeColor="background1" w:themeShade="80"/>
            </w:rPr>
            <w:t>2019</w:t>
          </w:r>
        </w:sdtContent>
      </w:sdt>
      <w:r w:rsidRPr="006E36ED">
        <w:t xml:space="preserve"> </w:t>
      </w:r>
    </w:p>
    <w:p w14:paraId="16CD9C57" w14:textId="77777777" w:rsidR="00E5465E" w:rsidRDefault="00E5465E" w:rsidP="00F343E4">
      <w:pPr>
        <w:pStyle w:val="ZPTitulkadra"/>
      </w:pPr>
    </w:p>
    <w:p w14:paraId="68F37119" w14:textId="2AC976E1" w:rsidR="00C35E32" w:rsidRDefault="00BB6FEC" w:rsidP="00E5465E">
      <w:pPr>
        <w:pStyle w:val="inZPKlovslova"/>
        <w:jc w:val="center"/>
      </w:pPr>
      <w:r>
        <w:fldChar w:fldCharType="begin"/>
      </w:r>
      <w:r>
        <w:instrText xml:space="preserve"> IF  </w:instrText>
      </w:r>
      <w:r w:rsidR="006071A1">
        <w:fldChar w:fldCharType="begin"/>
      </w:r>
      <w:r w:rsidR="006071A1">
        <w:instrText xml:space="preserve"> DOCPROPERTY  Logo  </w:instrText>
      </w:r>
      <w:r w:rsidR="006071A1">
        <w:fldChar w:fldCharType="separate"/>
      </w:r>
      <w:r w:rsidR="00AC1ACB">
        <w:instrText>NOVE</w:instrText>
      </w:r>
      <w:r w:rsidR="006071A1">
        <w:fldChar w:fldCharType="end"/>
      </w:r>
      <w:r>
        <w:instrText xml:space="preserve"> = "STARE" </w:instrText>
      </w:r>
      <w:r w:rsidR="00215921">
        <w:rPr>
          <w:noProof/>
        </w:rPr>
        <w:drawing>
          <wp:inline distT="0" distB="0" distL="0" distR="0" wp14:anchorId="4D0FBC2B" wp14:editId="6FB295BC">
            <wp:extent cx="1524132" cy="1530229"/>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ss_znak-c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24132" cy="1530229"/>
                    </a:xfrm>
                    <a:prstGeom prst="rect">
                      <a:avLst/>
                    </a:prstGeom>
                  </pic:spPr>
                </pic:pic>
              </a:graphicData>
            </a:graphic>
          </wp:inline>
        </w:drawing>
      </w:r>
      <w:r>
        <w:instrText xml:space="preserve"> </w:instrText>
      </w:r>
      <w:r w:rsidR="00215921">
        <w:rPr>
          <w:noProof/>
        </w:rPr>
        <w:drawing>
          <wp:inline distT="0" distB="0" distL="0" distR="0" wp14:anchorId="31273E84" wp14:editId="4996131D">
            <wp:extent cx="1277115" cy="982982"/>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oc-lg-cze-blac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77115" cy="982982"/>
                    </a:xfrm>
                    <a:prstGeom prst="rect">
                      <a:avLst/>
                    </a:prstGeom>
                  </pic:spPr>
                </pic:pic>
              </a:graphicData>
            </a:graphic>
          </wp:inline>
        </w:drawing>
      </w:r>
      <w:r>
        <w:instrText xml:space="preserve">\* MERGEFORMAT </w:instrText>
      </w:r>
      <w:r>
        <w:fldChar w:fldCharType="separate"/>
      </w:r>
      <w:r w:rsidR="000C2FD4" w:rsidRPr="000C2FD4">
        <w:rPr>
          <w:b w:val="0"/>
          <w:bCs/>
          <w:noProof/>
        </w:rPr>
        <w:drawing>
          <wp:inline distT="0" distB="0" distL="0" distR="0" wp14:anchorId="7D2BC4C8" wp14:editId="132919A4">
            <wp:extent cx="1277115" cy="982982"/>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oc-lg-cze-blac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77115" cy="982982"/>
                    </a:xfrm>
                    <a:prstGeom prst="rect">
                      <a:avLst/>
                    </a:prstGeom>
                  </pic:spPr>
                </pic:pic>
              </a:graphicData>
            </a:graphic>
          </wp:inline>
        </w:drawing>
      </w:r>
      <w:r>
        <w:fldChar w:fldCharType="end"/>
      </w:r>
    </w:p>
    <w:p w14:paraId="5E46AE76" w14:textId="77777777" w:rsidR="00E5465E" w:rsidRDefault="00E5465E" w:rsidP="00F343E4">
      <w:pPr>
        <w:pStyle w:val="ZPTitulkadra"/>
      </w:pPr>
    </w:p>
    <w:p w14:paraId="589FD1A9" w14:textId="77777777" w:rsidR="00C35E32" w:rsidRDefault="00C35E32" w:rsidP="00F343E4">
      <w:pPr>
        <w:pStyle w:val="ZPTitulkadra"/>
      </w:pPr>
    </w:p>
    <w:p w14:paraId="063B36B6" w14:textId="77777777" w:rsidR="00C35E32" w:rsidRDefault="00C35E32" w:rsidP="007C294D">
      <w:pPr>
        <w:pStyle w:val="inZPKlovslova"/>
        <w:sectPr w:rsidR="00C35E32" w:rsidSect="0052762D">
          <w:headerReference w:type="default" r:id="rId14"/>
          <w:headerReference w:type="first" r:id="rId15"/>
          <w:footerReference w:type="first" r:id="rId16"/>
          <w:type w:val="oddPage"/>
          <w:pgSz w:w="11906" w:h="16838" w:code="9"/>
          <w:pgMar w:top="2614" w:right="2019" w:bottom="2381" w:left="505" w:header="2019" w:footer="1276" w:gutter="2019"/>
          <w:pgNumType w:start="1"/>
          <w:cols w:space="708"/>
          <w:vAlign w:val="both"/>
          <w:docGrid w:linePitch="360"/>
        </w:sectPr>
      </w:pPr>
    </w:p>
    <w:p w14:paraId="28AE9054" w14:textId="77777777" w:rsidR="002C0686" w:rsidRDefault="002C0686" w:rsidP="00A00BBC">
      <w:pPr>
        <w:pStyle w:val="ZPNadpis1vodn"/>
      </w:pPr>
      <w:r>
        <w:lastRenderedPageBreak/>
        <w:t>Bibliografický záznam</w:t>
      </w:r>
    </w:p>
    <w:p w14:paraId="4BE3A06F" w14:textId="0E931CE9" w:rsidR="00BB6FEC" w:rsidRDefault="00974A40" w:rsidP="00704143">
      <w:pPr>
        <w:pStyle w:val="ZPBibilografickzznam"/>
      </w:pPr>
      <w:r w:rsidRPr="00F343E4">
        <w:rPr>
          <w:rStyle w:val="ZPPKlbiblografie"/>
        </w:rPr>
        <w:t>Autor:</w:t>
      </w:r>
      <w:r w:rsidRPr="00704143">
        <w:tab/>
      </w:r>
      <w:sdt>
        <w:sdtPr>
          <w:alias w:val="Autor"/>
          <w:tag w:val=""/>
          <w:id w:val="-2076660119"/>
          <w:placeholder>
            <w:docPart w:val="F3E1B069E27A4178A356092865F20A2E"/>
          </w:placeholder>
          <w:dataBinding w:prefixMappings="xmlns:ns0='http://purl.org/dc/elements/1.1/' xmlns:ns1='http://schemas.openxmlformats.org/package/2006/metadata/core-properties' " w:xpath="/ns1:coreProperties[1]/ns0:creator[1]" w:storeItemID="{6C3C8BC8-F283-45AE-878A-BAB7291924A1}"/>
          <w:text/>
        </w:sdtPr>
        <w:sdtContent>
          <w:r w:rsidR="00AC1ACB">
            <w:t>Lucie Švehlíková</w:t>
          </w:r>
        </w:sdtContent>
      </w:sdt>
      <w:r w:rsidRPr="00704143">
        <w:br/>
      </w:r>
      <w:r w:rsidR="00215921">
        <w:t>Fakulta sociálních studií</w:t>
      </w:r>
      <w:r w:rsidRPr="00704143">
        <w:t>, Masarykova univerzita</w:t>
      </w:r>
      <w:r w:rsidRPr="00704143">
        <w:br/>
      </w:r>
      <w:r w:rsidRPr="00704143">
        <w:fldChar w:fldCharType="begin"/>
      </w:r>
      <w:r w:rsidRPr="00704143">
        <w:instrText xml:space="preserve"> REF KATEDRA \h  \* MERGEFORMAT </w:instrText>
      </w:r>
      <w:r w:rsidRPr="00704143">
        <w:fldChar w:fldCharType="separate"/>
      </w:r>
      <w:sdt>
        <w:sdtPr>
          <w:id w:val="1083334878"/>
          <w:comboBox>
            <w:listItem w:displayText="Zvolte katedru nebo ústav" w:value=""/>
            <w:listItem w:displayText="Katedra environmentálních studií " w:value="Katedra environmentálních studií "/>
            <w:listItem w:displayText="Katedra mediálních studií a žurnalistiky " w:value="Katedra mediálních studií a žurnalistiky "/>
            <w:listItem w:displayText="Katedra mezinárodních vztahů a evropských studií " w:value="Katedra mezinárodních vztahů a evropských studií "/>
            <w:listItem w:displayText="Katedra politologie " w:value="Katedra politologie "/>
            <w:listItem w:displayText="Katedra psychologie " w:value="Katedra psychologie "/>
            <w:listItem w:displayText="Katedra sociální politiky a sociální práce " w:value="Katedra sociální politiky a sociální práce "/>
            <w:listItem w:displayText="Katedra sociologie " w:value="Katedra sociologie "/>
          </w:comboBox>
        </w:sdtPr>
        <w:sdtContent>
          <w:r w:rsidR="000C2FD4">
            <w:t xml:space="preserve">Katedra politologie </w:t>
          </w:r>
        </w:sdtContent>
      </w:sdt>
      <w:r w:rsidR="000C2FD4">
        <w:t xml:space="preserve"> </w:t>
      </w:r>
      <w:r w:rsidRPr="00704143">
        <w:fldChar w:fldCharType="end"/>
      </w:r>
    </w:p>
    <w:p w14:paraId="768EABD2" w14:textId="77777777" w:rsidR="00974A40" w:rsidRDefault="00974A40" w:rsidP="00704143">
      <w:pPr>
        <w:pStyle w:val="ZPBibilografickzznam"/>
      </w:pPr>
      <w:r w:rsidRPr="00F343E4">
        <w:rPr>
          <w:rStyle w:val="ZPPKlbiblografie"/>
        </w:rPr>
        <w:t>Název práce:</w:t>
      </w:r>
      <w:r>
        <w:tab/>
      </w:r>
      <w:sdt>
        <w:sdtPr>
          <w:alias w:val="Název"/>
          <w:tag w:val=""/>
          <w:id w:val="1293642851"/>
          <w:placeholder>
            <w:docPart w:val="AC3963FF1F7F4D45B31FC0632FD81833"/>
          </w:placeholder>
          <w:dataBinding w:prefixMappings="xmlns:ns0='http://purl.org/dc/elements/1.1/' xmlns:ns1='http://schemas.openxmlformats.org/package/2006/metadata/core-properties' " w:xpath="/ns1:coreProperties[1]/ns0:title[1]" w:storeItemID="{6C3C8BC8-F283-45AE-878A-BAB7291924A1}"/>
          <w:text/>
        </w:sdtPr>
        <w:sdtContent>
          <w:r w:rsidR="00AC1ACB">
            <w:t>Rámování kritiky vlád Andreje Babiše vybranými opozičními stranami</w:t>
          </w:r>
        </w:sdtContent>
      </w:sdt>
    </w:p>
    <w:p w14:paraId="5A628DE6" w14:textId="40EA8ED0" w:rsidR="0091711B" w:rsidRDefault="00974A40" w:rsidP="00747CDE">
      <w:pPr>
        <w:pStyle w:val="ZPBibilografickzznam"/>
      </w:pPr>
      <w:r w:rsidRPr="00F343E4">
        <w:rPr>
          <w:rStyle w:val="ZPPKlbiblografie"/>
        </w:rPr>
        <w:t>Studijní program:</w:t>
      </w:r>
      <w:r w:rsidRPr="00F343E4">
        <w:rPr>
          <w:rStyle w:val="ZPPKlbiblografie"/>
        </w:rPr>
        <w:tab/>
      </w:r>
      <w:r>
        <w:fldChar w:fldCharType="begin"/>
      </w:r>
      <w:r>
        <w:instrText xml:space="preserve"> REF OBOR \h  \* MERGEFORMAT </w:instrText>
      </w:r>
      <w:r>
        <w:fldChar w:fldCharType="separate"/>
      </w:r>
      <w:sdt>
        <w:sdtPr>
          <w:rPr>
            <w:lang w:val="cs-CZ"/>
          </w:rPr>
          <w:alias w:val="Studijní program"/>
          <w:tag w:val="OBOR"/>
          <w:id w:val="-953938061"/>
          <w:comboBox>
            <w:listItem w:displayText="Vyberte program" w:value=""/>
            <w:listItem w:displayText="Bezpečnostní a strategická studia" w:value="Bezpečnostní a strategická studia"/>
            <w:listItem w:displayText="Environmentální studia " w:value="Environmentální studia "/>
            <w:listItem w:displayText="Evropská studia" w:value="Evropská studia"/>
            <w:listItem w:displayText="Genderová studia " w:value="Genderová studia "/>
            <w:listItem w:displayText="Humanitní environmentalistika" w:value="Humanitní environmentalistika"/>
            <w:listItem w:displayText="Mediální a žurnalistická studia/Media and Journalism Studies " w:value="Mediální a žurnalistická studia/Media and Journalism Studies "/>
            <w:listItem w:displayText="Mediální studia a žurnalistika " w:value="Mediální studia a žurnalistika "/>
            <w:listItem w:displayText="Mezinárodní vztahy" w:value="Mezinárodní vztahy"/>
            <w:listItem w:displayText="Mezinárodní vztahy a energetická bezpečnost " w:value="Mezinárodní vztahy a energetická bezpečnost "/>
            <w:listItem w:displayText="Obecná psychologie " w:value="Obecná psychologie "/>
            <w:listItem w:displayText="Politologie " w:value="Politologie "/>
            <w:listItem w:displayText="Psychologie" w:value="Psychologie"/>
            <w:listItem w:displayText="Sociální antropologie" w:value="Sociální antropologie"/>
            <w:listItem w:displayText="Sociální politika a sociální práce" w:value="Sociální politika a sociální práce"/>
            <w:listItem w:displayText="Sociální práce " w:value="Sociální práce "/>
            <w:listItem w:displayText="Sociální psychologie " w:value="Sociální psychologie "/>
            <w:listItem w:displayText="Sociologie" w:value="Sociologie"/>
            <w:listItem w:displayText="Veřejná politika a lidské zdroje " w:value="Veřejná politika a lidské zdroje "/>
            <w:listItem w:displayText="Vývojová psychologie " w:value="Vývojová psychologie "/>
            <w:listItem w:displayText="Žurnalistika " w:value="Žurnalistika "/>
          </w:comboBox>
        </w:sdtPr>
        <w:sdtContent>
          <w:r w:rsidR="000C2FD4" w:rsidRPr="000C2FD4">
            <w:rPr>
              <w:lang w:val="cs-CZ"/>
            </w:rPr>
            <w:t xml:space="preserve">Politologie </w:t>
          </w:r>
        </w:sdtContent>
      </w:sdt>
      <w:r>
        <w:fldChar w:fldCharType="end"/>
      </w:r>
    </w:p>
    <w:p w14:paraId="11EA9F14" w14:textId="77777777" w:rsidR="00974A40" w:rsidRDefault="00974A40" w:rsidP="00704143">
      <w:pPr>
        <w:pStyle w:val="ZPBibilografickzznam"/>
      </w:pPr>
      <w:r w:rsidRPr="00F343E4">
        <w:rPr>
          <w:rStyle w:val="ZPPKlbiblografie"/>
        </w:rPr>
        <w:t>Vedoucí práce:</w:t>
      </w:r>
      <w:r>
        <w:tab/>
      </w:r>
      <w:sdt>
        <w:sdtPr>
          <w:alias w:val="Nadřízený"/>
          <w:tag w:val=""/>
          <w:id w:val="1828940534"/>
          <w:placeholder>
            <w:docPart w:val="FF3655DC4FCF44DAB05AF430CEFF670C"/>
          </w:placeholder>
          <w:dataBinding w:prefixMappings="xmlns:ns0='http://schemas.openxmlformats.org/officeDocument/2006/extended-properties' " w:xpath="/ns0:Properties[1]/ns0:Manager[1]" w:storeItemID="{6668398D-A668-4E3E-A5EB-62B293D839F1}"/>
          <w:text/>
        </w:sdtPr>
        <w:sdtContent>
          <w:r w:rsidR="00AC1ACB">
            <w:t>Mgr. Miloš Gregor, Ph.D.</w:t>
          </w:r>
        </w:sdtContent>
      </w:sdt>
    </w:p>
    <w:p w14:paraId="70E572AB" w14:textId="77777777" w:rsidR="00974A40" w:rsidRDefault="00974A40" w:rsidP="00704143">
      <w:pPr>
        <w:pStyle w:val="ZPBibilografickzznam"/>
      </w:pPr>
      <w:r w:rsidRPr="00F343E4">
        <w:rPr>
          <w:rStyle w:val="ZPPKlbiblografie"/>
        </w:rPr>
        <w:t>Akademický rok</w:t>
      </w:r>
      <w:r w:rsidR="00D21BED" w:rsidRPr="00F343E4">
        <w:rPr>
          <w:rStyle w:val="ZPPKlbiblografie"/>
        </w:rPr>
        <w:t>:</w:t>
      </w:r>
      <w:r>
        <w:tab/>
      </w:r>
      <w:sdt>
        <w:sdtPr>
          <w:alias w:val="Akademický rok"/>
          <w:tag w:val=""/>
          <w:id w:val="-2134781469"/>
          <w:placeholder>
            <w:docPart w:val="755CF8C1B95E4CB5B08DE8D113638C8F"/>
          </w:placeholder>
          <w:dataBinding w:prefixMappings="xmlns:ns0='http://purl.org/dc/elements/1.1/' xmlns:ns1='http://schemas.openxmlformats.org/package/2006/metadata/core-properties' " w:xpath="/ns1:coreProperties[1]/ns1:category[1]" w:storeItemID="{6C3C8BC8-F283-45AE-878A-BAB7291924A1}"/>
          <w:text/>
        </w:sdtPr>
        <w:sdtContent>
          <w:r w:rsidR="00AC1ACB">
            <w:t>2019</w:t>
          </w:r>
        </w:sdtContent>
      </w:sdt>
    </w:p>
    <w:p w14:paraId="2D6CF100" w14:textId="2202EF0C" w:rsidR="00974A40" w:rsidRDefault="00974A40" w:rsidP="00704143">
      <w:pPr>
        <w:pStyle w:val="ZPBibilografickzznam"/>
      </w:pPr>
      <w:r w:rsidRPr="00F343E4">
        <w:rPr>
          <w:rStyle w:val="ZPPKlbiblografie"/>
        </w:rPr>
        <w:t>Počet stran:</w:t>
      </w:r>
      <w:r>
        <w:tab/>
      </w:r>
      <w:r w:rsidR="00612ED3">
        <w:rPr>
          <w:noProof/>
        </w:rPr>
        <w:fldChar w:fldCharType="begin"/>
      </w:r>
      <w:r w:rsidR="00612ED3">
        <w:rPr>
          <w:noProof/>
        </w:rPr>
        <w:instrText xml:space="preserve"> NUMPAGES  \* Arabic  \* MERGEFORMAT </w:instrText>
      </w:r>
      <w:r w:rsidR="00612ED3">
        <w:rPr>
          <w:noProof/>
        </w:rPr>
        <w:fldChar w:fldCharType="separate"/>
      </w:r>
      <w:r w:rsidR="000C2FD4">
        <w:rPr>
          <w:noProof/>
        </w:rPr>
        <w:t>75</w:t>
      </w:r>
      <w:r w:rsidR="00612ED3">
        <w:rPr>
          <w:noProof/>
        </w:rPr>
        <w:fldChar w:fldCharType="end"/>
      </w:r>
    </w:p>
    <w:p w14:paraId="47664F9C" w14:textId="77777777" w:rsidR="000E1807" w:rsidRDefault="00974A40" w:rsidP="00704143">
      <w:pPr>
        <w:pStyle w:val="ZPBibilografickzznam"/>
      </w:pPr>
      <w:r w:rsidRPr="00F343E4">
        <w:rPr>
          <w:rStyle w:val="ZPPKlbiblografie"/>
        </w:rPr>
        <w:t>Klíčová slova:</w:t>
      </w:r>
      <w:r>
        <w:tab/>
      </w:r>
      <w:sdt>
        <w:sdtPr>
          <w:id w:val="2087726934"/>
          <w:placeholder>
            <w:docPart w:val="186AF6BEE62E42BC91E68EE750BB6B00"/>
          </w:placeholder>
          <w:text/>
        </w:sdtPr>
        <w:sdtContent>
          <w:r w:rsidR="00A528EC" w:rsidRPr="00A528EC">
            <w:t>politická opozice, kritika vlády, rámce, rámování, manuální obsahová analýza, rámcová analýza</w:t>
          </w:r>
        </w:sdtContent>
      </w:sdt>
      <w:r w:rsidR="000E1807">
        <w:br w:type="page"/>
      </w:r>
    </w:p>
    <w:p w14:paraId="3B08FFDE" w14:textId="77777777" w:rsidR="000E1807" w:rsidRDefault="000E1807" w:rsidP="00A00BBC">
      <w:pPr>
        <w:pStyle w:val="ZPNadpis1vodn"/>
      </w:pPr>
      <w:r>
        <w:lastRenderedPageBreak/>
        <w:t>Bibliografic record</w:t>
      </w:r>
    </w:p>
    <w:p w14:paraId="634CCC93" w14:textId="77777777" w:rsidR="00BB6FEC" w:rsidRDefault="000E1807" w:rsidP="00704143">
      <w:pPr>
        <w:pStyle w:val="ZPBibilografickzznam"/>
      </w:pPr>
      <w:r w:rsidRPr="00F343E4">
        <w:rPr>
          <w:rStyle w:val="ZPPKlbiblografie"/>
        </w:rPr>
        <w:t>Author:</w:t>
      </w:r>
      <w:r>
        <w:tab/>
      </w:r>
      <w:sdt>
        <w:sdtPr>
          <w:alias w:val="Autor"/>
          <w:tag w:val=""/>
          <w:id w:val="-1160154958"/>
          <w:placeholder>
            <w:docPart w:val="EFC0F2A1D2F44E7F8EC14AE958E509D4"/>
          </w:placeholder>
          <w:dataBinding w:prefixMappings="xmlns:ns0='http://purl.org/dc/elements/1.1/' xmlns:ns1='http://schemas.openxmlformats.org/package/2006/metadata/core-properties' " w:xpath="/ns1:coreProperties[1]/ns0:creator[1]" w:storeItemID="{6C3C8BC8-F283-45AE-878A-BAB7291924A1}"/>
          <w:text/>
        </w:sdtPr>
        <w:sdtContent>
          <w:r w:rsidR="00AC1ACB">
            <w:t>Lucie Švehlíková</w:t>
          </w:r>
        </w:sdtContent>
      </w:sdt>
      <w:r>
        <w:br/>
        <w:t xml:space="preserve">Faculty of </w:t>
      </w:r>
      <w:r w:rsidR="00402FB9">
        <w:t>Social Studies</w:t>
      </w:r>
      <w:r>
        <w:t>, Masaryk University</w:t>
      </w:r>
      <w:r>
        <w:br/>
      </w:r>
      <w:sdt>
        <w:sdtPr>
          <w:id w:val="344906176"/>
          <w:placeholder>
            <w:docPart w:val="B2266D2DE1A64FA581C7238ADAE72E3D"/>
          </w:placeholder>
          <w:comboBox>
            <w:listItem w:value="Vyberte anglický název katedry"/>
            <w:listItem w:displayText="Department of Environmental Studies " w:value="Department of Environmental Studies "/>
            <w:listItem w:displayText="Department of International Relations and European Studies " w:value="Department of International Relations and European Studies "/>
            <w:listItem w:displayText="Department of Media Studies and Journalism " w:value="Department of Media Studies and Journalism "/>
            <w:listItem w:displayText="Department of Political Science " w:value="Department of Political Science "/>
            <w:listItem w:displayText="Department of Psychology " w:value="Department of Psychology "/>
            <w:listItem w:displayText="Department of Social Policy and Social Work " w:value="Department of Social Policy and Social Work "/>
            <w:listItem w:displayText="Department of Sociology " w:value="Department of Sociology "/>
          </w:comboBox>
        </w:sdtPr>
        <w:sdtContent>
          <w:r w:rsidR="00AC1ACB">
            <w:t xml:space="preserve">Department of Political Science </w:t>
          </w:r>
        </w:sdtContent>
      </w:sdt>
    </w:p>
    <w:p w14:paraId="145116F2" w14:textId="77777777" w:rsidR="000E1807" w:rsidRDefault="000E1807" w:rsidP="00704143">
      <w:pPr>
        <w:pStyle w:val="ZPBibilografickzznam"/>
      </w:pPr>
      <w:r w:rsidRPr="00F343E4">
        <w:rPr>
          <w:rStyle w:val="ZPPKlbiblografie"/>
        </w:rPr>
        <w:t>Title of Thesis:</w:t>
      </w:r>
      <w:r>
        <w:tab/>
      </w:r>
      <w:sdt>
        <w:sdtPr>
          <w:id w:val="-469832108"/>
          <w:placeholder>
            <w:docPart w:val="94C45994BE7C44CBB3E72F7D9A1705E5"/>
          </w:placeholder>
          <w:text/>
        </w:sdtPr>
        <w:sdtContent>
          <w:r w:rsidR="00AC1ACB" w:rsidRPr="00AC1ACB">
            <w:t>Framing of Andrej Babiš' Government Criticism by Selected Opposition Parties</w:t>
          </w:r>
        </w:sdtContent>
      </w:sdt>
    </w:p>
    <w:p w14:paraId="05E9F8D7" w14:textId="54BF58EE" w:rsidR="000E1807" w:rsidRPr="00F343E4" w:rsidRDefault="00D21BED" w:rsidP="00704143">
      <w:pPr>
        <w:pStyle w:val="ZPBibilografickzznam"/>
        <w:rPr>
          <w:rStyle w:val="ZPPKlbiblografie"/>
        </w:rPr>
      </w:pPr>
      <w:r w:rsidRPr="00F343E4">
        <w:rPr>
          <w:rStyle w:val="ZPPKlbiblografie"/>
        </w:rPr>
        <w:t>Degree Programme</w:t>
      </w:r>
      <w:r w:rsidR="000E1807" w:rsidRPr="00F343E4">
        <w:rPr>
          <w:rStyle w:val="ZPPKlbiblografie"/>
        </w:rPr>
        <w:t>:</w:t>
      </w:r>
      <w:r w:rsidR="000E1807" w:rsidRPr="00F343E4">
        <w:rPr>
          <w:rStyle w:val="ZPPKlbiblografie"/>
        </w:rPr>
        <w:tab/>
      </w:r>
      <w:r w:rsidR="003E3DE1">
        <w:t>Political Science</w:t>
      </w:r>
      <w:r w:rsidR="00AC1ACB" w:rsidRPr="00AC1ACB">
        <w:rPr>
          <w:b/>
        </w:rPr>
        <w:t xml:space="preserve"> </w:t>
      </w:r>
    </w:p>
    <w:p w14:paraId="7BFC090C" w14:textId="77777777" w:rsidR="000E1807" w:rsidRDefault="00D21BED" w:rsidP="00704143">
      <w:pPr>
        <w:pStyle w:val="ZPBibilografickzznam"/>
      </w:pPr>
      <w:r w:rsidRPr="00F343E4">
        <w:rPr>
          <w:rStyle w:val="ZPPKlbiblografie"/>
        </w:rPr>
        <w:t>Supervisor</w:t>
      </w:r>
      <w:r w:rsidR="000E1807" w:rsidRPr="00F343E4">
        <w:rPr>
          <w:rStyle w:val="ZPPKlbiblografie"/>
        </w:rPr>
        <w:t>:</w:t>
      </w:r>
      <w:r w:rsidR="000E1807">
        <w:tab/>
      </w:r>
      <w:sdt>
        <w:sdtPr>
          <w:alias w:val="Nadřízený"/>
          <w:tag w:val=""/>
          <w:id w:val="-1442070207"/>
          <w:placeholder>
            <w:docPart w:val="009DCEBD422F46F4A12BA3EF0A3B77D2"/>
          </w:placeholder>
          <w:dataBinding w:prefixMappings="xmlns:ns0='http://schemas.openxmlformats.org/officeDocument/2006/extended-properties' " w:xpath="/ns0:Properties[1]/ns0:Manager[1]" w:storeItemID="{6668398D-A668-4E3E-A5EB-62B293D839F1}"/>
          <w:text/>
        </w:sdtPr>
        <w:sdtContent>
          <w:r w:rsidR="00AC1ACB">
            <w:t>Mgr. Miloš Gregor, Ph.D.</w:t>
          </w:r>
        </w:sdtContent>
      </w:sdt>
    </w:p>
    <w:p w14:paraId="0EF4135D" w14:textId="77777777" w:rsidR="000E1807" w:rsidRDefault="000E1807" w:rsidP="00704143">
      <w:pPr>
        <w:pStyle w:val="ZPBibilografickzznam"/>
        <w:rPr>
          <w:lang w:val="cs-CZ"/>
        </w:rPr>
      </w:pPr>
      <w:r w:rsidRPr="00F343E4">
        <w:rPr>
          <w:rStyle w:val="ZPPKlbiblografie"/>
        </w:rPr>
        <w:t>A</w:t>
      </w:r>
      <w:r w:rsidR="00D21BED" w:rsidRPr="00F343E4">
        <w:rPr>
          <w:rStyle w:val="ZPPKlbiblografie"/>
        </w:rPr>
        <w:t>cademic Year:</w:t>
      </w:r>
      <w:r>
        <w:rPr>
          <w:lang w:val="cs-CZ"/>
        </w:rPr>
        <w:tab/>
      </w:r>
      <w:sdt>
        <w:sdtPr>
          <w:alias w:val="Akademický rok"/>
          <w:tag w:val=""/>
          <w:id w:val="-947466026"/>
          <w:placeholder>
            <w:docPart w:val="E0BF9F4C79EB4A7E89EE784BED830168"/>
          </w:placeholder>
          <w:dataBinding w:prefixMappings="xmlns:ns0='http://purl.org/dc/elements/1.1/' xmlns:ns1='http://schemas.openxmlformats.org/package/2006/metadata/core-properties' " w:xpath="/ns1:coreProperties[1]/ns1:category[1]" w:storeItemID="{6C3C8BC8-F283-45AE-878A-BAB7291924A1}"/>
          <w:text/>
        </w:sdtPr>
        <w:sdtContent>
          <w:r w:rsidR="00AC1ACB">
            <w:t>2019</w:t>
          </w:r>
        </w:sdtContent>
      </w:sdt>
    </w:p>
    <w:p w14:paraId="44978FF5" w14:textId="7CE3B254" w:rsidR="000E1807" w:rsidRDefault="00D21BED" w:rsidP="00704143">
      <w:pPr>
        <w:pStyle w:val="ZPBibilografickzznam"/>
      </w:pPr>
      <w:r w:rsidRPr="00F343E4">
        <w:rPr>
          <w:rStyle w:val="ZPPKlbiblografie"/>
        </w:rPr>
        <w:t>Number of Pages</w:t>
      </w:r>
      <w:r w:rsidR="000E1807" w:rsidRPr="00F343E4">
        <w:rPr>
          <w:rStyle w:val="ZPPKlbiblografie"/>
        </w:rPr>
        <w:t>:</w:t>
      </w:r>
      <w:r w:rsidR="000E1807">
        <w:tab/>
      </w:r>
      <w:bookmarkStart w:id="4" w:name="_GoBack"/>
      <w:bookmarkEnd w:id="4"/>
      <w:r w:rsidR="00612ED3">
        <w:rPr>
          <w:noProof/>
        </w:rPr>
        <w:fldChar w:fldCharType="begin"/>
      </w:r>
      <w:r w:rsidR="00612ED3">
        <w:rPr>
          <w:noProof/>
        </w:rPr>
        <w:instrText xml:space="preserve"> NUMPAGES  \* Arabic  \* MERGEFORMAT </w:instrText>
      </w:r>
      <w:r w:rsidR="00612ED3">
        <w:rPr>
          <w:noProof/>
        </w:rPr>
        <w:fldChar w:fldCharType="separate"/>
      </w:r>
      <w:r w:rsidR="000C2FD4">
        <w:rPr>
          <w:noProof/>
        </w:rPr>
        <w:t>75</w:t>
      </w:r>
      <w:r w:rsidR="00612ED3">
        <w:rPr>
          <w:noProof/>
        </w:rPr>
        <w:fldChar w:fldCharType="end"/>
      </w:r>
    </w:p>
    <w:p w14:paraId="057A7430" w14:textId="77777777" w:rsidR="000E1807" w:rsidRDefault="000E1807" w:rsidP="00704143">
      <w:pPr>
        <w:pStyle w:val="ZPBibilografickzznam"/>
        <w:sectPr w:rsidR="000E1807" w:rsidSect="0052762D">
          <w:headerReference w:type="default" r:id="rId17"/>
          <w:type w:val="oddPage"/>
          <w:pgSz w:w="11906" w:h="16838" w:code="9"/>
          <w:pgMar w:top="2614" w:right="2019" w:bottom="2381" w:left="505" w:header="2019" w:footer="1276" w:gutter="2019"/>
          <w:cols w:space="708"/>
          <w:docGrid w:linePitch="360"/>
        </w:sectPr>
      </w:pPr>
      <w:r w:rsidRPr="00F343E4">
        <w:rPr>
          <w:rStyle w:val="ZPPKlbiblografie"/>
        </w:rPr>
        <w:t>K</w:t>
      </w:r>
      <w:r w:rsidR="00D21BED" w:rsidRPr="00F343E4">
        <w:rPr>
          <w:rStyle w:val="ZPPKlbiblografie"/>
        </w:rPr>
        <w:t>eywords</w:t>
      </w:r>
      <w:r w:rsidRPr="00F343E4">
        <w:rPr>
          <w:rStyle w:val="ZPPKlbiblografie"/>
        </w:rPr>
        <w:t>:</w:t>
      </w:r>
      <w:r>
        <w:tab/>
      </w:r>
      <w:sdt>
        <w:sdtPr>
          <w:id w:val="112340290"/>
          <w:placeholder>
            <w:docPart w:val="C024EB11A70C4043A0337870CFCE2EE6"/>
          </w:placeholder>
          <w:text/>
        </w:sdtPr>
        <w:sdtContent>
          <w:r w:rsidR="00D02C62" w:rsidRPr="00D02C62">
            <w:t>political opposition, criticism of government, frames, framing, manual content analysis, frame analysis</w:t>
          </w:r>
        </w:sdtContent>
      </w:sdt>
    </w:p>
    <w:p w14:paraId="45C8022B" w14:textId="77777777" w:rsidR="0077567B" w:rsidRDefault="0077567B" w:rsidP="00A00BBC">
      <w:pPr>
        <w:pStyle w:val="ZPNadpis1vodn"/>
      </w:pPr>
      <w:r>
        <w:lastRenderedPageBreak/>
        <w:t>Abstrakt</w:t>
      </w:r>
    </w:p>
    <w:p w14:paraId="25081652" w14:textId="77777777" w:rsidR="00C96B30" w:rsidRDefault="00A528EC" w:rsidP="00C96B30">
      <w:pPr>
        <w:pStyle w:val="ZPZklad"/>
      </w:pPr>
      <w:r w:rsidRPr="00A528EC">
        <w:t>Předkládaná bakalářská práce se zabývá rámováním kritiky první a druhé vlády Andreje Babiše vybranými opozičními stranami. Jako hlavní teoretická východiska práce jsou využity teorie politické opozice a teorie rámování a rámců. Z metodologického hlediska bude v práci použita manuální obsahová analýza a analýza rámců. Analytická část se následně pokusí zodpovědět, z jakých pozic a jaká témata opoziční strany kritizovaly a jak kritiku vlád Andreje Babiše argumentovaly.</w:t>
      </w:r>
    </w:p>
    <w:p w14:paraId="424D1471" w14:textId="77777777" w:rsidR="00C96B30" w:rsidRDefault="00C96B30" w:rsidP="00A00BBC">
      <w:pPr>
        <w:pStyle w:val="ZPNadpis1vodn"/>
      </w:pPr>
      <w:r>
        <w:lastRenderedPageBreak/>
        <w:t>Abstract</w:t>
      </w:r>
    </w:p>
    <w:p w14:paraId="5856FC56" w14:textId="014FC132" w:rsidR="002E37EF" w:rsidRDefault="002E37EF" w:rsidP="002E640F">
      <w:pPr>
        <w:pStyle w:val="ZPZklad"/>
      </w:pPr>
      <w:r w:rsidRPr="002E37EF">
        <w:t xml:space="preserve">This bachelor thesis deals with </w:t>
      </w:r>
      <w:r>
        <w:t xml:space="preserve">framing of </w:t>
      </w:r>
      <w:r w:rsidRPr="002E37EF">
        <w:t xml:space="preserve">the criticism of Andrej Babiš’s first and second government by selected opposition parties. The main theoretical bases of the thesis are political opposition and the </w:t>
      </w:r>
      <w:r>
        <w:t>theory</w:t>
      </w:r>
      <w:r w:rsidRPr="002E37EF">
        <w:t xml:space="preserve"> of frames</w:t>
      </w:r>
      <w:r>
        <w:t xml:space="preserve"> and framing</w:t>
      </w:r>
      <w:r w:rsidRPr="002E37EF">
        <w:t>. With regards to the methodology, manual content and frame analysis will be conducted. Thereafter, results of the analysis will attempt to answer the established research questions such as what topics the opposition parties criticized and how this criticism of Andrej Babiš’s governments was argued.</w:t>
      </w:r>
    </w:p>
    <w:p w14:paraId="2EF0A58F" w14:textId="77777777" w:rsidR="002E37EF" w:rsidRPr="00C96B30" w:rsidRDefault="002E37EF" w:rsidP="002E640F">
      <w:pPr>
        <w:pStyle w:val="ZPZklad"/>
      </w:pPr>
    </w:p>
    <w:p w14:paraId="41EE0487" w14:textId="77777777" w:rsidR="0077567B" w:rsidRDefault="0077567B" w:rsidP="0077567B">
      <w:pPr>
        <w:pStyle w:val="ZPPatatitulnstrnky"/>
      </w:pPr>
    </w:p>
    <w:p w14:paraId="6330880E" w14:textId="77777777" w:rsidR="002C0686" w:rsidRDefault="002C0686" w:rsidP="002C0686">
      <w:pPr>
        <w:pStyle w:val="ZPSeznamzkratek"/>
      </w:pPr>
    </w:p>
    <w:p w14:paraId="57E07932" w14:textId="77777777" w:rsidR="002C0686" w:rsidRDefault="002C0686" w:rsidP="007C294D">
      <w:pPr>
        <w:pStyle w:val="inZPKlovslova"/>
        <w:sectPr w:rsidR="002C0686" w:rsidSect="0052762D">
          <w:type w:val="oddPage"/>
          <w:pgSz w:w="11906" w:h="16838" w:code="9"/>
          <w:pgMar w:top="2614" w:right="2019" w:bottom="2381" w:left="505" w:header="2019" w:footer="1276" w:gutter="2019"/>
          <w:pgNumType w:start="1"/>
          <w:cols w:space="708"/>
          <w:docGrid w:linePitch="360"/>
        </w:sectPr>
      </w:pPr>
    </w:p>
    <w:p w14:paraId="59965385" w14:textId="77777777" w:rsidR="006613D4" w:rsidRPr="00FB7AC5" w:rsidRDefault="006613D4" w:rsidP="00CE1A04">
      <w:pPr>
        <w:pStyle w:val="ZPNadpis1vodn"/>
      </w:pPr>
      <w:r w:rsidRPr="00FB7AC5">
        <w:lastRenderedPageBreak/>
        <w:t>Čestné prohlášení</w:t>
      </w:r>
    </w:p>
    <w:p w14:paraId="770F05C8" w14:textId="77777777" w:rsidR="006613D4" w:rsidRPr="00FB7AC5" w:rsidRDefault="006613D4" w:rsidP="00ED1B1E">
      <w:pPr>
        <w:pStyle w:val="ZPZklad"/>
      </w:pPr>
      <w:r w:rsidRPr="00FB7AC5">
        <w:t xml:space="preserve">Prohlašuji, že jsem </w:t>
      </w:r>
      <w:sdt>
        <w:sdtPr>
          <w:id w:val="-1048443409"/>
          <w:placeholder>
            <w:docPart w:val="7C20F350C6F74360A6B6DE60BFDEC4F3"/>
          </w:placeholder>
          <w:comboBox>
            <w:listItem w:value="[vyberte druh práce]"/>
            <w:listItem w:displayText="diplomovou" w:value="diplomovou"/>
            <w:listItem w:displayText="bakalářskou" w:value="bakalářskou"/>
            <w:listItem w:displayText="disertační" w:value="disertační"/>
          </w:comboBox>
        </w:sdtPr>
        <w:sdtContent>
          <w:r w:rsidR="00FF0A55">
            <w:t>bakalářskou</w:t>
          </w:r>
        </w:sdtContent>
      </w:sdt>
      <w:r w:rsidR="00A9666B" w:rsidRPr="00FB7AC5">
        <w:t xml:space="preserve"> </w:t>
      </w:r>
      <w:r w:rsidRPr="00FB7AC5">
        <w:t>práci</w:t>
      </w:r>
      <w:r w:rsidR="00ED1B1E" w:rsidRPr="00FB7AC5">
        <w:t xml:space="preserve"> na téma</w:t>
      </w:r>
      <w:r w:rsidRPr="00FB7AC5">
        <w:rPr>
          <w:rStyle w:val="ZPSilnvyznaen"/>
        </w:rPr>
        <w:t xml:space="preserve"> </w:t>
      </w:r>
      <w:sdt>
        <w:sdtPr>
          <w:rPr>
            <w:rStyle w:val="ZPSilnvyznaen"/>
          </w:rPr>
          <w:alias w:val="Název"/>
          <w:tag w:val=""/>
          <w:id w:val="418843204"/>
          <w:placeholder>
            <w:docPart w:val="CB70B54A7DD344DDB010A02A152F5F42"/>
          </w:placeholder>
          <w:dataBinding w:prefixMappings="xmlns:ns0='http://purl.org/dc/elements/1.1/' xmlns:ns1='http://schemas.openxmlformats.org/package/2006/metadata/core-properties' " w:xpath="/ns1:coreProperties[1]/ns0:title[1]" w:storeItemID="{6C3C8BC8-F283-45AE-878A-BAB7291924A1}"/>
          <w:text/>
        </w:sdtPr>
        <w:sdtContent>
          <w:r w:rsidR="00AC1ACB">
            <w:rPr>
              <w:rStyle w:val="ZPSilnvyznaen"/>
            </w:rPr>
            <w:t>Rámování kritiky vlád Andreje Babiše vybranými opozičními stranami</w:t>
          </w:r>
        </w:sdtContent>
      </w:sdt>
      <w:r w:rsidR="00A9666B" w:rsidRPr="00FB7AC5">
        <w:rPr>
          <w:rStyle w:val="ZPSilnvyznaen"/>
        </w:rPr>
        <w:t xml:space="preserve"> </w:t>
      </w:r>
      <w:sdt>
        <w:sdtPr>
          <w:rPr>
            <w:rStyle w:val="ZPSilnvyznaen"/>
            <w:b w:val="0"/>
          </w:rPr>
          <w:id w:val="1031064272"/>
          <w:placeholder>
            <w:docPart w:val="7C20F350C6F74360A6B6DE60BFDEC4F3"/>
          </w:placeholder>
          <w:comboBox>
            <w:listItem w:value="Zvolte položku."/>
            <w:listItem w:displayText="zpracovala sama" w:value="zpracovala sama"/>
            <w:listItem w:displayText="zpracoval sám" w:value="zpracoval sám"/>
          </w:comboBox>
        </w:sdtPr>
        <w:sdtContent>
          <w:r w:rsidR="00FF0A55">
            <w:rPr>
              <w:rStyle w:val="ZPSilnvyznaen"/>
              <w:b w:val="0"/>
            </w:rPr>
            <w:t>zpracovala sama</w:t>
          </w:r>
        </w:sdtContent>
      </w:sdt>
      <w:r w:rsidR="00ED1B1E" w:rsidRPr="00FB7AC5">
        <w:t>. V</w:t>
      </w:r>
      <w:r w:rsidRPr="00FB7AC5">
        <w:t>eškeré prameny a </w:t>
      </w:r>
      <w:r w:rsidR="00ED1B1E" w:rsidRPr="00FB7AC5">
        <w:t xml:space="preserve">zdroje </w:t>
      </w:r>
      <w:r w:rsidRPr="00FB7AC5">
        <w:t>informac</w:t>
      </w:r>
      <w:r w:rsidR="00ED1B1E" w:rsidRPr="00FB7AC5">
        <w:t xml:space="preserve">í, které jsem </w:t>
      </w:r>
      <w:sdt>
        <w:sdtPr>
          <w:id w:val="-1571889777"/>
          <w:placeholder>
            <w:docPart w:val="980810B7C3BF4E31920FB57FFC44FF23"/>
          </w:placeholder>
          <w:comboBox>
            <w:listItem w:value="Zvolte položku."/>
            <w:listItem w:displayText="použil" w:value="použil"/>
            <w:listItem w:displayText="použila" w:value="použila"/>
          </w:comboBox>
        </w:sdtPr>
        <w:sdtContent>
          <w:r w:rsidR="00FF0A55">
            <w:t>použila</w:t>
          </w:r>
        </w:sdtContent>
      </w:sdt>
      <w:r w:rsidR="00417009" w:rsidRPr="00FB7AC5">
        <w:t xml:space="preserve"> </w:t>
      </w:r>
      <w:r w:rsidR="00ED1B1E" w:rsidRPr="00FB7AC5">
        <w:t xml:space="preserve">k sepsání této práce, byly citovány v poznámkách pod čarou a jsou uvedeny v seznamu použitých pramenů </w:t>
      </w:r>
      <w:r w:rsidR="00141984" w:rsidRPr="00FB7AC5">
        <w:t>a </w:t>
      </w:r>
      <w:r w:rsidR="00ED1B1E" w:rsidRPr="00FB7AC5">
        <w:t>literatury.</w:t>
      </w:r>
    </w:p>
    <w:p w14:paraId="165DBC26" w14:textId="77777777" w:rsidR="00581933" w:rsidRPr="00FB7AC5" w:rsidRDefault="00F40517" w:rsidP="00FF3438">
      <w:pPr>
        <w:pStyle w:val="inZPPodpisprohlen"/>
        <w:spacing w:before="600"/>
      </w:pPr>
      <w:r w:rsidRPr="00FB7AC5">
        <w:t xml:space="preserve">V Brně </w:t>
      </w:r>
      <w:sdt>
        <w:sdtPr>
          <w:id w:val="541563648"/>
          <w:placeholder>
            <w:docPart w:val="B2FC1BF6C0BD4878B9C2ED2229E8970E"/>
          </w:placeholder>
          <w:date w:fullDate="2019-05-07T00:00:00Z">
            <w:dateFormat w:val="d. MMMM yyyy"/>
            <w:lid w:val="cs-CZ"/>
            <w:storeMappedDataAs w:val="dateTime"/>
            <w:calendar w:val="gregorian"/>
          </w:date>
        </w:sdtPr>
        <w:sdtContent>
          <w:r w:rsidR="00FF0A55">
            <w:t>7. května 2019</w:t>
          </w:r>
        </w:sdtContent>
      </w:sdt>
      <w:r w:rsidR="00581933" w:rsidRPr="00FB7AC5">
        <w:tab/>
      </w:r>
      <w:r w:rsidR="00FF3438" w:rsidRPr="00FB7AC5">
        <w:t>.......................................</w:t>
      </w:r>
      <w:r w:rsidR="00581933" w:rsidRPr="00FB7AC5">
        <w:tab/>
      </w:r>
      <w:sdt>
        <w:sdtPr>
          <w:alias w:val="Autor"/>
          <w:tag w:val=""/>
          <w:id w:val="-1420636599"/>
          <w:placeholder>
            <w:docPart w:val="DBC73F2839284EA6ACDC94084D103980"/>
          </w:placeholder>
          <w:dataBinding w:prefixMappings="xmlns:ns0='http://purl.org/dc/elements/1.1/' xmlns:ns1='http://schemas.openxmlformats.org/package/2006/metadata/core-properties' " w:xpath="/ns1:coreProperties[1]/ns0:creator[1]" w:storeItemID="{6C3C8BC8-F283-45AE-878A-BAB7291924A1}"/>
          <w:text/>
        </w:sdtPr>
        <w:sdtContent>
          <w:r w:rsidR="00AC1ACB">
            <w:t>Lucie Švehlíková</w:t>
          </w:r>
        </w:sdtContent>
      </w:sdt>
    </w:p>
    <w:p w14:paraId="2507C643" w14:textId="77777777" w:rsidR="00920AB6" w:rsidRPr="00FB7AC5" w:rsidRDefault="00920AB6" w:rsidP="00581933">
      <w:pPr>
        <w:pStyle w:val="inZPPodpisprohlen"/>
      </w:pPr>
    </w:p>
    <w:p w14:paraId="364DC49E" w14:textId="77777777" w:rsidR="00FF3438" w:rsidRPr="00FB7AC5" w:rsidRDefault="00FF3438" w:rsidP="00581933">
      <w:pPr>
        <w:pStyle w:val="inZPPodpisprohlen"/>
        <w:sectPr w:rsidR="00FF3438" w:rsidRPr="00FB7AC5" w:rsidSect="0052762D">
          <w:type w:val="oddPage"/>
          <w:pgSz w:w="11906" w:h="16838" w:code="9"/>
          <w:pgMar w:top="2614" w:right="2019" w:bottom="2381" w:left="505" w:header="2019" w:footer="1276" w:gutter="2019"/>
          <w:pgNumType w:start="1"/>
          <w:cols w:space="708"/>
          <w:vAlign w:val="bottom"/>
          <w:docGrid w:linePitch="360"/>
        </w:sectPr>
      </w:pPr>
    </w:p>
    <w:p w14:paraId="607CB7CA" w14:textId="77777777" w:rsidR="00F40517" w:rsidRPr="00FB7AC5" w:rsidRDefault="00210C1C" w:rsidP="00CE1A04">
      <w:pPr>
        <w:pStyle w:val="ZPNadpis1vodn"/>
      </w:pPr>
      <w:r w:rsidRPr="00FB7AC5">
        <w:lastRenderedPageBreak/>
        <w:t>Poděkování</w:t>
      </w:r>
    </w:p>
    <w:sdt>
      <w:sdtPr>
        <w:id w:val="-1636713164"/>
        <w:placeholder>
          <w:docPart w:val="A6F165DD2A274767878AF420CD829A69"/>
        </w:placeholder>
        <w:text/>
      </w:sdtPr>
      <w:sdtContent>
        <w:p w14:paraId="2BA3AAC8" w14:textId="77777777" w:rsidR="00210C1C" w:rsidRPr="00FB7AC5" w:rsidRDefault="00FF0A55" w:rsidP="00FF0A55">
          <w:pPr>
            <w:pStyle w:val="ZPZklad"/>
          </w:pPr>
          <w:r>
            <w:t>Na tomto místě bych ráda poděkovala</w:t>
          </w:r>
          <w:r w:rsidRPr="00FF0A55">
            <w:t xml:space="preserve"> vedoucímu práce Mgr. Miloš</w:t>
          </w:r>
          <w:r>
            <w:t>i</w:t>
          </w:r>
          <w:r w:rsidRPr="00FF0A55">
            <w:t xml:space="preserve"> Gregor</w:t>
          </w:r>
          <w:r>
            <w:t>ovi</w:t>
          </w:r>
          <w:r w:rsidRPr="00FF0A55">
            <w:t>, Ph.D. za</w:t>
          </w:r>
          <w:r>
            <w:t xml:space="preserve"> jeho</w:t>
          </w:r>
          <w:r w:rsidRPr="00FF0A55">
            <w:t xml:space="preserve"> odborné vedení</w:t>
          </w:r>
          <w:r w:rsidR="001C3731">
            <w:t xml:space="preserve"> a</w:t>
          </w:r>
          <w:r>
            <w:t xml:space="preserve"> vstřícný přístup</w:t>
          </w:r>
          <w:r w:rsidRPr="00FF0A55">
            <w:t xml:space="preserve">, které byly pro vznik této práce </w:t>
          </w:r>
          <w:r>
            <w:t>klíčové</w:t>
          </w:r>
          <w:r w:rsidRPr="00FF0A55">
            <w:t>. Mé díky patří také rod</w:t>
          </w:r>
          <w:r>
            <w:t>in</w:t>
          </w:r>
          <w:r w:rsidRPr="00FF0A55">
            <w:t xml:space="preserve">ě, </w:t>
          </w:r>
          <w:r>
            <w:t>která mne vždy podporovala při studiu a kamarádům a partnerovi za psychickou podporu.</w:t>
          </w:r>
        </w:p>
      </w:sdtContent>
    </w:sdt>
    <w:p w14:paraId="40DB91CC" w14:textId="77777777" w:rsidR="00C612F9" w:rsidRPr="00FB7AC5" w:rsidRDefault="00C612F9" w:rsidP="00A2558D">
      <w:pPr>
        <w:pStyle w:val="Dalodstavce"/>
      </w:pPr>
    </w:p>
    <w:p w14:paraId="42752277" w14:textId="77777777" w:rsidR="009951BF" w:rsidRPr="00FB7AC5" w:rsidRDefault="009951BF" w:rsidP="00A2558D">
      <w:pPr>
        <w:pStyle w:val="Dalodstavce"/>
        <w:sectPr w:rsidR="009951BF" w:rsidRPr="00FB7AC5" w:rsidSect="0052762D">
          <w:footerReference w:type="default" r:id="rId18"/>
          <w:footerReference w:type="first" r:id="rId19"/>
          <w:type w:val="oddPage"/>
          <w:pgSz w:w="11906" w:h="16838" w:code="9"/>
          <w:pgMar w:top="2614" w:right="2019" w:bottom="2381" w:left="505" w:header="2019" w:footer="1276" w:gutter="2019"/>
          <w:cols w:space="708"/>
          <w:docGrid w:linePitch="360"/>
        </w:sectPr>
      </w:pPr>
    </w:p>
    <w:p w14:paraId="22B80387" w14:textId="77777777" w:rsidR="00E76694" w:rsidRPr="00FB7AC5" w:rsidRDefault="00F44C00" w:rsidP="002E640F">
      <w:pPr>
        <w:pStyle w:val="ZPNadpis1vodn"/>
      </w:pPr>
      <w:r w:rsidRPr="00FB7AC5">
        <w:lastRenderedPageBreak/>
        <w:t>Obsah</w:t>
      </w:r>
    </w:p>
    <w:p w14:paraId="3527455C" w14:textId="387B127C" w:rsidR="00EC6733" w:rsidRDefault="00825A03">
      <w:pPr>
        <w:pStyle w:val="Obsah1"/>
        <w:rPr>
          <w:rFonts w:asciiTheme="minorHAnsi" w:eastAsiaTheme="minorEastAsia" w:hAnsiTheme="minorHAnsi" w:cstheme="minorBidi"/>
          <w:b w:val="0"/>
          <w:color w:val="auto"/>
          <w:sz w:val="22"/>
          <w:szCs w:val="22"/>
        </w:rPr>
      </w:pPr>
      <w:r w:rsidRPr="00FB7AC5">
        <w:rPr>
          <w:bCs/>
          <w:noProof w:val="0"/>
        </w:rPr>
        <w:fldChar w:fldCharType="begin"/>
      </w:r>
      <w:r w:rsidRPr="00FB7AC5">
        <w:rPr>
          <w:noProof w:val="0"/>
        </w:rPr>
        <w:instrText xml:space="preserve"> TOC \o "1-2" </w:instrText>
      </w:r>
      <w:r w:rsidRPr="00FB7AC5">
        <w:rPr>
          <w:bCs/>
          <w:noProof w:val="0"/>
        </w:rPr>
        <w:fldChar w:fldCharType="separate"/>
      </w:r>
      <w:r w:rsidR="00EC6733">
        <w:t>1</w:t>
      </w:r>
      <w:r w:rsidR="00EC6733">
        <w:rPr>
          <w:rFonts w:asciiTheme="minorHAnsi" w:eastAsiaTheme="minorEastAsia" w:hAnsiTheme="minorHAnsi" w:cstheme="minorBidi"/>
          <w:b w:val="0"/>
          <w:color w:val="auto"/>
          <w:sz w:val="22"/>
          <w:szCs w:val="22"/>
        </w:rPr>
        <w:tab/>
      </w:r>
      <w:r w:rsidR="00EC6733">
        <w:t>Úvod</w:t>
      </w:r>
      <w:r w:rsidR="00EC6733">
        <w:tab/>
      </w:r>
      <w:r w:rsidR="00EC6733">
        <w:fldChar w:fldCharType="begin"/>
      </w:r>
      <w:r w:rsidR="00EC6733">
        <w:instrText xml:space="preserve"> PAGEREF _Toc8123557 \h </w:instrText>
      </w:r>
      <w:r w:rsidR="00EC6733">
        <w:fldChar w:fldCharType="separate"/>
      </w:r>
      <w:r w:rsidR="000C2FD4">
        <w:t>7</w:t>
      </w:r>
      <w:r w:rsidR="00EC6733">
        <w:fldChar w:fldCharType="end"/>
      </w:r>
    </w:p>
    <w:p w14:paraId="3E9CA713" w14:textId="43998579" w:rsidR="00EC6733" w:rsidRDefault="00EC6733">
      <w:pPr>
        <w:pStyle w:val="Obsah1"/>
        <w:rPr>
          <w:rFonts w:asciiTheme="minorHAnsi" w:eastAsiaTheme="minorEastAsia" w:hAnsiTheme="minorHAnsi" w:cstheme="minorBidi"/>
          <w:b w:val="0"/>
          <w:color w:val="auto"/>
          <w:sz w:val="22"/>
          <w:szCs w:val="22"/>
        </w:rPr>
      </w:pPr>
      <w:r>
        <w:t>2</w:t>
      </w:r>
      <w:r>
        <w:rPr>
          <w:rFonts w:asciiTheme="minorHAnsi" w:eastAsiaTheme="minorEastAsia" w:hAnsiTheme="minorHAnsi" w:cstheme="minorBidi"/>
          <w:b w:val="0"/>
          <w:color w:val="auto"/>
          <w:sz w:val="22"/>
          <w:szCs w:val="22"/>
        </w:rPr>
        <w:tab/>
      </w:r>
      <w:r>
        <w:t>Politická opozice</w:t>
      </w:r>
      <w:r>
        <w:tab/>
      </w:r>
      <w:r>
        <w:fldChar w:fldCharType="begin"/>
      </w:r>
      <w:r>
        <w:instrText xml:space="preserve"> PAGEREF _Toc8123558 \h </w:instrText>
      </w:r>
      <w:r>
        <w:fldChar w:fldCharType="separate"/>
      </w:r>
      <w:r w:rsidR="000C2FD4">
        <w:t>9</w:t>
      </w:r>
      <w:r>
        <w:fldChar w:fldCharType="end"/>
      </w:r>
    </w:p>
    <w:p w14:paraId="1AC256C7" w14:textId="33356D9F" w:rsidR="00EC6733" w:rsidRDefault="00EC6733">
      <w:pPr>
        <w:pStyle w:val="Obsah2"/>
        <w:rPr>
          <w:rFonts w:asciiTheme="minorHAnsi" w:eastAsiaTheme="minorEastAsia" w:hAnsiTheme="minorHAnsi" w:cstheme="minorBidi"/>
          <w:iCs w:val="0"/>
          <w:sz w:val="22"/>
          <w:szCs w:val="22"/>
        </w:rPr>
      </w:pPr>
      <w:r>
        <w:t>2.1</w:t>
      </w:r>
      <w:r>
        <w:rPr>
          <w:rFonts w:asciiTheme="minorHAnsi" w:eastAsiaTheme="minorEastAsia" w:hAnsiTheme="minorHAnsi" w:cstheme="minorBidi"/>
          <w:iCs w:val="0"/>
          <w:sz w:val="22"/>
          <w:szCs w:val="22"/>
        </w:rPr>
        <w:tab/>
      </w:r>
      <w:r>
        <w:t>Vymezení pojmu</w:t>
      </w:r>
      <w:r>
        <w:tab/>
      </w:r>
      <w:r>
        <w:fldChar w:fldCharType="begin"/>
      </w:r>
      <w:r>
        <w:instrText xml:space="preserve"> PAGEREF _Toc8123559 \h </w:instrText>
      </w:r>
      <w:r>
        <w:fldChar w:fldCharType="separate"/>
      </w:r>
      <w:r w:rsidR="000C2FD4">
        <w:t>9</w:t>
      </w:r>
      <w:r>
        <w:fldChar w:fldCharType="end"/>
      </w:r>
    </w:p>
    <w:p w14:paraId="2C87BFB9" w14:textId="5F9975C2" w:rsidR="00EC6733" w:rsidRDefault="00EC6733">
      <w:pPr>
        <w:pStyle w:val="Obsah2"/>
        <w:rPr>
          <w:rFonts w:asciiTheme="minorHAnsi" w:eastAsiaTheme="minorEastAsia" w:hAnsiTheme="minorHAnsi" w:cstheme="minorBidi"/>
          <w:iCs w:val="0"/>
          <w:sz w:val="22"/>
          <w:szCs w:val="22"/>
        </w:rPr>
      </w:pPr>
      <w:r>
        <w:t>2.2</w:t>
      </w:r>
      <w:r>
        <w:rPr>
          <w:rFonts w:asciiTheme="minorHAnsi" w:eastAsiaTheme="minorEastAsia" w:hAnsiTheme="minorHAnsi" w:cstheme="minorBidi"/>
          <w:iCs w:val="0"/>
          <w:sz w:val="22"/>
          <w:szCs w:val="22"/>
        </w:rPr>
        <w:tab/>
      </w:r>
      <w:r>
        <w:t>Politická opozice v demokracii a její typologie</w:t>
      </w:r>
      <w:r>
        <w:tab/>
      </w:r>
      <w:r>
        <w:fldChar w:fldCharType="begin"/>
      </w:r>
      <w:r>
        <w:instrText xml:space="preserve"> PAGEREF _Toc8123560 \h </w:instrText>
      </w:r>
      <w:r>
        <w:fldChar w:fldCharType="separate"/>
      </w:r>
      <w:r w:rsidR="000C2FD4">
        <w:t>11</w:t>
      </w:r>
      <w:r>
        <w:fldChar w:fldCharType="end"/>
      </w:r>
    </w:p>
    <w:p w14:paraId="6ED2F538" w14:textId="5A393714" w:rsidR="00EC6733" w:rsidRDefault="00EC6733">
      <w:pPr>
        <w:pStyle w:val="Obsah2"/>
        <w:rPr>
          <w:rFonts w:asciiTheme="minorHAnsi" w:eastAsiaTheme="minorEastAsia" w:hAnsiTheme="minorHAnsi" w:cstheme="minorBidi"/>
          <w:iCs w:val="0"/>
          <w:sz w:val="22"/>
          <w:szCs w:val="22"/>
        </w:rPr>
      </w:pPr>
      <w:r>
        <w:t>2.3</w:t>
      </w:r>
      <w:r>
        <w:rPr>
          <w:rFonts w:asciiTheme="minorHAnsi" w:eastAsiaTheme="minorEastAsia" w:hAnsiTheme="minorHAnsi" w:cstheme="minorBidi"/>
          <w:iCs w:val="0"/>
          <w:sz w:val="22"/>
          <w:szCs w:val="22"/>
        </w:rPr>
        <w:tab/>
      </w:r>
      <w:r>
        <w:t>Cíle a funkce politické opozice</w:t>
      </w:r>
      <w:r>
        <w:tab/>
      </w:r>
      <w:r>
        <w:fldChar w:fldCharType="begin"/>
      </w:r>
      <w:r>
        <w:instrText xml:space="preserve"> PAGEREF _Toc8123561 \h </w:instrText>
      </w:r>
      <w:r>
        <w:fldChar w:fldCharType="separate"/>
      </w:r>
      <w:r w:rsidR="000C2FD4">
        <w:t>15</w:t>
      </w:r>
      <w:r>
        <w:fldChar w:fldCharType="end"/>
      </w:r>
    </w:p>
    <w:p w14:paraId="2E165D75" w14:textId="66CC6A46" w:rsidR="00EC6733" w:rsidRDefault="00EC6733">
      <w:pPr>
        <w:pStyle w:val="Obsah2"/>
        <w:rPr>
          <w:rFonts w:asciiTheme="minorHAnsi" w:eastAsiaTheme="minorEastAsia" w:hAnsiTheme="minorHAnsi" w:cstheme="minorBidi"/>
          <w:iCs w:val="0"/>
          <w:sz w:val="22"/>
          <w:szCs w:val="22"/>
        </w:rPr>
      </w:pPr>
      <w:r>
        <w:t>2.4</w:t>
      </w:r>
      <w:r>
        <w:rPr>
          <w:rFonts w:asciiTheme="minorHAnsi" w:eastAsiaTheme="minorEastAsia" w:hAnsiTheme="minorHAnsi" w:cstheme="minorBidi"/>
          <w:iCs w:val="0"/>
          <w:sz w:val="22"/>
          <w:szCs w:val="22"/>
        </w:rPr>
        <w:tab/>
      </w:r>
      <w:r>
        <w:t>Zakotvení opozice v českém ústavně-právním systému a její možnosti</w:t>
      </w:r>
      <w:r>
        <w:tab/>
      </w:r>
      <w:r>
        <w:fldChar w:fldCharType="begin"/>
      </w:r>
      <w:r>
        <w:instrText xml:space="preserve"> PAGEREF _Toc8123562 \h </w:instrText>
      </w:r>
      <w:r>
        <w:fldChar w:fldCharType="separate"/>
      </w:r>
      <w:r w:rsidR="000C2FD4">
        <w:t>16</w:t>
      </w:r>
      <w:r>
        <w:fldChar w:fldCharType="end"/>
      </w:r>
    </w:p>
    <w:p w14:paraId="2B0C0B93" w14:textId="21EC2A57" w:rsidR="00EC6733" w:rsidRDefault="00EC6733">
      <w:pPr>
        <w:pStyle w:val="Obsah1"/>
        <w:rPr>
          <w:rFonts w:asciiTheme="minorHAnsi" w:eastAsiaTheme="minorEastAsia" w:hAnsiTheme="minorHAnsi" w:cstheme="minorBidi"/>
          <w:b w:val="0"/>
          <w:color w:val="auto"/>
          <w:sz w:val="22"/>
          <w:szCs w:val="22"/>
        </w:rPr>
      </w:pPr>
      <w:r>
        <w:t>3</w:t>
      </w:r>
      <w:r>
        <w:rPr>
          <w:rFonts w:asciiTheme="minorHAnsi" w:eastAsiaTheme="minorEastAsia" w:hAnsiTheme="minorHAnsi" w:cstheme="minorBidi"/>
          <w:b w:val="0"/>
          <w:color w:val="auto"/>
          <w:sz w:val="22"/>
          <w:szCs w:val="22"/>
        </w:rPr>
        <w:tab/>
      </w:r>
      <w:r>
        <w:t>Rámce a teorie rámování</w:t>
      </w:r>
      <w:r>
        <w:tab/>
      </w:r>
      <w:r>
        <w:fldChar w:fldCharType="begin"/>
      </w:r>
      <w:r>
        <w:instrText xml:space="preserve"> PAGEREF _Toc8123563 \h </w:instrText>
      </w:r>
      <w:r>
        <w:fldChar w:fldCharType="separate"/>
      </w:r>
      <w:r w:rsidR="000C2FD4">
        <w:t>18</w:t>
      </w:r>
      <w:r>
        <w:fldChar w:fldCharType="end"/>
      </w:r>
    </w:p>
    <w:p w14:paraId="0824D77A" w14:textId="1DEE605D" w:rsidR="00EC6733" w:rsidRDefault="00EC6733">
      <w:pPr>
        <w:pStyle w:val="Obsah2"/>
        <w:rPr>
          <w:rFonts w:asciiTheme="minorHAnsi" w:eastAsiaTheme="minorEastAsia" w:hAnsiTheme="minorHAnsi" w:cstheme="minorBidi"/>
          <w:iCs w:val="0"/>
          <w:sz w:val="22"/>
          <w:szCs w:val="22"/>
        </w:rPr>
      </w:pPr>
      <w:r>
        <w:t>3.1</w:t>
      </w:r>
      <w:r>
        <w:rPr>
          <w:rFonts w:asciiTheme="minorHAnsi" w:eastAsiaTheme="minorEastAsia" w:hAnsiTheme="minorHAnsi" w:cstheme="minorBidi"/>
          <w:iCs w:val="0"/>
          <w:sz w:val="22"/>
          <w:szCs w:val="22"/>
        </w:rPr>
        <w:tab/>
      </w:r>
      <w:r>
        <w:t>Rámování a rámce v komunikaci</w:t>
      </w:r>
      <w:r>
        <w:tab/>
      </w:r>
      <w:r>
        <w:fldChar w:fldCharType="begin"/>
      </w:r>
      <w:r>
        <w:instrText xml:space="preserve"> PAGEREF _Toc8123564 \h </w:instrText>
      </w:r>
      <w:r>
        <w:fldChar w:fldCharType="separate"/>
      </w:r>
      <w:r w:rsidR="000C2FD4">
        <w:t>21</w:t>
      </w:r>
      <w:r>
        <w:fldChar w:fldCharType="end"/>
      </w:r>
    </w:p>
    <w:p w14:paraId="086B2B55" w14:textId="09FBB998" w:rsidR="00EC6733" w:rsidRDefault="00EC6733">
      <w:pPr>
        <w:pStyle w:val="Obsah2"/>
        <w:rPr>
          <w:rFonts w:asciiTheme="minorHAnsi" w:eastAsiaTheme="minorEastAsia" w:hAnsiTheme="minorHAnsi" w:cstheme="minorBidi"/>
          <w:iCs w:val="0"/>
          <w:sz w:val="22"/>
          <w:szCs w:val="22"/>
        </w:rPr>
      </w:pPr>
      <w:r>
        <w:t>3.2</w:t>
      </w:r>
      <w:r>
        <w:rPr>
          <w:rFonts w:asciiTheme="minorHAnsi" w:eastAsiaTheme="minorEastAsia" w:hAnsiTheme="minorHAnsi" w:cstheme="minorBidi"/>
          <w:iCs w:val="0"/>
          <w:sz w:val="22"/>
          <w:szCs w:val="22"/>
        </w:rPr>
        <w:tab/>
      </w:r>
      <w:r>
        <w:t>Rámování a rámce v politice</w:t>
      </w:r>
      <w:r>
        <w:tab/>
      </w:r>
      <w:r>
        <w:fldChar w:fldCharType="begin"/>
      </w:r>
      <w:r>
        <w:instrText xml:space="preserve"> PAGEREF _Toc8123565 \h </w:instrText>
      </w:r>
      <w:r>
        <w:fldChar w:fldCharType="separate"/>
      </w:r>
      <w:r w:rsidR="000C2FD4">
        <w:t>24</w:t>
      </w:r>
      <w:r>
        <w:fldChar w:fldCharType="end"/>
      </w:r>
    </w:p>
    <w:p w14:paraId="1269FE59" w14:textId="720F3DEF" w:rsidR="00EC6733" w:rsidRDefault="00EC6733">
      <w:pPr>
        <w:pStyle w:val="Obsah2"/>
        <w:rPr>
          <w:rFonts w:asciiTheme="minorHAnsi" w:eastAsiaTheme="minorEastAsia" w:hAnsiTheme="minorHAnsi" w:cstheme="minorBidi"/>
          <w:iCs w:val="0"/>
          <w:sz w:val="22"/>
          <w:szCs w:val="22"/>
        </w:rPr>
      </w:pPr>
      <w:r>
        <w:t>3.3</w:t>
      </w:r>
      <w:r>
        <w:rPr>
          <w:rFonts w:asciiTheme="minorHAnsi" w:eastAsiaTheme="minorEastAsia" w:hAnsiTheme="minorHAnsi" w:cstheme="minorBidi"/>
          <w:iCs w:val="0"/>
          <w:sz w:val="22"/>
          <w:szCs w:val="22"/>
        </w:rPr>
        <w:tab/>
      </w:r>
      <w:r>
        <w:t>Jak lze rámování zkoumat</w:t>
      </w:r>
      <w:r>
        <w:tab/>
      </w:r>
      <w:r>
        <w:fldChar w:fldCharType="begin"/>
      </w:r>
      <w:r>
        <w:instrText xml:space="preserve"> PAGEREF _Toc8123566 \h </w:instrText>
      </w:r>
      <w:r>
        <w:fldChar w:fldCharType="separate"/>
      </w:r>
      <w:r w:rsidR="000C2FD4">
        <w:t>27</w:t>
      </w:r>
      <w:r>
        <w:fldChar w:fldCharType="end"/>
      </w:r>
    </w:p>
    <w:p w14:paraId="074F6517" w14:textId="0B17B892" w:rsidR="00EC6733" w:rsidRDefault="00EC6733">
      <w:pPr>
        <w:pStyle w:val="Obsah1"/>
        <w:rPr>
          <w:rFonts w:asciiTheme="minorHAnsi" w:eastAsiaTheme="minorEastAsia" w:hAnsiTheme="minorHAnsi" w:cstheme="minorBidi"/>
          <w:b w:val="0"/>
          <w:color w:val="auto"/>
          <w:sz w:val="22"/>
          <w:szCs w:val="22"/>
        </w:rPr>
      </w:pPr>
      <w:r>
        <w:t>4</w:t>
      </w:r>
      <w:r>
        <w:rPr>
          <w:rFonts w:asciiTheme="minorHAnsi" w:eastAsiaTheme="minorEastAsia" w:hAnsiTheme="minorHAnsi" w:cstheme="minorBidi"/>
          <w:b w:val="0"/>
          <w:color w:val="auto"/>
          <w:sz w:val="22"/>
          <w:szCs w:val="22"/>
        </w:rPr>
        <w:tab/>
      </w:r>
      <w:r>
        <w:t>Metodologická východiska</w:t>
      </w:r>
      <w:r>
        <w:tab/>
      </w:r>
      <w:r>
        <w:fldChar w:fldCharType="begin"/>
      </w:r>
      <w:r>
        <w:instrText xml:space="preserve"> PAGEREF _Toc8123567 \h </w:instrText>
      </w:r>
      <w:r>
        <w:fldChar w:fldCharType="separate"/>
      </w:r>
      <w:r w:rsidR="000C2FD4">
        <w:t>28</w:t>
      </w:r>
      <w:r>
        <w:fldChar w:fldCharType="end"/>
      </w:r>
    </w:p>
    <w:p w14:paraId="0BE5E525" w14:textId="1961F2A7" w:rsidR="00EC6733" w:rsidRDefault="00EC6733">
      <w:pPr>
        <w:pStyle w:val="Obsah2"/>
        <w:rPr>
          <w:rFonts w:asciiTheme="minorHAnsi" w:eastAsiaTheme="minorEastAsia" w:hAnsiTheme="minorHAnsi" w:cstheme="minorBidi"/>
          <w:iCs w:val="0"/>
          <w:sz w:val="22"/>
          <w:szCs w:val="22"/>
        </w:rPr>
      </w:pPr>
      <w:r>
        <w:t>4.1</w:t>
      </w:r>
      <w:r>
        <w:rPr>
          <w:rFonts w:asciiTheme="minorHAnsi" w:eastAsiaTheme="minorEastAsia" w:hAnsiTheme="minorHAnsi" w:cstheme="minorBidi"/>
          <w:iCs w:val="0"/>
          <w:sz w:val="22"/>
          <w:szCs w:val="22"/>
        </w:rPr>
        <w:tab/>
      </w:r>
      <w:r>
        <w:t>Cíl výzkumu a výzkumné otázky</w:t>
      </w:r>
      <w:r>
        <w:tab/>
      </w:r>
      <w:r>
        <w:fldChar w:fldCharType="begin"/>
      </w:r>
      <w:r>
        <w:instrText xml:space="preserve"> PAGEREF _Toc8123568 \h </w:instrText>
      </w:r>
      <w:r>
        <w:fldChar w:fldCharType="separate"/>
      </w:r>
      <w:r w:rsidR="000C2FD4">
        <w:t>28</w:t>
      </w:r>
      <w:r>
        <w:fldChar w:fldCharType="end"/>
      </w:r>
    </w:p>
    <w:p w14:paraId="0D94825A" w14:textId="5FEDAED7" w:rsidR="00EC6733" w:rsidRDefault="00EC6733">
      <w:pPr>
        <w:pStyle w:val="Obsah2"/>
        <w:rPr>
          <w:rFonts w:asciiTheme="minorHAnsi" w:eastAsiaTheme="minorEastAsia" w:hAnsiTheme="minorHAnsi" w:cstheme="minorBidi"/>
          <w:iCs w:val="0"/>
          <w:sz w:val="22"/>
          <w:szCs w:val="22"/>
        </w:rPr>
      </w:pPr>
      <w:r>
        <w:t>4.2</w:t>
      </w:r>
      <w:r>
        <w:rPr>
          <w:rFonts w:asciiTheme="minorHAnsi" w:eastAsiaTheme="minorEastAsia" w:hAnsiTheme="minorHAnsi" w:cstheme="minorBidi"/>
          <w:iCs w:val="0"/>
          <w:sz w:val="22"/>
          <w:szCs w:val="22"/>
        </w:rPr>
        <w:tab/>
      </w:r>
      <w:r>
        <w:t>Metoda výzkumu</w:t>
      </w:r>
      <w:r>
        <w:tab/>
      </w:r>
      <w:r>
        <w:fldChar w:fldCharType="begin"/>
      </w:r>
      <w:r>
        <w:instrText xml:space="preserve"> PAGEREF _Toc8123569 \h </w:instrText>
      </w:r>
      <w:r>
        <w:fldChar w:fldCharType="separate"/>
      </w:r>
      <w:r w:rsidR="000C2FD4">
        <w:t>29</w:t>
      </w:r>
      <w:r>
        <w:fldChar w:fldCharType="end"/>
      </w:r>
    </w:p>
    <w:p w14:paraId="15597C3B" w14:textId="4B295E0E" w:rsidR="00EC6733" w:rsidRDefault="00EC6733">
      <w:pPr>
        <w:pStyle w:val="Obsah2"/>
        <w:rPr>
          <w:rFonts w:asciiTheme="minorHAnsi" w:eastAsiaTheme="minorEastAsia" w:hAnsiTheme="minorHAnsi" w:cstheme="minorBidi"/>
          <w:iCs w:val="0"/>
          <w:sz w:val="22"/>
          <w:szCs w:val="22"/>
        </w:rPr>
      </w:pPr>
      <w:r>
        <w:t>4.3</w:t>
      </w:r>
      <w:r>
        <w:rPr>
          <w:rFonts w:asciiTheme="minorHAnsi" w:eastAsiaTheme="minorEastAsia" w:hAnsiTheme="minorHAnsi" w:cstheme="minorBidi"/>
          <w:iCs w:val="0"/>
          <w:sz w:val="22"/>
          <w:szCs w:val="22"/>
        </w:rPr>
        <w:tab/>
      </w:r>
      <w:r>
        <w:t>Charakteristika výzkumného vzorku a zdroje dat</w:t>
      </w:r>
      <w:r>
        <w:tab/>
      </w:r>
      <w:r>
        <w:fldChar w:fldCharType="begin"/>
      </w:r>
      <w:r>
        <w:instrText xml:space="preserve"> PAGEREF _Toc8123570 \h </w:instrText>
      </w:r>
      <w:r>
        <w:fldChar w:fldCharType="separate"/>
      </w:r>
      <w:r w:rsidR="000C2FD4">
        <w:t>33</w:t>
      </w:r>
      <w:r>
        <w:fldChar w:fldCharType="end"/>
      </w:r>
    </w:p>
    <w:p w14:paraId="24FFAC7E" w14:textId="592E5977" w:rsidR="00EC6733" w:rsidRDefault="00EC6733">
      <w:pPr>
        <w:pStyle w:val="Obsah2"/>
        <w:rPr>
          <w:rFonts w:asciiTheme="minorHAnsi" w:eastAsiaTheme="minorEastAsia" w:hAnsiTheme="minorHAnsi" w:cstheme="minorBidi"/>
          <w:iCs w:val="0"/>
          <w:sz w:val="22"/>
          <w:szCs w:val="22"/>
        </w:rPr>
      </w:pPr>
      <w:r>
        <w:t>4.4</w:t>
      </w:r>
      <w:r>
        <w:rPr>
          <w:rFonts w:asciiTheme="minorHAnsi" w:eastAsiaTheme="minorEastAsia" w:hAnsiTheme="minorHAnsi" w:cstheme="minorBidi"/>
          <w:iCs w:val="0"/>
          <w:sz w:val="22"/>
          <w:szCs w:val="22"/>
        </w:rPr>
        <w:tab/>
      </w:r>
      <w:r>
        <w:t>Limity výzkumu</w:t>
      </w:r>
      <w:r>
        <w:tab/>
      </w:r>
      <w:r>
        <w:fldChar w:fldCharType="begin"/>
      </w:r>
      <w:r>
        <w:instrText xml:space="preserve"> PAGEREF _Toc8123571 \h </w:instrText>
      </w:r>
      <w:r>
        <w:fldChar w:fldCharType="separate"/>
      </w:r>
      <w:r w:rsidR="000C2FD4">
        <w:t>35</w:t>
      </w:r>
      <w:r>
        <w:fldChar w:fldCharType="end"/>
      </w:r>
    </w:p>
    <w:p w14:paraId="7F891511" w14:textId="27FD1011" w:rsidR="00EC6733" w:rsidRDefault="00EC6733">
      <w:pPr>
        <w:pStyle w:val="Obsah1"/>
        <w:rPr>
          <w:rFonts w:asciiTheme="minorHAnsi" w:eastAsiaTheme="minorEastAsia" w:hAnsiTheme="minorHAnsi" w:cstheme="minorBidi"/>
          <w:b w:val="0"/>
          <w:color w:val="auto"/>
          <w:sz w:val="22"/>
          <w:szCs w:val="22"/>
        </w:rPr>
      </w:pPr>
      <w:r>
        <w:t>5</w:t>
      </w:r>
      <w:r>
        <w:rPr>
          <w:rFonts w:asciiTheme="minorHAnsi" w:eastAsiaTheme="minorEastAsia" w:hAnsiTheme="minorHAnsi" w:cstheme="minorBidi"/>
          <w:b w:val="0"/>
          <w:color w:val="auto"/>
          <w:sz w:val="22"/>
          <w:szCs w:val="22"/>
        </w:rPr>
        <w:tab/>
      </w:r>
      <w:r>
        <w:t>Analytická část</w:t>
      </w:r>
      <w:r>
        <w:tab/>
      </w:r>
      <w:r>
        <w:fldChar w:fldCharType="begin"/>
      </w:r>
      <w:r>
        <w:instrText xml:space="preserve"> PAGEREF _Toc8123572 \h </w:instrText>
      </w:r>
      <w:r>
        <w:fldChar w:fldCharType="separate"/>
      </w:r>
      <w:r w:rsidR="000C2FD4">
        <w:t>36</w:t>
      </w:r>
      <w:r>
        <w:fldChar w:fldCharType="end"/>
      </w:r>
    </w:p>
    <w:p w14:paraId="48FA2F53" w14:textId="5ED01CB9" w:rsidR="00EC6733" w:rsidRDefault="00EC6733">
      <w:pPr>
        <w:pStyle w:val="Obsah2"/>
        <w:rPr>
          <w:rFonts w:asciiTheme="minorHAnsi" w:eastAsiaTheme="minorEastAsia" w:hAnsiTheme="minorHAnsi" w:cstheme="minorBidi"/>
          <w:iCs w:val="0"/>
          <w:sz w:val="22"/>
          <w:szCs w:val="22"/>
        </w:rPr>
      </w:pPr>
      <w:r>
        <w:t>5.1</w:t>
      </w:r>
      <w:r>
        <w:rPr>
          <w:rFonts w:asciiTheme="minorHAnsi" w:eastAsiaTheme="minorEastAsia" w:hAnsiTheme="minorHAnsi" w:cstheme="minorBidi"/>
          <w:iCs w:val="0"/>
          <w:sz w:val="22"/>
          <w:szCs w:val="22"/>
        </w:rPr>
        <w:tab/>
      </w:r>
      <w:r>
        <w:t>Přehled dat</w:t>
      </w:r>
      <w:r>
        <w:tab/>
      </w:r>
      <w:r>
        <w:fldChar w:fldCharType="begin"/>
      </w:r>
      <w:r>
        <w:instrText xml:space="preserve"> PAGEREF _Toc8123573 \h </w:instrText>
      </w:r>
      <w:r>
        <w:fldChar w:fldCharType="separate"/>
      </w:r>
      <w:r w:rsidR="000C2FD4">
        <w:t>36</w:t>
      </w:r>
      <w:r>
        <w:fldChar w:fldCharType="end"/>
      </w:r>
    </w:p>
    <w:p w14:paraId="40F6709F" w14:textId="7D9268C5" w:rsidR="00EC6733" w:rsidRDefault="00EC6733">
      <w:pPr>
        <w:pStyle w:val="Obsah2"/>
        <w:rPr>
          <w:rFonts w:asciiTheme="minorHAnsi" w:eastAsiaTheme="minorEastAsia" w:hAnsiTheme="minorHAnsi" w:cstheme="minorBidi"/>
          <w:iCs w:val="0"/>
          <w:sz w:val="22"/>
          <w:szCs w:val="22"/>
        </w:rPr>
      </w:pPr>
      <w:r>
        <w:t>5.2</w:t>
      </w:r>
      <w:r>
        <w:rPr>
          <w:rFonts w:asciiTheme="minorHAnsi" w:eastAsiaTheme="minorEastAsia" w:hAnsiTheme="minorHAnsi" w:cstheme="minorBidi"/>
          <w:iCs w:val="0"/>
          <w:sz w:val="22"/>
          <w:szCs w:val="22"/>
        </w:rPr>
        <w:tab/>
      </w:r>
      <w:r>
        <w:t>Analýza rámců</w:t>
      </w:r>
      <w:r>
        <w:tab/>
      </w:r>
      <w:r>
        <w:fldChar w:fldCharType="begin"/>
      </w:r>
      <w:r>
        <w:instrText xml:space="preserve"> PAGEREF _Toc8123574 \h </w:instrText>
      </w:r>
      <w:r>
        <w:fldChar w:fldCharType="separate"/>
      </w:r>
      <w:r w:rsidR="000C2FD4">
        <w:t>45</w:t>
      </w:r>
      <w:r>
        <w:fldChar w:fldCharType="end"/>
      </w:r>
    </w:p>
    <w:p w14:paraId="494B6C10" w14:textId="11977EFD" w:rsidR="00EC6733" w:rsidRDefault="00EC6733">
      <w:pPr>
        <w:pStyle w:val="Obsah1"/>
        <w:rPr>
          <w:rFonts w:asciiTheme="minorHAnsi" w:eastAsiaTheme="minorEastAsia" w:hAnsiTheme="minorHAnsi" w:cstheme="minorBidi"/>
          <w:b w:val="0"/>
          <w:color w:val="auto"/>
          <w:sz w:val="22"/>
          <w:szCs w:val="22"/>
        </w:rPr>
      </w:pPr>
      <w:r>
        <w:t>6</w:t>
      </w:r>
      <w:r>
        <w:rPr>
          <w:rFonts w:asciiTheme="minorHAnsi" w:eastAsiaTheme="minorEastAsia" w:hAnsiTheme="minorHAnsi" w:cstheme="minorBidi"/>
          <w:b w:val="0"/>
          <w:color w:val="auto"/>
          <w:sz w:val="22"/>
          <w:szCs w:val="22"/>
        </w:rPr>
        <w:tab/>
      </w:r>
      <w:r>
        <w:t>Závěr</w:t>
      </w:r>
      <w:r>
        <w:tab/>
      </w:r>
      <w:r>
        <w:fldChar w:fldCharType="begin"/>
      </w:r>
      <w:r>
        <w:instrText xml:space="preserve"> PAGEREF _Toc8123575 \h </w:instrText>
      </w:r>
      <w:r>
        <w:fldChar w:fldCharType="separate"/>
      </w:r>
      <w:r w:rsidR="000C2FD4">
        <w:t>60</w:t>
      </w:r>
      <w:r>
        <w:fldChar w:fldCharType="end"/>
      </w:r>
    </w:p>
    <w:p w14:paraId="6D7D75A8" w14:textId="287CED62" w:rsidR="00EC6733" w:rsidRDefault="00EC6733">
      <w:pPr>
        <w:pStyle w:val="Obsah1"/>
        <w:rPr>
          <w:rFonts w:asciiTheme="minorHAnsi" w:eastAsiaTheme="minorEastAsia" w:hAnsiTheme="minorHAnsi" w:cstheme="minorBidi"/>
          <w:b w:val="0"/>
          <w:color w:val="auto"/>
          <w:sz w:val="22"/>
          <w:szCs w:val="22"/>
        </w:rPr>
      </w:pPr>
      <w:r>
        <w:t>Použité zdroje</w:t>
      </w:r>
      <w:r>
        <w:tab/>
      </w:r>
      <w:r>
        <w:fldChar w:fldCharType="begin"/>
      </w:r>
      <w:r>
        <w:instrText xml:space="preserve"> PAGEREF _Toc8123576 \h </w:instrText>
      </w:r>
      <w:r>
        <w:fldChar w:fldCharType="separate"/>
      </w:r>
      <w:r w:rsidR="000C2FD4">
        <w:t>62</w:t>
      </w:r>
      <w:r>
        <w:fldChar w:fldCharType="end"/>
      </w:r>
    </w:p>
    <w:p w14:paraId="55482ED8" w14:textId="05448930" w:rsidR="00A639A6" w:rsidRDefault="00825A03" w:rsidP="003E3DE1">
      <w:pPr>
        <w:pStyle w:val="Dalodstavce"/>
      </w:pPr>
      <w:r w:rsidRPr="00FB7AC5">
        <w:fldChar w:fldCharType="end"/>
      </w:r>
    </w:p>
    <w:p w14:paraId="1968C191" w14:textId="77777777" w:rsidR="00FA7008" w:rsidRDefault="00FA7008" w:rsidP="00FA7008">
      <w:pPr>
        <w:pStyle w:val="Dalodstavce"/>
        <w:ind w:firstLine="0"/>
      </w:pPr>
    </w:p>
    <w:p w14:paraId="314F9CCD" w14:textId="628B69DA" w:rsidR="00FA7008" w:rsidRPr="00FB7AC5" w:rsidRDefault="00FA7008" w:rsidP="00FA7008">
      <w:pPr>
        <w:pStyle w:val="Dalodstavce"/>
        <w:ind w:firstLine="0"/>
        <w:sectPr w:rsidR="00FA7008" w:rsidRPr="00FB7AC5" w:rsidSect="0052762D">
          <w:headerReference w:type="even" r:id="rId20"/>
          <w:headerReference w:type="default" r:id="rId21"/>
          <w:footerReference w:type="default" r:id="rId22"/>
          <w:type w:val="oddPage"/>
          <w:pgSz w:w="11906" w:h="16838" w:code="9"/>
          <w:pgMar w:top="2614" w:right="2019" w:bottom="2381" w:left="505" w:header="2019" w:footer="1276" w:gutter="2019"/>
          <w:cols w:space="708"/>
          <w:docGrid w:linePitch="360"/>
        </w:sectPr>
      </w:pPr>
      <w:r>
        <w:t>Počet znaků: 83 136</w:t>
      </w:r>
    </w:p>
    <w:p w14:paraId="040751DC" w14:textId="77777777" w:rsidR="00F44C00" w:rsidRDefault="00F0276F" w:rsidP="0006632C">
      <w:pPr>
        <w:pStyle w:val="Nadpis1"/>
      </w:pPr>
      <w:bookmarkStart w:id="5" w:name="_Toc381564257"/>
      <w:bookmarkStart w:id="6" w:name="_Toc8123557"/>
      <w:r w:rsidRPr="00FB7AC5">
        <w:t>Úvod</w:t>
      </w:r>
      <w:bookmarkEnd w:id="5"/>
      <w:bookmarkEnd w:id="6"/>
    </w:p>
    <w:p w14:paraId="27DC2763" w14:textId="39320595" w:rsidR="00B64DE1" w:rsidRPr="001E64CE" w:rsidRDefault="00B64DE1" w:rsidP="001B2C5B">
      <w:pPr>
        <w:spacing w:line="360" w:lineRule="auto"/>
        <w:ind w:firstLine="360"/>
        <w:jc w:val="both"/>
        <w:rPr>
          <w:rFonts w:asciiTheme="minorHAnsi" w:hAnsiTheme="minorHAnsi"/>
        </w:rPr>
      </w:pPr>
      <w:r w:rsidRPr="001E64CE">
        <w:rPr>
          <w:rFonts w:asciiTheme="minorHAnsi" w:hAnsiTheme="minorHAnsi"/>
        </w:rPr>
        <w:t>Tato práce se bude zabývat rámováním kritiky první a druhé vlády Andreje Babiše vybranými opozičními stranami. Parlamentní volby proběhly v říjnu 2017 a s</w:t>
      </w:r>
      <w:r w:rsidR="00F70276">
        <w:rPr>
          <w:rFonts w:asciiTheme="minorHAnsi" w:hAnsiTheme="minorHAnsi"/>
        </w:rPr>
        <w:t xml:space="preserve"> výsledkem </w:t>
      </w:r>
      <w:r w:rsidRPr="001E64CE">
        <w:rPr>
          <w:rFonts w:asciiTheme="minorHAnsi" w:hAnsiTheme="minorHAnsi"/>
        </w:rPr>
        <w:t xml:space="preserve">téměř </w:t>
      </w:r>
      <w:r w:rsidR="00F70276">
        <w:rPr>
          <w:rFonts w:asciiTheme="minorHAnsi" w:hAnsiTheme="minorHAnsi"/>
        </w:rPr>
        <w:t xml:space="preserve">30 % zisku všech platných hlasů </w:t>
      </w:r>
      <w:r w:rsidR="00ED1C61">
        <w:rPr>
          <w:rFonts w:asciiTheme="minorHAnsi" w:hAnsiTheme="minorHAnsi"/>
        </w:rPr>
        <w:t>v nich zvítězilo hnutí ANO pod</w:t>
      </w:r>
      <w:r w:rsidRPr="001E64CE">
        <w:rPr>
          <w:rFonts w:asciiTheme="minorHAnsi" w:hAnsiTheme="minorHAnsi"/>
        </w:rPr>
        <w:t xml:space="preserve"> vedením Andreje Babiše. Hnutí ANO sestavilo menšinovou vládu s odborníky a ucházelo se o důvěru ostatních relevantních stran, jmenovitě ODS, Pirátů, SPD, KSČM, ČSSD, KDU-ČSL, TOP 09 a STAN. Důvěra této vládě vyslovena nebyla, a tak byl Andrej Babiš pověřen prezidentem republiky Milošem Zemanem sestavením nové vlády. Během koaličního jednání byla sestavena menšinová vláda hnutí ANO a ČSSD s podporou komunistů, což pro vládu znamenalo dostatek hlasů pro </w:t>
      </w:r>
      <w:r w:rsidR="00EC4D0F">
        <w:rPr>
          <w:rFonts w:asciiTheme="minorHAnsi" w:hAnsiTheme="minorHAnsi"/>
        </w:rPr>
        <w:t>získání</w:t>
      </w:r>
      <w:r w:rsidRPr="001E64CE">
        <w:rPr>
          <w:rFonts w:asciiTheme="minorHAnsi" w:hAnsiTheme="minorHAnsi"/>
        </w:rPr>
        <w:t xml:space="preserve"> důvěry </w:t>
      </w:r>
      <w:r w:rsidR="00EC4D0F">
        <w:rPr>
          <w:rFonts w:asciiTheme="minorHAnsi" w:hAnsiTheme="minorHAnsi"/>
        </w:rPr>
        <w:t>Poslanecké sněmovny</w:t>
      </w:r>
      <w:r w:rsidRPr="001E64CE">
        <w:rPr>
          <w:rFonts w:asciiTheme="minorHAnsi" w:hAnsiTheme="minorHAnsi"/>
        </w:rPr>
        <w:t>. Práce bude zkoumat, jak opoziční strany rámovaly kritiku zmíněných dvou vlád Andreje Babiše v době jejich vzniku.</w:t>
      </w:r>
    </w:p>
    <w:p w14:paraId="43DFB8DD" w14:textId="77777777" w:rsidR="00B64DE1" w:rsidRPr="001E64CE" w:rsidRDefault="00B64DE1" w:rsidP="001B2C5B">
      <w:pPr>
        <w:spacing w:line="360" w:lineRule="auto"/>
        <w:ind w:firstLine="360"/>
        <w:jc w:val="both"/>
        <w:rPr>
          <w:rFonts w:asciiTheme="minorHAnsi" w:hAnsiTheme="minorHAnsi"/>
        </w:rPr>
      </w:pPr>
      <w:r w:rsidRPr="001E64CE">
        <w:rPr>
          <w:rFonts w:asciiTheme="minorHAnsi" w:hAnsiTheme="minorHAnsi"/>
        </w:rPr>
        <w:t xml:space="preserve">Práce bude rozdělena na tři hlavní části. První část bude teoretická, kde budou představeny jednotlivé teoretické koncepty. Prvním z těchto konceptů je teorie politických opozic. Po vymezení pojmu politické opozice bude </w:t>
      </w:r>
      <w:r w:rsidR="0024799F">
        <w:rPr>
          <w:rFonts w:asciiTheme="minorHAnsi" w:hAnsiTheme="minorHAnsi"/>
        </w:rPr>
        <w:t>definována</w:t>
      </w:r>
      <w:r w:rsidRPr="001E64CE">
        <w:rPr>
          <w:rFonts w:asciiTheme="minorHAnsi" w:hAnsiTheme="minorHAnsi"/>
        </w:rPr>
        <w:t xml:space="preserve"> politická opozice v demokracii, kterou propracoval v 60. letech 20. století Robert A. Dahl.  Následovat bude</w:t>
      </w:r>
      <w:r w:rsidR="004677AD">
        <w:rPr>
          <w:rFonts w:asciiTheme="minorHAnsi" w:hAnsiTheme="minorHAnsi"/>
        </w:rPr>
        <w:t xml:space="preserve"> její</w:t>
      </w:r>
      <w:r w:rsidRPr="001E64CE">
        <w:rPr>
          <w:rFonts w:asciiTheme="minorHAnsi" w:hAnsiTheme="minorHAnsi"/>
        </w:rPr>
        <w:t xml:space="preserve"> typologie, kde bude představeno několik klasifikací klasiků politologie. Zároveň budou popsány cíle a funkce politické opozice, mezi něž patří právě zkoumaná kritika vládních aktérů. Uvedeno bude i zakotvení politické opozice v českém ústavně-právním systému a možnosti</w:t>
      </w:r>
      <w:r w:rsidR="004677AD">
        <w:rPr>
          <w:rFonts w:asciiTheme="minorHAnsi" w:hAnsiTheme="minorHAnsi"/>
        </w:rPr>
        <w:t xml:space="preserve"> české opozice</w:t>
      </w:r>
      <w:r w:rsidRPr="001E64CE">
        <w:rPr>
          <w:rFonts w:asciiTheme="minorHAnsi" w:hAnsiTheme="minorHAnsi"/>
        </w:rPr>
        <w:t>. V druhé části teoretických východisek práce se budu věnovat teorii rámování a rámců, jíž se zabývají odborníci napříč sociálně-vědními obory. V této části se budu věnovat kromě počátku výzkumu rámování také tomu, jak funguje rámování v komunikačních studiích a jak je používáno v politice.</w:t>
      </w:r>
    </w:p>
    <w:p w14:paraId="78C3BD17" w14:textId="0FC552B2" w:rsidR="00B64DE1" w:rsidRPr="001E64CE" w:rsidRDefault="00B64DE1" w:rsidP="001B2C5B">
      <w:pPr>
        <w:spacing w:line="360" w:lineRule="auto"/>
        <w:ind w:firstLine="360"/>
        <w:jc w:val="both"/>
        <w:rPr>
          <w:rFonts w:asciiTheme="minorHAnsi" w:hAnsiTheme="minorHAnsi"/>
        </w:rPr>
      </w:pPr>
      <w:r w:rsidRPr="001E64CE">
        <w:rPr>
          <w:rFonts w:asciiTheme="minorHAnsi" w:hAnsiTheme="minorHAnsi"/>
        </w:rPr>
        <w:t>Následně budou detailně představena metodologická východiska práce, kde v začátku představím cíl výzkumu a výzkumné otázky.  Hlavní výzkumnou otázkou, která bude v této práci zodpovězena</w:t>
      </w:r>
      <w:r w:rsidR="00ED1C61">
        <w:rPr>
          <w:rFonts w:asciiTheme="minorHAnsi" w:hAnsiTheme="minorHAnsi"/>
        </w:rPr>
        <w:t>,</w:t>
      </w:r>
      <w:r w:rsidRPr="001E64CE">
        <w:rPr>
          <w:rFonts w:asciiTheme="minorHAnsi" w:hAnsiTheme="minorHAnsi"/>
        </w:rPr>
        <w:t xml:space="preserve"> je z jakých pozic </w:t>
      </w:r>
      <w:r w:rsidR="00B87187">
        <w:rPr>
          <w:rFonts w:asciiTheme="minorHAnsi" w:hAnsiTheme="minorHAnsi"/>
        </w:rPr>
        <w:t xml:space="preserve">opoziční strany vlády Andreje Babiše kritizovaly, </w:t>
      </w:r>
      <w:r w:rsidRPr="001E64CE">
        <w:rPr>
          <w:rFonts w:asciiTheme="minorHAnsi" w:hAnsiTheme="minorHAnsi"/>
        </w:rPr>
        <w:t>a jaké rámce</w:t>
      </w:r>
      <w:r w:rsidR="00B87187">
        <w:rPr>
          <w:rFonts w:asciiTheme="minorHAnsi" w:hAnsiTheme="minorHAnsi"/>
        </w:rPr>
        <w:t xml:space="preserve"> k tomu využívaly.</w:t>
      </w:r>
      <w:r w:rsidRPr="001E64CE">
        <w:rPr>
          <w:rFonts w:asciiTheme="minorHAnsi" w:hAnsiTheme="minorHAnsi"/>
        </w:rPr>
        <w:t xml:space="preserve"> Zároveň zde podrobně představím metody práce</w:t>
      </w:r>
      <w:r w:rsidR="00ED1C61">
        <w:rPr>
          <w:rFonts w:asciiTheme="minorHAnsi" w:hAnsiTheme="minorHAnsi"/>
        </w:rPr>
        <w:t>,</w:t>
      </w:r>
      <w:r w:rsidRPr="001E64CE">
        <w:rPr>
          <w:rFonts w:asciiTheme="minorHAnsi" w:hAnsiTheme="minorHAnsi"/>
        </w:rPr>
        <w:t xml:space="preserve"> jimiž jsou manuální obsahová analýza a analýza rámců. V této části bude představena také charakteristika výzkumného vzorku, zdroje dat a limity výzkumu.</w:t>
      </w:r>
    </w:p>
    <w:p w14:paraId="083A0E26" w14:textId="77777777" w:rsidR="00B64DE1" w:rsidRPr="001E64CE" w:rsidRDefault="00B64DE1" w:rsidP="001B2C5B">
      <w:pPr>
        <w:spacing w:line="360" w:lineRule="auto"/>
        <w:ind w:firstLine="360"/>
        <w:jc w:val="both"/>
        <w:rPr>
          <w:rFonts w:asciiTheme="minorHAnsi" w:hAnsiTheme="minorHAnsi"/>
        </w:rPr>
      </w:pPr>
      <w:r w:rsidRPr="001E64CE">
        <w:rPr>
          <w:rFonts w:asciiTheme="minorHAnsi" w:hAnsiTheme="minorHAnsi"/>
        </w:rPr>
        <w:t>V poslední části práce dojde k samotné analýze, kde budou nejprve analyzována zpracovaná data a následně sestaveny samotné rámce, jimiž opoziční strany argumentovaly kritiku vlád Andreje Babiše. Práce může dál tvořit základ pro další výzkumy v této oblasti.</w:t>
      </w:r>
    </w:p>
    <w:p w14:paraId="363D85C5" w14:textId="77777777" w:rsidR="00493755" w:rsidRPr="00FB7AC5" w:rsidRDefault="001B2C5B" w:rsidP="0006632C">
      <w:pPr>
        <w:pStyle w:val="Nadpis1"/>
      </w:pPr>
      <w:bookmarkStart w:id="7" w:name="_Toc8123558"/>
      <w:r w:rsidRPr="001B2C5B">
        <w:t>Politická opozice</w:t>
      </w:r>
      <w:bookmarkEnd w:id="7"/>
    </w:p>
    <w:p w14:paraId="7141B8B8" w14:textId="126D7813" w:rsidR="00654702" w:rsidRPr="001E64CE" w:rsidRDefault="00ED1C61" w:rsidP="001B2C5B">
      <w:pPr>
        <w:spacing w:line="360" w:lineRule="auto"/>
        <w:ind w:firstLine="360"/>
        <w:jc w:val="both"/>
        <w:rPr>
          <w:rFonts w:asciiTheme="minorHAnsi" w:hAnsiTheme="minorHAnsi"/>
        </w:rPr>
      </w:pPr>
      <w:r>
        <w:rPr>
          <w:rFonts w:asciiTheme="minorHAnsi" w:hAnsiTheme="minorHAnsi"/>
        </w:rPr>
        <w:t>Pro tento</w:t>
      </w:r>
      <w:r w:rsidR="001B2C5B" w:rsidRPr="001E64CE">
        <w:rPr>
          <w:rFonts w:asciiTheme="minorHAnsi" w:hAnsiTheme="minorHAnsi"/>
        </w:rPr>
        <w:t xml:space="preserve"> výzkum je nezbytné definovat termín a význam politické opozice. Pojem politické opozice je velmi široký, a tak je možné na něj nahlížet z několika úhlů pohledu. Tato kapitola se pokusí systematicky vysvětlit charakteristiku politické opozice, proč je důležitá pro fungování demokracie a na jakých pilířích stojí její fungování. Cílem této části práce je představit nejdůležitější přístupy a klíčové modely politické opozice, které politická věda nabízí.  Studium politické opozice úzce souvisí se studiem politických a stranických systémů, kterým se však budeme věnovat pouze okrajově kvůli limitu rozsahu této práce.  Představeno bude především postavení opozice v demokracii, její cíle a funkce a zasazení do kontextu českého systému. V odborné literatuře je možno nalézt dostatek informací, nutno však podotknout, že v české literatuře existuje relativně málo ucelených publikací věnujících se tomuto </w:t>
      </w:r>
      <w:r w:rsidR="0059422D">
        <w:rPr>
          <w:rFonts w:asciiTheme="minorHAnsi" w:hAnsiTheme="minorHAnsi"/>
        </w:rPr>
        <w:t>konceptu. V</w:t>
      </w:r>
      <w:r w:rsidR="001B2C5B" w:rsidRPr="001E64CE">
        <w:rPr>
          <w:rFonts w:asciiTheme="minorHAnsi" w:hAnsiTheme="minorHAnsi"/>
        </w:rPr>
        <w:t>e většině publikací se tak jedná spíše o střípky tématu zasazeného do kontextu dalších výzkumů.</w:t>
      </w:r>
    </w:p>
    <w:p w14:paraId="0158691A" w14:textId="77777777" w:rsidR="001B2C5B" w:rsidRPr="001E64CE" w:rsidRDefault="001B2C5B" w:rsidP="001B2C5B">
      <w:pPr>
        <w:pStyle w:val="Dalodstavce"/>
        <w:rPr>
          <w:rFonts w:asciiTheme="minorHAnsi" w:hAnsiTheme="minorHAnsi"/>
        </w:rPr>
      </w:pPr>
    </w:p>
    <w:p w14:paraId="37C4C078" w14:textId="77777777" w:rsidR="001B2C5B" w:rsidRDefault="001B2C5B" w:rsidP="001B2C5B">
      <w:pPr>
        <w:pStyle w:val="Nadpis2"/>
      </w:pPr>
      <w:bookmarkStart w:id="8" w:name="_Toc8123559"/>
      <w:r w:rsidRPr="001B2C5B">
        <w:t>Vymezení pojmu</w:t>
      </w:r>
      <w:bookmarkEnd w:id="8"/>
      <w:r w:rsidRPr="001B2C5B">
        <w:t xml:space="preserve"> </w:t>
      </w:r>
    </w:p>
    <w:p w14:paraId="12189403" w14:textId="77777777" w:rsidR="001B2C5B" w:rsidRPr="001E64CE" w:rsidRDefault="001B2C5B" w:rsidP="001B2C5B">
      <w:pPr>
        <w:spacing w:line="360" w:lineRule="auto"/>
        <w:ind w:firstLine="360"/>
        <w:jc w:val="both"/>
        <w:rPr>
          <w:rFonts w:asciiTheme="minorHAnsi" w:hAnsiTheme="minorHAnsi"/>
        </w:rPr>
      </w:pPr>
      <w:r w:rsidRPr="001E64CE">
        <w:rPr>
          <w:rFonts w:asciiTheme="minorHAnsi" w:hAnsiTheme="minorHAnsi"/>
        </w:rPr>
        <w:t>Pojem opozice má mnoho různých významů podle toho</w:t>
      </w:r>
      <w:r w:rsidR="00182BE7">
        <w:rPr>
          <w:rFonts w:asciiTheme="minorHAnsi" w:hAnsiTheme="minorHAnsi"/>
        </w:rPr>
        <w:t>,</w:t>
      </w:r>
      <w:r w:rsidRPr="001E64CE">
        <w:rPr>
          <w:rFonts w:asciiTheme="minorHAnsi" w:hAnsiTheme="minorHAnsi"/>
        </w:rPr>
        <w:t xml:space="preserve"> jakého oboru se dotýká. Tato práce se však zaměří na opozici politickou, jež definovala a svým pohledem k jejímu studiu přispěla řada tradičních autorů od amerického politologa Roberta Dahla, rumunského politologa Ghita Ionescu až po české autory jako je Miroslav Novák, či Michal Kubát. Slovo opozice, pocházející z latinského slova </w:t>
      </w:r>
      <w:r w:rsidRPr="001E64CE">
        <w:rPr>
          <w:rFonts w:asciiTheme="minorHAnsi" w:hAnsiTheme="minorHAnsi"/>
          <w:i/>
        </w:rPr>
        <w:t>oppositus</w:t>
      </w:r>
      <w:r w:rsidRPr="001E64CE">
        <w:rPr>
          <w:rFonts w:asciiTheme="minorHAnsi" w:hAnsiTheme="minorHAnsi"/>
        </w:rPr>
        <w:t xml:space="preserve"> v překladu znamená protilehlý (Kubát, 2010: 16). Podle </w:t>
      </w:r>
      <w:r w:rsidRPr="001E64CE">
        <w:rPr>
          <w:rFonts w:asciiTheme="minorHAnsi" w:hAnsiTheme="minorHAnsi"/>
          <w:i/>
        </w:rPr>
        <w:t>Nového akademického slovníku cizích slov</w:t>
      </w:r>
      <w:r w:rsidRPr="001E64CE">
        <w:rPr>
          <w:rFonts w:asciiTheme="minorHAnsi" w:hAnsiTheme="minorHAnsi"/>
        </w:rPr>
        <w:t xml:space="preserve"> je pak tento pojem vykládán jako protiklad, či odpor vůči něčemu (uvádí se například odpor vůči vládnoucí straně, nebo převažujícímu veřejnému mínění  (Kraus, 2005: 574). Tyto univerzální definice jsou však velmi obecné až abstraktní a neobsahují nutné zasazení do politického kontextu. V politologickém slovníku je opozice definována jako </w:t>
      </w:r>
      <w:r w:rsidRPr="001E64CE">
        <w:rPr>
          <w:rFonts w:asciiTheme="minorHAnsi" w:hAnsiTheme="minorHAnsi"/>
          <w:i/>
        </w:rPr>
        <w:t>„souhrn nevládních politických subjektů (stran, hnutí, jednotlivců), které vyjadřují jiné názory než vláda. Jde o formování alternativy vůči aktuální vládě, což dává občanům možnost výběru“</w:t>
      </w:r>
      <w:r w:rsidRPr="001E64CE">
        <w:rPr>
          <w:rFonts w:asciiTheme="minorHAnsi" w:hAnsiTheme="minorHAnsi"/>
        </w:rPr>
        <w:t xml:space="preserve"> (Tóth 2015: 89).</w:t>
      </w:r>
    </w:p>
    <w:p w14:paraId="53F302EB" w14:textId="77777777" w:rsidR="00563E66" w:rsidRPr="001E64CE" w:rsidRDefault="001B2C5B" w:rsidP="001B2C5B">
      <w:pPr>
        <w:pStyle w:val="paragraph"/>
        <w:spacing w:before="0" w:beforeAutospacing="0" w:after="0" w:afterAutospacing="0" w:line="360" w:lineRule="auto"/>
        <w:ind w:firstLine="360"/>
        <w:jc w:val="both"/>
        <w:textAlignment w:val="baseline"/>
        <w:rPr>
          <w:rStyle w:val="eop"/>
          <w:rFonts w:asciiTheme="minorHAnsi" w:hAnsiTheme="minorHAnsi"/>
        </w:rPr>
      </w:pPr>
      <w:r w:rsidRPr="001E64CE">
        <w:rPr>
          <w:rStyle w:val="normaltextrun"/>
          <w:rFonts w:asciiTheme="minorHAnsi" w:eastAsiaTheme="majorEastAsia" w:hAnsiTheme="minorHAnsi"/>
        </w:rPr>
        <w:t>V politologické praxi je možné rozlišit dva pohledy na opozici, a to na opozici v obecném (širokém) smyslu a na opozici ve významu institucionálním (úzkém).</w:t>
      </w:r>
      <w:r w:rsidRPr="001E64CE">
        <w:rPr>
          <w:rStyle w:val="eop"/>
          <w:rFonts w:asciiTheme="minorHAnsi" w:hAnsiTheme="minorHAnsi"/>
        </w:rPr>
        <w:t> </w:t>
      </w:r>
      <w:r w:rsidRPr="001E64CE">
        <w:rPr>
          <w:rStyle w:val="normaltextrun"/>
          <w:rFonts w:asciiTheme="minorHAnsi" w:eastAsiaTheme="majorEastAsia" w:hAnsiTheme="minorHAnsi"/>
        </w:rPr>
        <w:t>Opozice v širokém smyslu (tzv. opozice </w:t>
      </w:r>
      <w:r w:rsidRPr="001E64CE">
        <w:rPr>
          <w:rStyle w:val="spellingerror"/>
          <w:rFonts w:asciiTheme="minorHAnsi" w:hAnsiTheme="minorHAnsi"/>
        </w:rPr>
        <w:t>sensu</w:t>
      </w:r>
      <w:r w:rsidRPr="001E64CE">
        <w:rPr>
          <w:rStyle w:val="normaltextrun"/>
          <w:rFonts w:asciiTheme="minorHAnsi" w:eastAsiaTheme="majorEastAsia" w:hAnsiTheme="minorHAnsi"/>
        </w:rPr>
        <w:t> largo) komplexně zahrnuje jakékoliv projevy nesouhlasu s politikou vládnoucích stran, zatímco opozice v institucionálním smyslu (tzv. opozice </w:t>
      </w:r>
      <w:r w:rsidRPr="001E64CE">
        <w:rPr>
          <w:rStyle w:val="spellingerror"/>
          <w:rFonts w:asciiTheme="minorHAnsi" w:hAnsiTheme="minorHAnsi"/>
        </w:rPr>
        <w:t>sensu</w:t>
      </w:r>
      <w:r w:rsidRPr="001E64CE">
        <w:rPr>
          <w:rStyle w:val="normaltextrun"/>
          <w:rFonts w:asciiTheme="minorHAnsi" w:eastAsiaTheme="majorEastAsia" w:hAnsiTheme="minorHAnsi"/>
        </w:rPr>
        <w:t> </w:t>
      </w:r>
      <w:r w:rsidRPr="001E64CE">
        <w:rPr>
          <w:rStyle w:val="spellingerror"/>
          <w:rFonts w:asciiTheme="minorHAnsi" w:hAnsiTheme="minorHAnsi"/>
        </w:rPr>
        <w:t>stricto</w:t>
      </w:r>
      <w:r w:rsidRPr="001E64CE">
        <w:rPr>
          <w:rStyle w:val="normaltextrun"/>
          <w:rFonts w:asciiTheme="minorHAnsi" w:eastAsiaTheme="majorEastAsia" w:hAnsiTheme="minorHAnsi"/>
        </w:rPr>
        <w:t>), jak již název napovídá, je chápána jakožto “</w:t>
      </w:r>
      <w:r w:rsidRPr="001E64CE">
        <w:rPr>
          <w:rStyle w:val="normaltextrun"/>
          <w:rFonts w:asciiTheme="minorHAnsi" w:eastAsiaTheme="majorEastAsia" w:hAnsiTheme="minorHAnsi"/>
          <w:i/>
        </w:rPr>
        <w:t>instituce, která aktivně usiluje o svržení vlády (eventuálně celého režimu) a nastoupení na její místo eventuálně vytvoření nového režimu.</w:t>
      </w:r>
      <w:r w:rsidRPr="001E64CE">
        <w:rPr>
          <w:rStyle w:val="normaltextrun"/>
          <w:rFonts w:asciiTheme="minorHAnsi" w:eastAsiaTheme="majorEastAsia" w:hAnsiTheme="minorHAnsi"/>
        </w:rPr>
        <w:t>” (Kubát, 2010: 18-19).</w:t>
      </w:r>
      <w:r w:rsidRPr="001E64CE">
        <w:rPr>
          <w:rStyle w:val="eop"/>
          <w:rFonts w:asciiTheme="minorHAnsi" w:hAnsiTheme="minorHAnsi"/>
        </w:rPr>
        <w:t> </w:t>
      </w:r>
    </w:p>
    <w:p w14:paraId="2CC3C451" w14:textId="77777777" w:rsidR="003D4936" w:rsidRDefault="001B2C5B" w:rsidP="00563E66">
      <w:pPr>
        <w:pStyle w:val="paragraph"/>
        <w:spacing w:before="0" w:beforeAutospacing="0" w:after="0" w:afterAutospacing="0" w:line="360" w:lineRule="auto"/>
        <w:ind w:firstLine="360"/>
        <w:jc w:val="both"/>
        <w:textAlignment w:val="baseline"/>
        <w:rPr>
          <w:rStyle w:val="eop"/>
          <w:rFonts w:asciiTheme="minorHAnsi" w:hAnsiTheme="minorHAnsi"/>
        </w:rPr>
      </w:pPr>
      <w:r w:rsidRPr="001E64CE">
        <w:rPr>
          <w:rStyle w:val="normaltextrun"/>
          <w:rFonts w:asciiTheme="minorHAnsi" w:eastAsiaTheme="majorEastAsia" w:hAnsiTheme="minorHAnsi"/>
        </w:rPr>
        <w:t xml:space="preserve">Jak bylo na začátku této kapitoly zmíněno, ke studiu politické opozice přispěl </w:t>
      </w:r>
      <w:r w:rsidRPr="001E64CE">
        <w:rPr>
          <w:rStyle w:val="spellingerror"/>
          <w:rFonts w:asciiTheme="minorHAnsi" w:hAnsiTheme="minorHAnsi"/>
        </w:rPr>
        <w:t>Ghita</w:t>
      </w:r>
      <w:r w:rsidRPr="001E64CE">
        <w:rPr>
          <w:rStyle w:val="normaltextrun"/>
          <w:rFonts w:asciiTheme="minorHAnsi" w:eastAsiaTheme="majorEastAsia" w:hAnsiTheme="minorHAnsi"/>
        </w:rPr>
        <w:t> </w:t>
      </w:r>
      <w:r w:rsidRPr="001E64CE">
        <w:rPr>
          <w:rStyle w:val="spellingerror"/>
          <w:rFonts w:asciiTheme="minorHAnsi" w:hAnsiTheme="minorHAnsi"/>
        </w:rPr>
        <w:t>Ionescu</w:t>
      </w:r>
      <w:r w:rsidRPr="001E64CE">
        <w:rPr>
          <w:rStyle w:val="normaltextrun"/>
          <w:rFonts w:asciiTheme="minorHAnsi" w:eastAsiaTheme="majorEastAsia" w:hAnsiTheme="minorHAnsi"/>
        </w:rPr>
        <w:t>, který blíže představil právě koncept opozice v obecném smyslu a tvrdil, že “</w:t>
      </w:r>
      <w:r w:rsidRPr="001E64CE">
        <w:rPr>
          <w:rStyle w:val="normaltextrun"/>
          <w:rFonts w:asciiTheme="minorHAnsi" w:eastAsiaTheme="majorEastAsia" w:hAnsiTheme="minorHAnsi"/>
          <w:i/>
        </w:rPr>
        <w:t>opozice v širokém slova smyslu se vztahuje na všechny postoje nebo činy, dohodnuté, spontánní (živelné) nebo záměrné, ojedinělé nebo stálé, ze strany formálních nebo neformálních skupin nebo jednotlivců za každých okolností a všemi prostředky namířené proti existující moci. V tom smyslu zahrnuje opozice celé pole pohnutek a projevů konfliktu v každé společnosti, které se řadí v zásadě do dvou druhů: konfliktu zájmů… a konfliktu hodnot…</w:t>
      </w:r>
      <w:r w:rsidRPr="001E64CE">
        <w:rPr>
          <w:rStyle w:val="normaltextrun"/>
          <w:rFonts w:asciiTheme="minorHAnsi" w:eastAsiaTheme="majorEastAsia" w:hAnsiTheme="minorHAnsi"/>
        </w:rPr>
        <w:t>“ (</w:t>
      </w:r>
      <w:r w:rsidRPr="001E64CE">
        <w:rPr>
          <w:rStyle w:val="spellingerror"/>
          <w:rFonts w:asciiTheme="minorHAnsi" w:hAnsiTheme="minorHAnsi"/>
        </w:rPr>
        <w:t>Ionescu</w:t>
      </w:r>
      <w:r w:rsidRPr="001E64CE">
        <w:rPr>
          <w:rStyle w:val="normaltextrun"/>
          <w:rFonts w:asciiTheme="minorHAnsi" w:eastAsiaTheme="majorEastAsia" w:hAnsiTheme="minorHAnsi"/>
        </w:rPr>
        <w:t> 1967: 8–10, citováno podle Novák 1997: 223).</w:t>
      </w:r>
      <w:r w:rsidRPr="001E64CE">
        <w:rPr>
          <w:rStyle w:val="eop"/>
          <w:rFonts w:asciiTheme="minorHAnsi" w:hAnsiTheme="minorHAnsi"/>
        </w:rPr>
        <w:t> </w:t>
      </w:r>
    </w:p>
    <w:p w14:paraId="6D4F342F" w14:textId="3F58E8BF" w:rsidR="001B2C5B" w:rsidRPr="003D4936" w:rsidRDefault="001B2C5B" w:rsidP="003D4936">
      <w:pPr>
        <w:pStyle w:val="paragraph"/>
        <w:spacing w:before="0" w:beforeAutospacing="0" w:after="0" w:afterAutospacing="0" w:line="360" w:lineRule="auto"/>
        <w:ind w:firstLine="360"/>
        <w:jc w:val="both"/>
        <w:textAlignment w:val="baseline"/>
        <w:rPr>
          <w:rStyle w:val="normaltextrun"/>
          <w:rFonts w:asciiTheme="minorHAnsi" w:eastAsiaTheme="majorEastAsia" w:hAnsiTheme="minorHAnsi"/>
        </w:rPr>
      </w:pPr>
      <w:r w:rsidRPr="001E64CE">
        <w:rPr>
          <w:rStyle w:val="normaltextrun"/>
          <w:rFonts w:asciiTheme="minorHAnsi" w:eastAsiaTheme="majorEastAsia" w:hAnsiTheme="minorHAnsi"/>
        </w:rPr>
        <w:t xml:space="preserve">Podle Miroslava Nováka se však západní pluralitní demokratické systémy vyznačují existencí institucionalizované a legalizované opozice (Novák 1995: 305). Právě institucionalizovaná a legalizovaná opozice je prezentována alespoň jednou a více politickými stranami </w:t>
      </w:r>
      <w:r w:rsidRPr="001E64CE">
        <w:rPr>
          <w:rStyle w:val="Znakapoznpodarou"/>
          <w:rFonts w:asciiTheme="minorHAnsi" w:hAnsiTheme="minorHAnsi"/>
        </w:rPr>
        <w:footnoteReference w:id="2"/>
      </w:r>
      <w:r w:rsidRPr="001E64CE">
        <w:rPr>
          <w:rStyle w:val="normaltextrun"/>
          <w:rFonts w:asciiTheme="minorHAnsi" w:eastAsiaTheme="majorEastAsia" w:hAnsiTheme="minorHAnsi"/>
        </w:rPr>
        <w:t>, které se na základě demokratických principů uchází o své místo ve vládě, nicméně se jim nepodařilo získat dostatek hlasů k tomu potřebných.</w:t>
      </w:r>
    </w:p>
    <w:p w14:paraId="1291EA56" w14:textId="77777777" w:rsidR="001B2C5B" w:rsidRPr="001E64CE" w:rsidRDefault="001B2C5B" w:rsidP="00563E66">
      <w:pPr>
        <w:pStyle w:val="paragraph"/>
        <w:spacing w:before="0" w:beforeAutospacing="0" w:after="0" w:afterAutospacing="0" w:line="360" w:lineRule="auto"/>
        <w:ind w:firstLine="360"/>
        <w:jc w:val="both"/>
        <w:textAlignment w:val="baseline"/>
        <w:rPr>
          <w:rFonts w:asciiTheme="minorHAnsi" w:hAnsiTheme="minorHAnsi"/>
        </w:rPr>
      </w:pPr>
      <w:r w:rsidRPr="001E64CE">
        <w:rPr>
          <w:rFonts w:asciiTheme="minorHAnsi" w:hAnsiTheme="minorHAnsi"/>
        </w:rPr>
        <w:t xml:space="preserve">Podle autorů Ionescu a Isabel de Madariaga pak může uznaná, institucionalizovaná a legitimizovaná politická opozice existovat pouze v demokratických režimech. </w:t>
      </w:r>
      <w:r w:rsidRPr="001E64CE">
        <w:rPr>
          <w:rStyle w:val="normaltextrun"/>
          <w:rFonts w:asciiTheme="minorHAnsi" w:eastAsiaTheme="majorEastAsia" w:hAnsiTheme="minorHAnsi"/>
        </w:rPr>
        <w:t>V roce 1966 americký politolog Robert </w:t>
      </w:r>
      <w:r w:rsidRPr="001E64CE">
        <w:rPr>
          <w:rStyle w:val="spellingerror"/>
          <w:rFonts w:asciiTheme="minorHAnsi" w:hAnsiTheme="minorHAnsi"/>
        </w:rPr>
        <w:t>Dahl</w:t>
      </w:r>
      <w:r w:rsidRPr="001E64CE">
        <w:rPr>
          <w:rStyle w:val="normaltextrun"/>
          <w:rFonts w:asciiTheme="minorHAnsi" w:eastAsiaTheme="majorEastAsia" w:hAnsiTheme="minorHAnsi"/>
        </w:rPr>
        <w:t> </w:t>
      </w:r>
      <w:r w:rsidRPr="001E64CE">
        <w:rPr>
          <w:rStyle w:val="spellingerror"/>
          <w:rFonts w:asciiTheme="minorHAnsi" w:hAnsiTheme="minorHAnsi"/>
        </w:rPr>
        <w:t>zdůrazňoval, že jev legální a organizované opozice mezi organizovanými politickými stranami je velice výjimečný a vyskytuje se převážně na území západní Evropy a anglicky mluvících zemí. Tento jev se však postupně rozšiřoval s rozšířením pluralitní demokracie. Nutno však podotknout, že ne každá politická opozice je uznaná a legalizovaná (Novák 1995: 306-307).</w:t>
      </w:r>
      <w:r w:rsidRPr="001E64CE">
        <w:rPr>
          <w:rStyle w:val="Znakapoznpodarou"/>
          <w:rFonts w:asciiTheme="minorHAnsi" w:hAnsiTheme="minorHAnsi"/>
        </w:rPr>
        <w:footnoteReference w:id="3"/>
      </w:r>
      <w:r w:rsidRPr="001E64CE">
        <w:rPr>
          <w:rStyle w:val="eop"/>
          <w:rFonts w:asciiTheme="minorHAnsi" w:hAnsiTheme="minorHAnsi"/>
        </w:rPr>
        <w:t> </w:t>
      </w:r>
    </w:p>
    <w:p w14:paraId="02D79114" w14:textId="77777777" w:rsidR="001B2C5B" w:rsidRPr="001B2C5B" w:rsidRDefault="001B2C5B" w:rsidP="001B2C5B">
      <w:pPr>
        <w:spacing w:line="360" w:lineRule="auto"/>
        <w:ind w:firstLine="360"/>
        <w:jc w:val="both"/>
      </w:pPr>
    </w:p>
    <w:p w14:paraId="22E569B5" w14:textId="77777777" w:rsidR="001B2C5B" w:rsidRDefault="00563E66" w:rsidP="00563E66">
      <w:pPr>
        <w:pStyle w:val="Nadpis2"/>
      </w:pPr>
      <w:bookmarkStart w:id="9" w:name="_Toc8123560"/>
      <w:r w:rsidRPr="00563E66">
        <w:t>Politická opozice v demokracii a její typologie</w:t>
      </w:r>
      <w:bookmarkEnd w:id="9"/>
    </w:p>
    <w:p w14:paraId="56151C7F" w14:textId="741D3EA7" w:rsidR="001B2C5B" w:rsidRPr="001E64CE" w:rsidRDefault="00563E66" w:rsidP="00563E66">
      <w:pPr>
        <w:pStyle w:val="Odstavec1"/>
        <w:spacing w:line="360" w:lineRule="auto"/>
        <w:ind w:firstLine="360"/>
        <w:rPr>
          <w:rFonts w:asciiTheme="minorHAnsi" w:hAnsiTheme="minorHAnsi"/>
        </w:rPr>
      </w:pPr>
      <w:r w:rsidRPr="001E64CE">
        <w:rPr>
          <w:rFonts w:asciiTheme="minorHAnsi" w:hAnsiTheme="minorHAnsi"/>
        </w:rPr>
        <w:t>Pokud má být země spravována demokratickým způsobem</w:t>
      </w:r>
      <w:r w:rsidR="006B59B1">
        <w:rPr>
          <w:rFonts w:asciiTheme="minorHAnsi" w:hAnsiTheme="minorHAnsi"/>
        </w:rPr>
        <w:t xml:space="preserve"> a splňovat kritéria demokracie</w:t>
      </w:r>
      <w:r w:rsidRPr="001E64CE">
        <w:rPr>
          <w:rFonts w:asciiTheme="minorHAnsi" w:hAnsiTheme="minorHAnsi"/>
        </w:rPr>
        <w:t>, je pro ni nutn</w:t>
      </w:r>
      <w:r w:rsidR="001C3CD2">
        <w:rPr>
          <w:rFonts w:asciiTheme="minorHAnsi" w:hAnsiTheme="minorHAnsi"/>
        </w:rPr>
        <w:t>á existence politické opozice. T</w:t>
      </w:r>
      <w:r w:rsidRPr="001E64CE">
        <w:rPr>
          <w:rFonts w:asciiTheme="minorHAnsi" w:hAnsiTheme="minorHAnsi"/>
        </w:rPr>
        <w:t xml:space="preserve">o </w:t>
      </w:r>
      <w:r w:rsidR="001C3CD2">
        <w:rPr>
          <w:rFonts w:asciiTheme="minorHAnsi" w:hAnsiTheme="minorHAnsi"/>
        </w:rPr>
        <w:t xml:space="preserve">nicméně </w:t>
      </w:r>
      <w:r w:rsidRPr="001E64CE">
        <w:rPr>
          <w:rFonts w:asciiTheme="minorHAnsi" w:hAnsiTheme="minorHAnsi"/>
        </w:rPr>
        <w:t xml:space="preserve">neznamená, že se s opozicí nesetkáváme </w:t>
      </w:r>
      <w:r w:rsidR="001C3CD2">
        <w:rPr>
          <w:rFonts w:asciiTheme="minorHAnsi" w:hAnsiTheme="minorHAnsi"/>
        </w:rPr>
        <w:t>i</w:t>
      </w:r>
      <w:r w:rsidRPr="001E64CE">
        <w:rPr>
          <w:rFonts w:asciiTheme="minorHAnsi" w:hAnsiTheme="minorHAnsi"/>
        </w:rPr>
        <w:t xml:space="preserve"> v</w:t>
      </w:r>
      <w:r w:rsidR="001C3CD2">
        <w:rPr>
          <w:rFonts w:asciiTheme="minorHAnsi" w:hAnsiTheme="minorHAnsi"/>
        </w:rPr>
        <w:t> </w:t>
      </w:r>
      <w:r w:rsidRPr="001E64CE">
        <w:rPr>
          <w:rFonts w:asciiTheme="minorHAnsi" w:hAnsiTheme="minorHAnsi"/>
        </w:rPr>
        <w:t>režimech</w:t>
      </w:r>
      <w:r w:rsidR="001C3CD2">
        <w:rPr>
          <w:rFonts w:asciiTheme="minorHAnsi" w:hAnsiTheme="minorHAnsi"/>
        </w:rPr>
        <w:t xml:space="preserve"> </w:t>
      </w:r>
      <w:r w:rsidR="001C3CD2" w:rsidRPr="001E64CE">
        <w:rPr>
          <w:rFonts w:asciiTheme="minorHAnsi" w:hAnsiTheme="minorHAnsi"/>
        </w:rPr>
        <w:t>nedemokratických</w:t>
      </w:r>
      <w:r w:rsidRPr="001E64CE">
        <w:rPr>
          <w:rFonts w:asciiTheme="minorHAnsi" w:hAnsiTheme="minorHAnsi"/>
        </w:rPr>
        <w:t xml:space="preserve">. Za představitele politické opozice v demokratických režimech bývají považovány právě relevantní politické strany. Podle Raymonda Arona je možno odvodit legalitu opozice z plurality politických stran. </w:t>
      </w:r>
      <w:r w:rsidRPr="003515E0">
        <w:rPr>
          <w:rFonts w:asciiTheme="minorHAnsi" w:hAnsiTheme="minorHAnsi"/>
          <w:i/>
        </w:rPr>
        <w:t>„Má-li více stran právo existovat a nejsou-li všechny současně u vlády, jsou některé z nich nevyhnutelně v opozici.”</w:t>
      </w:r>
      <w:r w:rsidRPr="001E64CE">
        <w:rPr>
          <w:rFonts w:asciiTheme="minorHAnsi" w:hAnsiTheme="minorHAnsi"/>
        </w:rPr>
        <w:t xml:space="preserve"> (Aron 1993: 41). Schopnost opozice představovat legitimní alternativu k vládě je přímo odvozena od ideologické vzdálenosti mezi politickými stranami. Demokracie je zajištěna právě schopností opozice převzít vládu na zá</w:t>
      </w:r>
      <w:r w:rsidR="00ED1C61">
        <w:rPr>
          <w:rFonts w:asciiTheme="minorHAnsi" w:hAnsiTheme="minorHAnsi"/>
        </w:rPr>
        <w:t xml:space="preserve">kladě nejbližších voleb (Novák </w:t>
      </w:r>
      <w:r w:rsidRPr="001E64CE">
        <w:rPr>
          <w:rFonts w:asciiTheme="minorHAnsi" w:hAnsiTheme="minorHAnsi"/>
        </w:rPr>
        <w:t>1997: 222).</w:t>
      </w:r>
    </w:p>
    <w:p w14:paraId="02F31985" w14:textId="77777777" w:rsidR="00563E66" w:rsidRPr="001E64CE" w:rsidRDefault="00563E66" w:rsidP="00563E66">
      <w:pPr>
        <w:pStyle w:val="Dalodstavce"/>
        <w:spacing w:line="360" w:lineRule="auto"/>
        <w:rPr>
          <w:rFonts w:asciiTheme="minorHAnsi" w:hAnsiTheme="minorHAnsi"/>
        </w:rPr>
      </w:pPr>
      <w:r w:rsidRPr="001E64CE">
        <w:rPr>
          <w:rFonts w:asciiTheme="minorHAnsi" w:hAnsiTheme="minorHAnsi"/>
        </w:rPr>
        <w:t>Ačkoliv nebývá v demokratických státech právní zakotvení politické opozice běžné, alespoň tedy ne v explicitní podobě, můžeme v zásadě rozlišit dva způsoby jejího zakotvení v politickém systému. Tím prvním je konstitucionalizace politické opozice jako takové, která je v Evropě velmi vzácná. Tím druhým je pak zakotvení jenom některých jejich prvků.</w:t>
      </w:r>
      <w:r w:rsidRPr="001E64CE">
        <w:rPr>
          <w:rStyle w:val="Znakapoznpodarou"/>
          <w:rFonts w:asciiTheme="minorHAnsi" w:hAnsiTheme="minorHAnsi"/>
        </w:rPr>
        <w:footnoteReference w:id="4"/>
      </w:r>
      <w:r w:rsidRPr="001E64CE">
        <w:rPr>
          <w:rFonts w:asciiTheme="minorHAnsi" w:hAnsiTheme="minorHAnsi"/>
        </w:rPr>
        <w:t xml:space="preserve">  </w:t>
      </w:r>
    </w:p>
    <w:p w14:paraId="4326AD93" w14:textId="76E8F9BB" w:rsidR="00563E66" w:rsidRPr="001E64CE" w:rsidRDefault="00563E66" w:rsidP="00563E66">
      <w:pPr>
        <w:pStyle w:val="paragraph"/>
        <w:spacing w:before="0" w:beforeAutospacing="0" w:after="0" w:afterAutospacing="0" w:line="360" w:lineRule="auto"/>
        <w:ind w:firstLine="360"/>
        <w:jc w:val="both"/>
        <w:textAlignment w:val="baseline"/>
        <w:rPr>
          <w:rStyle w:val="normaltextrun"/>
          <w:rFonts w:asciiTheme="minorHAnsi" w:eastAsiaTheme="majorEastAsia" w:hAnsiTheme="minorHAnsi"/>
        </w:rPr>
      </w:pPr>
      <w:r w:rsidRPr="001E64CE">
        <w:rPr>
          <w:rStyle w:val="normaltextrun"/>
          <w:rFonts w:asciiTheme="minorHAnsi" w:eastAsiaTheme="majorEastAsia" w:hAnsiTheme="minorHAnsi"/>
        </w:rPr>
        <w:t>V rámci teorie je možné narazit na hned několik přístupů klasifikujících typologii politické opozice v demokratických systémech, které se však mohou i navzájem prolínat. Podle původní propracované koncepce Roberta A. Dahla z roku 1966 existuje několik hlavních faktorů, které ovlivňují modely politické opozice v demokracii, patří sem: ústavní uspořádání, volební systém, široce sdílené kulturní a historické předpoklady, specifické subkultury v rámci jednotlivých zemí a společností, artikulace nespokojenosti s vládou a sociální a ekonomick</w:t>
      </w:r>
      <w:r w:rsidR="00614F8E">
        <w:rPr>
          <w:rStyle w:val="normaltextrun"/>
          <w:rFonts w:asciiTheme="minorHAnsi" w:eastAsiaTheme="majorEastAsia" w:hAnsiTheme="minorHAnsi"/>
        </w:rPr>
        <w:t>é rozdíly. Zmíněny jsou i další</w:t>
      </w:r>
      <w:r w:rsidRPr="001E64CE">
        <w:rPr>
          <w:rStyle w:val="normaltextrun"/>
          <w:rFonts w:asciiTheme="minorHAnsi" w:eastAsiaTheme="majorEastAsia" w:hAnsiTheme="minorHAnsi"/>
        </w:rPr>
        <w:t xml:space="preserve"> intervenční</w:t>
      </w:r>
      <w:r w:rsidR="00614F8E">
        <w:rPr>
          <w:rStyle w:val="normaltextrun"/>
          <w:rFonts w:asciiTheme="minorHAnsi" w:eastAsiaTheme="majorEastAsia" w:hAnsiTheme="minorHAnsi"/>
        </w:rPr>
        <w:t xml:space="preserve"> </w:t>
      </w:r>
      <w:r w:rsidRPr="001E64CE">
        <w:rPr>
          <w:rStyle w:val="normaltextrun"/>
          <w:rFonts w:asciiTheme="minorHAnsi" w:eastAsiaTheme="majorEastAsia" w:hAnsiTheme="minorHAnsi"/>
        </w:rPr>
        <w:t>faktory, mezi něž patří specifická podoba konfliktních linií, názorové spory, postojové nesouhlas</w:t>
      </w:r>
      <w:r w:rsidR="00CB3929">
        <w:rPr>
          <w:rStyle w:val="normaltextrun"/>
          <w:rFonts w:asciiTheme="minorHAnsi" w:eastAsiaTheme="majorEastAsia" w:hAnsiTheme="minorHAnsi"/>
        </w:rPr>
        <w:t>y</w:t>
      </w:r>
      <w:r w:rsidRPr="001E64CE">
        <w:rPr>
          <w:rStyle w:val="normaltextrun"/>
          <w:rFonts w:asciiTheme="minorHAnsi" w:eastAsiaTheme="majorEastAsia" w:hAnsiTheme="minorHAnsi"/>
        </w:rPr>
        <w:t xml:space="preserve"> a míra ideologické polarizace.</w:t>
      </w:r>
    </w:p>
    <w:p w14:paraId="3DDDCB54" w14:textId="77777777" w:rsidR="00563E66" w:rsidRPr="001E64CE" w:rsidRDefault="00563E66" w:rsidP="00563E66">
      <w:pPr>
        <w:pStyle w:val="paragraph"/>
        <w:spacing w:before="0" w:beforeAutospacing="0" w:after="0" w:afterAutospacing="0" w:line="360" w:lineRule="auto"/>
        <w:ind w:firstLine="360"/>
        <w:jc w:val="both"/>
        <w:textAlignment w:val="baseline"/>
        <w:rPr>
          <w:rStyle w:val="normaltextrun"/>
          <w:rFonts w:asciiTheme="minorHAnsi" w:eastAsiaTheme="majorEastAsia" w:hAnsiTheme="minorHAnsi"/>
        </w:rPr>
      </w:pPr>
      <w:r w:rsidRPr="001E64CE">
        <w:rPr>
          <w:rStyle w:val="normaltextrun"/>
          <w:rFonts w:asciiTheme="minorHAnsi" w:eastAsiaTheme="majorEastAsia" w:hAnsiTheme="minorHAnsi"/>
        </w:rPr>
        <w:t xml:space="preserve"> Dahl se tak pokusil komplexně poukázat na to, že podoba politické opozice nevychází z aktuální politické situace, nýbrž ze souvislostí vycházejících z celkového politického systému dané země (Kubát 2010: 55-56). Podle něj se dále mohou opozice lišit přinejmenším v šesti bodech, které zobrazují, do jaké míry je opozice:</w:t>
      </w:r>
    </w:p>
    <w:p w14:paraId="00CE27B7" w14:textId="77777777" w:rsidR="00563E66" w:rsidRPr="001E64CE" w:rsidRDefault="00563E66" w:rsidP="00563E66">
      <w:pPr>
        <w:pStyle w:val="Dalodstavce"/>
        <w:spacing w:line="360" w:lineRule="auto"/>
        <w:rPr>
          <w:rFonts w:asciiTheme="minorHAnsi" w:hAnsiTheme="minorHAnsi"/>
        </w:rPr>
      </w:pPr>
      <w:r w:rsidRPr="001E64CE">
        <w:rPr>
          <w:rFonts w:asciiTheme="minorHAnsi" w:hAnsiTheme="minorHAnsi"/>
        </w:rPr>
        <w:t xml:space="preserve">1. organizačně soudržná neboli koncentrovaná, </w:t>
      </w:r>
    </w:p>
    <w:p w14:paraId="7FD654EB" w14:textId="77777777" w:rsidR="00563E66" w:rsidRPr="001E64CE" w:rsidRDefault="00563E66" w:rsidP="00563E66">
      <w:pPr>
        <w:pStyle w:val="Dalodstavce"/>
        <w:spacing w:line="360" w:lineRule="auto"/>
        <w:rPr>
          <w:rFonts w:asciiTheme="minorHAnsi" w:hAnsiTheme="minorHAnsi"/>
        </w:rPr>
      </w:pPr>
      <w:r w:rsidRPr="001E64CE">
        <w:rPr>
          <w:rFonts w:asciiTheme="minorHAnsi" w:hAnsiTheme="minorHAnsi"/>
        </w:rPr>
        <w:t xml:space="preserve">2. soutěživá neboli konkurenční, </w:t>
      </w:r>
    </w:p>
    <w:p w14:paraId="5C84B97A" w14:textId="77777777" w:rsidR="00563E66" w:rsidRPr="001E64CE" w:rsidRDefault="00563E66" w:rsidP="00563E66">
      <w:pPr>
        <w:pStyle w:val="Dalodstavce"/>
        <w:spacing w:line="360" w:lineRule="auto"/>
        <w:rPr>
          <w:rFonts w:asciiTheme="minorHAnsi" w:hAnsiTheme="minorHAnsi"/>
        </w:rPr>
      </w:pPr>
      <w:r w:rsidRPr="001E64CE">
        <w:rPr>
          <w:rFonts w:asciiTheme="minorHAnsi" w:hAnsiTheme="minorHAnsi"/>
        </w:rPr>
        <w:t xml:space="preserve">3. jasná, zřetelná a identifikovatelná, </w:t>
      </w:r>
    </w:p>
    <w:p w14:paraId="6ACC574F" w14:textId="77777777" w:rsidR="00563E66" w:rsidRPr="001E64CE" w:rsidRDefault="00563E66" w:rsidP="00563E66">
      <w:pPr>
        <w:pStyle w:val="Dalodstavce"/>
        <w:spacing w:line="360" w:lineRule="auto"/>
        <w:rPr>
          <w:rFonts w:asciiTheme="minorHAnsi" w:hAnsiTheme="minorHAnsi"/>
        </w:rPr>
      </w:pPr>
      <w:r w:rsidRPr="001E64CE">
        <w:rPr>
          <w:rFonts w:asciiTheme="minorHAnsi" w:hAnsiTheme="minorHAnsi"/>
        </w:rPr>
        <w:t xml:space="preserve">4. na jakém místě se setkává s vládními stranami, </w:t>
      </w:r>
    </w:p>
    <w:p w14:paraId="3C3E514F" w14:textId="77777777" w:rsidR="00563E66" w:rsidRPr="001E64CE" w:rsidRDefault="00563E66" w:rsidP="00563E66">
      <w:pPr>
        <w:pStyle w:val="Dalodstavce"/>
        <w:spacing w:line="360" w:lineRule="auto"/>
        <w:rPr>
          <w:rFonts w:asciiTheme="minorHAnsi" w:hAnsiTheme="minorHAnsi"/>
        </w:rPr>
      </w:pPr>
      <w:r w:rsidRPr="001E64CE">
        <w:rPr>
          <w:rFonts w:asciiTheme="minorHAnsi" w:hAnsiTheme="minorHAnsi"/>
        </w:rPr>
        <w:t xml:space="preserve">5. jaké má opozice cíle, </w:t>
      </w:r>
    </w:p>
    <w:p w14:paraId="3DC214D9" w14:textId="77777777" w:rsidR="00563E66" w:rsidRPr="001E64CE" w:rsidRDefault="00563E66" w:rsidP="00563E66">
      <w:pPr>
        <w:pStyle w:val="Dalodstavce"/>
        <w:spacing w:line="360" w:lineRule="auto"/>
        <w:rPr>
          <w:rFonts w:asciiTheme="minorHAnsi" w:hAnsiTheme="minorHAnsi"/>
        </w:rPr>
      </w:pPr>
      <w:r w:rsidRPr="001E64CE">
        <w:rPr>
          <w:rFonts w:asciiTheme="minorHAnsi" w:hAnsiTheme="minorHAnsi"/>
        </w:rPr>
        <w:t xml:space="preserve">6. jaké strategie nebo prostředky používá (Novák 1997: 225). </w:t>
      </w:r>
    </w:p>
    <w:p w14:paraId="59A697CE" w14:textId="44270B5C" w:rsidR="00563E66" w:rsidRPr="001E64CE" w:rsidRDefault="00563E66" w:rsidP="00563E66">
      <w:pPr>
        <w:pStyle w:val="paragraph"/>
        <w:spacing w:before="0" w:beforeAutospacing="0" w:after="0" w:afterAutospacing="0" w:line="360" w:lineRule="auto"/>
        <w:ind w:firstLine="360"/>
        <w:jc w:val="both"/>
        <w:textAlignment w:val="baseline"/>
        <w:rPr>
          <w:rStyle w:val="normaltextrun"/>
          <w:rFonts w:asciiTheme="minorHAnsi" w:eastAsiaTheme="majorEastAsia" w:hAnsiTheme="minorHAnsi"/>
        </w:rPr>
      </w:pPr>
      <w:r w:rsidRPr="001E64CE">
        <w:rPr>
          <w:rStyle w:val="normaltextrun"/>
          <w:rFonts w:asciiTheme="minorHAnsi" w:eastAsiaTheme="majorEastAsia" w:hAnsiTheme="minorHAnsi"/>
        </w:rPr>
        <w:t xml:space="preserve">O dvacet let později přispěl k teoretickému konceptu politické opozice německý politolog Klaus von Beyme, který klasifikoval čtyři proměnné jakožto východiska </w:t>
      </w:r>
      <w:r w:rsidR="008324B9">
        <w:rPr>
          <w:rStyle w:val="normaltextrun"/>
          <w:rFonts w:asciiTheme="minorHAnsi" w:eastAsiaTheme="majorEastAsia" w:hAnsiTheme="minorHAnsi"/>
        </w:rPr>
        <w:t>svého</w:t>
      </w:r>
      <w:r w:rsidRPr="001E64CE">
        <w:rPr>
          <w:rStyle w:val="normaltextrun"/>
          <w:rFonts w:asciiTheme="minorHAnsi" w:eastAsiaTheme="majorEastAsia" w:hAnsiTheme="minorHAnsi"/>
        </w:rPr>
        <w:t xml:space="preserve"> přístupu. Prvním je rozšiřující pole působnosti politické opozice, kdy má opozice hájit zájmy nejen konkrétní skupiny ve společnosti, ale také se pokusit oslovit skupiny jiné. Druhým bodem je institucionální garance role, která předpokládá buď přímé, nebo zprostředkované právní regulace politické opozice v demokratickém systému. Třetím předpokladem je vliv opozičního postavení na další politické strany uvnitř parlamentu, kdy se opoziční strany zaměřují především na problematiky, ve kterých s vládními stranami nesouhlasí a napadají vládu otázkami, kterých mohou později využít během předvolebních kampaní. Poslední, čtvrtý bod představuje schopnost uzavírat koalice</w:t>
      </w:r>
      <w:r w:rsidR="00ED1C61">
        <w:rPr>
          <w:rStyle w:val="normaltextrun"/>
          <w:rFonts w:asciiTheme="minorHAnsi" w:eastAsiaTheme="majorEastAsia" w:hAnsiTheme="minorHAnsi"/>
        </w:rPr>
        <w:t>,</w:t>
      </w:r>
      <w:r w:rsidRPr="001E64CE">
        <w:rPr>
          <w:rStyle w:val="normaltextrun"/>
          <w:rFonts w:asciiTheme="minorHAnsi" w:eastAsiaTheme="majorEastAsia" w:hAnsiTheme="minorHAnsi"/>
        </w:rPr>
        <w:t xml:space="preserve"> a to v momentech, kdy nejsou opoziční strany schopny moc převzít samy, což </w:t>
      </w:r>
      <w:r w:rsidR="009449D3">
        <w:rPr>
          <w:rStyle w:val="normaltextrun"/>
          <w:rFonts w:asciiTheme="minorHAnsi" w:eastAsiaTheme="majorEastAsia" w:hAnsiTheme="minorHAnsi"/>
        </w:rPr>
        <w:t>je uváděno</w:t>
      </w:r>
      <w:r w:rsidRPr="001E64CE">
        <w:rPr>
          <w:rStyle w:val="normaltextrun"/>
          <w:rFonts w:asciiTheme="minorHAnsi" w:eastAsiaTheme="majorEastAsia" w:hAnsiTheme="minorHAnsi"/>
        </w:rPr>
        <w:t xml:space="preserve"> jako případ většiny evropských demokracií (Kubát 2010: 62-65). Přestože byla tato teorie zaměřena na německou politickou praxi, </w:t>
      </w:r>
      <w:r w:rsidR="00A073DF">
        <w:rPr>
          <w:rStyle w:val="normaltextrun"/>
          <w:rFonts w:asciiTheme="minorHAnsi" w:eastAsiaTheme="majorEastAsia" w:hAnsiTheme="minorHAnsi"/>
        </w:rPr>
        <w:t xml:space="preserve">ve skutečnosti </w:t>
      </w:r>
      <w:r w:rsidRPr="001E64CE">
        <w:rPr>
          <w:rStyle w:val="normaltextrun"/>
          <w:rFonts w:asciiTheme="minorHAnsi" w:eastAsiaTheme="majorEastAsia" w:hAnsiTheme="minorHAnsi"/>
        </w:rPr>
        <w:t>je mnohem progresivnější a univerzálnější než teorie R. Dahla.</w:t>
      </w:r>
    </w:p>
    <w:p w14:paraId="671AA4E8" w14:textId="77777777" w:rsidR="00563E66" w:rsidRPr="001E64CE" w:rsidRDefault="00563E66" w:rsidP="00563E66">
      <w:pPr>
        <w:pStyle w:val="paragraph"/>
        <w:spacing w:before="0" w:beforeAutospacing="0" w:after="0" w:afterAutospacing="0" w:line="360" w:lineRule="auto"/>
        <w:ind w:firstLine="360"/>
        <w:jc w:val="both"/>
        <w:textAlignment w:val="baseline"/>
        <w:rPr>
          <w:rStyle w:val="eop"/>
          <w:rFonts w:asciiTheme="minorHAnsi" w:hAnsiTheme="minorHAnsi"/>
        </w:rPr>
      </w:pPr>
      <w:r w:rsidRPr="001E64CE">
        <w:rPr>
          <w:rStyle w:val="normaltextrun"/>
          <w:rFonts w:asciiTheme="minorHAnsi" w:eastAsiaTheme="majorEastAsia" w:hAnsiTheme="minorHAnsi"/>
        </w:rPr>
        <w:t xml:space="preserve">Poslední významnou typologií politické opozice v demokracii, která zde bude zmíněna, je koncept politické opozice podle Jeana Blondela z roku 1997. Tato teorie však bývá </w:t>
      </w:r>
      <w:r w:rsidR="00D10066">
        <w:rPr>
          <w:rStyle w:val="normaltextrun"/>
          <w:rFonts w:asciiTheme="minorHAnsi" w:eastAsiaTheme="majorEastAsia" w:hAnsiTheme="minorHAnsi"/>
        </w:rPr>
        <w:t>předmětem kritiky,</w:t>
      </w:r>
      <w:r w:rsidRPr="001E64CE">
        <w:rPr>
          <w:rStyle w:val="normaltextrun"/>
          <w:rFonts w:asciiTheme="minorHAnsi" w:eastAsiaTheme="majorEastAsia" w:hAnsiTheme="minorHAnsi"/>
        </w:rPr>
        <w:t xml:space="preserve"> protože nepřinesla nový vhled a pouze zobe</w:t>
      </w:r>
      <w:r w:rsidR="00854D7D">
        <w:rPr>
          <w:rStyle w:val="normaltextrun"/>
          <w:rFonts w:asciiTheme="minorHAnsi" w:eastAsiaTheme="majorEastAsia" w:hAnsiTheme="minorHAnsi"/>
        </w:rPr>
        <w:t>cnila</w:t>
      </w:r>
      <w:r w:rsidRPr="001E64CE">
        <w:rPr>
          <w:rStyle w:val="normaltextrun"/>
          <w:rFonts w:asciiTheme="minorHAnsi" w:eastAsiaTheme="majorEastAsia" w:hAnsiTheme="minorHAnsi"/>
        </w:rPr>
        <w:t xml:space="preserve"> již předložené pohledy na problematiku. Její obecnost však dovoluje aplikaci také na politické opozice v nedemokratických zemích. Blondel rozlišuje mezi čtyřmi druhy situací, které mají na podobu politické</w:t>
      </w:r>
      <w:r w:rsidRPr="001E64CE">
        <w:rPr>
          <w:rFonts w:asciiTheme="minorHAnsi" w:hAnsiTheme="minorHAnsi"/>
        </w:rPr>
        <w:t xml:space="preserve"> </w:t>
      </w:r>
      <w:r w:rsidRPr="001E64CE">
        <w:rPr>
          <w:rStyle w:val="eop"/>
          <w:rFonts w:asciiTheme="minorHAnsi" w:hAnsiTheme="minorHAnsi"/>
        </w:rPr>
        <w:t xml:space="preserve">opozice vliv. První situací je existence jednoho mocenského centra, druhou existence více mocenských center, ve třetí situaci hrají roli konfliktní linie a v poslední, která se týká pouze režimů nedemokratických, je situace, kterou vytváří autoritativní režim (Kubát 2010: 65-66). </w:t>
      </w:r>
    </w:p>
    <w:p w14:paraId="043547C7" w14:textId="5950A827" w:rsidR="00563E66" w:rsidRPr="001E64CE" w:rsidRDefault="00563E66" w:rsidP="00563E66">
      <w:pPr>
        <w:pStyle w:val="paragraph"/>
        <w:spacing w:before="0" w:beforeAutospacing="0" w:after="0" w:afterAutospacing="0" w:line="360" w:lineRule="auto"/>
        <w:ind w:firstLine="360"/>
        <w:jc w:val="both"/>
        <w:textAlignment w:val="baseline"/>
        <w:rPr>
          <w:rStyle w:val="eop"/>
          <w:rFonts w:asciiTheme="minorHAnsi" w:hAnsiTheme="minorHAnsi"/>
        </w:rPr>
      </w:pPr>
      <w:r w:rsidRPr="001E64CE">
        <w:rPr>
          <w:rStyle w:val="eop"/>
          <w:rFonts w:asciiTheme="minorHAnsi" w:hAnsiTheme="minorHAnsi"/>
        </w:rPr>
        <w:t>Důležité je také zmínit, že podobu opozice ovlivňuje několik faktorů. Tyto faktory se pohybují od počtu opozičních stran, jejich vnitřní strukturu a disciplinovanost</w:t>
      </w:r>
      <w:r w:rsidR="00614F8E">
        <w:rPr>
          <w:rStyle w:val="eop"/>
          <w:rFonts w:asciiTheme="minorHAnsi" w:hAnsiTheme="minorHAnsi"/>
        </w:rPr>
        <w:t>,</w:t>
      </w:r>
      <w:r w:rsidRPr="001E64CE">
        <w:rPr>
          <w:rStyle w:val="eop"/>
          <w:rFonts w:asciiTheme="minorHAnsi" w:hAnsiTheme="minorHAnsi"/>
        </w:rPr>
        <w:t xml:space="preserve"> až po jejich velikost, počet členů a jejich aliance. Zjednodušeně řečeno, jinak bude své zájmy prosazovat velká opoziční strana, v níž se sdružuje množství různých názorových proudů, od malé opoziční strany postavené na několika málo osobnostech s jasně vymezenými zájmy (Novák 1997: 311). </w:t>
      </w:r>
    </w:p>
    <w:p w14:paraId="0B0F5B90" w14:textId="77777777" w:rsidR="00563E66" w:rsidRPr="001E64CE" w:rsidRDefault="00563E66" w:rsidP="00563E66">
      <w:pPr>
        <w:pStyle w:val="paragraph"/>
        <w:spacing w:before="0" w:beforeAutospacing="0" w:after="0" w:afterAutospacing="0" w:line="360" w:lineRule="auto"/>
        <w:ind w:firstLine="360"/>
        <w:jc w:val="both"/>
        <w:textAlignment w:val="baseline"/>
        <w:rPr>
          <w:rStyle w:val="eop"/>
          <w:rFonts w:asciiTheme="minorHAnsi" w:hAnsiTheme="minorHAnsi"/>
        </w:rPr>
      </w:pPr>
      <w:r w:rsidRPr="001E64CE">
        <w:rPr>
          <w:rStyle w:val="eop"/>
          <w:rFonts w:asciiTheme="minorHAnsi" w:hAnsiTheme="minorHAnsi"/>
        </w:rPr>
        <w:t>Český stranický systém je klasifikován jako multipartistický, jedná se tedy o stranický systém s více jak dvěma relevantními stranami. Typicky si v multipartismu může opoziční strana dovolit více</w:t>
      </w:r>
      <w:r w:rsidR="000A60CE">
        <w:rPr>
          <w:rStyle w:val="eop"/>
          <w:rFonts w:asciiTheme="minorHAnsi" w:hAnsiTheme="minorHAnsi"/>
        </w:rPr>
        <w:t>,</w:t>
      </w:r>
      <w:r w:rsidRPr="001E64CE">
        <w:rPr>
          <w:rStyle w:val="eop"/>
          <w:rFonts w:asciiTheme="minorHAnsi" w:hAnsiTheme="minorHAnsi"/>
        </w:rPr>
        <w:t xml:space="preserve"> než strany v bikameralismu, protože ví, že její účast na vládě je méně pravděpodobná (Kubát 2010: 54).</w:t>
      </w:r>
    </w:p>
    <w:p w14:paraId="6738549D" w14:textId="77777777" w:rsidR="00563E66" w:rsidRDefault="00563E66" w:rsidP="00563E66">
      <w:pPr>
        <w:pStyle w:val="paragraph"/>
        <w:spacing w:before="0" w:beforeAutospacing="0" w:after="0" w:afterAutospacing="0" w:line="360" w:lineRule="auto"/>
        <w:ind w:firstLine="360"/>
        <w:jc w:val="both"/>
        <w:textAlignment w:val="baseline"/>
        <w:rPr>
          <w:rStyle w:val="eop"/>
        </w:rPr>
      </w:pPr>
    </w:p>
    <w:p w14:paraId="7712F8CD" w14:textId="77777777" w:rsidR="00563E66" w:rsidRDefault="00563E66" w:rsidP="00563E66">
      <w:pPr>
        <w:pStyle w:val="Nadpis2"/>
        <w:rPr>
          <w:rStyle w:val="eop"/>
        </w:rPr>
      </w:pPr>
      <w:bookmarkStart w:id="10" w:name="_Toc8123561"/>
      <w:r w:rsidRPr="00563E66">
        <w:rPr>
          <w:rStyle w:val="eop"/>
        </w:rPr>
        <w:t>Cíle a funkce politické opozice</w:t>
      </w:r>
      <w:bookmarkEnd w:id="10"/>
    </w:p>
    <w:p w14:paraId="2DDFD4A6" w14:textId="77777777" w:rsidR="00563E66" w:rsidRPr="003C505A" w:rsidRDefault="00563E66" w:rsidP="00563E66">
      <w:pPr>
        <w:pStyle w:val="paragraph"/>
        <w:spacing w:before="0" w:beforeAutospacing="0" w:after="0" w:afterAutospacing="0" w:line="360" w:lineRule="auto"/>
        <w:ind w:firstLine="360"/>
        <w:jc w:val="both"/>
        <w:textAlignment w:val="baseline"/>
        <w:rPr>
          <w:rStyle w:val="normaltextrun"/>
          <w:rFonts w:asciiTheme="minorHAnsi" w:eastAsiaTheme="majorEastAsia" w:hAnsiTheme="minorHAnsi"/>
          <w:color w:val="000000"/>
          <w:shd w:val="clear" w:color="auto" w:fill="FFFFFF"/>
        </w:rPr>
      </w:pPr>
      <w:r w:rsidRPr="003C505A">
        <w:rPr>
          <w:rStyle w:val="eop"/>
          <w:rFonts w:asciiTheme="minorHAnsi" w:hAnsiTheme="minorHAnsi"/>
        </w:rPr>
        <w:t xml:space="preserve">Z předcházejících kapitol je poměrně jednoduché odvodit, že cílem politické opozice v demokratickém politickém systému bude vymezovat se vůči vládě a snaha nastoupit na její místo. Spektrum funkcí opozice však nelze omezit pouze na toto stanovisko. Hlavní funkce politické opozice jsou odvozovány právě z existujícího konfliktu mezi opozičními a vládními stranami. Podle Larryho Diamonda vyžaduje demokracie konflikt, který však musí být určitým způsobem umírněný a rivalita mezi aktéry musí existovat v rámci všeobecně akceptovatelných mezích (Kubát 2010: 52). Robert Dahl hovoří o čtyřech cílech politické opozice: </w:t>
      </w:r>
    </w:p>
    <w:p w14:paraId="7EEDA7A9" w14:textId="77777777" w:rsidR="00563E66" w:rsidRPr="003C505A" w:rsidRDefault="00563E66" w:rsidP="00563E66">
      <w:pPr>
        <w:pStyle w:val="paragraph"/>
        <w:numPr>
          <w:ilvl w:val="0"/>
          <w:numId w:val="21"/>
        </w:numPr>
        <w:spacing w:before="0" w:beforeAutospacing="0" w:after="0" w:afterAutospacing="0" w:line="360" w:lineRule="auto"/>
        <w:jc w:val="both"/>
        <w:textAlignment w:val="baseline"/>
        <w:rPr>
          <w:rStyle w:val="normaltextrun"/>
          <w:rFonts w:asciiTheme="minorHAnsi" w:eastAsiaTheme="majorEastAsia" w:hAnsiTheme="minorHAnsi"/>
          <w:color w:val="000000"/>
          <w:shd w:val="clear" w:color="auto" w:fill="FFFFFF"/>
        </w:rPr>
      </w:pPr>
      <w:r w:rsidRPr="003C505A">
        <w:rPr>
          <w:rStyle w:val="normaltextrun"/>
          <w:rFonts w:asciiTheme="minorHAnsi" w:eastAsiaTheme="majorEastAsia" w:hAnsiTheme="minorHAnsi"/>
          <w:color w:val="000000"/>
          <w:shd w:val="clear" w:color="auto" w:fill="FFFFFF"/>
        </w:rPr>
        <w:t>změna vládního personálu,</w:t>
      </w:r>
    </w:p>
    <w:p w14:paraId="7E4609E8" w14:textId="77777777" w:rsidR="00563E66" w:rsidRPr="003C505A" w:rsidRDefault="00563E66" w:rsidP="00563E66">
      <w:pPr>
        <w:pStyle w:val="paragraph"/>
        <w:numPr>
          <w:ilvl w:val="0"/>
          <w:numId w:val="21"/>
        </w:numPr>
        <w:spacing w:before="0" w:beforeAutospacing="0" w:after="0" w:afterAutospacing="0" w:line="360" w:lineRule="auto"/>
        <w:jc w:val="both"/>
        <w:textAlignment w:val="baseline"/>
        <w:rPr>
          <w:rStyle w:val="normaltextrun"/>
          <w:rFonts w:asciiTheme="minorHAnsi" w:eastAsiaTheme="majorEastAsia" w:hAnsiTheme="minorHAnsi"/>
          <w:color w:val="000000"/>
          <w:shd w:val="clear" w:color="auto" w:fill="FFFFFF"/>
        </w:rPr>
      </w:pPr>
      <w:r w:rsidRPr="003C505A">
        <w:rPr>
          <w:rStyle w:val="normaltextrun"/>
          <w:rFonts w:asciiTheme="minorHAnsi" w:eastAsiaTheme="majorEastAsia" w:hAnsiTheme="minorHAnsi"/>
          <w:color w:val="000000"/>
          <w:shd w:val="clear" w:color="auto" w:fill="FFFFFF"/>
        </w:rPr>
        <w:t>změna zvláštních prvků vládní politiky,</w:t>
      </w:r>
    </w:p>
    <w:p w14:paraId="5FF711E0" w14:textId="77777777" w:rsidR="00563E66" w:rsidRPr="003C505A" w:rsidRDefault="00563E66" w:rsidP="00563E66">
      <w:pPr>
        <w:pStyle w:val="paragraph"/>
        <w:numPr>
          <w:ilvl w:val="0"/>
          <w:numId w:val="21"/>
        </w:numPr>
        <w:spacing w:before="0" w:beforeAutospacing="0" w:after="0" w:afterAutospacing="0" w:line="360" w:lineRule="auto"/>
        <w:jc w:val="both"/>
        <w:textAlignment w:val="baseline"/>
        <w:rPr>
          <w:rStyle w:val="normaltextrun"/>
          <w:rFonts w:asciiTheme="minorHAnsi" w:eastAsiaTheme="majorEastAsia" w:hAnsiTheme="minorHAnsi"/>
          <w:color w:val="000000"/>
          <w:shd w:val="clear" w:color="auto" w:fill="FFFFFF"/>
        </w:rPr>
      </w:pPr>
      <w:r w:rsidRPr="003C505A">
        <w:rPr>
          <w:rStyle w:val="normaltextrun"/>
          <w:rFonts w:asciiTheme="minorHAnsi" w:eastAsiaTheme="majorEastAsia" w:hAnsiTheme="minorHAnsi"/>
          <w:color w:val="000000"/>
          <w:shd w:val="clear" w:color="auto" w:fill="FFFFFF"/>
        </w:rPr>
        <w:t>změna struktury politického systému,</w:t>
      </w:r>
    </w:p>
    <w:p w14:paraId="24759D50" w14:textId="77777777" w:rsidR="00563E66" w:rsidRPr="003C505A" w:rsidRDefault="00563E66" w:rsidP="00563E66">
      <w:pPr>
        <w:pStyle w:val="paragraph"/>
        <w:numPr>
          <w:ilvl w:val="0"/>
          <w:numId w:val="21"/>
        </w:numPr>
        <w:spacing w:before="0" w:beforeAutospacing="0" w:after="0" w:afterAutospacing="0" w:line="360" w:lineRule="auto"/>
        <w:jc w:val="both"/>
        <w:textAlignment w:val="baseline"/>
        <w:rPr>
          <w:rStyle w:val="normaltextrun"/>
          <w:rFonts w:asciiTheme="minorHAnsi" w:eastAsiaTheme="majorEastAsia" w:hAnsiTheme="minorHAnsi"/>
          <w:color w:val="000000"/>
          <w:shd w:val="clear" w:color="auto" w:fill="FFFFFF"/>
        </w:rPr>
      </w:pPr>
      <w:r w:rsidRPr="003C505A">
        <w:rPr>
          <w:rStyle w:val="normaltextrun"/>
          <w:rFonts w:asciiTheme="minorHAnsi" w:eastAsiaTheme="majorEastAsia" w:hAnsiTheme="minorHAnsi"/>
          <w:color w:val="000000"/>
          <w:shd w:val="clear" w:color="auto" w:fill="FFFFFF"/>
        </w:rPr>
        <w:t>změna sociálně ekonomické struktury (Kubát 2010: 61).</w:t>
      </w:r>
    </w:p>
    <w:p w14:paraId="4F20BEDC" w14:textId="5189731F" w:rsidR="00563E66" w:rsidRPr="003C505A" w:rsidRDefault="00563E66" w:rsidP="00563E66">
      <w:pPr>
        <w:pStyle w:val="paragraph"/>
        <w:spacing w:before="0" w:beforeAutospacing="0" w:after="0" w:afterAutospacing="0" w:line="360" w:lineRule="auto"/>
        <w:ind w:firstLine="360"/>
        <w:jc w:val="both"/>
        <w:textAlignment w:val="baseline"/>
        <w:rPr>
          <w:rFonts w:asciiTheme="minorHAnsi" w:hAnsiTheme="minorHAnsi"/>
          <w:color w:val="000000"/>
          <w:shd w:val="clear" w:color="auto" w:fill="FFFFFF"/>
        </w:rPr>
      </w:pPr>
      <w:r w:rsidRPr="003C505A">
        <w:rPr>
          <w:rStyle w:val="eop"/>
          <w:rFonts w:asciiTheme="minorHAnsi" w:hAnsiTheme="minorHAnsi"/>
        </w:rPr>
        <w:t>Cílem tedy není vládní strany zničit, nýbrž naplnit následující funkce. Do čelní pozice je stavěna funkce kontrolní. Politická opozice by měla v rámci svého působení v parlamentu kontrolovat vládní kroky. S touto funkcí je dále úzce spojená funkce kritiky, která by měla být věcná a má být následována nabídkou alternativních řešení situace či problému.</w:t>
      </w:r>
      <w:r w:rsidRPr="003C505A">
        <w:rPr>
          <w:rFonts w:asciiTheme="minorHAnsi" w:hAnsiTheme="minorHAnsi"/>
        </w:rPr>
        <w:t xml:space="preserve"> </w:t>
      </w:r>
      <w:r w:rsidRPr="003C505A">
        <w:rPr>
          <w:rStyle w:val="eop"/>
          <w:rFonts w:asciiTheme="minorHAnsi" w:hAnsiTheme="minorHAnsi"/>
        </w:rPr>
        <w:t>Po vyjádření kritiky by měla opozice navrhnout vlastní řešení, a to v ideálním případě v podobě realizovatelných kroků a ne pouhých populistických hesel. Charakter kritiky a alternativních řešení se pak samozřejmě liší v závislosti na podobě stranického systému a velikosti politických stran. Další funkcí je artikulace a agregace společenských zájmů typická pro všechny politické strany. V zásadě se jedná o hájení zájmů skupiny lidí, kteří se cítí být</w:t>
      </w:r>
      <w:r w:rsidR="005A30A7">
        <w:rPr>
          <w:rStyle w:val="eop"/>
          <w:rFonts w:asciiTheme="minorHAnsi" w:hAnsiTheme="minorHAnsi"/>
        </w:rPr>
        <w:t xml:space="preserve"> vyloučeni z politického dění, přičemž </w:t>
      </w:r>
      <w:r w:rsidRPr="003C505A">
        <w:rPr>
          <w:rStyle w:val="eop"/>
          <w:rFonts w:asciiTheme="minorHAnsi" w:hAnsiTheme="minorHAnsi"/>
        </w:rPr>
        <w:t>cílem je takovou skupinu nespokojených občanů integrovat zpět do politického systému (Fiala, Strmiska 1998: 69). Posledním úkolem politické opozice je umožnit občanům země vyj</w:t>
      </w:r>
      <w:r w:rsidR="00580F99">
        <w:rPr>
          <w:rStyle w:val="eop"/>
          <w:rFonts w:asciiTheme="minorHAnsi" w:hAnsiTheme="minorHAnsi"/>
        </w:rPr>
        <w:t xml:space="preserve">ádřit </w:t>
      </w:r>
      <w:r w:rsidRPr="003C505A">
        <w:rPr>
          <w:rStyle w:val="eop"/>
          <w:rFonts w:asciiTheme="minorHAnsi" w:hAnsiTheme="minorHAnsi"/>
        </w:rPr>
        <w:t xml:space="preserve">skrze opoziční aktéry odpor či odmítnutí vůči vládě, který mají tito aktéři za úkol na poli parlamentu artikulovat a agregovat. Tento krok je však velmi podobný již výše zmíněným a úzce s nimi souvisí (Kubát 2010: 54). </w:t>
      </w:r>
      <w:r w:rsidRPr="003C505A">
        <w:rPr>
          <w:rStyle w:val="normaltextrun"/>
          <w:rFonts w:asciiTheme="minorHAnsi" w:eastAsiaTheme="majorEastAsia" w:hAnsiTheme="minorHAnsi"/>
          <w:color w:val="000000"/>
          <w:shd w:val="clear" w:color="auto" w:fill="FFFFFF"/>
        </w:rPr>
        <w:t>Všechny uvedené funkce opozice jsou více či méně propojené a navazují na sebe. Podle Ghity Ionesca je pak cílem vlády „</w:t>
      </w:r>
      <w:r w:rsidRPr="003C505A">
        <w:rPr>
          <w:rStyle w:val="normaltextrun"/>
          <w:rFonts w:asciiTheme="minorHAnsi" w:eastAsiaTheme="majorEastAsia" w:hAnsiTheme="minorHAnsi"/>
          <w:i/>
          <w:color w:val="000000"/>
          <w:shd w:val="clear" w:color="auto" w:fill="FFFFFF"/>
        </w:rPr>
        <w:t>dosáhnout změny vládní činnosti a zákonodárství a případně nahradit vládu v důsledku nových voleb nebo se s ní o moc podělit</w:t>
      </w:r>
      <w:r w:rsidRPr="003C505A">
        <w:rPr>
          <w:rStyle w:val="normaltextrun"/>
          <w:rFonts w:asciiTheme="minorHAnsi" w:eastAsiaTheme="majorEastAsia" w:hAnsiTheme="minorHAnsi"/>
          <w:color w:val="000000"/>
          <w:shd w:val="clear" w:color="auto" w:fill="FFFFFF"/>
        </w:rPr>
        <w:t>“ (</w:t>
      </w:r>
      <w:r w:rsidRPr="003C505A">
        <w:rPr>
          <w:rStyle w:val="spellingerror"/>
          <w:rFonts w:asciiTheme="minorHAnsi" w:hAnsiTheme="minorHAnsi"/>
          <w:color w:val="000000"/>
          <w:shd w:val="clear" w:color="auto" w:fill="FFFFFF"/>
        </w:rPr>
        <w:t>Ionescu</w:t>
      </w:r>
      <w:r w:rsidRPr="003C505A">
        <w:rPr>
          <w:rStyle w:val="normaltextrun"/>
          <w:rFonts w:asciiTheme="minorHAnsi" w:eastAsiaTheme="majorEastAsia" w:hAnsiTheme="minorHAnsi"/>
          <w:color w:val="000000"/>
          <w:shd w:val="clear" w:color="auto" w:fill="FFFFFF"/>
        </w:rPr>
        <w:t> 1967: 8–10 citováno podle Novák 1997: 223)</w:t>
      </w:r>
      <w:r w:rsidRPr="003C505A">
        <w:rPr>
          <w:rStyle w:val="eop"/>
          <w:rFonts w:asciiTheme="minorHAnsi" w:hAnsiTheme="minorHAnsi"/>
          <w:color w:val="000000"/>
          <w:shd w:val="clear" w:color="auto" w:fill="FFFFFF"/>
        </w:rPr>
        <w:t> </w:t>
      </w:r>
      <w:r w:rsidR="00FF5C83">
        <w:rPr>
          <w:rStyle w:val="eop"/>
          <w:rFonts w:asciiTheme="minorHAnsi" w:hAnsiTheme="minorHAnsi"/>
          <w:color w:val="000000"/>
          <w:shd w:val="clear" w:color="auto" w:fill="FFFFFF"/>
        </w:rPr>
        <w:t>.</w:t>
      </w:r>
    </w:p>
    <w:p w14:paraId="3646CBA0" w14:textId="77777777" w:rsidR="00563E66" w:rsidRPr="00563E66" w:rsidRDefault="00563E66" w:rsidP="00563E66">
      <w:pPr>
        <w:pStyle w:val="Nadpis2"/>
        <w:rPr>
          <w:rStyle w:val="eop"/>
        </w:rPr>
      </w:pPr>
      <w:bookmarkStart w:id="11" w:name="_Toc8123562"/>
      <w:r w:rsidRPr="00563E66">
        <w:rPr>
          <w:rStyle w:val="eop"/>
        </w:rPr>
        <w:t>Zakotvení opozice v českém ústavně-právním systému a její možnosti</w:t>
      </w:r>
      <w:bookmarkEnd w:id="11"/>
    </w:p>
    <w:p w14:paraId="54FE7A76" w14:textId="29AD21FA" w:rsidR="001E5F5A" w:rsidRPr="003C505A" w:rsidRDefault="00563E66" w:rsidP="001E5F5A">
      <w:pPr>
        <w:pStyle w:val="paragraph"/>
        <w:spacing w:before="0" w:beforeAutospacing="0" w:after="0" w:afterAutospacing="0" w:line="360" w:lineRule="auto"/>
        <w:ind w:firstLine="360"/>
        <w:jc w:val="both"/>
        <w:textAlignment w:val="baseline"/>
        <w:rPr>
          <w:rStyle w:val="eop"/>
          <w:rFonts w:asciiTheme="minorHAnsi" w:hAnsiTheme="minorHAnsi"/>
        </w:rPr>
      </w:pPr>
      <w:r w:rsidRPr="003C505A">
        <w:rPr>
          <w:rStyle w:val="eop"/>
          <w:rFonts w:asciiTheme="minorHAnsi" w:hAnsiTheme="minorHAnsi"/>
        </w:rPr>
        <w:t>Jak již bylo zmíněno, v evropských demokratických systémech není běžné, aby byla existence a aktivita politické opozice právně uko</w:t>
      </w:r>
      <w:r w:rsidR="00E131F6">
        <w:rPr>
          <w:rStyle w:val="eop"/>
          <w:rFonts w:asciiTheme="minorHAnsi" w:hAnsiTheme="minorHAnsi"/>
        </w:rPr>
        <w:t>tvena, a tak se její legalita</w:t>
      </w:r>
      <w:r w:rsidRPr="003C505A">
        <w:rPr>
          <w:rStyle w:val="eop"/>
          <w:rFonts w:asciiTheme="minorHAnsi" w:hAnsiTheme="minorHAnsi"/>
        </w:rPr>
        <w:t xml:space="preserve"> odvozuje spíše nepřímo. Jinak tomu není ani v České republice, kde explicitní zmínku o politické opozici v ústavních zákonech </w:t>
      </w:r>
      <w:r w:rsidR="009C5159">
        <w:rPr>
          <w:rStyle w:val="eop"/>
          <w:rFonts w:asciiTheme="minorHAnsi" w:hAnsiTheme="minorHAnsi"/>
        </w:rPr>
        <w:t>nenajdeme</w:t>
      </w:r>
      <w:r w:rsidRPr="003C505A">
        <w:rPr>
          <w:rStyle w:val="eop"/>
          <w:rFonts w:asciiTheme="minorHAnsi" w:hAnsiTheme="minorHAnsi"/>
        </w:rPr>
        <w:t>, můžeme si ji však odvodit z jiných ústavních zásad. Jedním z hlavních principů demokratického státu je politický pluralismus, jehož součástí právě politická opozice je. Článek 5 Ústavy ČR hovoří o volné soutěži politických stran, jež je dalším pilířem pro existenci politické opozice. Článek 6 pak navazuje textem „</w:t>
      </w:r>
      <w:r w:rsidRPr="003C505A">
        <w:rPr>
          <w:rStyle w:val="eop"/>
          <w:rFonts w:asciiTheme="minorHAnsi" w:hAnsiTheme="minorHAnsi"/>
          <w:i/>
        </w:rPr>
        <w:t xml:space="preserve">Politická rozhodnutí vycházejí z vůle většiny vyjádřené svobodným </w:t>
      </w:r>
      <w:r w:rsidRPr="00117357">
        <w:rPr>
          <w:rStyle w:val="eop"/>
          <w:rFonts w:asciiTheme="minorHAnsi" w:hAnsiTheme="minorHAnsi"/>
          <w:i/>
        </w:rPr>
        <w:t>hlasováním. Rozhodování většiny dbá ochrany menšin</w:t>
      </w:r>
      <w:r w:rsidRPr="00117357">
        <w:rPr>
          <w:rStyle w:val="eop"/>
          <w:rFonts w:asciiTheme="minorHAnsi" w:hAnsiTheme="minorHAnsi"/>
        </w:rPr>
        <w:t>“ (Ústava České republiky</w:t>
      </w:r>
      <w:r w:rsidR="00117357" w:rsidRPr="00117357">
        <w:rPr>
          <w:rFonts w:ascii="Open Sans" w:hAnsi="Open Sans"/>
        </w:rPr>
        <w:t xml:space="preserve"> 2013</w:t>
      </w:r>
      <w:r w:rsidRPr="00117357">
        <w:rPr>
          <w:rStyle w:val="eop"/>
          <w:rFonts w:asciiTheme="minorHAnsi" w:hAnsiTheme="minorHAnsi"/>
        </w:rPr>
        <w:t xml:space="preserve">), </w:t>
      </w:r>
      <w:r w:rsidRPr="003C505A">
        <w:rPr>
          <w:rStyle w:val="eop"/>
          <w:rFonts w:asciiTheme="minorHAnsi" w:hAnsiTheme="minorHAnsi"/>
        </w:rPr>
        <w:t xml:space="preserve">z něhož by se dalo vyvodit, že menšinu může prakticky opoziční strana reprezentovat, či jí dokonce sama být. </w:t>
      </w:r>
    </w:p>
    <w:p w14:paraId="41ACE9B1" w14:textId="4B391430" w:rsidR="00563E66" w:rsidRPr="003C505A" w:rsidRDefault="00563E66" w:rsidP="001E5F5A">
      <w:pPr>
        <w:pStyle w:val="paragraph"/>
        <w:spacing w:before="0" w:beforeAutospacing="0" w:after="0" w:afterAutospacing="0" w:line="360" w:lineRule="auto"/>
        <w:ind w:firstLine="360"/>
        <w:jc w:val="both"/>
        <w:textAlignment w:val="baseline"/>
        <w:rPr>
          <w:rStyle w:val="eop"/>
          <w:rFonts w:asciiTheme="minorHAnsi" w:hAnsiTheme="minorHAnsi"/>
        </w:rPr>
      </w:pPr>
      <w:r w:rsidRPr="003C505A">
        <w:rPr>
          <w:rStyle w:val="eop"/>
          <w:rFonts w:asciiTheme="minorHAnsi" w:hAnsiTheme="minorHAnsi"/>
        </w:rPr>
        <w:t>Opozice má samozřejmě stejná zákonodárná práva jako vládní politické strany, která jsou uvedena v Ústavě ČR a J</w:t>
      </w:r>
      <w:r w:rsidR="00DD206E">
        <w:rPr>
          <w:rStyle w:val="eop"/>
          <w:rFonts w:asciiTheme="minorHAnsi" w:hAnsiTheme="minorHAnsi"/>
        </w:rPr>
        <w:t>ednacím řádu PS Parlamentu ČR. M</w:t>
      </w:r>
      <w:r w:rsidRPr="003C505A">
        <w:rPr>
          <w:rStyle w:val="eop"/>
          <w:rFonts w:asciiTheme="minorHAnsi" w:hAnsiTheme="minorHAnsi"/>
        </w:rPr>
        <w:t>ůžeme však zmínit i další nástroje</w:t>
      </w:r>
      <w:r w:rsidR="00DD206E">
        <w:rPr>
          <w:rStyle w:val="eop"/>
          <w:rFonts w:asciiTheme="minorHAnsi" w:hAnsiTheme="minorHAnsi"/>
        </w:rPr>
        <w:t>,</w:t>
      </w:r>
      <w:r w:rsidRPr="003C505A">
        <w:rPr>
          <w:rStyle w:val="eop"/>
          <w:rFonts w:asciiTheme="minorHAnsi" w:hAnsiTheme="minorHAnsi"/>
        </w:rPr>
        <w:t xml:space="preserve"> jež z českého práva vychází a jsou pro funkci</w:t>
      </w:r>
      <w:r w:rsidR="00DD206E">
        <w:rPr>
          <w:rStyle w:val="eop"/>
          <w:rFonts w:asciiTheme="minorHAnsi" w:hAnsiTheme="minorHAnsi"/>
        </w:rPr>
        <w:t xml:space="preserve"> české opozice</w:t>
      </w:r>
      <w:r w:rsidRPr="003C505A">
        <w:rPr>
          <w:rStyle w:val="eop"/>
          <w:rFonts w:asciiTheme="minorHAnsi" w:hAnsiTheme="minorHAnsi"/>
        </w:rPr>
        <w:t xml:space="preserve"> důležité. Za jeden z nejpodstatnějších mechanismů, který může opozice využít pro kontrolu vlády </w:t>
      </w:r>
      <w:r w:rsidR="009435D6">
        <w:rPr>
          <w:rStyle w:val="eop"/>
          <w:rFonts w:asciiTheme="minorHAnsi" w:hAnsiTheme="minorHAnsi"/>
        </w:rPr>
        <w:t>je považována</w:t>
      </w:r>
      <w:r w:rsidRPr="003C505A">
        <w:rPr>
          <w:rStyle w:val="eop"/>
          <w:rFonts w:asciiTheme="minorHAnsi" w:hAnsiTheme="minorHAnsi"/>
        </w:rPr>
        <w:t xml:space="preserve"> možnost vyvolat hlasování o vyslovení nedůvěry a přivodit tak její pád </w:t>
      </w:r>
      <w:r w:rsidRPr="00117357">
        <w:rPr>
          <w:rStyle w:val="eop"/>
          <w:rFonts w:asciiTheme="minorHAnsi" w:hAnsiTheme="minorHAnsi"/>
        </w:rPr>
        <w:t>(</w:t>
      </w:r>
      <w:r w:rsidR="00117357" w:rsidRPr="00117357">
        <w:rPr>
          <w:rStyle w:val="eop"/>
          <w:rFonts w:asciiTheme="minorHAnsi" w:hAnsiTheme="minorHAnsi"/>
        </w:rPr>
        <w:t>Ústava České republiky 2013</w:t>
      </w:r>
      <w:r w:rsidRPr="00117357">
        <w:rPr>
          <w:rStyle w:val="eop"/>
          <w:rFonts w:asciiTheme="minorHAnsi" w:hAnsiTheme="minorHAnsi"/>
        </w:rPr>
        <w:t xml:space="preserve">). </w:t>
      </w:r>
      <w:r w:rsidRPr="003C505A">
        <w:rPr>
          <w:rStyle w:val="eop"/>
          <w:rFonts w:asciiTheme="minorHAnsi" w:hAnsiTheme="minorHAnsi"/>
        </w:rPr>
        <w:t>Zároveň mají opoziční strany a jejich představitelé právo dotazovat se jednotlivých členů vlády</w:t>
      </w:r>
      <w:r w:rsidR="00ED1C61">
        <w:rPr>
          <w:rStyle w:val="eop"/>
          <w:rFonts w:asciiTheme="minorHAnsi" w:hAnsiTheme="minorHAnsi"/>
        </w:rPr>
        <w:t>,</w:t>
      </w:r>
      <w:r w:rsidRPr="003C505A">
        <w:rPr>
          <w:rStyle w:val="eop"/>
          <w:rFonts w:asciiTheme="minorHAnsi" w:hAnsiTheme="minorHAnsi"/>
        </w:rPr>
        <w:t xml:space="preserve"> a to jak ústní, tak písemnou formou a využít právo interpelace (</w:t>
      </w:r>
      <w:r w:rsidR="00117357" w:rsidRPr="00117357">
        <w:rPr>
          <w:rStyle w:val="eop"/>
          <w:rFonts w:asciiTheme="minorHAnsi" w:hAnsiTheme="minorHAnsi"/>
        </w:rPr>
        <w:t>Ústava České republiky 2013</w:t>
      </w:r>
      <w:r w:rsidRPr="003C505A">
        <w:rPr>
          <w:rStyle w:val="eop"/>
          <w:rFonts w:asciiTheme="minorHAnsi" w:hAnsiTheme="minorHAnsi"/>
        </w:rPr>
        <w:t>).</w:t>
      </w:r>
    </w:p>
    <w:p w14:paraId="218E0990" w14:textId="77777777" w:rsidR="00AA015D" w:rsidRDefault="00AA015D" w:rsidP="001E5F5A">
      <w:pPr>
        <w:pStyle w:val="paragraph"/>
        <w:spacing w:before="0" w:beforeAutospacing="0" w:after="0" w:afterAutospacing="0" w:line="360" w:lineRule="auto"/>
        <w:ind w:firstLine="360"/>
        <w:jc w:val="both"/>
        <w:textAlignment w:val="baseline"/>
        <w:rPr>
          <w:rStyle w:val="eop"/>
        </w:rPr>
      </w:pPr>
    </w:p>
    <w:p w14:paraId="6111A01E" w14:textId="77777777" w:rsidR="00AA015D" w:rsidRDefault="00AA015D" w:rsidP="001E5F5A">
      <w:pPr>
        <w:pStyle w:val="paragraph"/>
        <w:spacing w:before="0" w:beforeAutospacing="0" w:after="0" w:afterAutospacing="0" w:line="360" w:lineRule="auto"/>
        <w:ind w:firstLine="360"/>
        <w:jc w:val="both"/>
        <w:textAlignment w:val="baseline"/>
        <w:rPr>
          <w:rStyle w:val="eop"/>
        </w:rPr>
      </w:pPr>
    </w:p>
    <w:p w14:paraId="7C3891AF" w14:textId="77777777" w:rsidR="00AA015D" w:rsidRDefault="00AA015D" w:rsidP="001E5F5A">
      <w:pPr>
        <w:pStyle w:val="paragraph"/>
        <w:spacing w:before="0" w:beforeAutospacing="0" w:after="0" w:afterAutospacing="0" w:line="360" w:lineRule="auto"/>
        <w:ind w:firstLine="360"/>
        <w:jc w:val="both"/>
        <w:textAlignment w:val="baseline"/>
        <w:rPr>
          <w:rStyle w:val="eop"/>
        </w:rPr>
      </w:pPr>
    </w:p>
    <w:p w14:paraId="2139F145" w14:textId="77777777" w:rsidR="00AA015D" w:rsidRDefault="00AA015D" w:rsidP="001E5F5A">
      <w:pPr>
        <w:pStyle w:val="paragraph"/>
        <w:spacing w:before="0" w:beforeAutospacing="0" w:after="0" w:afterAutospacing="0" w:line="360" w:lineRule="auto"/>
        <w:ind w:firstLine="360"/>
        <w:jc w:val="both"/>
        <w:textAlignment w:val="baseline"/>
        <w:rPr>
          <w:rStyle w:val="eop"/>
        </w:rPr>
      </w:pPr>
    </w:p>
    <w:p w14:paraId="46E99FEF" w14:textId="77777777" w:rsidR="00AA015D" w:rsidRDefault="00AA015D" w:rsidP="001E5F5A">
      <w:pPr>
        <w:pStyle w:val="paragraph"/>
        <w:spacing w:before="0" w:beforeAutospacing="0" w:after="0" w:afterAutospacing="0" w:line="360" w:lineRule="auto"/>
        <w:ind w:firstLine="360"/>
        <w:jc w:val="both"/>
        <w:textAlignment w:val="baseline"/>
        <w:rPr>
          <w:rStyle w:val="eop"/>
        </w:rPr>
      </w:pPr>
    </w:p>
    <w:p w14:paraId="0BA972B0" w14:textId="77777777" w:rsidR="00AA015D" w:rsidRPr="003E3DE1" w:rsidRDefault="00AA015D" w:rsidP="003E3DE1">
      <w:pPr>
        <w:pStyle w:val="Nadpis1"/>
        <w:rPr>
          <w:rStyle w:val="eop"/>
        </w:rPr>
      </w:pPr>
      <w:bookmarkStart w:id="12" w:name="_Toc8123563"/>
      <w:r w:rsidRPr="003E3DE1">
        <w:rPr>
          <w:rStyle w:val="eop"/>
        </w:rPr>
        <w:t>Rámce a teorie rámování</w:t>
      </w:r>
      <w:bookmarkEnd w:id="12"/>
      <w:r w:rsidRPr="003E3DE1">
        <w:rPr>
          <w:rStyle w:val="eop"/>
        </w:rPr>
        <w:t xml:space="preserve"> </w:t>
      </w:r>
    </w:p>
    <w:p w14:paraId="7EA17BC3" w14:textId="77777777" w:rsidR="00AA015D" w:rsidRPr="003C505A" w:rsidRDefault="00AA015D" w:rsidP="00AA015D">
      <w:pPr>
        <w:spacing w:line="360" w:lineRule="auto"/>
        <w:ind w:firstLine="360"/>
        <w:jc w:val="both"/>
        <w:rPr>
          <w:rFonts w:asciiTheme="minorHAnsi" w:hAnsiTheme="minorHAnsi"/>
          <w:color w:val="000000" w:themeColor="text1"/>
        </w:rPr>
      </w:pPr>
      <w:r w:rsidRPr="003C505A">
        <w:rPr>
          <w:rFonts w:asciiTheme="minorHAnsi" w:hAnsiTheme="minorHAnsi"/>
          <w:color w:val="000000" w:themeColor="text1"/>
        </w:rPr>
        <w:t xml:space="preserve">Druhým neopomenutelným teoretickým konceptem, jímž se bude později analýza této práce zabývat, je rámování. Většina teoretických příspěvků a odborných studií pochází ze zahraničního prostředí, kde byla vydána celá řada ucelených publikací zabývajících se tímto fenoménem. Teorií rámování se zabývají odborníci napříč sociálními vědami, a tak je pochopitelné, že nelze předložit univerzální definici, která by byla všemi bezproblémově akceptovaná. Autoři se neshodují ani v charakteristice a rozdíly mezi rámci a rámováním. </w:t>
      </w:r>
    </w:p>
    <w:p w14:paraId="1415E007" w14:textId="77777777" w:rsidR="00AA015D" w:rsidRPr="003C505A" w:rsidRDefault="00AA015D" w:rsidP="00AA015D">
      <w:pPr>
        <w:spacing w:line="360" w:lineRule="auto"/>
        <w:ind w:firstLine="360"/>
        <w:jc w:val="both"/>
        <w:rPr>
          <w:rFonts w:asciiTheme="minorHAnsi" w:hAnsiTheme="minorHAnsi"/>
          <w:color w:val="000000" w:themeColor="text1"/>
        </w:rPr>
      </w:pPr>
      <w:r w:rsidRPr="003C505A">
        <w:rPr>
          <w:rFonts w:asciiTheme="minorHAnsi" w:hAnsiTheme="minorHAnsi"/>
          <w:color w:val="000000" w:themeColor="text1"/>
        </w:rPr>
        <w:t xml:space="preserve">Počátky výzkumu rámování bychom našli již ve 30. letech 20. století v práci Frederika Bartletta, kognitivního psychologa původem z Velké Británie. Ve svém díle </w:t>
      </w:r>
      <w:r w:rsidRPr="003C505A">
        <w:rPr>
          <w:rFonts w:asciiTheme="minorHAnsi" w:hAnsiTheme="minorHAnsi"/>
          <w:i/>
          <w:color w:val="000000" w:themeColor="text1"/>
        </w:rPr>
        <w:t>Remembering: A Study in Experimental and Social Psychology</w:t>
      </w:r>
      <w:r w:rsidRPr="003C505A">
        <w:rPr>
          <w:rFonts w:asciiTheme="minorHAnsi" w:hAnsiTheme="minorHAnsi"/>
          <w:color w:val="000000" w:themeColor="text1"/>
        </w:rPr>
        <w:t xml:space="preserve"> se věnoval rozvoji teorie zkoumající lidskou paměť. Zároveň v této knize položil základy pro dnešní teorii rámců, které však sám popisoval jako tzv. schémata. Na základě několika experimentů zjistil, že člověk si zapisuje každou zkušenost ve formě schématu, jímž si v podstatě zjednodušuje její chápání, či se ji snaží zasadit do sociální reality a kontextu. Zároveň podotknul, že s každou novou zkušeností si člověk dále tato schémata přepisuje a mění je (Bartlett 1932). </w:t>
      </w:r>
    </w:p>
    <w:p w14:paraId="26402D82" w14:textId="77777777" w:rsidR="00AA015D" w:rsidRPr="003C505A" w:rsidRDefault="00AA015D" w:rsidP="00AA015D">
      <w:pPr>
        <w:spacing w:line="360" w:lineRule="auto"/>
        <w:ind w:firstLine="360"/>
        <w:jc w:val="both"/>
        <w:rPr>
          <w:rFonts w:asciiTheme="minorHAnsi" w:hAnsiTheme="minorHAnsi"/>
          <w:color w:val="000000" w:themeColor="text1"/>
        </w:rPr>
      </w:pPr>
      <w:r w:rsidRPr="003C505A">
        <w:rPr>
          <w:rFonts w:asciiTheme="minorHAnsi" w:hAnsiTheme="minorHAnsi"/>
          <w:color w:val="000000" w:themeColor="text1"/>
        </w:rPr>
        <w:t xml:space="preserve">Na Bartlettovu práci navázalo několik výzkumníků </w:t>
      </w:r>
      <w:r w:rsidR="006D7EE1">
        <w:rPr>
          <w:rFonts w:asciiTheme="minorHAnsi" w:hAnsiTheme="minorHAnsi"/>
          <w:color w:val="000000" w:themeColor="text1"/>
        </w:rPr>
        <w:t xml:space="preserve">z </w:t>
      </w:r>
      <w:r w:rsidRPr="003C505A">
        <w:rPr>
          <w:rFonts w:asciiTheme="minorHAnsi" w:hAnsiTheme="minorHAnsi"/>
          <w:color w:val="000000" w:themeColor="text1"/>
        </w:rPr>
        <w:t xml:space="preserve">různých odvětví sociálních věd. Samotný pojem „rám“ byl poprvé použit v 50. letech 20. století americkým antropologem Gregory Batesonem. Velká část jeho práce se soustředila na syntézu toho, co nazýval jako „ekologii mysli“. Jeho dílo </w:t>
      </w:r>
      <w:r w:rsidRPr="003C505A">
        <w:rPr>
          <w:rFonts w:asciiTheme="minorHAnsi" w:hAnsiTheme="minorHAnsi"/>
          <w:i/>
          <w:color w:val="000000" w:themeColor="text1"/>
        </w:rPr>
        <w:t>A Theory of Play and Fantasy</w:t>
      </w:r>
      <w:r w:rsidRPr="003C505A">
        <w:rPr>
          <w:rFonts w:asciiTheme="minorHAnsi" w:hAnsiTheme="minorHAnsi"/>
          <w:color w:val="000000" w:themeColor="text1"/>
        </w:rPr>
        <w:t xml:space="preserve"> v sobě kříží a zahrnuje pohled mnoha oborů od komunikace a psychologie</w:t>
      </w:r>
      <w:r w:rsidR="000F1248">
        <w:rPr>
          <w:rFonts w:asciiTheme="minorHAnsi" w:hAnsiTheme="minorHAnsi"/>
          <w:color w:val="000000" w:themeColor="text1"/>
        </w:rPr>
        <w:t>,</w:t>
      </w:r>
      <w:r w:rsidRPr="003C505A">
        <w:rPr>
          <w:rFonts w:asciiTheme="minorHAnsi" w:hAnsiTheme="minorHAnsi"/>
          <w:color w:val="000000" w:themeColor="text1"/>
        </w:rPr>
        <w:t xml:space="preserve"> až po disciplíny ja</w:t>
      </w:r>
      <w:r w:rsidR="000F1248">
        <w:rPr>
          <w:rFonts w:asciiTheme="minorHAnsi" w:hAnsiTheme="minorHAnsi"/>
          <w:color w:val="000000" w:themeColor="text1"/>
        </w:rPr>
        <w:t>ko je filozofie či matematika. P</w:t>
      </w:r>
      <w:r w:rsidRPr="003C505A">
        <w:rPr>
          <w:rFonts w:asciiTheme="minorHAnsi" w:hAnsiTheme="minorHAnsi"/>
          <w:color w:val="000000" w:themeColor="text1"/>
        </w:rPr>
        <w:t>řevážně se však věnuje interakcemi v komunikaci a jazyce. Práce je založena na myšlence, že sdělení v sobě skýtají určitou míru abstrakce. Tato abstrakce pak musí být nutně pochopena mezi tím, kým je sdílena a příjemcem sdělení, aby mezi nimi nedošlo k dezinterpretaci. Aby bylo tedy sdělení pochopeno správně, musí se sdělovatel a příjemce nacházet ve stejn</w:t>
      </w:r>
      <w:r w:rsidR="00DA6D46">
        <w:rPr>
          <w:rFonts w:asciiTheme="minorHAnsi" w:hAnsiTheme="minorHAnsi"/>
          <w:color w:val="000000" w:themeColor="text1"/>
        </w:rPr>
        <w:t>ém myšlenkovém rámu. Pro běžného</w:t>
      </w:r>
      <w:r w:rsidRPr="003C505A">
        <w:rPr>
          <w:rFonts w:asciiTheme="minorHAnsi" w:hAnsiTheme="minorHAnsi"/>
          <w:color w:val="000000" w:themeColor="text1"/>
        </w:rPr>
        <w:t xml:space="preserve"> pozorovatele tak nemusí být rámovaný obsah vůbec zřetelný či pozorovatelný, </w:t>
      </w:r>
      <w:r w:rsidR="004E148E">
        <w:rPr>
          <w:rFonts w:asciiTheme="minorHAnsi" w:hAnsiTheme="minorHAnsi"/>
          <w:color w:val="000000" w:themeColor="text1"/>
        </w:rPr>
        <w:t>což Bateson dokázal v roce 1952, když</w:t>
      </w:r>
      <w:r w:rsidRPr="003C505A">
        <w:rPr>
          <w:rFonts w:asciiTheme="minorHAnsi" w:hAnsiTheme="minorHAnsi"/>
          <w:color w:val="000000" w:themeColor="text1"/>
        </w:rPr>
        <w:t xml:space="preserve"> navštívil Zoo v San Franciscu, kam se vydal pozorovat behaviorální znaky a kritéria, která by indikovala, zda je pozorované zvíře schopno rozpoznat signály, které ono samo, či jiné zvíře téhož druhu vysílá</w:t>
      </w:r>
      <w:r w:rsidRPr="003C505A">
        <w:rPr>
          <w:rFonts w:asciiTheme="minorHAnsi" w:hAnsiTheme="minorHAnsi"/>
        </w:rPr>
        <w:t xml:space="preserve"> (</w:t>
      </w:r>
      <w:r w:rsidRPr="003C505A">
        <w:rPr>
          <w:rFonts w:asciiTheme="minorHAnsi" w:hAnsiTheme="minorHAnsi"/>
          <w:color w:val="000000" w:themeColor="text1"/>
        </w:rPr>
        <w:t xml:space="preserve">Bateson in Tannen, 1993: 3-18). </w:t>
      </w:r>
    </w:p>
    <w:p w14:paraId="071E9A37" w14:textId="166BE22C" w:rsidR="00AA015D" w:rsidRPr="003C505A" w:rsidRDefault="00AA015D" w:rsidP="00AA015D">
      <w:pPr>
        <w:spacing w:line="360" w:lineRule="auto"/>
        <w:ind w:firstLine="360"/>
        <w:jc w:val="both"/>
        <w:rPr>
          <w:rFonts w:asciiTheme="minorHAnsi" w:hAnsiTheme="minorHAnsi"/>
          <w:color w:val="000000" w:themeColor="text1"/>
        </w:rPr>
      </w:pPr>
      <w:r w:rsidRPr="003C505A">
        <w:rPr>
          <w:rFonts w:asciiTheme="minorHAnsi" w:hAnsiTheme="minorHAnsi"/>
          <w:color w:val="000000" w:themeColor="text1"/>
        </w:rPr>
        <w:t>Přestože se původně domníval, že neexistuje žádná pravděpodobnost, že by mezi savci mohla být taková sdělení nalezena, musel svůj předpoklad přehodnotit. Fenomén, který v zoo zpozoroval byly dvě hrající se opice, jejichž chování připomínalo boj. Bateson nicméně zaznamenal, že existuje nějaký signál, při němž se opice začaly hravě pronásledovat a útočit na sebe a na základě nějakého jiného signálu hru zastavily. Bateson zde pracoval s několika hypotézami. Zaprvé, signál podobný tomu, při němž si opice začaly hrát, může být vlastní pouze organismům, které jsou schopné tzv. meta-komunikace. Tu chápe jako výměnu signálů, které by nesly zprávu „toto je hra“ a „toto už hra není“. Zmiňuje, že došlo k určité evoluci v komunikaci, kdy jedinec přestal reagovat na signály druhého jedince automaticky, nýbrž byl tento signál schopen rozpoznat. Realizace, že signály jsou signály</w:t>
      </w:r>
      <w:r w:rsidR="00ED73B7">
        <w:rPr>
          <w:rFonts w:asciiTheme="minorHAnsi" w:hAnsiTheme="minorHAnsi"/>
          <w:color w:val="000000" w:themeColor="text1"/>
        </w:rPr>
        <w:t>,</w:t>
      </w:r>
      <w:r w:rsidRPr="003C505A">
        <w:rPr>
          <w:rFonts w:asciiTheme="minorHAnsi" w:hAnsiTheme="minorHAnsi"/>
          <w:color w:val="000000" w:themeColor="text1"/>
        </w:rPr>
        <w:t xml:space="preserve"> pak podle něj není u lidí úplná. Příliš často reagujeme automaticky na titulky novinových článků, jako by to byl snad přímý signál vysílaný jedincem, je</w:t>
      </w:r>
      <w:r w:rsidR="00ED73B7">
        <w:rPr>
          <w:rFonts w:asciiTheme="minorHAnsi" w:hAnsiTheme="minorHAnsi"/>
          <w:color w:val="000000" w:themeColor="text1"/>
        </w:rPr>
        <w:t>n</w:t>
      </w:r>
      <w:r w:rsidRPr="003C505A">
        <w:rPr>
          <w:rFonts w:asciiTheme="minorHAnsi" w:hAnsiTheme="minorHAnsi"/>
          <w:color w:val="000000" w:themeColor="text1"/>
        </w:rPr>
        <w:t>ž by byl ve stejném myšlenkovém rámu jako my. Bateson tento jev vysvětluje jednoduchým příkladem. Jakýkoliv savec, který není člověkem, bývá automaticky stimulován, zacítí-li pach či feromony vylučované jiným savcem. Jedná se o běžný fyziologický proces a způsob vnitrodruhové komunikace. U lidí  je však tento jev mnohem komplexnější. Deodoranty, parfémy a různé kosmetické přípravky tyto pachy maskují</w:t>
      </w:r>
      <w:r w:rsidR="00ED73B7">
        <w:rPr>
          <w:rFonts w:asciiTheme="minorHAnsi" w:hAnsiTheme="minorHAnsi"/>
          <w:color w:val="000000" w:themeColor="text1"/>
        </w:rPr>
        <w:t>,</w:t>
      </w:r>
      <w:r w:rsidRPr="003C505A">
        <w:rPr>
          <w:rFonts w:asciiTheme="minorHAnsi" w:hAnsiTheme="minorHAnsi"/>
          <w:color w:val="000000" w:themeColor="text1"/>
        </w:rPr>
        <w:t xml:space="preserve"> a tak nedochází k automatickému účinku</w:t>
      </w:r>
      <w:r w:rsidR="00ED73B7">
        <w:rPr>
          <w:rFonts w:asciiTheme="minorHAnsi" w:hAnsiTheme="minorHAnsi"/>
          <w:color w:val="000000" w:themeColor="text1"/>
        </w:rPr>
        <w:t>,</w:t>
      </w:r>
      <w:r w:rsidRPr="003C505A">
        <w:rPr>
          <w:rFonts w:asciiTheme="minorHAnsi" w:hAnsiTheme="minorHAnsi"/>
          <w:color w:val="000000" w:themeColor="text1"/>
        </w:rPr>
        <w:t xml:space="preserve"> jako tomu je u zvířat. Zároveň u lidí dochází ke komunikaci na mnohonásobně vyšší úrovni abstrakce a složitosti jazyka, empatie, identifikace, projekce </w:t>
      </w:r>
      <w:r w:rsidR="007933A9">
        <w:rPr>
          <w:rFonts w:asciiTheme="minorHAnsi" w:hAnsiTheme="minorHAnsi"/>
          <w:color w:val="000000" w:themeColor="text1"/>
        </w:rPr>
        <w:t>aj. Za důležité</w:t>
      </w:r>
      <w:r w:rsidRPr="003C505A">
        <w:rPr>
          <w:rFonts w:asciiTheme="minorHAnsi" w:hAnsiTheme="minorHAnsi"/>
          <w:color w:val="000000" w:themeColor="text1"/>
        </w:rPr>
        <w:t xml:space="preserve"> považuje také výběr slov, tón hlasu a nonverbální komunikaci. Rámce zároveň nemusí být vždy pravdivé, právě naopak, zprávy mohou být úmyslně rámovány nepravdivě  (</w:t>
      </w:r>
      <w:r w:rsidR="00ED73B7">
        <w:rPr>
          <w:rFonts w:asciiTheme="minorHAnsi" w:hAnsiTheme="minorHAnsi"/>
          <w:color w:val="000000" w:themeColor="text1"/>
        </w:rPr>
        <w:t xml:space="preserve">Bateson </w:t>
      </w:r>
      <w:r w:rsidR="00ED73B7" w:rsidRPr="003A1710">
        <w:t>1972</w:t>
      </w:r>
      <w:r w:rsidR="00ED73B7">
        <w:t xml:space="preserve">: </w:t>
      </w:r>
      <w:r w:rsidRPr="003C505A">
        <w:rPr>
          <w:rFonts w:asciiTheme="minorHAnsi" w:hAnsiTheme="minorHAnsi"/>
          <w:color w:val="000000" w:themeColor="text1"/>
        </w:rPr>
        <w:t>323-326).</w:t>
      </w:r>
    </w:p>
    <w:p w14:paraId="3C0ED61F" w14:textId="2353893E" w:rsidR="00AA015D" w:rsidRPr="003C505A" w:rsidRDefault="00AA015D" w:rsidP="00AA015D">
      <w:pPr>
        <w:spacing w:line="360" w:lineRule="auto"/>
        <w:ind w:firstLine="360"/>
        <w:jc w:val="both"/>
        <w:rPr>
          <w:rFonts w:asciiTheme="minorHAnsi" w:hAnsiTheme="minorHAnsi"/>
          <w:color w:val="000000" w:themeColor="text1"/>
        </w:rPr>
      </w:pPr>
      <w:r w:rsidRPr="003C505A">
        <w:rPr>
          <w:rFonts w:asciiTheme="minorHAnsi" w:hAnsiTheme="minorHAnsi"/>
          <w:color w:val="000000" w:themeColor="text1"/>
        </w:rPr>
        <w:t>Batesonův koncept rámování nebyl zcela přesný</w:t>
      </w:r>
      <w:r w:rsidR="00ED73B7">
        <w:rPr>
          <w:rFonts w:asciiTheme="minorHAnsi" w:hAnsiTheme="minorHAnsi"/>
          <w:color w:val="000000" w:themeColor="text1"/>
        </w:rPr>
        <w:t>,</w:t>
      </w:r>
      <w:r w:rsidRPr="003C505A">
        <w:rPr>
          <w:rFonts w:asciiTheme="minorHAnsi" w:hAnsiTheme="minorHAnsi"/>
          <w:color w:val="000000" w:themeColor="text1"/>
        </w:rPr>
        <w:t xml:space="preserve"> a tak byl dále rozvíjen dalšími autory, kteří stejně jako on kladli důraz na kulturní podmíněnost a kontext rámců. Největší pozornost  věnoval teorii rámování sociolog Erving Goffman ve své knize</w:t>
      </w:r>
      <w:r w:rsidRPr="003C505A">
        <w:rPr>
          <w:rFonts w:asciiTheme="minorHAnsi" w:hAnsiTheme="minorHAnsi"/>
          <w:i/>
          <w:color w:val="000000" w:themeColor="text1"/>
        </w:rPr>
        <w:t xml:space="preserve"> Frame Analysis: An Essay on the Organization of Experience</w:t>
      </w:r>
      <w:r w:rsidRPr="003C505A">
        <w:rPr>
          <w:rFonts w:asciiTheme="minorHAnsi" w:hAnsiTheme="minorHAnsi"/>
          <w:color w:val="000000" w:themeColor="text1"/>
        </w:rPr>
        <w:t xml:space="preserve"> z roku 1974. Goffman stavěl svou práci na tvrzení, že jedinci nejsou schopni porozumět světu v jeho úplnosti. Aby sdělením porozuměli, vytváří si schémata in</w:t>
      </w:r>
      <w:r w:rsidR="009D2522">
        <w:rPr>
          <w:rFonts w:asciiTheme="minorHAnsi" w:hAnsiTheme="minorHAnsi"/>
          <w:color w:val="000000" w:themeColor="text1"/>
        </w:rPr>
        <w:t>terpretací, která Goffman nazýval</w:t>
      </w:r>
      <w:r w:rsidRPr="003C505A">
        <w:rPr>
          <w:rFonts w:asciiTheme="minorHAnsi" w:hAnsiTheme="minorHAnsi"/>
          <w:color w:val="000000" w:themeColor="text1"/>
        </w:rPr>
        <w:t xml:space="preserve"> jako „primární rámce“. Typ primárního rámce, který používáme</w:t>
      </w:r>
      <w:r w:rsidR="00ED73B7">
        <w:rPr>
          <w:rFonts w:asciiTheme="minorHAnsi" w:hAnsiTheme="minorHAnsi"/>
          <w:color w:val="000000" w:themeColor="text1"/>
        </w:rPr>
        <w:t>,</w:t>
      </w:r>
      <w:r w:rsidRPr="003C505A">
        <w:rPr>
          <w:rFonts w:asciiTheme="minorHAnsi" w:hAnsiTheme="minorHAnsi"/>
          <w:color w:val="000000" w:themeColor="text1"/>
        </w:rPr>
        <w:t xml:space="preserve"> pak poskytuje způsob, jak popsat událost, na kterou se vztahuje.  (Goffman 1974: 24). Goffman uvádí, že rámy jsou označení pro elementy, které jsme schopni identifikovat. Analýzu rámování pak chápe jako vyústění snahy zkoumání způsobu, jakým je zkušenost obsahující tyto elementy organizována (Goffman 1974: 11). </w:t>
      </w:r>
    </w:p>
    <w:p w14:paraId="20392833" w14:textId="3AE16040" w:rsidR="00062206" w:rsidRPr="003C505A" w:rsidRDefault="00062206" w:rsidP="00062206">
      <w:pPr>
        <w:spacing w:line="360" w:lineRule="auto"/>
        <w:ind w:firstLine="360"/>
        <w:jc w:val="both"/>
        <w:rPr>
          <w:rFonts w:asciiTheme="minorHAnsi" w:hAnsiTheme="minorHAnsi"/>
          <w:color w:val="000000" w:themeColor="text1"/>
        </w:rPr>
      </w:pPr>
      <w:r w:rsidRPr="003C505A">
        <w:rPr>
          <w:rFonts w:asciiTheme="minorHAnsi" w:hAnsiTheme="minorHAnsi"/>
          <w:color w:val="000000" w:themeColor="text1"/>
        </w:rPr>
        <w:t>Určitou míru systematičnosti se do výzkumu rámování podařilo přinést Jamesi Druckmanovi. Ve své práci z počátku milénia uvádí dva způsoby, jakými se dá na rámce nahlížet. Prvním z nich jsou rámce v myšlení (frames in thought)</w:t>
      </w:r>
      <w:r w:rsidR="00405DD9">
        <w:rPr>
          <w:rFonts w:asciiTheme="minorHAnsi" w:hAnsiTheme="minorHAnsi"/>
          <w:color w:val="000000" w:themeColor="text1"/>
        </w:rPr>
        <w:t>, které</w:t>
      </w:r>
      <w:r w:rsidRPr="003C505A">
        <w:rPr>
          <w:rFonts w:asciiTheme="minorHAnsi" w:hAnsiTheme="minorHAnsi"/>
          <w:color w:val="000000" w:themeColor="text1"/>
        </w:rPr>
        <w:t xml:space="preserve"> chápe stejně jako Erving Goffman</w:t>
      </w:r>
      <w:r w:rsidR="00097C46">
        <w:rPr>
          <w:rFonts w:asciiTheme="minorHAnsi" w:hAnsiTheme="minorHAnsi"/>
          <w:color w:val="000000" w:themeColor="text1"/>
        </w:rPr>
        <w:t>,</w:t>
      </w:r>
      <w:r w:rsidRPr="003C505A">
        <w:rPr>
          <w:rFonts w:asciiTheme="minorHAnsi" w:hAnsiTheme="minorHAnsi"/>
          <w:color w:val="000000" w:themeColor="text1"/>
        </w:rPr>
        <w:t xml:space="preserve"> jako schopnost jedince porozumět realitě na základě dimenzí, které hodnocení jedince ovlivňují.  Rámce v komunikaci (frames in communication) pak v sobě podle Druckmana zachycují slova, fráze, obrazy a styl jakým sdělovatel informaci předkládá. V tomto případě je tedy důležité, co chápe autor rámce za podstatné a čemu přisuzuje větší váhu v souvislosti s daným tématem, zatímco pro rámce v myšlení závisí daný rámec na tom,</w:t>
      </w:r>
      <w:r w:rsidR="00ED73B7">
        <w:rPr>
          <w:rFonts w:asciiTheme="minorHAnsi" w:hAnsiTheme="minorHAnsi"/>
          <w:color w:val="000000" w:themeColor="text1"/>
        </w:rPr>
        <w:t xml:space="preserve"> co si konkrétní jedinec myslí </w:t>
      </w:r>
      <w:r w:rsidRPr="003C505A">
        <w:rPr>
          <w:rFonts w:asciiTheme="minorHAnsi" w:hAnsiTheme="minorHAnsi"/>
          <w:color w:val="000000" w:themeColor="text1"/>
        </w:rPr>
        <w:t xml:space="preserve">(Druckman 2001: 227-228). </w:t>
      </w:r>
    </w:p>
    <w:p w14:paraId="4BC7E433" w14:textId="77777777" w:rsidR="00062206" w:rsidRDefault="00062206" w:rsidP="00062206">
      <w:pPr>
        <w:pStyle w:val="Nadpis2"/>
      </w:pPr>
      <w:bookmarkStart w:id="13" w:name="_Toc8123564"/>
      <w:r w:rsidRPr="00062206">
        <w:t>Rámování a rámce v</w:t>
      </w:r>
      <w:r>
        <w:t> </w:t>
      </w:r>
      <w:r w:rsidRPr="00062206">
        <w:t>komunikaci</w:t>
      </w:r>
      <w:bookmarkEnd w:id="13"/>
    </w:p>
    <w:p w14:paraId="4E8A50CB" w14:textId="00934755" w:rsidR="00062206" w:rsidRPr="003C505A" w:rsidRDefault="00062206" w:rsidP="00062206">
      <w:pPr>
        <w:spacing w:line="360" w:lineRule="auto"/>
        <w:ind w:firstLine="709"/>
        <w:jc w:val="both"/>
        <w:rPr>
          <w:rFonts w:asciiTheme="minorHAnsi" w:hAnsiTheme="minorHAnsi"/>
          <w:color w:val="000000" w:themeColor="text1"/>
        </w:rPr>
      </w:pPr>
      <w:r w:rsidRPr="003C505A">
        <w:rPr>
          <w:rFonts w:asciiTheme="minorHAnsi" w:hAnsiTheme="minorHAnsi"/>
          <w:color w:val="000000" w:themeColor="text1"/>
        </w:rPr>
        <w:t>Z předchozího přehledu je patrné, že tradice rámování patřila v minulosti převážně oborům sociologie a psychologie. V 80. letech minulého století se však začali sociálně-vědní výzkumníci více soustřeďovat na rámování mediálních obsahů. Média prakticky dávají jednotlivým událostem smysl a zasazují je do kontextu. Důraz byl kladen na výzkum účinků mediálních rámců na konzumenty různých mediálních sdělení, tedy konkrétně na to, jaký má různá prezentace totožných událostí vliv na rozhodování jednotlivce. Pojem rámování (framing) se tak začal chápat jako konkrétní rámec mediálního obsahu a pro</w:t>
      </w:r>
      <w:r w:rsidR="002F4F73">
        <w:rPr>
          <w:rFonts w:asciiTheme="minorHAnsi" w:hAnsiTheme="minorHAnsi"/>
          <w:color w:val="000000" w:themeColor="text1"/>
        </w:rPr>
        <w:t>ces jeho vzniku (Scheufele, Tew</w:t>
      </w:r>
      <w:r w:rsidRPr="003C505A">
        <w:rPr>
          <w:rFonts w:asciiTheme="minorHAnsi" w:hAnsiTheme="minorHAnsi"/>
          <w:color w:val="000000" w:themeColor="text1"/>
        </w:rPr>
        <w:t>k</w:t>
      </w:r>
      <w:r w:rsidR="002F4F73">
        <w:rPr>
          <w:rFonts w:asciiTheme="minorHAnsi" w:hAnsiTheme="minorHAnsi"/>
          <w:color w:val="000000" w:themeColor="text1"/>
        </w:rPr>
        <w:t>s</w:t>
      </w:r>
      <w:r w:rsidRPr="003C505A">
        <w:rPr>
          <w:rFonts w:asciiTheme="minorHAnsi" w:hAnsiTheme="minorHAnsi"/>
          <w:color w:val="000000" w:themeColor="text1"/>
        </w:rPr>
        <w:t>bury</w:t>
      </w:r>
      <w:r w:rsidR="002F4F73">
        <w:rPr>
          <w:rFonts w:asciiTheme="minorHAnsi" w:hAnsiTheme="minorHAnsi"/>
          <w:color w:val="000000" w:themeColor="text1"/>
        </w:rPr>
        <w:t xml:space="preserve"> </w:t>
      </w:r>
      <w:r w:rsidRPr="003C505A">
        <w:rPr>
          <w:rFonts w:asciiTheme="minorHAnsi" w:hAnsiTheme="minorHAnsi"/>
          <w:color w:val="000000" w:themeColor="text1"/>
        </w:rPr>
        <w:t>2007: 11)</w:t>
      </w:r>
      <w:r w:rsidR="00AE5956">
        <w:rPr>
          <w:rFonts w:asciiTheme="minorHAnsi" w:hAnsiTheme="minorHAnsi"/>
          <w:color w:val="000000" w:themeColor="text1"/>
        </w:rPr>
        <w:t>.</w:t>
      </w:r>
    </w:p>
    <w:p w14:paraId="2B4A548A" w14:textId="7AC9CE7F" w:rsidR="00062206" w:rsidRPr="003C505A" w:rsidRDefault="00062206" w:rsidP="00981EA3">
      <w:pPr>
        <w:spacing w:line="360" w:lineRule="auto"/>
        <w:ind w:firstLine="709"/>
        <w:jc w:val="both"/>
        <w:rPr>
          <w:rFonts w:asciiTheme="minorHAnsi" w:hAnsiTheme="minorHAnsi"/>
          <w:color w:val="000000" w:themeColor="text1"/>
        </w:rPr>
      </w:pPr>
      <w:r w:rsidRPr="003C505A">
        <w:rPr>
          <w:rFonts w:asciiTheme="minorHAnsi" w:hAnsiTheme="minorHAnsi"/>
          <w:color w:val="000000" w:themeColor="text1"/>
        </w:rPr>
        <w:t>Průkopníkem studia rámování jakožto samostatné disciplíny byl</w:t>
      </w:r>
      <w:r w:rsidR="00981EA3">
        <w:rPr>
          <w:rFonts w:asciiTheme="minorHAnsi" w:hAnsiTheme="minorHAnsi"/>
          <w:color w:val="000000" w:themeColor="text1"/>
        </w:rPr>
        <w:t>,</w:t>
      </w:r>
      <w:r w:rsidRPr="003C505A">
        <w:rPr>
          <w:rFonts w:asciiTheme="minorHAnsi" w:hAnsiTheme="minorHAnsi"/>
          <w:color w:val="000000" w:themeColor="text1"/>
        </w:rPr>
        <w:t xml:space="preserve"> a zasazení rámování do mediálních studií přinesl</w:t>
      </w:r>
      <w:r w:rsidR="00981EA3">
        <w:rPr>
          <w:rFonts w:asciiTheme="minorHAnsi" w:hAnsiTheme="minorHAnsi"/>
          <w:color w:val="000000" w:themeColor="text1"/>
        </w:rPr>
        <w:t>,</w:t>
      </w:r>
      <w:r w:rsidRPr="003C505A">
        <w:rPr>
          <w:rFonts w:asciiTheme="minorHAnsi" w:hAnsiTheme="minorHAnsi"/>
          <w:color w:val="000000" w:themeColor="text1"/>
        </w:rPr>
        <w:t xml:space="preserve"> Robert M. Entman, který tvrdil, že rámování zahrnuje výběr a význam sdělení. Rámování tak chápe jako výběr určitého aspektu reality, který je v mediálním sdělení prezentován výrazněji, než aspekty </w:t>
      </w:r>
      <w:r w:rsidR="00981EA3">
        <w:rPr>
          <w:rFonts w:asciiTheme="minorHAnsi" w:hAnsiTheme="minorHAnsi"/>
          <w:color w:val="000000" w:themeColor="text1"/>
        </w:rPr>
        <w:t xml:space="preserve">jiné </w:t>
      </w:r>
      <w:r w:rsidRPr="003C505A">
        <w:rPr>
          <w:rFonts w:asciiTheme="minorHAnsi" w:hAnsiTheme="minorHAnsi"/>
          <w:color w:val="000000" w:themeColor="text1"/>
        </w:rPr>
        <w:t>(Entman 1993: 53). Rámce pak chápal jako soubor vybraných aspektů vnímané reality, který zvýrazňuje určité aspekty dané události takovým způsobem, aby byla podpořena definice problému, kauzální intepretace a morální hodnocení</w:t>
      </w:r>
      <w:r w:rsidR="00981EA3">
        <w:rPr>
          <w:rFonts w:asciiTheme="minorHAnsi" w:hAnsiTheme="minorHAnsi"/>
          <w:color w:val="000000" w:themeColor="text1"/>
        </w:rPr>
        <w:t>,</w:t>
      </w:r>
      <w:r w:rsidRPr="003C505A">
        <w:rPr>
          <w:rFonts w:asciiTheme="minorHAnsi" w:hAnsiTheme="minorHAnsi"/>
          <w:color w:val="000000" w:themeColor="text1"/>
        </w:rPr>
        <w:t xml:space="preserve"> či doporučení pro řešení daného problému, jenž je předmětem sdělení. Dodává však, že ne všechna sdělení musí splňovat všechny tyto funkce. (Entman 1993: 52).  Ve své práci </w:t>
      </w:r>
      <w:r w:rsidRPr="00981EA3">
        <w:rPr>
          <w:rFonts w:asciiTheme="minorHAnsi" w:hAnsiTheme="minorHAnsi"/>
          <w:i/>
          <w:color w:val="000000" w:themeColor="text1"/>
        </w:rPr>
        <w:t>Framing: Toward Clarification of a Fractured Paradigm</w:t>
      </w:r>
      <w:r w:rsidRPr="003C505A">
        <w:rPr>
          <w:rFonts w:asciiTheme="minorHAnsi" w:hAnsiTheme="minorHAnsi"/>
          <w:color w:val="000000" w:themeColor="text1"/>
        </w:rPr>
        <w:t xml:space="preserve"> pak uvádí jako příklad rámec studené války, který až donedávna dominoval v amerických médiích. Tento rámec měl zvýrazňovat určité události, jako například občanskou válku, která byla identifikována jako problém, jehož viníkem jsou komunističtí rebelové. Zároveň rámec zahrnoval morální soudy (ateistická agrese) a navrhoval konkrétní řešení, jímž byla podpora protistrany americkou vládou (tamtéž). </w:t>
      </w:r>
    </w:p>
    <w:p w14:paraId="5D99EEF9" w14:textId="523652ED" w:rsidR="00062206" w:rsidRPr="003C505A" w:rsidRDefault="00062206" w:rsidP="00981EA3">
      <w:pPr>
        <w:spacing w:line="360" w:lineRule="auto"/>
        <w:ind w:firstLine="360"/>
        <w:jc w:val="both"/>
        <w:rPr>
          <w:rFonts w:asciiTheme="minorHAnsi" w:hAnsiTheme="minorHAnsi"/>
          <w:color w:val="000000" w:themeColor="text1"/>
        </w:rPr>
      </w:pPr>
      <w:r w:rsidRPr="003C505A">
        <w:rPr>
          <w:rFonts w:asciiTheme="minorHAnsi" w:hAnsiTheme="minorHAnsi"/>
          <w:color w:val="000000" w:themeColor="text1"/>
        </w:rPr>
        <w:t>Entman mimo jiné představil čtyři významné složky komunikačního procesu: komunikátora, text, příjemce a kulturu. Komunikátor vědomě</w:t>
      </w:r>
      <w:r w:rsidR="00981EA3">
        <w:rPr>
          <w:rFonts w:asciiTheme="minorHAnsi" w:hAnsiTheme="minorHAnsi"/>
          <w:color w:val="000000" w:themeColor="text1"/>
        </w:rPr>
        <w:t>,</w:t>
      </w:r>
      <w:r w:rsidRPr="003C505A">
        <w:rPr>
          <w:rFonts w:asciiTheme="minorHAnsi" w:hAnsiTheme="minorHAnsi"/>
          <w:color w:val="000000" w:themeColor="text1"/>
        </w:rPr>
        <w:t xml:space="preserve"> či nevědomě vytváří úsudky a rozhoduje, co bude sdělovat, přičemž je vedený rámy, či schématy, v nichž se nachází určitý souhrn jeho vlastních hodnot. Text poté obsahuje rámce, v nichž jsou</w:t>
      </w:r>
      <w:r w:rsidR="00C31E11">
        <w:rPr>
          <w:rFonts w:asciiTheme="minorHAnsi" w:hAnsiTheme="minorHAnsi"/>
          <w:color w:val="000000" w:themeColor="text1"/>
        </w:rPr>
        <w:t>,</w:t>
      </w:r>
      <w:r w:rsidRPr="003C505A">
        <w:rPr>
          <w:rFonts w:asciiTheme="minorHAnsi" w:hAnsiTheme="minorHAnsi"/>
          <w:color w:val="000000" w:themeColor="text1"/>
        </w:rPr>
        <w:t xml:space="preserve"> nebo nejsou přítomná určitá klíčová slova, fráze, stereotypní obrazy a zdroje informací, které posilují shluky faktů a úsudků komunikátora. Rámce následně směřují příjemcovo vnímání, které může</w:t>
      </w:r>
      <w:r w:rsidR="0094461B">
        <w:rPr>
          <w:rFonts w:asciiTheme="minorHAnsi" w:hAnsiTheme="minorHAnsi"/>
          <w:color w:val="000000" w:themeColor="text1"/>
        </w:rPr>
        <w:t>,</w:t>
      </w:r>
      <w:r w:rsidRPr="003C505A">
        <w:rPr>
          <w:rFonts w:asciiTheme="minorHAnsi" w:hAnsiTheme="minorHAnsi"/>
          <w:color w:val="000000" w:themeColor="text1"/>
        </w:rPr>
        <w:t xml:space="preserve"> nebo nemusí odrážet záměr rámce komunikátora. Kultura pak představuje soubor společných rámců, jež mohou být vlastní pro myšlení většiny v daném sociálním systému (Entman 1993: 52-53). </w:t>
      </w:r>
    </w:p>
    <w:p w14:paraId="7571B32D" w14:textId="77777777" w:rsidR="00062206" w:rsidRPr="003C505A" w:rsidRDefault="00062206" w:rsidP="00062206">
      <w:pPr>
        <w:spacing w:line="360" w:lineRule="auto"/>
        <w:ind w:firstLine="360"/>
        <w:jc w:val="both"/>
        <w:rPr>
          <w:rFonts w:asciiTheme="minorHAnsi" w:hAnsiTheme="minorHAnsi"/>
          <w:color w:val="000000" w:themeColor="text1"/>
        </w:rPr>
      </w:pPr>
      <w:r w:rsidRPr="003C505A">
        <w:rPr>
          <w:rFonts w:asciiTheme="minorHAnsi" w:hAnsiTheme="minorHAnsi"/>
          <w:color w:val="000000" w:themeColor="text1"/>
        </w:rPr>
        <w:t xml:space="preserve">S revolučním konceptem navázal D. A. Scheufele (1999), který vymezil čtyři klíčové procesy, které lze v rámci mediálního rámování rozlišit. Mezi ně patří: </w:t>
      </w:r>
    </w:p>
    <w:p w14:paraId="25F3B4B1" w14:textId="77777777" w:rsidR="00062206" w:rsidRPr="003C505A" w:rsidRDefault="00062206" w:rsidP="00062206">
      <w:pPr>
        <w:pStyle w:val="Odstavecseseznamem"/>
        <w:numPr>
          <w:ilvl w:val="0"/>
          <w:numId w:val="22"/>
        </w:numPr>
        <w:spacing w:after="160" w:line="360" w:lineRule="auto"/>
        <w:jc w:val="both"/>
        <w:rPr>
          <w:rFonts w:asciiTheme="minorHAnsi" w:hAnsiTheme="minorHAnsi"/>
          <w:color w:val="000000" w:themeColor="text1"/>
        </w:rPr>
      </w:pPr>
      <w:r w:rsidRPr="003C505A">
        <w:rPr>
          <w:rFonts w:asciiTheme="minorHAnsi" w:hAnsiTheme="minorHAnsi"/>
          <w:color w:val="000000" w:themeColor="text1"/>
        </w:rPr>
        <w:t>Frame-building, tedy výstavba rámců novináři. Tvorba rámů v sobě zahrnuje interní a externí procesy. Interní procesy ovlivňují vznik mediálního rámce přímo v redakci, zatímco externí je ovlivňují mimo toto prostředí. Oba procesy pak ovlivňují, jak novináři dané sdělení zarámují.</w:t>
      </w:r>
    </w:p>
    <w:p w14:paraId="1167C125" w14:textId="77777777" w:rsidR="00062206" w:rsidRPr="003C505A" w:rsidRDefault="00062206" w:rsidP="00062206">
      <w:pPr>
        <w:pStyle w:val="Odstavecseseznamem"/>
        <w:numPr>
          <w:ilvl w:val="0"/>
          <w:numId w:val="22"/>
        </w:numPr>
        <w:spacing w:after="160" w:line="360" w:lineRule="auto"/>
        <w:jc w:val="both"/>
        <w:rPr>
          <w:rFonts w:asciiTheme="minorHAnsi" w:hAnsiTheme="minorHAnsi"/>
          <w:color w:val="000000" w:themeColor="text1"/>
        </w:rPr>
      </w:pPr>
      <w:r w:rsidRPr="003C505A">
        <w:rPr>
          <w:rFonts w:asciiTheme="minorHAnsi" w:hAnsiTheme="minorHAnsi"/>
          <w:color w:val="000000" w:themeColor="text1"/>
        </w:rPr>
        <w:t>Frame-setting, který zkoumá účinky rámování na myšlení jednotlivců.</w:t>
      </w:r>
    </w:p>
    <w:p w14:paraId="54696FEC" w14:textId="77777777" w:rsidR="00062206" w:rsidRPr="003C505A" w:rsidRDefault="00062206" w:rsidP="00062206">
      <w:pPr>
        <w:pStyle w:val="Odstavecseseznamem"/>
        <w:numPr>
          <w:ilvl w:val="0"/>
          <w:numId w:val="22"/>
        </w:numPr>
        <w:spacing w:after="160" w:line="360" w:lineRule="auto"/>
        <w:jc w:val="both"/>
        <w:rPr>
          <w:rFonts w:asciiTheme="minorHAnsi" w:hAnsiTheme="minorHAnsi"/>
          <w:color w:val="000000" w:themeColor="text1"/>
        </w:rPr>
      </w:pPr>
      <w:r w:rsidRPr="003C505A">
        <w:rPr>
          <w:rFonts w:asciiTheme="minorHAnsi" w:hAnsiTheme="minorHAnsi"/>
          <w:color w:val="000000" w:themeColor="text1"/>
        </w:rPr>
        <w:t xml:space="preserve">Individuální proces tvorby rámců a jejich vliv na příjemce, který pracuje s předpokladem, že ne všichni jednotlivci jsou jedním rámem ovlivněni stejně. </w:t>
      </w:r>
    </w:p>
    <w:p w14:paraId="6BF79583" w14:textId="0C6AEC55" w:rsidR="00062206" w:rsidRDefault="00614F8E" w:rsidP="003C505A">
      <w:pPr>
        <w:pStyle w:val="Odstavecseseznamem"/>
        <w:numPr>
          <w:ilvl w:val="0"/>
          <w:numId w:val="22"/>
        </w:numPr>
        <w:spacing w:after="160" w:line="360" w:lineRule="auto"/>
        <w:jc w:val="both"/>
        <w:rPr>
          <w:rFonts w:asciiTheme="minorHAnsi" w:hAnsiTheme="minorHAnsi"/>
          <w:color w:val="000000" w:themeColor="text1"/>
        </w:rPr>
      </w:pPr>
      <w:r>
        <w:rPr>
          <w:rFonts w:asciiTheme="minorHAnsi" w:hAnsiTheme="minorHAnsi"/>
          <w:color w:val="000000" w:themeColor="text1"/>
        </w:rPr>
        <w:t>Z</w:t>
      </w:r>
      <w:r w:rsidR="00062206" w:rsidRPr="003C505A">
        <w:rPr>
          <w:rFonts w:asciiTheme="minorHAnsi" w:hAnsiTheme="minorHAnsi"/>
          <w:color w:val="000000" w:themeColor="text1"/>
        </w:rPr>
        <w:t>pětná vazba od</w:t>
      </w:r>
      <w:r w:rsidR="0094461B">
        <w:rPr>
          <w:rFonts w:asciiTheme="minorHAnsi" w:hAnsiTheme="minorHAnsi"/>
          <w:color w:val="000000" w:themeColor="text1"/>
        </w:rPr>
        <w:t xml:space="preserve"> publika k novinářům (Schuefele</w:t>
      </w:r>
      <w:r w:rsidR="00062206" w:rsidRPr="003C505A">
        <w:rPr>
          <w:rFonts w:asciiTheme="minorHAnsi" w:hAnsiTheme="minorHAnsi"/>
          <w:color w:val="000000" w:themeColor="text1"/>
        </w:rPr>
        <w:t xml:space="preserve"> 1999).</w:t>
      </w:r>
    </w:p>
    <w:p w14:paraId="142FA832" w14:textId="77777777" w:rsidR="003C505A" w:rsidRPr="003C505A" w:rsidRDefault="003C505A" w:rsidP="003C505A">
      <w:pPr>
        <w:pStyle w:val="Odstavecseseznamem"/>
        <w:spacing w:after="160" w:line="360" w:lineRule="auto"/>
        <w:jc w:val="both"/>
        <w:rPr>
          <w:rFonts w:asciiTheme="minorHAnsi" w:hAnsiTheme="minorHAnsi"/>
          <w:color w:val="000000" w:themeColor="text1"/>
        </w:rPr>
      </w:pPr>
    </w:p>
    <w:p w14:paraId="03544555" w14:textId="77777777" w:rsidR="00062206" w:rsidRDefault="00062206" w:rsidP="00062206">
      <w:pPr>
        <w:pStyle w:val="Nadpis3"/>
      </w:pPr>
      <w:r w:rsidRPr="00062206">
        <w:t>Typologie rámců v komunikaci</w:t>
      </w:r>
    </w:p>
    <w:p w14:paraId="52F48613" w14:textId="7DD3613B" w:rsidR="00062206" w:rsidRPr="003C505A" w:rsidRDefault="00062206" w:rsidP="003C505A">
      <w:pPr>
        <w:spacing w:line="360" w:lineRule="auto"/>
        <w:ind w:firstLine="709"/>
        <w:jc w:val="both"/>
        <w:rPr>
          <w:rFonts w:asciiTheme="minorHAnsi" w:hAnsiTheme="minorHAnsi"/>
          <w:color w:val="000000" w:themeColor="text1"/>
        </w:rPr>
      </w:pPr>
      <w:r w:rsidRPr="003C505A">
        <w:rPr>
          <w:rFonts w:asciiTheme="minorHAnsi" w:hAnsiTheme="minorHAnsi"/>
          <w:color w:val="000000" w:themeColor="text1"/>
        </w:rPr>
        <w:t xml:space="preserve">Existuje celá řada rámů a jejich logické seřazení je velmi obtížné, a to především vzhledem k nekonzistenci a shodě definování, jež odráží význam rámů. Zároveň je však nutné představit obecnější rozlišení rámců. Claes de Vreese ve své </w:t>
      </w:r>
      <w:r w:rsidRPr="00051964">
        <w:rPr>
          <w:rFonts w:asciiTheme="minorHAnsi" w:hAnsiTheme="minorHAnsi"/>
          <w:i/>
          <w:color w:val="000000" w:themeColor="text1"/>
        </w:rPr>
        <w:t xml:space="preserve">práci News Framing: Theory and Typology </w:t>
      </w:r>
      <w:r w:rsidRPr="003C505A">
        <w:rPr>
          <w:rFonts w:asciiTheme="minorHAnsi" w:hAnsiTheme="minorHAnsi"/>
          <w:color w:val="000000" w:themeColor="text1"/>
        </w:rPr>
        <w:t xml:space="preserve">hovoří </w:t>
      </w:r>
      <w:r w:rsidR="008E4977">
        <w:rPr>
          <w:rFonts w:asciiTheme="minorHAnsi" w:hAnsiTheme="minorHAnsi"/>
          <w:color w:val="000000" w:themeColor="text1"/>
        </w:rPr>
        <w:t xml:space="preserve">o </w:t>
      </w:r>
      <w:r w:rsidRPr="003C505A">
        <w:rPr>
          <w:rFonts w:asciiTheme="minorHAnsi" w:hAnsiTheme="minorHAnsi"/>
          <w:color w:val="000000" w:themeColor="text1"/>
        </w:rPr>
        <w:t>dvojím typu rámců. Dodává, že některé rámce jsou specifické pro konkrétní problém, zatímco jiné rámce tematické omezení překračují. Rámce zaměřené na konkrétní problém (issue-specific frame) umožňují vysokou úroveň specifičnosti a předložení události, jež je rámována. Druhým typem jsou obecné rámce (generic frames), které se mohou věnovat například pokrytí politických témat, zejména pak mediálnímu pokrytí volebních kampaní (de Vreese 2005: 54-55).</w:t>
      </w:r>
    </w:p>
    <w:p w14:paraId="09C86997" w14:textId="2CFC0C4E" w:rsidR="00062206" w:rsidRPr="003C505A" w:rsidRDefault="00062206" w:rsidP="00D55EF0">
      <w:pPr>
        <w:spacing w:line="360" w:lineRule="auto"/>
        <w:ind w:firstLine="709"/>
        <w:jc w:val="both"/>
        <w:rPr>
          <w:rFonts w:asciiTheme="minorHAnsi" w:hAnsiTheme="minorHAnsi"/>
          <w:color w:val="000000" w:themeColor="text1"/>
        </w:rPr>
      </w:pPr>
      <w:r w:rsidRPr="003C505A">
        <w:rPr>
          <w:rFonts w:asciiTheme="minorHAnsi" w:hAnsiTheme="minorHAnsi"/>
          <w:color w:val="000000" w:themeColor="text1"/>
        </w:rPr>
        <w:t>Některé klasifikace rámování se nezaměřovaly na to, co je obsahem rámce, ale jaký má daný rámec efekt na své příjemce. Mezi tyto patří například typologie Daniela Kahnema</w:t>
      </w:r>
      <w:r w:rsidR="00ED73B7">
        <w:rPr>
          <w:rFonts w:asciiTheme="minorHAnsi" w:hAnsiTheme="minorHAnsi"/>
          <w:color w:val="000000" w:themeColor="text1"/>
        </w:rPr>
        <w:t>na</w:t>
      </w:r>
      <w:r w:rsidRPr="003C505A">
        <w:rPr>
          <w:rFonts w:asciiTheme="minorHAnsi" w:hAnsiTheme="minorHAnsi"/>
          <w:color w:val="000000" w:themeColor="text1"/>
        </w:rPr>
        <w:t xml:space="preserve"> a Amose Tverskeho (1984) nebo Shanto Iyengar (1991). Iyengar tvořil svoji studii </w:t>
      </w:r>
      <w:r w:rsidRPr="003C505A">
        <w:rPr>
          <w:rFonts w:asciiTheme="minorHAnsi" w:hAnsiTheme="minorHAnsi"/>
          <w:i/>
          <w:color w:val="000000" w:themeColor="text1"/>
        </w:rPr>
        <w:t>Is Anyone Responsible? How Television Frames Political Issues?</w:t>
      </w:r>
      <w:r w:rsidRPr="003C505A">
        <w:rPr>
          <w:rFonts w:asciiTheme="minorHAnsi" w:hAnsiTheme="minorHAnsi"/>
          <w:color w:val="000000" w:themeColor="text1"/>
        </w:rPr>
        <w:t xml:space="preserve"> na předpokladu, že každá televizní zpráva věnující se politické události je vždy rámována buďto epizodicky, nebo tematicky. Epizodické rámování znamená, že se (televizní) sdělení zaměřuje pouze na jednu událost či jeden konkrétní případ. Tematický rámec naopak dává jednotlivé politické události do širšího a abstraktnějšího kontextu (Iyengar 1991: 1-5). Podle Iyegara se však oba typy ve své čisté podobě vyskytují v televizním vysílání velmi výjimečně, přesto však v praxi převažuje epizodické rámování televizních zpráv (Iyengar 1991: 138). </w:t>
      </w:r>
    </w:p>
    <w:p w14:paraId="68877270" w14:textId="4875713A" w:rsidR="00062206" w:rsidRPr="003C505A" w:rsidRDefault="00062206" w:rsidP="00062206">
      <w:pPr>
        <w:spacing w:line="360" w:lineRule="auto"/>
        <w:ind w:firstLine="709"/>
        <w:jc w:val="both"/>
        <w:rPr>
          <w:rFonts w:asciiTheme="minorHAnsi" w:hAnsiTheme="minorHAnsi"/>
          <w:color w:val="000000" w:themeColor="text1"/>
        </w:rPr>
      </w:pPr>
      <w:r w:rsidRPr="003C505A">
        <w:rPr>
          <w:rFonts w:asciiTheme="minorHAnsi" w:hAnsiTheme="minorHAnsi"/>
          <w:color w:val="000000" w:themeColor="text1"/>
        </w:rPr>
        <w:t>V typologii rámování je možné rozlišit také mezi tzv. equivalency frames a emphasis frames. Equivalency frame, v překladu rámec rovnocennosti, zkoumá</w:t>
      </w:r>
      <w:r w:rsidR="00ED73B7">
        <w:rPr>
          <w:rFonts w:asciiTheme="minorHAnsi" w:hAnsiTheme="minorHAnsi"/>
          <w:color w:val="000000" w:themeColor="text1"/>
        </w:rPr>
        <w:t>,</w:t>
      </w:r>
      <w:r w:rsidRPr="003C505A">
        <w:rPr>
          <w:rFonts w:asciiTheme="minorHAnsi" w:hAnsiTheme="minorHAnsi"/>
          <w:color w:val="000000" w:themeColor="text1"/>
        </w:rPr>
        <w:t xml:space="preserve"> jaký mají různá, ale logicky ekvivalentní slova, či slovní spojení účinek na přijímatele informací. Emphasis frame, který lze přeložit jako rámec s důrazem na n</w:t>
      </w:r>
      <w:r w:rsidR="00D55EF0">
        <w:rPr>
          <w:rFonts w:asciiTheme="minorHAnsi" w:hAnsiTheme="minorHAnsi"/>
          <w:color w:val="000000" w:themeColor="text1"/>
        </w:rPr>
        <w:t>ěco,  naopak zkoumá, jaký důraz</w:t>
      </w:r>
      <w:r w:rsidRPr="003C505A">
        <w:rPr>
          <w:rFonts w:asciiTheme="minorHAnsi" w:hAnsiTheme="minorHAnsi"/>
          <w:color w:val="000000" w:themeColor="text1"/>
        </w:rPr>
        <w:t xml:space="preserve"> či důležitost, je v komunikaci jednotlivým informacím přikládán. Vědci zkoumající emphasis frames tak zkoumají například, jak jsou politické problémy komunikovány, a jaká důležitost je jim přisuzována (Shulman 2018: 156).</w:t>
      </w:r>
    </w:p>
    <w:p w14:paraId="2F3E0F73" w14:textId="77777777" w:rsidR="00AA015D" w:rsidRDefault="00AA015D" w:rsidP="00062206">
      <w:pPr>
        <w:spacing w:line="360" w:lineRule="auto"/>
        <w:ind w:firstLine="709"/>
        <w:jc w:val="both"/>
        <w:rPr>
          <w:color w:val="000000" w:themeColor="text1"/>
        </w:rPr>
      </w:pPr>
    </w:p>
    <w:p w14:paraId="7AE383AB" w14:textId="77777777" w:rsidR="00062206" w:rsidRPr="00062206" w:rsidRDefault="00062206" w:rsidP="00062206">
      <w:pPr>
        <w:pStyle w:val="Nadpis2"/>
      </w:pPr>
      <w:bookmarkStart w:id="14" w:name="_Toc8123565"/>
      <w:r w:rsidRPr="00062206">
        <w:t>Rámování a rámce v politice</w:t>
      </w:r>
      <w:bookmarkEnd w:id="14"/>
    </w:p>
    <w:p w14:paraId="053F2F9C" w14:textId="77777777" w:rsidR="00062206" w:rsidRPr="003C505A" w:rsidRDefault="00062206" w:rsidP="00062206">
      <w:pPr>
        <w:spacing w:line="360" w:lineRule="auto"/>
        <w:ind w:firstLine="709"/>
        <w:jc w:val="both"/>
        <w:rPr>
          <w:rFonts w:asciiTheme="minorHAnsi" w:hAnsiTheme="minorHAnsi"/>
        </w:rPr>
      </w:pPr>
      <w:r w:rsidRPr="003C505A">
        <w:rPr>
          <w:rFonts w:asciiTheme="minorHAnsi" w:hAnsiTheme="minorHAnsi"/>
        </w:rPr>
        <w:t>Rámcová analýza se stala populární metodikou v oblasti politických věd po lingvistickém, či konstruktivistickém obratu v politických vědách, k němuž došlo v 90. letech minulého století (Dekker 2017: 127). Koncept rámců a rámování má dlouholetou tradici v politických studiích. Hlavním východiskem pro tuto část práce pak bude studie Donalda Schöna a Martina Reina, kterým je nejčastěji připisován kredit za uvedení myšlenky rámování do politické vědy, přestože je jejich koncept známý spíše ve studiích zabývajících se sociálními hnutími.</w:t>
      </w:r>
    </w:p>
    <w:p w14:paraId="64122A25" w14:textId="7988B1FB" w:rsidR="00062206" w:rsidRPr="003C505A" w:rsidRDefault="00062206" w:rsidP="00062206">
      <w:pPr>
        <w:spacing w:line="360" w:lineRule="auto"/>
        <w:ind w:firstLine="709"/>
        <w:jc w:val="both"/>
        <w:rPr>
          <w:rFonts w:asciiTheme="minorHAnsi" w:hAnsiTheme="minorHAnsi"/>
        </w:rPr>
      </w:pPr>
      <w:r w:rsidRPr="003C505A">
        <w:rPr>
          <w:rFonts w:asciiTheme="minorHAnsi" w:hAnsiTheme="minorHAnsi"/>
        </w:rPr>
        <w:t>Přístupy věnující se rámování deklarují, že se zaměřují na rámování jakožto na dynamický proces utváření různých významů. Rámce v politice jsou však chápány poněkud pevněji a jsou tak v kontrastu s jinými interpretačními přístupy Politické rámce jsou chápány jako výsledek politického procesu, ve kterém se zpochybňuje více snímků, ale kde jeden rámec převažuje a charakterizuje politiku (ve smyslu policy). Politické rámce jsou proto vnímány a studovány jako ucelené interpretace politického problému, který obsahuje definici problému a strategii</w:t>
      </w:r>
      <w:r w:rsidR="00614F8E">
        <w:rPr>
          <w:rFonts w:asciiTheme="minorHAnsi" w:hAnsiTheme="minorHAnsi"/>
        </w:rPr>
        <w:t xml:space="preserve"> jeho řešení (Dekker 2017: 127)</w:t>
      </w:r>
      <w:r w:rsidRPr="003C505A">
        <w:rPr>
          <w:rFonts w:asciiTheme="minorHAnsi" w:hAnsiTheme="minorHAnsi"/>
        </w:rPr>
        <w:t>.</w:t>
      </w:r>
    </w:p>
    <w:p w14:paraId="27E7A94E" w14:textId="4641AEC4" w:rsidR="00062206" w:rsidRPr="003C505A" w:rsidRDefault="00062206" w:rsidP="00062206">
      <w:pPr>
        <w:spacing w:line="360" w:lineRule="auto"/>
        <w:ind w:firstLine="709"/>
        <w:jc w:val="both"/>
        <w:rPr>
          <w:rFonts w:asciiTheme="minorHAnsi" w:hAnsiTheme="minorHAnsi"/>
        </w:rPr>
      </w:pPr>
      <w:r w:rsidRPr="003C505A">
        <w:rPr>
          <w:rFonts w:asciiTheme="minorHAnsi" w:hAnsiTheme="minorHAnsi"/>
        </w:rPr>
        <w:t>Podle Rianne Dekker chápe většina konstruktivistických přístupů, mezi něž patří například analýza diskurzu, koncepci „policy“ spíše podle toho</w:t>
      </w:r>
      <w:r w:rsidR="007B2EEC">
        <w:rPr>
          <w:rFonts w:asciiTheme="minorHAnsi" w:hAnsiTheme="minorHAnsi"/>
        </w:rPr>
        <w:t>,</w:t>
      </w:r>
      <w:r w:rsidRPr="003C505A">
        <w:rPr>
          <w:rFonts w:asciiTheme="minorHAnsi" w:hAnsiTheme="minorHAnsi"/>
        </w:rPr>
        <w:t xml:space="preserve"> jaké jazykové prostředky užívá. Zaměřují se tak spíše na posuzování určitých významů a metafor</w:t>
      </w:r>
      <w:r w:rsidR="00EE1ADE">
        <w:rPr>
          <w:rFonts w:asciiTheme="minorHAnsi" w:hAnsiTheme="minorHAnsi"/>
        </w:rPr>
        <w:t>,</w:t>
      </w:r>
      <w:r w:rsidRPr="003C505A">
        <w:rPr>
          <w:rFonts w:asciiTheme="minorHAnsi" w:hAnsiTheme="minorHAnsi"/>
        </w:rPr>
        <w:t xml:space="preserve"> skrze které probíhá rámování problému. Rámcová analýza („frame analysis“) naproti tomu předpokládá, že „policy“ je komunikována spíše jako koherentní a jedinečný rámec politického problému (Dekker 2017: 127). Politické rámce jsou proto vnímány a studovány jako ucelené interpretace problémů v politice (issues), které v sobě zahrnují definici problémů a strategie jejich řešení. Rámování v politice musí zahrnovat nejen to, jak jsou otázky formulovány, ale také propletení identity rámců a tvůrců rámců a meta-komunikativní rámování politických procesů (van Hulst, Yanow 2016: 92-94). </w:t>
      </w:r>
    </w:p>
    <w:p w14:paraId="7D56E355" w14:textId="4B1DB259" w:rsidR="00062206" w:rsidRPr="003C505A" w:rsidRDefault="00062206" w:rsidP="00062206">
      <w:pPr>
        <w:spacing w:line="360" w:lineRule="auto"/>
        <w:ind w:firstLine="709"/>
        <w:jc w:val="both"/>
        <w:rPr>
          <w:rFonts w:asciiTheme="minorHAnsi" w:hAnsiTheme="minorHAnsi"/>
        </w:rPr>
      </w:pPr>
      <w:r w:rsidRPr="003C505A">
        <w:rPr>
          <w:rFonts w:asciiTheme="minorHAnsi" w:hAnsiTheme="minorHAnsi"/>
        </w:rPr>
        <w:t>Schön se zabýval tím, jak a proč se politická veřejnost dívá na stejnou situaci jinak: „</w:t>
      </w:r>
      <w:r w:rsidRPr="003C505A">
        <w:rPr>
          <w:rFonts w:asciiTheme="minorHAnsi" w:hAnsiTheme="minorHAnsi"/>
          <w:i/>
        </w:rPr>
        <w:t>Povaha veřejného problému se jeví různým aktérům různým a často nekompatibilním způsobem“, protože ti, kteří se jich účastní, mají své vlastní role, zájmy, perspektivy a přístup k nim“</w:t>
      </w:r>
      <w:r w:rsidRPr="003C505A">
        <w:rPr>
          <w:rFonts w:asciiTheme="minorHAnsi" w:hAnsiTheme="minorHAnsi"/>
        </w:rPr>
        <w:t xml:space="preserve"> (van Hulst, Yanow 2016: 95). Rein se Schönem pojímají rámování jakožto příběh, či vyprávění („storytelling“) o určitém problému. Součástí tohoto vyprávění je konstrukce toho, co je problematické a jak danou situaci řešit. Příběh tedy prez</w:t>
      </w:r>
      <w:r w:rsidR="00273F12">
        <w:rPr>
          <w:rFonts w:asciiTheme="minorHAnsi" w:hAnsiTheme="minorHAnsi"/>
        </w:rPr>
        <w:t>entuje danou politickou situaci</w:t>
      </w:r>
      <w:r w:rsidRPr="003C505A">
        <w:rPr>
          <w:rFonts w:asciiTheme="minorHAnsi" w:hAnsiTheme="minorHAnsi"/>
        </w:rPr>
        <w:t xml:space="preserve"> či problém skrze k</w:t>
      </w:r>
      <w:r w:rsidR="005925FB">
        <w:rPr>
          <w:rFonts w:asciiTheme="minorHAnsi" w:hAnsiTheme="minorHAnsi"/>
        </w:rPr>
        <w:t>onkrétní rámec. Rámce pak chápají</w:t>
      </w:r>
      <w:r w:rsidRPr="003C505A">
        <w:rPr>
          <w:rFonts w:asciiTheme="minorHAnsi" w:hAnsiTheme="minorHAnsi"/>
        </w:rPr>
        <w:t xml:space="preserve"> jako nástroj, či soubor prvků, skrze které chápeme určitou situaci a interpretujeme si realitu (Schön, Rein 1994: 26). </w:t>
      </w:r>
      <w:r w:rsidR="00252CD4">
        <w:rPr>
          <w:rFonts w:asciiTheme="minorHAnsi" w:hAnsiTheme="minorHAnsi"/>
        </w:rPr>
        <w:t xml:space="preserve"> Samotné rámování pak </w:t>
      </w:r>
      <w:r w:rsidRPr="003C505A">
        <w:rPr>
          <w:rFonts w:asciiTheme="minorHAnsi" w:hAnsiTheme="minorHAnsi"/>
        </w:rPr>
        <w:t xml:space="preserve">probíhá </w:t>
      </w:r>
      <w:r w:rsidR="00252CD4">
        <w:rPr>
          <w:rFonts w:asciiTheme="minorHAnsi" w:hAnsiTheme="minorHAnsi"/>
        </w:rPr>
        <w:t xml:space="preserve">s </w:t>
      </w:r>
      <w:r w:rsidRPr="003C505A">
        <w:rPr>
          <w:rFonts w:asciiTheme="minorHAnsi" w:hAnsiTheme="minorHAnsi"/>
        </w:rPr>
        <w:t>využitím metafor, které konstruují význam nějaké situace. Jinými slovy, metafory tvoří určitý rámec, který dává dané situaci význam (Schön 1993: 137).</w:t>
      </w:r>
    </w:p>
    <w:p w14:paraId="095C3775" w14:textId="10EA7F42" w:rsidR="00AA015D" w:rsidRPr="003C505A" w:rsidRDefault="00062206" w:rsidP="00062206">
      <w:pPr>
        <w:spacing w:line="360" w:lineRule="auto"/>
        <w:ind w:firstLine="709"/>
        <w:jc w:val="both"/>
        <w:rPr>
          <w:rFonts w:asciiTheme="minorHAnsi" w:hAnsiTheme="minorHAnsi"/>
          <w:color w:val="000000" w:themeColor="text1"/>
        </w:rPr>
      </w:pPr>
      <w:r w:rsidRPr="003C505A">
        <w:rPr>
          <w:rFonts w:asciiTheme="minorHAnsi" w:hAnsiTheme="minorHAnsi"/>
        </w:rPr>
        <w:t xml:space="preserve">Podle R. Dekkera je klíčovým předpokladem, že politické rámce jsou v definici problému, navrhovaných politických krocích a strategiích konzistentní a pevné. Silné rámy se pak vyznačují efektivitou v komunikaci a sdělování souborů přesvědčení směrem k veřejnosti. Podle Tewksbury a Scheufeleho (2009: 24) jsou nejsilnější rámce ty, které jsou schopny splňovat všechny čtyři funkce rámce definované Entmanem: definici problému, </w:t>
      </w:r>
      <w:r w:rsidRPr="003C505A">
        <w:rPr>
          <w:rFonts w:asciiTheme="minorHAnsi" w:hAnsiTheme="minorHAnsi"/>
          <w:color w:val="000000" w:themeColor="text1"/>
        </w:rPr>
        <w:t>kauzální interpretaci, morální hodnocení a doporučení pro řešení daného problému</w:t>
      </w:r>
      <w:r w:rsidR="00A779F8">
        <w:rPr>
          <w:rFonts w:asciiTheme="minorHAnsi" w:hAnsiTheme="minorHAnsi"/>
          <w:color w:val="000000" w:themeColor="text1"/>
        </w:rPr>
        <w:t xml:space="preserve"> (Entman </w:t>
      </w:r>
      <w:r w:rsidR="00A779F8" w:rsidRPr="003C505A">
        <w:rPr>
          <w:rFonts w:asciiTheme="minorHAnsi" w:hAnsiTheme="minorHAnsi"/>
        </w:rPr>
        <w:t>1993: 52)</w:t>
      </w:r>
      <w:r w:rsidRPr="003C505A">
        <w:rPr>
          <w:rFonts w:asciiTheme="minorHAnsi" w:hAnsiTheme="minorHAnsi"/>
          <w:color w:val="000000" w:themeColor="text1"/>
        </w:rPr>
        <w:t>. Výsledkem má být tedy dobře propracovaný a méně nejednoznačný rámec, v porovnání například s mediálním rámcem, který je výsledkem zdlouhavých polit</w:t>
      </w:r>
      <w:r w:rsidR="00ED73B7">
        <w:rPr>
          <w:rFonts w:asciiTheme="minorHAnsi" w:hAnsiTheme="minorHAnsi"/>
          <w:color w:val="000000" w:themeColor="text1"/>
        </w:rPr>
        <w:t>ických a byrokratických procesů</w:t>
      </w:r>
      <w:r w:rsidRPr="003C505A">
        <w:rPr>
          <w:rFonts w:asciiTheme="minorHAnsi" w:hAnsiTheme="minorHAnsi"/>
          <w:color w:val="000000" w:themeColor="text1"/>
        </w:rPr>
        <w:t xml:space="preserve"> (Dekker 2017: 130). Druhým předpokladem pro rámování v politice je, že „policies“ jsou utvářeny dominantním rámcem v </w:t>
      </w:r>
      <w:r w:rsidR="00614F8E">
        <w:rPr>
          <w:rFonts w:asciiTheme="minorHAnsi" w:hAnsiTheme="minorHAnsi"/>
          <w:color w:val="000000" w:themeColor="text1"/>
        </w:rPr>
        <w:t xml:space="preserve">době, kdy jsou politické kroky </w:t>
      </w:r>
      <w:r w:rsidRPr="003C505A">
        <w:rPr>
          <w:rFonts w:asciiTheme="minorHAnsi" w:hAnsiTheme="minorHAnsi"/>
          <w:color w:val="000000" w:themeColor="text1"/>
        </w:rPr>
        <w:t>učiněny. V případě politických sporů existuje mnoho rámců vytvářených různými aktéry, kteří jsou procesem sporu, čímž dochází k boji o pojmenování a vymezení dané politické situace. Aktéři se tak snaží prosadit své chápání – svůj rámec - politického sporu</w:t>
      </w:r>
      <w:r w:rsidR="008D0988">
        <w:rPr>
          <w:rFonts w:asciiTheme="minorHAnsi" w:hAnsiTheme="minorHAnsi"/>
          <w:color w:val="000000" w:themeColor="text1"/>
        </w:rPr>
        <w:t>,</w:t>
      </w:r>
      <w:r w:rsidRPr="003C505A">
        <w:rPr>
          <w:rFonts w:asciiTheme="minorHAnsi" w:hAnsiTheme="minorHAnsi"/>
          <w:color w:val="000000" w:themeColor="text1"/>
        </w:rPr>
        <w:t xml:space="preserve"> jako dominantní a převládající. Předpokládá se však, že „policy frames“ se vzájemně nahrazují, podle toho, který rámec v dané situaci zrovna převládá, nebo také podle toho, k jakým mocenským posunům dochází (Dekker 2017: 130).</w:t>
      </w:r>
    </w:p>
    <w:p w14:paraId="31C8357B" w14:textId="77777777" w:rsidR="00062206" w:rsidRDefault="00062206" w:rsidP="00062206">
      <w:pPr>
        <w:spacing w:line="360" w:lineRule="auto"/>
        <w:ind w:firstLine="709"/>
        <w:jc w:val="both"/>
        <w:rPr>
          <w:color w:val="000000" w:themeColor="text1"/>
        </w:rPr>
      </w:pPr>
    </w:p>
    <w:p w14:paraId="68B88F71" w14:textId="77777777" w:rsidR="00AA015D" w:rsidRDefault="00062206" w:rsidP="00062206">
      <w:pPr>
        <w:pStyle w:val="Nadpis2"/>
      </w:pPr>
      <w:bookmarkStart w:id="15" w:name="_Toc8123566"/>
      <w:r w:rsidRPr="00062206">
        <w:t>Jak lze rámování zkoumat</w:t>
      </w:r>
      <w:bookmarkEnd w:id="15"/>
      <w:r w:rsidRPr="00062206">
        <w:t xml:space="preserve"> </w:t>
      </w:r>
    </w:p>
    <w:p w14:paraId="0B63C123" w14:textId="76367B88" w:rsidR="00062206" w:rsidRPr="003C505A" w:rsidRDefault="00062206" w:rsidP="00062206">
      <w:pPr>
        <w:spacing w:line="360" w:lineRule="auto"/>
        <w:ind w:firstLine="709"/>
        <w:jc w:val="both"/>
        <w:rPr>
          <w:rFonts w:asciiTheme="minorHAnsi" w:hAnsiTheme="minorHAnsi"/>
        </w:rPr>
      </w:pPr>
      <w:r w:rsidRPr="003C505A">
        <w:rPr>
          <w:rFonts w:asciiTheme="minorHAnsi" w:hAnsiTheme="minorHAnsi"/>
        </w:rPr>
        <w:t>Předchozí odstavce se věnovaly představení teoretických konceptů a jednotlivých definic a tomu, jaká je role rámců v komunikaci a v politice. Důležité je však také představit, jakým způsobem lze rámce zkoumat. Přestože není identifikovaná přesná definice rámců v komunikaci, existují zavedené způsoby</w:t>
      </w:r>
      <w:r w:rsidR="00ED73B7">
        <w:rPr>
          <w:rFonts w:asciiTheme="minorHAnsi" w:hAnsiTheme="minorHAnsi"/>
        </w:rPr>
        <w:t>,</w:t>
      </w:r>
      <w:r w:rsidRPr="003C505A">
        <w:rPr>
          <w:rFonts w:asciiTheme="minorHAnsi" w:hAnsiTheme="minorHAnsi"/>
        </w:rPr>
        <w:t xml:space="preserve"> jimiž lze rámce analyzovat. V zásadě se jedná o dva přístupy, induktivní a deduktivní, jimiž bývá zpravidla prováděna obsahová analýza rámců (ta bude blíže popsána v metodologické části práce). </w:t>
      </w:r>
    </w:p>
    <w:p w14:paraId="0CF52273" w14:textId="77777777" w:rsidR="00062206" w:rsidRPr="003C505A" w:rsidRDefault="00062206" w:rsidP="00062206">
      <w:pPr>
        <w:spacing w:line="360" w:lineRule="auto"/>
        <w:ind w:firstLine="709"/>
        <w:jc w:val="both"/>
        <w:rPr>
          <w:rFonts w:asciiTheme="minorHAnsi" w:hAnsiTheme="minorHAnsi"/>
        </w:rPr>
      </w:pPr>
      <w:r w:rsidRPr="003C505A">
        <w:rPr>
          <w:rFonts w:asciiTheme="minorHAnsi" w:hAnsiTheme="minorHAnsi"/>
        </w:rPr>
        <w:t xml:space="preserve">Induktivní přístup nepracuje s předem definovanými rámy, ale rámy objevuje až při samotné práci s materiály a analýze jejich obsahu. Deduktivní přístup vychází z rámů, které jsou předem nadefinovány. Tento přístup však vyžaduje obeznámení s rámci před samotnou analýzou. Limitem tohoto přístupu je například fakt, že rámce, které nejsou předdefinovány mohou být v procesu analyzování lehce přehlédnuty (De Vreese, 2005: 52-53). </w:t>
      </w:r>
    </w:p>
    <w:p w14:paraId="33375B3D" w14:textId="77777777" w:rsidR="00062206" w:rsidRPr="003C505A" w:rsidRDefault="00062206" w:rsidP="00062206">
      <w:pPr>
        <w:spacing w:line="360" w:lineRule="auto"/>
        <w:ind w:firstLine="709"/>
        <w:jc w:val="both"/>
        <w:rPr>
          <w:rFonts w:asciiTheme="minorHAnsi" w:hAnsiTheme="minorHAnsi"/>
        </w:rPr>
      </w:pPr>
    </w:p>
    <w:p w14:paraId="6DB3F53F" w14:textId="77777777" w:rsidR="00062206" w:rsidRDefault="00062206" w:rsidP="00062206">
      <w:pPr>
        <w:pStyle w:val="Nadpis1"/>
      </w:pPr>
      <w:bookmarkStart w:id="16" w:name="_Toc8123567"/>
      <w:r>
        <w:t>Metodologická východiska</w:t>
      </w:r>
      <w:bookmarkEnd w:id="16"/>
    </w:p>
    <w:p w14:paraId="2BD453AB" w14:textId="65B40252" w:rsidR="00651381" w:rsidRPr="003C505A" w:rsidRDefault="00651381" w:rsidP="00651381">
      <w:pPr>
        <w:spacing w:line="360" w:lineRule="auto"/>
        <w:ind w:firstLine="360"/>
        <w:jc w:val="both"/>
        <w:rPr>
          <w:rFonts w:asciiTheme="minorHAnsi" w:hAnsiTheme="minorHAnsi"/>
        </w:rPr>
      </w:pPr>
      <w:r w:rsidRPr="003C505A">
        <w:rPr>
          <w:rFonts w:asciiTheme="minorHAnsi" w:hAnsiTheme="minorHAnsi"/>
        </w:rPr>
        <w:t>V předchozí části práce jsem popsala teoretické vymez</w:t>
      </w:r>
      <w:r w:rsidR="00B00F74">
        <w:rPr>
          <w:rFonts w:asciiTheme="minorHAnsi" w:hAnsiTheme="minorHAnsi"/>
        </w:rPr>
        <w:t xml:space="preserve">ení konceptů, se kterými budu </w:t>
      </w:r>
      <w:r w:rsidRPr="003C505A">
        <w:rPr>
          <w:rFonts w:asciiTheme="minorHAnsi" w:hAnsiTheme="minorHAnsi"/>
        </w:rPr>
        <w:t>dále pracovat. Ambicí této části je blíže popsat metody využívané pro cíle této práce, pomocí nichž bude možné zodpovědět stanovené výzkumné otázky. Předmětem zkoumání bude zjistit, jaká témata jednotlivé opoziční strany ve vymezeném období kritizovaly</w:t>
      </w:r>
      <w:r w:rsidR="00C4406E">
        <w:rPr>
          <w:rFonts w:asciiTheme="minorHAnsi" w:hAnsiTheme="minorHAnsi"/>
        </w:rPr>
        <w:t>,</w:t>
      </w:r>
      <w:r w:rsidRPr="003C505A">
        <w:rPr>
          <w:rFonts w:asciiTheme="minorHAnsi" w:hAnsiTheme="minorHAnsi"/>
        </w:rPr>
        <w:t xml:space="preserve"> a z jakých pozic.</w:t>
      </w:r>
    </w:p>
    <w:p w14:paraId="0B9AA29D" w14:textId="77777777" w:rsidR="00AA015D" w:rsidRDefault="00AA015D" w:rsidP="00AA015D">
      <w:pPr>
        <w:spacing w:line="360" w:lineRule="auto"/>
        <w:ind w:firstLine="360"/>
        <w:jc w:val="both"/>
        <w:rPr>
          <w:color w:val="000000" w:themeColor="text1"/>
        </w:rPr>
      </w:pPr>
    </w:p>
    <w:p w14:paraId="465D0C32" w14:textId="77777777" w:rsidR="00651381" w:rsidRDefault="00651381" w:rsidP="00651381">
      <w:pPr>
        <w:pStyle w:val="Nadpis2"/>
      </w:pPr>
      <w:bookmarkStart w:id="17" w:name="_Toc8123568"/>
      <w:r w:rsidRPr="00651381">
        <w:t>Cíl výzkumu a výzkumné otázky</w:t>
      </w:r>
      <w:bookmarkEnd w:id="17"/>
    </w:p>
    <w:p w14:paraId="7AA9A59D" w14:textId="12CF171D" w:rsidR="00651381" w:rsidRPr="003C505A" w:rsidRDefault="00651381" w:rsidP="00651381">
      <w:pPr>
        <w:spacing w:line="360" w:lineRule="auto"/>
        <w:ind w:firstLine="709"/>
        <w:jc w:val="both"/>
        <w:rPr>
          <w:rFonts w:asciiTheme="minorHAnsi" w:hAnsiTheme="minorHAnsi"/>
        </w:rPr>
      </w:pPr>
      <w:r w:rsidRPr="003C505A">
        <w:rPr>
          <w:rFonts w:asciiTheme="minorHAnsi" w:hAnsiTheme="minorHAnsi"/>
        </w:rPr>
        <w:t xml:space="preserve">Cílem výzkumu je pomocí </w:t>
      </w:r>
      <w:r w:rsidR="005E0A20">
        <w:rPr>
          <w:rFonts w:asciiTheme="minorHAnsi" w:hAnsiTheme="minorHAnsi"/>
        </w:rPr>
        <w:t xml:space="preserve">rámcové </w:t>
      </w:r>
      <w:r w:rsidRPr="003C505A">
        <w:rPr>
          <w:rFonts w:asciiTheme="minorHAnsi" w:hAnsiTheme="minorHAnsi"/>
        </w:rPr>
        <w:t>analýzy odhalit rámce, kterými politická opozice vymezovala kritiku jednotlivých vlád Andre</w:t>
      </w:r>
      <w:r w:rsidR="00DD0BAF">
        <w:rPr>
          <w:rFonts w:asciiTheme="minorHAnsi" w:hAnsiTheme="minorHAnsi"/>
        </w:rPr>
        <w:t>je Babiše v době jejich vzniku. Jinými slovy,</w:t>
      </w:r>
      <w:r w:rsidRPr="003C505A">
        <w:rPr>
          <w:rFonts w:asciiTheme="minorHAnsi" w:hAnsiTheme="minorHAnsi"/>
        </w:rPr>
        <w:t xml:space="preserve"> práce</w:t>
      </w:r>
      <w:r w:rsidR="00DD0BAF">
        <w:rPr>
          <w:rFonts w:asciiTheme="minorHAnsi" w:hAnsiTheme="minorHAnsi"/>
        </w:rPr>
        <w:t xml:space="preserve"> má</w:t>
      </w:r>
      <w:r w:rsidRPr="003C505A">
        <w:rPr>
          <w:rFonts w:asciiTheme="minorHAnsi" w:hAnsiTheme="minorHAnsi"/>
        </w:rPr>
        <w:t xml:space="preserve"> ukázat, jak jednotlivé strany vnímají a sdělují (rámují) skutečnosti, jež kritizují, a jaké argumenty k tomu využívají. </w:t>
      </w:r>
    </w:p>
    <w:p w14:paraId="594374DD" w14:textId="203F54D9" w:rsidR="00651381" w:rsidRPr="003C505A" w:rsidRDefault="00DD0BAF" w:rsidP="00ED6D3A">
      <w:pPr>
        <w:spacing w:line="360" w:lineRule="auto"/>
        <w:jc w:val="both"/>
        <w:rPr>
          <w:rFonts w:asciiTheme="minorHAnsi" w:hAnsiTheme="minorHAnsi"/>
        </w:rPr>
      </w:pPr>
      <w:r>
        <w:rPr>
          <w:rFonts w:asciiTheme="minorHAnsi" w:hAnsiTheme="minorHAnsi"/>
        </w:rPr>
        <w:t>Hlavní výzkumná otázka</w:t>
      </w:r>
      <w:r w:rsidR="00651381" w:rsidRPr="003C505A">
        <w:rPr>
          <w:rFonts w:asciiTheme="minorHAnsi" w:hAnsiTheme="minorHAnsi"/>
        </w:rPr>
        <w:t>, kterou by analýza měla být schopna zodpovědět je následující:</w:t>
      </w:r>
    </w:p>
    <w:p w14:paraId="0BE733CE" w14:textId="77777777" w:rsidR="00651381" w:rsidRPr="003C505A" w:rsidRDefault="00651381" w:rsidP="00ED6D3A">
      <w:pPr>
        <w:spacing w:line="360" w:lineRule="auto"/>
        <w:jc w:val="both"/>
        <w:rPr>
          <w:rFonts w:asciiTheme="minorHAnsi" w:hAnsiTheme="minorHAnsi"/>
        </w:rPr>
      </w:pPr>
      <w:r w:rsidRPr="003C505A">
        <w:rPr>
          <w:rFonts w:asciiTheme="minorHAnsi" w:hAnsiTheme="minorHAnsi"/>
        </w:rPr>
        <w:t>Z jakých pozic a jaké rámce využívaly jednotlivé opoziční strany pro kritiku vlád Andreje Babiše?</w:t>
      </w:r>
    </w:p>
    <w:p w14:paraId="3FBB206E" w14:textId="498D1DF6" w:rsidR="00651381" w:rsidRPr="003C505A" w:rsidRDefault="00651381" w:rsidP="00ED6D3A">
      <w:pPr>
        <w:spacing w:line="360" w:lineRule="auto"/>
        <w:jc w:val="both"/>
        <w:rPr>
          <w:rFonts w:asciiTheme="minorHAnsi" w:hAnsiTheme="minorHAnsi"/>
        </w:rPr>
      </w:pPr>
      <w:r w:rsidRPr="003C505A">
        <w:rPr>
          <w:rFonts w:asciiTheme="minorHAnsi" w:hAnsiTheme="minorHAnsi"/>
        </w:rPr>
        <w:t>Zár</w:t>
      </w:r>
      <w:r w:rsidR="00614F8E">
        <w:rPr>
          <w:rFonts w:asciiTheme="minorHAnsi" w:hAnsiTheme="minorHAnsi"/>
        </w:rPr>
        <w:t>oveň si práce klade za cíl</w:t>
      </w:r>
      <w:r w:rsidRPr="003C505A">
        <w:rPr>
          <w:rFonts w:asciiTheme="minorHAnsi" w:hAnsiTheme="minorHAnsi"/>
        </w:rPr>
        <w:t xml:space="preserve"> nalézt odpovědi na následující výzkumné otázky:</w:t>
      </w:r>
    </w:p>
    <w:p w14:paraId="08D7F774" w14:textId="77777777" w:rsidR="00651381" w:rsidRPr="003C505A" w:rsidRDefault="00651381" w:rsidP="00651381">
      <w:pPr>
        <w:pStyle w:val="Odstavecseseznamem"/>
        <w:numPr>
          <w:ilvl w:val="0"/>
          <w:numId w:val="24"/>
        </w:numPr>
        <w:spacing w:after="160" w:line="360" w:lineRule="auto"/>
        <w:jc w:val="both"/>
        <w:rPr>
          <w:rFonts w:asciiTheme="minorHAnsi" w:hAnsiTheme="minorHAnsi"/>
        </w:rPr>
      </w:pPr>
      <w:r w:rsidRPr="003C505A">
        <w:rPr>
          <w:rFonts w:asciiTheme="minorHAnsi" w:hAnsiTheme="minorHAnsi"/>
        </w:rPr>
        <w:t>Jakým tématům se ve vztahu ke kritice vlád Andreje Babiše opoziční strany věnovaly? </w:t>
      </w:r>
    </w:p>
    <w:p w14:paraId="603CC84C" w14:textId="77777777" w:rsidR="00651381" w:rsidRPr="003C505A" w:rsidRDefault="00651381" w:rsidP="00651381">
      <w:pPr>
        <w:pStyle w:val="Odstavecseseznamem"/>
        <w:numPr>
          <w:ilvl w:val="0"/>
          <w:numId w:val="24"/>
        </w:numPr>
        <w:spacing w:after="160" w:line="360" w:lineRule="auto"/>
        <w:jc w:val="both"/>
        <w:rPr>
          <w:rFonts w:asciiTheme="minorHAnsi" w:hAnsiTheme="minorHAnsi"/>
        </w:rPr>
      </w:pPr>
      <w:r w:rsidRPr="003C505A">
        <w:rPr>
          <w:rFonts w:asciiTheme="minorHAnsi" w:hAnsiTheme="minorHAnsi"/>
        </w:rPr>
        <w:t xml:space="preserve">Z jakých pozic opoziční strany vlády Andreje Babiše kritizovaly? </w:t>
      </w:r>
    </w:p>
    <w:p w14:paraId="16DCFD6E" w14:textId="77777777" w:rsidR="00651381" w:rsidRPr="003C505A" w:rsidRDefault="00651381" w:rsidP="00651381">
      <w:pPr>
        <w:pStyle w:val="Odstavecseseznamem"/>
        <w:numPr>
          <w:ilvl w:val="0"/>
          <w:numId w:val="24"/>
        </w:numPr>
        <w:spacing w:after="160" w:line="360" w:lineRule="auto"/>
        <w:jc w:val="both"/>
        <w:rPr>
          <w:rFonts w:asciiTheme="minorHAnsi" w:hAnsiTheme="minorHAnsi"/>
        </w:rPr>
      </w:pPr>
      <w:r w:rsidRPr="003C505A">
        <w:rPr>
          <w:rFonts w:asciiTheme="minorHAnsi" w:hAnsiTheme="minorHAnsi"/>
        </w:rPr>
        <w:t>Jaké argumenty opoziční strany ve vztahu ke kritice vlád nejčastěji používají?</w:t>
      </w:r>
    </w:p>
    <w:p w14:paraId="36F31511" w14:textId="77777777" w:rsidR="00651381" w:rsidRPr="003C505A" w:rsidRDefault="00651381" w:rsidP="00651381">
      <w:pPr>
        <w:pStyle w:val="Odstavecseseznamem"/>
        <w:numPr>
          <w:ilvl w:val="0"/>
          <w:numId w:val="24"/>
        </w:numPr>
        <w:spacing w:after="160" w:line="360" w:lineRule="auto"/>
        <w:jc w:val="both"/>
        <w:rPr>
          <w:rFonts w:asciiTheme="minorHAnsi" w:hAnsiTheme="minorHAnsi"/>
        </w:rPr>
      </w:pPr>
      <w:r w:rsidRPr="003C505A">
        <w:rPr>
          <w:rFonts w:asciiTheme="minorHAnsi" w:hAnsiTheme="minorHAnsi"/>
        </w:rPr>
        <w:t>Identifikovaly jednotlivé opoziční strany stejné problematické body?</w:t>
      </w:r>
    </w:p>
    <w:p w14:paraId="267BF82E" w14:textId="77777777" w:rsidR="00651381" w:rsidRPr="003C505A" w:rsidRDefault="00651381" w:rsidP="00651381">
      <w:pPr>
        <w:pStyle w:val="Odstavecseseznamem"/>
        <w:numPr>
          <w:ilvl w:val="0"/>
          <w:numId w:val="24"/>
        </w:numPr>
        <w:spacing w:after="160" w:line="360" w:lineRule="auto"/>
        <w:jc w:val="both"/>
        <w:rPr>
          <w:rFonts w:asciiTheme="minorHAnsi" w:hAnsiTheme="minorHAnsi"/>
        </w:rPr>
      </w:pPr>
      <w:r w:rsidRPr="003C505A">
        <w:rPr>
          <w:rFonts w:asciiTheme="minorHAnsi" w:hAnsiTheme="minorHAnsi"/>
        </w:rPr>
        <w:t>Jakým způsobem opoziční strany vykreslovaly viníka/zdroj problému, pokud tak činily?</w:t>
      </w:r>
    </w:p>
    <w:p w14:paraId="7CECCFBA" w14:textId="77777777" w:rsidR="00651381" w:rsidRPr="00651381" w:rsidRDefault="00651381" w:rsidP="00651381">
      <w:pPr>
        <w:pStyle w:val="Odstavec1"/>
      </w:pPr>
    </w:p>
    <w:p w14:paraId="23EA1CAA" w14:textId="77777777" w:rsidR="00651381" w:rsidRPr="00A078F8" w:rsidRDefault="00651381" w:rsidP="00ED6D3A">
      <w:pPr>
        <w:pStyle w:val="Nadpis2"/>
      </w:pPr>
      <w:bookmarkStart w:id="18" w:name="_Toc8123569"/>
      <w:r w:rsidRPr="00651381">
        <w:t>Metoda výzkumu</w:t>
      </w:r>
      <w:bookmarkEnd w:id="18"/>
      <w:r w:rsidRPr="00651381">
        <w:t xml:space="preserve">  </w:t>
      </w:r>
    </w:p>
    <w:p w14:paraId="675A769A" w14:textId="10DBE535" w:rsidR="00ED6D3A" w:rsidRPr="003C505A" w:rsidRDefault="00ED6D3A" w:rsidP="00ED6D3A">
      <w:pPr>
        <w:spacing w:line="360" w:lineRule="auto"/>
        <w:ind w:firstLine="709"/>
        <w:jc w:val="both"/>
        <w:rPr>
          <w:rFonts w:asciiTheme="minorHAnsi" w:hAnsiTheme="minorHAnsi"/>
        </w:rPr>
      </w:pPr>
      <w:r w:rsidRPr="003C505A">
        <w:rPr>
          <w:rFonts w:asciiTheme="minorHAnsi" w:hAnsiTheme="minorHAnsi"/>
        </w:rPr>
        <w:t>K dosažení cíle a zodpovězení výzkumných otázek bude využita kvantitativní obsahová analýza, na níž bude navazovat kvalitativní příst</w:t>
      </w:r>
      <w:r w:rsidR="00877707">
        <w:rPr>
          <w:rFonts w:asciiTheme="minorHAnsi" w:hAnsiTheme="minorHAnsi"/>
        </w:rPr>
        <w:t>up k popisu rám</w:t>
      </w:r>
      <w:r w:rsidRPr="003C505A">
        <w:rPr>
          <w:rFonts w:asciiTheme="minorHAnsi" w:hAnsiTheme="minorHAnsi"/>
        </w:rPr>
        <w:t>ování témat jednotlivými opozičními stranami. Právě obsahová analýza je jednou z metod, která je sociálním vědám vlastní. Obsahová analýza má za cíl analyzovat data</w:t>
      </w:r>
      <w:r w:rsidR="00877707">
        <w:rPr>
          <w:rFonts w:asciiTheme="minorHAnsi" w:hAnsiTheme="minorHAnsi"/>
        </w:rPr>
        <w:t xml:space="preserve"> v rámci specifického kontextu </w:t>
      </w:r>
      <w:r w:rsidRPr="003C505A">
        <w:rPr>
          <w:rFonts w:asciiTheme="minorHAnsi" w:hAnsiTheme="minorHAnsi"/>
        </w:rPr>
        <w:t>tak, aby ukázala, jaký obsah je určitou skupinou lidí prezentován.  Obsahová analýza je výzkumná technika pro vytváření replikovatelných (uplatnitelných) a platných závěrů z dat do kontextu jejich užití (Krippendorff 1989: 403). Tato technika vyžaduje kontext, v němž jsou dostupné texty zkoumány. Analytik tak musí ve skutečnosti zkonstruovat svět, ve kterém dávají zkoumané texty smysl, aby byl schopen zodpovědět výzkumné otázky, na které hledá odpověď. Obsahová analýza pak není ničím jiný</w:t>
      </w:r>
      <w:r w:rsidR="00917945">
        <w:rPr>
          <w:rFonts w:asciiTheme="minorHAnsi" w:hAnsiTheme="minorHAnsi"/>
        </w:rPr>
        <w:t>m než popisem obsahu komunikace</w:t>
      </w:r>
      <w:r w:rsidRPr="003C505A">
        <w:rPr>
          <w:rFonts w:asciiTheme="minorHAnsi" w:hAnsiTheme="minorHAnsi"/>
        </w:rPr>
        <w:t xml:space="preserve"> (Krippendorff  2013: 24). </w:t>
      </w:r>
    </w:p>
    <w:p w14:paraId="1484F1C7" w14:textId="6C0ECD71" w:rsidR="00ED6D3A" w:rsidRPr="003C505A" w:rsidRDefault="00ED6D3A" w:rsidP="00ED6D3A">
      <w:pPr>
        <w:spacing w:line="360" w:lineRule="auto"/>
        <w:ind w:firstLine="709"/>
        <w:jc w:val="both"/>
        <w:rPr>
          <w:rFonts w:asciiTheme="minorHAnsi" w:hAnsiTheme="minorHAnsi"/>
        </w:rPr>
      </w:pPr>
      <w:r w:rsidRPr="003C505A">
        <w:rPr>
          <w:rFonts w:asciiTheme="minorHAnsi" w:hAnsiTheme="minorHAnsi"/>
        </w:rPr>
        <w:t>Podle Schulze a Reifo</w:t>
      </w:r>
      <w:r w:rsidR="00614F8E">
        <w:rPr>
          <w:rFonts w:asciiTheme="minorHAnsi" w:hAnsiTheme="minorHAnsi"/>
        </w:rPr>
        <w:t>vé představuje obsahová analýza</w:t>
      </w:r>
      <w:r w:rsidRPr="003C505A">
        <w:rPr>
          <w:rFonts w:asciiTheme="minorHAnsi" w:hAnsiTheme="minorHAnsi"/>
        </w:rPr>
        <w:t xml:space="preserve"> „</w:t>
      </w:r>
      <w:r w:rsidRPr="003C505A">
        <w:rPr>
          <w:rFonts w:asciiTheme="minorHAnsi" w:hAnsiTheme="minorHAnsi"/>
          <w:i/>
        </w:rPr>
        <w:t>kvantitativní výzkumnou metodu pro systematický a intersubjektivně ověřitelný popis komunikačních obsahů, vycházející z vědecky podloženého kladení otázek</w:t>
      </w:r>
      <w:r w:rsidRPr="003C505A">
        <w:rPr>
          <w:rFonts w:asciiTheme="minorHAnsi" w:hAnsiTheme="minorHAnsi"/>
        </w:rPr>
        <w:t xml:space="preserve">.“ (Schulz, Reifová, 2011: 30). Odborníci přikládají důraz také tomu co, jak, kým a proč je v textu či dané zprávě komunikováno a jaký efekt daný text má. V zásadě však v rámci obsahové analýzy dochází ke zkoumání textů, přičemž bývá zaznamenávána existence a frekvence výskytu vybraných znaků, frází, či jiných textových jednotek (Dvořáková 2010: 97).  </w:t>
      </w:r>
    </w:p>
    <w:p w14:paraId="4B3C0E1F" w14:textId="3C9C700D" w:rsidR="00ED6D3A" w:rsidRPr="003C505A" w:rsidRDefault="00ED6D3A" w:rsidP="00ED6D3A">
      <w:pPr>
        <w:spacing w:line="360" w:lineRule="auto"/>
        <w:ind w:firstLine="709"/>
        <w:jc w:val="both"/>
        <w:rPr>
          <w:rFonts w:asciiTheme="minorHAnsi" w:hAnsiTheme="minorHAnsi"/>
        </w:rPr>
      </w:pPr>
      <w:r w:rsidRPr="003C505A">
        <w:rPr>
          <w:rFonts w:asciiTheme="minorHAnsi" w:hAnsiTheme="minorHAnsi"/>
        </w:rPr>
        <w:t>Dominantním zdrojem pro obsahovou analýzu bývají zpravidla data získaná z masových médií, nicméně tato technika bývá čím dál častěji užívána i na jiné zdroje dat od audiovizuálních nahrávek až po různé psané texty</w:t>
      </w:r>
      <w:r w:rsidR="0099011C">
        <w:rPr>
          <w:rFonts w:asciiTheme="minorHAnsi" w:hAnsiTheme="minorHAnsi"/>
        </w:rPr>
        <w:t>,</w:t>
      </w:r>
      <w:r w:rsidRPr="003C505A">
        <w:rPr>
          <w:rFonts w:asciiTheme="minorHAnsi" w:hAnsiTheme="minorHAnsi"/>
        </w:rPr>
        <w:t xml:space="preserve"> jako jsou například přepisy jednání aj. (Krippendorff 1989:404). Dvořáková ve své studii shrnující poznatky o obsahové analýze uvádí, že jednou z výhod této metody je, že je uplatnitelná prakticky na jakýkoliv soubor textových dat (Dvořáková 2010: 98). </w:t>
      </w:r>
    </w:p>
    <w:p w14:paraId="63C31E35" w14:textId="77777777" w:rsidR="00EC6733" w:rsidRDefault="00ED6D3A" w:rsidP="00ED6D3A">
      <w:pPr>
        <w:spacing w:line="360" w:lineRule="auto"/>
        <w:ind w:firstLine="709"/>
        <w:jc w:val="both"/>
        <w:rPr>
          <w:rFonts w:asciiTheme="minorHAnsi" w:hAnsiTheme="minorHAnsi"/>
        </w:rPr>
      </w:pPr>
      <w:r w:rsidRPr="003C505A">
        <w:rPr>
          <w:rFonts w:asciiTheme="minorHAnsi" w:hAnsiTheme="minorHAnsi"/>
        </w:rPr>
        <w:t>Při práci s obsahovou analýzou je pak důležité uv</w:t>
      </w:r>
      <w:r w:rsidR="00C4406E">
        <w:rPr>
          <w:rFonts w:asciiTheme="minorHAnsi" w:hAnsiTheme="minorHAnsi"/>
        </w:rPr>
        <w:t>ědomovat si její rizika, mezi ně</w:t>
      </w:r>
      <w:r w:rsidRPr="003C505A">
        <w:rPr>
          <w:rFonts w:asciiTheme="minorHAnsi" w:hAnsiTheme="minorHAnsi"/>
        </w:rPr>
        <w:t xml:space="preserve">ž mohou patřit nízká validita a neobjektivita. Zároveň však bývá na tuto metodu nahlíženo jako na objektivitě velmi blízkou. Je tedy evidentní, že rozpolcené chápání obsahové analýzy velmi úzce souvisí s tím, zda byla použita v daném výzkumu relevantním způsobem (Dvořáková 2010: 98-99).  Pro vytvoření závěrů bývá obsah textů většinou analyzován a kódován do různých kategorií. K tomu bývá využívána statistika, která slouží ke klasifikaci a třídění jednotlivých proměnných (Disman 1993: 188). V případě této práce bude pro analýzu využit program IBM SPSS Statistics 25 pro systém Windows. </w:t>
      </w:r>
    </w:p>
    <w:p w14:paraId="59F6A941" w14:textId="41C954B3" w:rsidR="00ED6D3A" w:rsidRPr="003C505A" w:rsidRDefault="00ED6D3A" w:rsidP="00ED6D3A">
      <w:pPr>
        <w:spacing w:line="360" w:lineRule="auto"/>
        <w:ind w:firstLine="709"/>
        <w:jc w:val="both"/>
        <w:rPr>
          <w:rFonts w:asciiTheme="minorHAnsi" w:hAnsiTheme="minorHAnsi"/>
        </w:rPr>
      </w:pPr>
      <w:r w:rsidRPr="003C505A">
        <w:rPr>
          <w:rFonts w:asciiTheme="minorHAnsi" w:hAnsiTheme="minorHAnsi"/>
        </w:rPr>
        <w:t xml:space="preserve">Pro účely kódování je důležité určit, co bude konstituovat </w:t>
      </w:r>
      <w:r w:rsidR="00394D30">
        <w:rPr>
          <w:rFonts w:asciiTheme="minorHAnsi" w:hAnsiTheme="minorHAnsi"/>
        </w:rPr>
        <w:t>textovou</w:t>
      </w:r>
      <w:r w:rsidRPr="003C505A">
        <w:rPr>
          <w:rFonts w:asciiTheme="minorHAnsi" w:hAnsiTheme="minorHAnsi"/>
        </w:rPr>
        <w:t xml:space="preserve"> </w:t>
      </w:r>
      <w:r w:rsidR="00394D30">
        <w:rPr>
          <w:rFonts w:asciiTheme="minorHAnsi" w:hAnsiTheme="minorHAnsi"/>
        </w:rPr>
        <w:t>jednotku</w:t>
      </w:r>
      <w:r w:rsidRPr="003C505A">
        <w:rPr>
          <w:rFonts w:asciiTheme="minorHAnsi" w:hAnsiTheme="minorHAnsi"/>
        </w:rPr>
        <w:t xml:space="preserve">. V zásadě mohou být kódována slova, znaky, věty, či kombinace více konceptů. Pro účely kódování jsem se inspirovala projektem Comparative Manifesto Project (CMP), </w:t>
      </w:r>
      <w:r w:rsidR="00394D30">
        <w:rPr>
          <w:rFonts w:asciiTheme="minorHAnsi" w:hAnsiTheme="minorHAnsi"/>
        </w:rPr>
        <w:t xml:space="preserve">který </w:t>
      </w:r>
      <w:r w:rsidRPr="003C505A">
        <w:rPr>
          <w:rFonts w:asciiTheme="minorHAnsi" w:hAnsiTheme="minorHAnsi"/>
        </w:rPr>
        <w:t>pracuje</w:t>
      </w:r>
      <w:r w:rsidR="00394D30">
        <w:rPr>
          <w:rFonts w:asciiTheme="minorHAnsi" w:hAnsiTheme="minorHAnsi"/>
        </w:rPr>
        <w:t xml:space="preserve"> s analýzou volebních programů s prohlášení</w:t>
      </w:r>
      <w:r w:rsidRPr="003C505A">
        <w:rPr>
          <w:rFonts w:asciiTheme="minorHAnsi" w:hAnsiTheme="minorHAnsi"/>
        </w:rPr>
        <w:t>. Jejich analýza pak může dále sloužit například k měření stranických a prezidentských pozic v rámci určitého rámce. Ačkoliv zde hovoří o textu publikovaném politickou stranou nebo prezidentskými kandidáty (</w:t>
      </w:r>
      <w:r w:rsidR="003D674A">
        <w:rPr>
          <w:rFonts w:asciiTheme="minorHAnsi" w:hAnsiTheme="minorHAnsi"/>
        </w:rPr>
        <w:t xml:space="preserve">viz </w:t>
      </w:r>
      <w:r w:rsidRPr="003C505A">
        <w:rPr>
          <w:rFonts w:asciiTheme="minorHAnsi" w:hAnsiTheme="minorHAnsi"/>
        </w:rPr>
        <w:t xml:space="preserve">např. volební programy) (Werner, Lacewell et al. 2015: 2), pro účely této práce postačí využití konceptu analyzované textové jednotky, jež CMP stanovil. Autoři projektu hovoří o rozdělení textu do tzv. kvazi-vět, přičemž jedna kvazi-věta představuje jedno prohlášení, zprávu, </w:t>
      </w:r>
      <w:r w:rsidR="003D674A">
        <w:rPr>
          <w:rFonts w:asciiTheme="minorHAnsi" w:hAnsiTheme="minorHAnsi"/>
        </w:rPr>
        <w:t xml:space="preserve">výrok </w:t>
      </w:r>
      <w:r w:rsidRPr="003C505A">
        <w:rPr>
          <w:rFonts w:asciiTheme="minorHAnsi" w:hAnsiTheme="minorHAnsi"/>
        </w:rPr>
        <w:t xml:space="preserve">či argument. Kvazi-věta se pak může, ale také nemusí rovnat </w:t>
      </w:r>
      <w:r w:rsidR="003D674A">
        <w:rPr>
          <w:rFonts w:asciiTheme="minorHAnsi" w:hAnsiTheme="minorHAnsi"/>
        </w:rPr>
        <w:t xml:space="preserve">celé větě ohraničené tečkou </w:t>
      </w:r>
      <w:r w:rsidRPr="003C505A">
        <w:rPr>
          <w:rFonts w:asciiTheme="minorHAnsi" w:hAnsiTheme="minorHAnsi"/>
        </w:rPr>
        <w:t>(Werner, Lacewell et al. 2015: 6). V našem případě budou analyzovány pouze věty, které se vztahují na kritiku vlád Andreje Babiše, zbytek textu nebude analyzován. Zároveň budeme jednu kvazi-větu chápat jako jeden argument, který se může rovnat pouze části věty, celé větě, ale</w:t>
      </w:r>
      <w:r w:rsidR="003D674A">
        <w:rPr>
          <w:rFonts w:asciiTheme="minorHAnsi" w:hAnsiTheme="minorHAnsi"/>
        </w:rPr>
        <w:t xml:space="preserve"> klidně</w:t>
      </w:r>
      <w:r w:rsidRPr="003C505A">
        <w:rPr>
          <w:rFonts w:asciiTheme="minorHAnsi" w:hAnsiTheme="minorHAnsi"/>
        </w:rPr>
        <w:t xml:space="preserve"> i </w:t>
      </w:r>
      <w:r w:rsidR="004001C3">
        <w:rPr>
          <w:rFonts w:asciiTheme="minorHAnsi" w:hAnsiTheme="minorHAnsi"/>
        </w:rPr>
        <w:t>celému odstavci. Kvazi-věta tedy</w:t>
      </w:r>
      <w:r w:rsidRPr="003C505A">
        <w:rPr>
          <w:rFonts w:asciiTheme="minorHAnsi" w:hAnsiTheme="minorHAnsi"/>
        </w:rPr>
        <w:t xml:space="preserve"> pro tento výzkum nebude nijak prostorově ohraničena. Pokud přirozená věta (věta zakončená tečkou) obsahuje více než jeden jedinečný argument</w:t>
      </w:r>
      <w:r w:rsidR="00EA28DF">
        <w:rPr>
          <w:rFonts w:asciiTheme="minorHAnsi" w:hAnsiTheme="minorHAnsi"/>
        </w:rPr>
        <w:t xml:space="preserve"> kritiky</w:t>
      </w:r>
      <w:r w:rsidRPr="003C505A">
        <w:rPr>
          <w:rFonts w:asciiTheme="minorHAnsi" w:hAnsiTheme="minorHAnsi"/>
        </w:rPr>
        <w:t xml:space="preserve">, bude tato věta rozdělena na více kvazi-vět. </w:t>
      </w:r>
    </w:p>
    <w:p w14:paraId="66C81554" w14:textId="168AFABD" w:rsidR="00ED6D3A" w:rsidRPr="003C505A" w:rsidRDefault="00ED6D3A" w:rsidP="00ED6D3A">
      <w:pPr>
        <w:spacing w:line="360" w:lineRule="auto"/>
        <w:ind w:firstLine="709"/>
        <w:jc w:val="both"/>
        <w:rPr>
          <w:rFonts w:asciiTheme="minorHAnsi" w:hAnsiTheme="minorHAnsi"/>
        </w:rPr>
      </w:pPr>
      <w:r w:rsidRPr="003C505A">
        <w:rPr>
          <w:rFonts w:asciiTheme="minorHAnsi" w:hAnsiTheme="minorHAnsi"/>
        </w:rPr>
        <w:t>Abychom mohli text rozdělit na kvazi-věty, je nutné vytvořit jednotlivé kategorie (témata), ke kterým budou následně kvazi-věty přiřazeny. Jednotlivé kategorie byly vytvořeny pomocí</w:t>
      </w:r>
      <w:r w:rsidR="00B050E1">
        <w:rPr>
          <w:rFonts w:asciiTheme="minorHAnsi" w:hAnsiTheme="minorHAnsi"/>
        </w:rPr>
        <w:t xml:space="preserve"> vlastního</w:t>
      </w:r>
      <w:r w:rsidRPr="003C505A">
        <w:rPr>
          <w:rFonts w:asciiTheme="minorHAnsi" w:hAnsiTheme="minorHAnsi"/>
        </w:rPr>
        <w:t xml:space="preserve"> „předvýzkumu“, kdy bylo náhodně vybráno a </w:t>
      </w:r>
      <w:r w:rsidR="00650BB8">
        <w:rPr>
          <w:rFonts w:asciiTheme="minorHAnsi" w:hAnsiTheme="minorHAnsi"/>
        </w:rPr>
        <w:t xml:space="preserve">interpretativním čtením zanalyzováno </w:t>
      </w:r>
      <w:r w:rsidRPr="003C505A">
        <w:rPr>
          <w:rFonts w:asciiTheme="minorHAnsi" w:hAnsiTheme="minorHAnsi"/>
        </w:rPr>
        <w:t>10 %</w:t>
      </w:r>
      <w:r w:rsidR="00650BB8">
        <w:rPr>
          <w:rFonts w:asciiTheme="minorHAnsi" w:hAnsiTheme="minorHAnsi"/>
        </w:rPr>
        <w:t xml:space="preserve"> zkoumaného textu</w:t>
      </w:r>
      <w:r w:rsidRPr="003C505A">
        <w:rPr>
          <w:rFonts w:asciiTheme="minorHAnsi" w:hAnsiTheme="minorHAnsi"/>
        </w:rPr>
        <w:t xml:space="preserve"> (pomocí generátoru náhodných čísel byly čteny strany odpovídající danému číslu) a následně</w:t>
      </w:r>
      <w:r w:rsidR="00650BB8">
        <w:rPr>
          <w:rFonts w:asciiTheme="minorHAnsi" w:hAnsiTheme="minorHAnsi"/>
        </w:rPr>
        <w:t xml:space="preserve"> byla</w:t>
      </w:r>
      <w:r w:rsidRPr="003C505A">
        <w:rPr>
          <w:rFonts w:asciiTheme="minorHAnsi" w:hAnsiTheme="minorHAnsi"/>
        </w:rPr>
        <w:t xml:space="preserve"> stanovena témata (kategorie), která opoziční politici kritizovali. Každá kategorie byla vytvořena tak, aby byla jasná její exkluzivita, ale zároveň, aby byla dostatečně široká na to, aby ji bylo možné blíže popsat v rámci kvalitativní analýzy a popisu rámců, které opoziční strany k vymezení kritiky používaly. Každé kategorii </w:t>
      </w:r>
      <w:r w:rsidR="00CF3271">
        <w:rPr>
          <w:rFonts w:asciiTheme="minorHAnsi" w:hAnsiTheme="minorHAnsi"/>
        </w:rPr>
        <w:t>je</w:t>
      </w:r>
      <w:r w:rsidRPr="003C505A">
        <w:rPr>
          <w:rFonts w:asciiTheme="minorHAnsi" w:hAnsiTheme="minorHAnsi"/>
        </w:rPr>
        <w:t xml:space="preserve"> přiřazena číselná hodnota, přičemž kategorie dohromady </w:t>
      </w:r>
      <w:r w:rsidR="00CF3271">
        <w:rPr>
          <w:rFonts w:asciiTheme="minorHAnsi" w:hAnsiTheme="minorHAnsi"/>
        </w:rPr>
        <w:t>vytváří</w:t>
      </w:r>
      <w:r w:rsidRPr="003C505A">
        <w:rPr>
          <w:rFonts w:asciiTheme="minorHAnsi" w:hAnsiTheme="minorHAnsi"/>
        </w:rPr>
        <w:t xml:space="preserve"> kódovací knihu, která je důležitá pro převedení zkoumaných jednotek do číselné podoby.</w:t>
      </w:r>
    </w:p>
    <w:p w14:paraId="24E714E1" w14:textId="26752F12" w:rsidR="00ED6D3A" w:rsidRDefault="00ED6D3A" w:rsidP="00ED6D3A">
      <w:pPr>
        <w:spacing w:line="360" w:lineRule="auto"/>
        <w:ind w:firstLine="709"/>
        <w:jc w:val="both"/>
        <w:rPr>
          <w:rFonts w:asciiTheme="minorHAnsi" w:hAnsiTheme="minorHAnsi"/>
        </w:rPr>
      </w:pPr>
    </w:p>
    <w:p w14:paraId="789B9363" w14:textId="0FE3D7AB" w:rsidR="003E3DE1" w:rsidRDefault="003E3DE1" w:rsidP="00ED6D3A">
      <w:pPr>
        <w:spacing w:line="360" w:lineRule="auto"/>
        <w:ind w:firstLine="709"/>
        <w:jc w:val="both"/>
        <w:rPr>
          <w:rFonts w:asciiTheme="minorHAnsi" w:hAnsiTheme="minorHAnsi"/>
        </w:rPr>
      </w:pPr>
    </w:p>
    <w:p w14:paraId="08E1FA30" w14:textId="09BEBEC7" w:rsidR="003E3DE1" w:rsidRDefault="003E3DE1" w:rsidP="003E3DE1">
      <w:pPr>
        <w:spacing w:line="360" w:lineRule="auto"/>
        <w:jc w:val="both"/>
        <w:rPr>
          <w:rFonts w:asciiTheme="minorHAnsi" w:hAnsiTheme="minorHAnsi"/>
          <w:color w:val="000000" w:themeColor="text1"/>
        </w:rPr>
      </w:pPr>
    </w:p>
    <w:p w14:paraId="5018BBA7" w14:textId="41DAFB28" w:rsidR="00AA015D" w:rsidRPr="003C505A" w:rsidRDefault="00ED6D3A" w:rsidP="003E3DE1">
      <w:pPr>
        <w:spacing w:line="360" w:lineRule="auto"/>
        <w:jc w:val="both"/>
        <w:rPr>
          <w:rFonts w:asciiTheme="minorHAnsi" w:hAnsiTheme="minorHAnsi"/>
          <w:color w:val="000000" w:themeColor="text1"/>
        </w:rPr>
      </w:pPr>
      <w:r w:rsidRPr="003C505A">
        <w:rPr>
          <w:rFonts w:asciiTheme="minorHAnsi" w:hAnsiTheme="minorHAnsi"/>
          <w:color w:val="000000" w:themeColor="text1"/>
        </w:rPr>
        <w:t xml:space="preserve">Tabulka č. 1: </w:t>
      </w:r>
      <w:r w:rsidRPr="003C505A">
        <w:rPr>
          <w:rFonts w:asciiTheme="minorHAnsi" w:hAnsiTheme="minorHAnsi"/>
        </w:rPr>
        <w:t>Kódovací klíč kritizovaných témat (kategorií)</w:t>
      </w:r>
    </w:p>
    <w:tbl>
      <w:tblPr>
        <w:tblStyle w:val="Svtlmkatabulky"/>
        <w:tblW w:w="5000" w:type="pct"/>
        <w:tblLook w:val="04A0" w:firstRow="1" w:lastRow="0" w:firstColumn="1" w:lastColumn="0" w:noHBand="0" w:noVBand="1"/>
      </w:tblPr>
      <w:tblGrid>
        <w:gridCol w:w="3888"/>
        <w:gridCol w:w="3465"/>
      </w:tblGrid>
      <w:tr w:rsidR="00ED6D3A" w:rsidRPr="003C505A" w14:paraId="515CA155" w14:textId="77777777" w:rsidTr="00ED6D3A">
        <w:tc>
          <w:tcPr>
            <w:tcW w:w="2644" w:type="pct"/>
          </w:tcPr>
          <w:p w14:paraId="5FE3CD2F" w14:textId="77777777" w:rsidR="00ED6D3A" w:rsidRPr="003C505A" w:rsidRDefault="00ED6D3A" w:rsidP="00ED6D3A">
            <w:pPr>
              <w:spacing w:line="360" w:lineRule="auto"/>
              <w:rPr>
                <w:rFonts w:asciiTheme="minorHAnsi" w:hAnsiTheme="minorHAnsi"/>
                <w:b/>
              </w:rPr>
            </w:pPr>
            <w:r w:rsidRPr="003C505A">
              <w:rPr>
                <w:rFonts w:asciiTheme="minorHAnsi" w:hAnsiTheme="minorHAnsi"/>
                <w:b/>
              </w:rPr>
              <w:t>Kategorie</w:t>
            </w:r>
          </w:p>
        </w:tc>
        <w:tc>
          <w:tcPr>
            <w:tcW w:w="2356" w:type="pct"/>
          </w:tcPr>
          <w:p w14:paraId="414363E8" w14:textId="77777777" w:rsidR="00ED6D3A" w:rsidRPr="003C505A" w:rsidRDefault="00ED6D3A" w:rsidP="00ED6D3A">
            <w:pPr>
              <w:spacing w:line="360" w:lineRule="auto"/>
              <w:rPr>
                <w:rFonts w:asciiTheme="minorHAnsi" w:hAnsiTheme="minorHAnsi"/>
                <w:b/>
              </w:rPr>
            </w:pPr>
            <w:r w:rsidRPr="003C505A">
              <w:rPr>
                <w:rFonts w:asciiTheme="minorHAnsi" w:hAnsiTheme="minorHAnsi"/>
                <w:b/>
              </w:rPr>
              <w:t>Číselná hodnota</w:t>
            </w:r>
          </w:p>
        </w:tc>
      </w:tr>
      <w:tr w:rsidR="00ED6D3A" w:rsidRPr="003C505A" w14:paraId="37A06E42" w14:textId="77777777" w:rsidTr="00ED6D3A">
        <w:tc>
          <w:tcPr>
            <w:tcW w:w="2644" w:type="pct"/>
          </w:tcPr>
          <w:p w14:paraId="69A622DA" w14:textId="77777777" w:rsidR="00ED6D3A" w:rsidRPr="003C505A" w:rsidRDefault="00ED6D3A" w:rsidP="00ED6D3A">
            <w:pPr>
              <w:spacing w:line="360" w:lineRule="auto"/>
              <w:rPr>
                <w:rFonts w:asciiTheme="minorHAnsi" w:hAnsiTheme="minorHAnsi"/>
              </w:rPr>
            </w:pPr>
            <w:r w:rsidRPr="003C505A">
              <w:rPr>
                <w:rFonts w:asciiTheme="minorHAnsi" w:hAnsiTheme="minorHAnsi"/>
              </w:rPr>
              <w:t>Kompetence vlády</w:t>
            </w:r>
          </w:p>
        </w:tc>
        <w:tc>
          <w:tcPr>
            <w:tcW w:w="2356" w:type="pct"/>
          </w:tcPr>
          <w:p w14:paraId="2593F165" w14:textId="77777777" w:rsidR="00ED6D3A" w:rsidRPr="003C505A" w:rsidRDefault="00ED6D3A" w:rsidP="00ED6D3A">
            <w:pPr>
              <w:spacing w:line="360" w:lineRule="auto"/>
              <w:rPr>
                <w:rFonts w:asciiTheme="minorHAnsi" w:hAnsiTheme="minorHAnsi"/>
              </w:rPr>
            </w:pPr>
            <w:r w:rsidRPr="003C505A">
              <w:rPr>
                <w:rFonts w:asciiTheme="minorHAnsi" w:hAnsiTheme="minorHAnsi"/>
              </w:rPr>
              <w:t>1</w:t>
            </w:r>
          </w:p>
        </w:tc>
      </w:tr>
      <w:tr w:rsidR="00ED6D3A" w:rsidRPr="003C505A" w14:paraId="62582173" w14:textId="77777777" w:rsidTr="00ED6D3A">
        <w:tc>
          <w:tcPr>
            <w:tcW w:w="2644" w:type="pct"/>
          </w:tcPr>
          <w:p w14:paraId="20B2A728" w14:textId="77777777" w:rsidR="00ED6D3A" w:rsidRPr="003C505A" w:rsidRDefault="00ED6D3A" w:rsidP="00ED6D3A">
            <w:pPr>
              <w:spacing w:line="360" w:lineRule="auto"/>
              <w:rPr>
                <w:rFonts w:asciiTheme="minorHAnsi" w:hAnsiTheme="minorHAnsi"/>
              </w:rPr>
            </w:pPr>
            <w:r w:rsidRPr="003C505A">
              <w:rPr>
                <w:rFonts w:asciiTheme="minorHAnsi" w:hAnsiTheme="minorHAnsi"/>
              </w:rPr>
              <w:t>Důvěryhodnost vlády</w:t>
            </w:r>
          </w:p>
        </w:tc>
        <w:tc>
          <w:tcPr>
            <w:tcW w:w="2356" w:type="pct"/>
          </w:tcPr>
          <w:p w14:paraId="00C36075" w14:textId="77777777" w:rsidR="00ED6D3A" w:rsidRPr="003C505A" w:rsidRDefault="00ED6D3A" w:rsidP="00ED6D3A">
            <w:pPr>
              <w:spacing w:line="360" w:lineRule="auto"/>
              <w:rPr>
                <w:rFonts w:asciiTheme="minorHAnsi" w:hAnsiTheme="minorHAnsi"/>
              </w:rPr>
            </w:pPr>
            <w:r w:rsidRPr="003C505A">
              <w:rPr>
                <w:rFonts w:asciiTheme="minorHAnsi" w:hAnsiTheme="minorHAnsi"/>
              </w:rPr>
              <w:t>2</w:t>
            </w:r>
          </w:p>
        </w:tc>
      </w:tr>
      <w:tr w:rsidR="00ED6D3A" w:rsidRPr="003C505A" w14:paraId="5E1D8A84" w14:textId="77777777" w:rsidTr="00ED6D3A">
        <w:tc>
          <w:tcPr>
            <w:tcW w:w="2644" w:type="pct"/>
          </w:tcPr>
          <w:p w14:paraId="6A08146A" w14:textId="77777777" w:rsidR="00ED6D3A" w:rsidRPr="003C505A" w:rsidRDefault="00ED6D3A" w:rsidP="00ED6D3A">
            <w:pPr>
              <w:spacing w:line="360" w:lineRule="auto"/>
              <w:rPr>
                <w:rFonts w:asciiTheme="minorHAnsi" w:hAnsiTheme="minorHAnsi"/>
              </w:rPr>
            </w:pPr>
            <w:r w:rsidRPr="003C505A">
              <w:rPr>
                <w:rFonts w:asciiTheme="minorHAnsi" w:hAnsiTheme="minorHAnsi"/>
              </w:rPr>
              <w:t>Personální obsazení vlády</w:t>
            </w:r>
          </w:p>
        </w:tc>
        <w:tc>
          <w:tcPr>
            <w:tcW w:w="2356" w:type="pct"/>
          </w:tcPr>
          <w:p w14:paraId="5304116E" w14:textId="77777777" w:rsidR="00ED6D3A" w:rsidRPr="003C505A" w:rsidRDefault="00ED6D3A" w:rsidP="00ED6D3A">
            <w:pPr>
              <w:spacing w:line="360" w:lineRule="auto"/>
              <w:rPr>
                <w:rFonts w:asciiTheme="minorHAnsi" w:hAnsiTheme="minorHAnsi"/>
              </w:rPr>
            </w:pPr>
            <w:r w:rsidRPr="003C505A">
              <w:rPr>
                <w:rFonts w:asciiTheme="minorHAnsi" w:hAnsiTheme="minorHAnsi"/>
              </w:rPr>
              <w:t>3</w:t>
            </w:r>
          </w:p>
        </w:tc>
      </w:tr>
      <w:tr w:rsidR="00ED6D3A" w:rsidRPr="003C505A" w14:paraId="799C367C" w14:textId="77777777" w:rsidTr="00ED6D3A">
        <w:tc>
          <w:tcPr>
            <w:tcW w:w="2644" w:type="pct"/>
          </w:tcPr>
          <w:p w14:paraId="2E57D6D3" w14:textId="77777777" w:rsidR="00ED6D3A" w:rsidRPr="003C505A" w:rsidRDefault="00ED6D3A" w:rsidP="00ED6D3A">
            <w:pPr>
              <w:spacing w:line="360" w:lineRule="auto"/>
              <w:rPr>
                <w:rFonts w:asciiTheme="minorHAnsi" w:hAnsiTheme="minorHAnsi"/>
              </w:rPr>
            </w:pPr>
            <w:r w:rsidRPr="003C505A">
              <w:rPr>
                <w:rFonts w:asciiTheme="minorHAnsi" w:hAnsiTheme="minorHAnsi"/>
              </w:rPr>
              <w:t>Koaliční jednání a podoba vlády (jednobarevnost)</w:t>
            </w:r>
          </w:p>
        </w:tc>
        <w:tc>
          <w:tcPr>
            <w:tcW w:w="2356" w:type="pct"/>
          </w:tcPr>
          <w:p w14:paraId="7AD93391" w14:textId="77777777" w:rsidR="00ED6D3A" w:rsidRPr="003C505A" w:rsidRDefault="00ED6D3A" w:rsidP="00ED6D3A">
            <w:pPr>
              <w:spacing w:line="360" w:lineRule="auto"/>
              <w:rPr>
                <w:rFonts w:asciiTheme="minorHAnsi" w:hAnsiTheme="minorHAnsi"/>
              </w:rPr>
            </w:pPr>
            <w:r w:rsidRPr="003C505A">
              <w:rPr>
                <w:rFonts w:asciiTheme="minorHAnsi" w:hAnsiTheme="minorHAnsi"/>
              </w:rPr>
              <w:t>4</w:t>
            </w:r>
          </w:p>
        </w:tc>
      </w:tr>
      <w:tr w:rsidR="00ED6D3A" w:rsidRPr="003C505A" w14:paraId="1B1EF803" w14:textId="77777777" w:rsidTr="00ED6D3A">
        <w:tc>
          <w:tcPr>
            <w:tcW w:w="2644" w:type="pct"/>
          </w:tcPr>
          <w:p w14:paraId="78E33A24" w14:textId="77777777" w:rsidR="00ED6D3A" w:rsidRPr="003C505A" w:rsidRDefault="00ED6D3A" w:rsidP="00ED6D3A">
            <w:pPr>
              <w:spacing w:line="360" w:lineRule="auto"/>
              <w:rPr>
                <w:rFonts w:asciiTheme="minorHAnsi" w:hAnsiTheme="minorHAnsi"/>
              </w:rPr>
            </w:pPr>
            <w:r w:rsidRPr="003C505A">
              <w:rPr>
                <w:rFonts w:asciiTheme="minorHAnsi" w:hAnsiTheme="minorHAnsi"/>
              </w:rPr>
              <w:t>Programové prohlášení a vize vlády</w:t>
            </w:r>
          </w:p>
        </w:tc>
        <w:tc>
          <w:tcPr>
            <w:tcW w:w="2356" w:type="pct"/>
          </w:tcPr>
          <w:p w14:paraId="403A6419" w14:textId="77777777" w:rsidR="00ED6D3A" w:rsidRPr="003C505A" w:rsidRDefault="00ED6D3A" w:rsidP="00ED6D3A">
            <w:pPr>
              <w:spacing w:line="360" w:lineRule="auto"/>
              <w:rPr>
                <w:rFonts w:asciiTheme="minorHAnsi" w:hAnsiTheme="minorHAnsi"/>
              </w:rPr>
            </w:pPr>
            <w:r w:rsidRPr="003C505A">
              <w:rPr>
                <w:rFonts w:asciiTheme="minorHAnsi" w:hAnsiTheme="minorHAnsi"/>
              </w:rPr>
              <w:t>5</w:t>
            </w:r>
          </w:p>
        </w:tc>
      </w:tr>
      <w:tr w:rsidR="00ED6D3A" w:rsidRPr="003C505A" w14:paraId="45829A38" w14:textId="77777777" w:rsidTr="00ED6D3A">
        <w:tc>
          <w:tcPr>
            <w:tcW w:w="2644" w:type="pct"/>
          </w:tcPr>
          <w:p w14:paraId="0E1D5845" w14:textId="77777777" w:rsidR="00ED6D3A" w:rsidRPr="003C505A" w:rsidRDefault="00ED6D3A" w:rsidP="00ED6D3A">
            <w:pPr>
              <w:spacing w:line="360" w:lineRule="auto"/>
              <w:rPr>
                <w:rFonts w:asciiTheme="minorHAnsi" w:hAnsiTheme="minorHAnsi"/>
              </w:rPr>
            </w:pPr>
            <w:r w:rsidRPr="003C505A">
              <w:rPr>
                <w:rFonts w:asciiTheme="minorHAnsi" w:hAnsiTheme="minorHAnsi"/>
              </w:rPr>
              <w:t>Sociální politika</w:t>
            </w:r>
          </w:p>
        </w:tc>
        <w:tc>
          <w:tcPr>
            <w:tcW w:w="2356" w:type="pct"/>
          </w:tcPr>
          <w:p w14:paraId="16D005FE" w14:textId="77777777" w:rsidR="00ED6D3A" w:rsidRPr="003C505A" w:rsidRDefault="00ED6D3A" w:rsidP="00ED6D3A">
            <w:pPr>
              <w:spacing w:line="360" w:lineRule="auto"/>
              <w:rPr>
                <w:rFonts w:asciiTheme="minorHAnsi" w:hAnsiTheme="minorHAnsi"/>
              </w:rPr>
            </w:pPr>
            <w:r w:rsidRPr="003C505A">
              <w:rPr>
                <w:rFonts w:asciiTheme="minorHAnsi" w:hAnsiTheme="minorHAnsi"/>
              </w:rPr>
              <w:t>6</w:t>
            </w:r>
          </w:p>
        </w:tc>
      </w:tr>
      <w:tr w:rsidR="00ED6D3A" w:rsidRPr="003C505A" w14:paraId="40F30227" w14:textId="77777777" w:rsidTr="00ED6D3A">
        <w:tc>
          <w:tcPr>
            <w:tcW w:w="2644" w:type="pct"/>
          </w:tcPr>
          <w:p w14:paraId="3E6331FB" w14:textId="77777777" w:rsidR="00ED6D3A" w:rsidRPr="003C505A" w:rsidRDefault="00ED6D3A" w:rsidP="00ED6D3A">
            <w:pPr>
              <w:spacing w:line="360" w:lineRule="auto"/>
              <w:rPr>
                <w:rFonts w:asciiTheme="minorHAnsi" w:hAnsiTheme="minorHAnsi"/>
              </w:rPr>
            </w:pPr>
            <w:r w:rsidRPr="003C505A">
              <w:rPr>
                <w:rFonts w:asciiTheme="minorHAnsi" w:hAnsiTheme="minorHAnsi"/>
              </w:rPr>
              <w:t xml:space="preserve">Trestní stíhání Andreje Babiše </w:t>
            </w:r>
          </w:p>
        </w:tc>
        <w:tc>
          <w:tcPr>
            <w:tcW w:w="2356" w:type="pct"/>
          </w:tcPr>
          <w:p w14:paraId="7E8149A4" w14:textId="77777777" w:rsidR="00ED6D3A" w:rsidRPr="003C505A" w:rsidRDefault="00ED6D3A" w:rsidP="00ED6D3A">
            <w:pPr>
              <w:spacing w:line="360" w:lineRule="auto"/>
              <w:rPr>
                <w:rFonts w:asciiTheme="minorHAnsi" w:hAnsiTheme="minorHAnsi"/>
              </w:rPr>
            </w:pPr>
            <w:r w:rsidRPr="003C505A">
              <w:rPr>
                <w:rFonts w:asciiTheme="minorHAnsi" w:hAnsiTheme="minorHAnsi"/>
              </w:rPr>
              <w:t>7</w:t>
            </w:r>
          </w:p>
        </w:tc>
      </w:tr>
      <w:tr w:rsidR="00ED6D3A" w:rsidRPr="003C505A" w14:paraId="5D60C429" w14:textId="77777777" w:rsidTr="00ED6D3A">
        <w:tc>
          <w:tcPr>
            <w:tcW w:w="2644" w:type="pct"/>
          </w:tcPr>
          <w:p w14:paraId="45A66976" w14:textId="77777777" w:rsidR="00ED6D3A" w:rsidRPr="003C505A" w:rsidRDefault="00ED6D3A" w:rsidP="00ED6D3A">
            <w:pPr>
              <w:spacing w:line="360" w:lineRule="auto"/>
              <w:rPr>
                <w:rFonts w:asciiTheme="minorHAnsi" w:hAnsiTheme="minorHAnsi"/>
              </w:rPr>
            </w:pPr>
            <w:r w:rsidRPr="003C505A">
              <w:rPr>
                <w:rFonts w:asciiTheme="minorHAnsi" w:hAnsiTheme="minorHAnsi"/>
              </w:rPr>
              <w:t>Minulost Andreje Babiše</w:t>
            </w:r>
          </w:p>
        </w:tc>
        <w:tc>
          <w:tcPr>
            <w:tcW w:w="2356" w:type="pct"/>
          </w:tcPr>
          <w:p w14:paraId="1C289ECC" w14:textId="77777777" w:rsidR="00ED6D3A" w:rsidRPr="003C505A" w:rsidRDefault="00ED6D3A" w:rsidP="00ED6D3A">
            <w:pPr>
              <w:spacing w:line="360" w:lineRule="auto"/>
              <w:rPr>
                <w:rFonts w:asciiTheme="minorHAnsi" w:hAnsiTheme="minorHAnsi"/>
              </w:rPr>
            </w:pPr>
            <w:r w:rsidRPr="003C505A">
              <w:rPr>
                <w:rFonts w:asciiTheme="minorHAnsi" w:hAnsiTheme="minorHAnsi"/>
              </w:rPr>
              <w:t>8</w:t>
            </w:r>
          </w:p>
        </w:tc>
      </w:tr>
      <w:tr w:rsidR="00ED6D3A" w:rsidRPr="003C505A" w14:paraId="5D868809" w14:textId="77777777" w:rsidTr="00ED6D3A">
        <w:tc>
          <w:tcPr>
            <w:tcW w:w="2644" w:type="pct"/>
          </w:tcPr>
          <w:p w14:paraId="645240BE" w14:textId="77777777" w:rsidR="00ED6D3A" w:rsidRPr="003C505A" w:rsidRDefault="00ED6D3A" w:rsidP="00ED6D3A">
            <w:pPr>
              <w:spacing w:line="360" w:lineRule="auto"/>
              <w:rPr>
                <w:rFonts w:asciiTheme="minorHAnsi" w:hAnsiTheme="minorHAnsi"/>
              </w:rPr>
            </w:pPr>
            <w:r w:rsidRPr="003C505A">
              <w:rPr>
                <w:rFonts w:asciiTheme="minorHAnsi" w:hAnsiTheme="minorHAnsi"/>
              </w:rPr>
              <w:t>Střet zájmů Andreje Babiše</w:t>
            </w:r>
          </w:p>
        </w:tc>
        <w:tc>
          <w:tcPr>
            <w:tcW w:w="2356" w:type="pct"/>
          </w:tcPr>
          <w:p w14:paraId="428AAFC9" w14:textId="77777777" w:rsidR="00ED6D3A" w:rsidRPr="003C505A" w:rsidRDefault="00ED6D3A" w:rsidP="00ED6D3A">
            <w:pPr>
              <w:spacing w:line="360" w:lineRule="auto"/>
              <w:rPr>
                <w:rFonts w:asciiTheme="minorHAnsi" w:hAnsiTheme="minorHAnsi"/>
              </w:rPr>
            </w:pPr>
            <w:r w:rsidRPr="003C505A">
              <w:rPr>
                <w:rFonts w:asciiTheme="minorHAnsi" w:hAnsiTheme="minorHAnsi"/>
              </w:rPr>
              <w:t>9</w:t>
            </w:r>
          </w:p>
        </w:tc>
      </w:tr>
      <w:tr w:rsidR="00ED6D3A" w:rsidRPr="003C505A" w14:paraId="3531DC8F" w14:textId="77777777" w:rsidTr="00ED6D3A">
        <w:tc>
          <w:tcPr>
            <w:tcW w:w="2644" w:type="pct"/>
          </w:tcPr>
          <w:p w14:paraId="0D1DAF31" w14:textId="77777777" w:rsidR="00ED6D3A" w:rsidRPr="003C505A" w:rsidRDefault="00ED6D3A" w:rsidP="00ED6D3A">
            <w:pPr>
              <w:spacing w:line="360" w:lineRule="auto"/>
              <w:rPr>
                <w:rFonts w:asciiTheme="minorHAnsi" w:hAnsiTheme="minorHAnsi"/>
              </w:rPr>
            </w:pPr>
            <w:r w:rsidRPr="003C505A">
              <w:rPr>
                <w:rFonts w:asciiTheme="minorHAnsi" w:hAnsiTheme="minorHAnsi"/>
              </w:rPr>
              <w:t>Účast KSČM na vládě</w:t>
            </w:r>
          </w:p>
        </w:tc>
        <w:tc>
          <w:tcPr>
            <w:tcW w:w="2356" w:type="pct"/>
          </w:tcPr>
          <w:p w14:paraId="46D6B02F" w14:textId="77777777" w:rsidR="00ED6D3A" w:rsidRPr="003C505A" w:rsidRDefault="00ED6D3A" w:rsidP="00ED6D3A">
            <w:pPr>
              <w:spacing w:line="360" w:lineRule="auto"/>
              <w:rPr>
                <w:rFonts w:asciiTheme="minorHAnsi" w:hAnsiTheme="minorHAnsi"/>
              </w:rPr>
            </w:pPr>
            <w:r w:rsidRPr="003C505A">
              <w:rPr>
                <w:rFonts w:asciiTheme="minorHAnsi" w:hAnsiTheme="minorHAnsi"/>
              </w:rPr>
              <w:t>10</w:t>
            </w:r>
          </w:p>
        </w:tc>
      </w:tr>
      <w:tr w:rsidR="00ED6D3A" w:rsidRPr="003C505A" w14:paraId="13C328DB" w14:textId="77777777" w:rsidTr="00ED6D3A">
        <w:tc>
          <w:tcPr>
            <w:tcW w:w="2644" w:type="pct"/>
          </w:tcPr>
          <w:p w14:paraId="54E7197D" w14:textId="77777777" w:rsidR="00ED6D3A" w:rsidRPr="003C505A" w:rsidRDefault="00ED6D3A" w:rsidP="00ED6D3A">
            <w:pPr>
              <w:spacing w:line="360" w:lineRule="auto"/>
              <w:rPr>
                <w:rFonts w:asciiTheme="minorHAnsi" w:hAnsiTheme="minorHAnsi"/>
              </w:rPr>
            </w:pPr>
            <w:r w:rsidRPr="003C505A">
              <w:rPr>
                <w:rFonts w:asciiTheme="minorHAnsi" w:hAnsiTheme="minorHAnsi"/>
              </w:rPr>
              <w:t>Jiné</w:t>
            </w:r>
          </w:p>
        </w:tc>
        <w:tc>
          <w:tcPr>
            <w:tcW w:w="2356" w:type="pct"/>
          </w:tcPr>
          <w:p w14:paraId="40C9AB73" w14:textId="77777777" w:rsidR="00ED6D3A" w:rsidRPr="003C505A" w:rsidRDefault="00ED6D3A" w:rsidP="00ED6D3A">
            <w:pPr>
              <w:spacing w:line="360" w:lineRule="auto"/>
              <w:rPr>
                <w:rFonts w:asciiTheme="minorHAnsi" w:hAnsiTheme="minorHAnsi"/>
              </w:rPr>
            </w:pPr>
            <w:r w:rsidRPr="003C505A">
              <w:rPr>
                <w:rFonts w:asciiTheme="minorHAnsi" w:hAnsiTheme="minorHAnsi"/>
              </w:rPr>
              <w:t>11</w:t>
            </w:r>
          </w:p>
        </w:tc>
      </w:tr>
    </w:tbl>
    <w:p w14:paraId="41031760" w14:textId="77777777" w:rsidR="00AA015D" w:rsidRPr="003C505A" w:rsidRDefault="00ED6D3A" w:rsidP="00AA015D">
      <w:pPr>
        <w:pStyle w:val="Odstavec1"/>
        <w:rPr>
          <w:rFonts w:asciiTheme="minorHAnsi" w:hAnsiTheme="minorHAnsi"/>
        </w:rPr>
      </w:pPr>
      <w:r w:rsidRPr="003C505A">
        <w:rPr>
          <w:rFonts w:asciiTheme="minorHAnsi" w:hAnsiTheme="minorHAnsi"/>
        </w:rPr>
        <w:t>Zdroj: vlastní zpracování.</w:t>
      </w:r>
    </w:p>
    <w:p w14:paraId="2EA49219" w14:textId="77777777" w:rsidR="00ED6D3A" w:rsidRPr="003C505A" w:rsidRDefault="00ED6D3A" w:rsidP="00ED6D3A">
      <w:pPr>
        <w:pStyle w:val="Dalodstavce"/>
        <w:rPr>
          <w:rFonts w:asciiTheme="minorHAnsi" w:hAnsiTheme="minorHAnsi"/>
        </w:rPr>
      </w:pPr>
    </w:p>
    <w:p w14:paraId="7A8582D9" w14:textId="5815920C" w:rsidR="00ED6D3A" w:rsidRPr="003C505A" w:rsidRDefault="00ED6D3A" w:rsidP="00ED6D3A">
      <w:pPr>
        <w:spacing w:line="360" w:lineRule="auto"/>
        <w:ind w:firstLine="709"/>
        <w:jc w:val="both"/>
        <w:rPr>
          <w:rFonts w:asciiTheme="minorHAnsi" w:hAnsiTheme="minorHAnsi"/>
        </w:rPr>
      </w:pPr>
      <w:r w:rsidRPr="003C505A">
        <w:rPr>
          <w:rFonts w:asciiTheme="minorHAnsi" w:hAnsiTheme="minorHAnsi"/>
        </w:rPr>
        <w:t>Následovat bude manuální kódování, kdy budou jednotlivé kvazi-věty přiřazovány k jednotlivým kategoriím. Záznam o jednotkách analýzy bude kódován pro danou kódovací jednotku (kvazi-větu). Ke každé kvazi-větě přitom může být přiřazeno i více než jedna kategorie. Zároveň budou jednotlivé kvazi-věty kódovány podle toho, zda se jedná o kritiku abstraktní či konkrétní (hodnota 0 není-li jev přítomen, hodnota 1 je-li přítomen</w:t>
      </w:r>
      <w:r w:rsidR="00BF5633">
        <w:rPr>
          <w:rFonts w:asciiTheme="minorHAnsi" w:hAnsiTheme="minorHAnsi"/>
        </w:rPr>
        <w:t>)</w:t>
      </w:r>
      <w:r w:rsidRPr="003C505A">
        <w:rPr>
          <w:rFonts w:asciiTheme="minorHAnsi" w:hAnsiTheme="minorHAnsi"/>
        </w:rPr>
        <w:t xml:space="preserve">. Je to z toho důvodu, že kritika nemusí být vždy doslovná, ale </w:t>
      </w:r>
      <w:r w:rsidR="00CD574E">
        <w:rPr>
          <w:rFonts w:asciiTheme="minorHAnsi" w:hAnsiTheme="minorHAnsi"/>
        </w:rPr>
        <w:t xml:space="preserve">může být pouze </w:t>
      </w:r>
      <w:r w:rsidRPr="003C505A">
        <w:rPr>
          <w:rFonts w:asciiTheme="minorHAnsi" w:hAnsiTheme="minorHAnsi"/>
        </w:rPr>
        <w:t>obrazná.</w:t>
      </w:r>
    </w:p>
    <w:p w14:paraId="6EF9C0C1" w14:textId="77777777" w:rsidR="00ED6D3A" w:rsidRPr="003C505A" w:rsidRDefault="00ED6D3A" w:rsidP="00ED6D3A">
      <w:pPr>
        <w:spacing w:line="360" w:lineRule="auto"/>
        <w:ind w:firstLine="709"/>
        <w:jc w:val="both"/>
        <w:rPr>
          <w:rFonts w:asciiTheme="minorHAnsi" w:hAnsiTheme="minorHAnsi"/>
        </w:rPr>
      </w:pPr>
      <w:r w:rsidRPr="003C505A">
        <w:rPr>
          <w:rFonts w:asciiTheme="minorHAnsi" w:hAnsiTheme="minorHAnsi"/>
        </w:rPr>
        <w:t>Výsledkem kódování v SPSS by měla být datová matice, která v absolutních číslech vyjádří počet argumentů kritiky a přiřadí je jednotlivým zkoumaným opozičním stranám. Zároveň bude vytvořena variace koláčových grafů a tabulek pro srovnání stran a témat kritiky a jejich následná interpretace a zodpovězení výzkumných otázek.</w:t>
      </w:r>
    </w:p>
    <w:p w14:paraId="7E64AB1D" w14:textId="77777777" w:rsidR="00ED6D3A" w:rsidRPr="003C505A" w:rsidRDefault="00ED6D3A" w:rsidP="00ED6D3A">
      <w:pPr>
        <w:spacing w:line="360" w:lineRule="auto"/>
        <w:ind w:firstLine="360"/>
        <w:jc w:val="both"/>
        <w:rPr>
          <w:rFonts w:asciiTheme="minorHAnsi" w:hAnsiTheme="minorHAnsi"/>
        </w:rPr>
      </w:pPr>
      <w:r w:rsidRPr="003C505A">
        <w:rPr>
          <w:rFonts w:asciiTheme="minorHAnsi" w:hAnsiTheme="minorHAnsi"/>
        </w:rPr>
        <w:t>Využitím popsaného přístupu kódování textu však analýza nekončí. Pro rámování používá politická opozice rámce, které jí umožňují připisovat jednotlivým tématům různé významy. Strany se tedy mohou v rámování problému shodovat, ale zároveň zaujímají odlišné přístupy, či argumenty. Jinými slovy to znamená, že ačkoliv například hovoří o stejném tématu, mohou mu přikládat jinou důležitost, vnímají jej z jiné perspektivy a navrhují tak odlišná řešení problému.</w:t>
      </w:r>
    </w:p>
    <w:p w14:paraId="7705733D" w14:textId="0C3AB266" w:rsidR="00ED6D3A" w:rsidRPr="003C505A" w:rsidRDefault="00ED6D3A" w:rsidP="00ED6D3A">
      <w:pPr>
        <w:spacing w:line="360" w:lineRule="auto"/>
        <w:ind w:firstLine="360"/>
        <w:jc w:val="both"/>
        <w:rPr>
          <w:rFonts w:asciiTheme="minorHAnsi" w:hAnsiTheme="minorHAnsi"/>
        </w:rPr>
      </w:pPr>
      <w:r w:rsidRPr="003C505A">
        <w:rPr>
          <w:rFonts w:asciiTheme="minorHAnsi" w:hAnsiTheme="minorHAnsi"/>
        </w:rPr>
        <w:t>Následuje tedy popis rámců z pohledu jednotlivých opozičních stran, přičemž sledován bude jejich obsah, nikoliv původ či příčina jejich vzniku. Dominantní roli zde hrají interpretativní a kognitivní schopnosti výzkumníka, který se snaží zjistit, v jakých termínech jsou jednotlivá témata opozičními stranami popisována a podrobena</w:t>
      </w:r>
      <w:r w:rsidR="008E4B7A">
        <w:rPr>
          <w:rFonts w:asciiTheme="minorHAnsi" w:hAnsiTheme="minorHAnsi"/>
        </w:rPr>
        <w:t xml:space="preserve"> zkoumané kritice</w:t>
      </w:r>
      <w:r w:rsidRPr="003C505A">
        <w:rPr>
          <w:rFonts w:asciiTheme="minorHAnsi" w:hAnsiTheme="minorHAnsi"/>
        </w:rPr>
        <w:t>. Důležitá je také dějová linka – úkol, který nás čeká je pokusit se zrekonstruovat příběh, jak opoziční strany hovořili, argumentovali a formulovali kritiku jednotlivých témat. K tomu bude využita metoda Entmanových čtyř funkcí rámů, jež jsou zmíněny v teoretické části této práce.</w:t>
      </w:r>
    </w:p>
    <w:p w14:paraId="2722E72B" w14:textId="77777777" w:rsidR="00ED6D3A" w:rsidRDefault="00ED6D3A" w:rsidP="00ED6D3A">
      <w:pPr>
        <w:pStyle w:val="Dalodstavce"/>
      </w:pPr>
    </w:p>
    <w:p w14:paraId="010B27C7" w14:textId="77777777" w:rsidR="00ED6D3A" w:rsidRPr="00ED6D3A" w:rsidRDefault="00ED6D3A" w:rsidP="00ED6D3A">
      <w:pPr>
        <w:pStyle w:val="Nadpis2"/>
      </w:pPr>
      <w:bookmarkStart w:id="19" w:name="_Toc8123570"/>
      <w:r>
        <w:t>Charakteristika výzkumného vzorku a zdroje dat</w:t>
      </w:r>
      <w:bookmarkEnd w:id="19"/>
    </w:p>
    <w:p w14:paraId="2401B7E4" w14:textId="5627737A" w:rsidR="00ED6D3A" w:rsidRPr="004F036E" w:rsidRDefault="00ED6D3A" w:rsidP="00ED6D3A">
      <w:pPr>
        <w:spacing w:line="360" w:lineRule="auto"/>
        <w:ind w:firstLine="360"/>
        <w:jc w:val="both"/>
        <w:rPr>
          <w:rFonts w:asciiTheme="minorHAnsi" w:hAnsiTheme="minorHAnsi"/>
        </w:rPr>
      </w:pPr>
      <w:r w:rsidRPr="004F036E">
        <w:rPr>
          <w:rFonts w:asciiTheme="minorHAnsi" w:hAnsiTheme="minorHAnsi"/>
        </w:rPr>
        <w:t>V této práci zkoumáme, jakým způsobem a z jakých pozic kritizovaly opoziční strany Parlamentu ČR vlády Andreje Babiše. V parlamentních volbách v roce 2017 zvítězilo hnutí ANO s volebním výsledkem 29,64 % platných hlasů, na druhém místě následovala ODS s 11,32 %, Piráti se ziskem 10,79 %, SPD s 10, 64 %, KSČM s 7,74 %, ČSSD s 7,27 %, KDU-ČSL s 5,80 %, TOP 09 s 5,31 % a STAN s 5,18 % hlasů (</w:t>
      </w:r>
      <w:r w:rsidRPr="004F036E">
        <w:rPr>
          <w:rFonts w:asciiTheme="minorHAnsi" w:eastAsiaTheme="minorHAnsi" w:hAnsiTheme="minorHAnsi"/>
          <w:szCs w:val="22"/>
          <w:lang w:eastAsia="en-US"/>
        </w:rPr>
        <w:t xml:space="preserve">Český statistický úřad </w:t>
      </w:r>
      <w:r w:rsidRPr="004F036E">
        <w:rPr>
          <w:rFonts w:asciiTheme="minorHAnsi" w:hAnsiTheme="minorHAnsi"/>
        </w:rPr>
        <w:t>2017). Celkem se tak do Poslanecké sněmovny dostalo 9 politických subjektů. Jednáním o sestavení vlády pověřil prezident Miloš Zeman lídra vítěze voleb hnutí ANO Andreje Babiše. Jelikož většina politických stran společnou vládní koalici s ANO odmítala, pokusil se Andrej Babiš o sestavení menšinové vlády doplněné o odborníky. Zbylých osm subjektů se tedy ocitlo v roli opozice. Menšinová vláda však důvěru Sněmovny nezískala, začala tedy nová jednání o sestavení vlády, kterým byl opět pověřen předseda hnutí ANO. ANO tentokrát jednalo o koalici s dalšími relevantními stranami. Vznikla opět menšinová vláda hnutí ANO tentokrát v koalici ČSSD a s podporou komunistů. V opozici se tak opět nacházely strany ODS, SPD, KDU</w:t>
      </w:r>
      <w:r w:rsidR="00614F8E">
        <w:rPr>
          <w:rFonts w:asciiTheme="minorHAnsi" w:hAnsiTheme="minorHAnsi"/>
        </w:rPr>
        <w:t>-ČSL, TOP 09 a STAN. Sledovány t</w:t>
      </w:r>
      <w:r w:rsidRPr="004F036E">
        <w:rPr>
          <w:rFonts w:asciiTheme="minorHAnsi" w:hAnsiTheme="minorHAnsi"/>
        </w:rPr>
        <w:t xml:space="preserve">ak budou kritika a argumenty představitelů a členů výše zmíněných opozičních stran obsažené ve zkoumaných textech. V případě druhé vlády Andreje Babiše nepředpokládáme kritiku ze strany KSČM, jelikož vládu Andreje podpořila dohromady 14 hlasy z celkových 15 (jeden poslanec se na jednání nedostavil), proto nebude kritika z její strany během tohoto období sledována </w:t>
      </w:r>
      <w:hyperlink r:id="rId23" w:history="1">
        <w:r w:rsidRPr="004F036E">
          <w:rPr>
            <w:rFonts w:asciiTheme="minorHAnsi" w:hAnsiTheme="minorHAnsi"/>
          </w:rPr>
          <w:t>(</w:t>
        </w:r>
      </w:hyperlink>
      <w:r w:rsidRPr="004F036E">
        <w:rPr>
          <w:rFonts w:asciiTheme="minorHAnsi" w:hAnsiTheme="minorHAnsi"/>
        </w:rPr>
        <w:t xml:space="preserve">17. schůze, 7. hlasování, 12. července 2018, 00:47 Žádost vlády České republiky o vyslovení důvěry 2018). Zároveň nebude sledovanou stranou ani ČSSD, která se stala koaličním partnerem ANO. </w:t>
      </w:r>
    </w:p>
    <w:p w14:paraId="70F85AF3" w14:textId="639504F0" w:rsidR="00ED6D3A" w:rsidRPr="004F036E" w:rsidRDefault="00ED6D3A" w:rsidP="00ED6D3A">
      <w:pPr>
        <w:spacing w:line="360" w:lineRule="auto"/>
        <w:ind w:firstLine="360"/>
        <w:jc w:val="both"/>
        <w:rPr>
          <w:rFonts w:asciiTheme="minorHAnsi" w:hAnsiTheme="minorHAnsi"/>
        </w:rPr>
      </w:pPr>
      <w:r w:rsidRPr="004F036E">
        <w:rPr>
          <w:rFonts w:asciiTheme="minorHAnsi" w:hAnsiTheme="minorHAnsi"/>
        </w:rPr>
        <w:t>Po důsledném uvážení byly jako platforma pro sběr dat pro tuto práci zvoleny přepi</w:t>
      </w:r>
      <w:r w:rsidR="00614F8E">
        <w:rPr>
          <w:rFonts w:asciiTheme="minorHAnsi" w:hAnsiTheme="minorHAnsi"/>
        </w:rPr>
        <w:t xml:space="preserve">sy jednání Poslanecké Sněmovny </w:t>
      </w:r>
      <w:r w:rsidRPr="004F036E">
        <w:rPr>
          <w:rFonts w:asciiTheme="minorHAnsi" w:hAnsiTheme="minorHAnsi"/>
        </w:rPr>
        <w:t>ve formě těsnopiseckých zpráv. Právě na půdě Poslanecké sněmovny mají jednotlivý opoziční aktéři možnost komunikovat kritiku vlády. Výhodo</w:t>
      </w:r>
      <w:r w:rsidR="00C30C30">
        <w:rPr>
          <w:rFonts w:asciiTheme="minorHAnsi" w:hAnsiTheme="minorHAnsi"/>
        </w:rPr>
        <w:t>u při sběru těchto dat je</w:t>
      </w:r>
      <w:r w:rsidRPr="004F036E">
        <w:rPr>
          <w:rFonts w:asciiTheme="minorHAnsi" w:hAnsiTheme="minorHAnsi"/>
        </w:rPr>
        <w:t xml:space="preserve">, že soubory jsou veřejně dostupné na webových stránkách Poslanecké sněmovny. Vybrány byly dvě těsnopisecké zprávy, které dohromady skýtají přes 300 stran textu. Jedná se o zprávy z 5. a 17. zasedání PS ČR, přičemž předmětem obou bylo hlasování o důvěře první a následně druhé vlády Andreje Babiše. Důvodem takového výběru je, že se před samotným hlasováním o vyslovení důvěry očekává zvýšená míra kritiky ze </w:t>
      </w:r>
      <w:r w:rsidR="00C30C30">
        <w:rPr>
          <w:rFonts w:asciiTheme="minorHAnsi" w:hAnsiTheme="minorHAnsi"/>
        </w:rPr>
        <w:t xml:space="preserve">strany opozičních stran, </w:t>
      </w:r>
      <w:r w:rsidRPr="004F036E">
        <w:rPr>
          <w:rFonts w:asciiTheme="minorHAnsi" w:hAnsiTheme="minorHAnsi"/>
        </w:rPr>
        <w:t>a zároveň je Poslanecká sněmovna chápána jako prvotní místo, kde opozice vládu kritizuje. Nejedná se tedy o selektivní výběr informací, jako je tomu například u médií, která ne vždy ve svých článcích popíší všechnu kritiku, která na půdě Parlamentu zazní.</w:t>
      </w:r>
    </w:p>
    <w:p w14:paraId="02C61FAB" w14:textId="77777777" w:rsidR="00ED6D3A" w:rsidRPr="004F036E" w:rsidRDefault="00ED6D3A" w:rsidP="00ED6D3A">
      <w:pPr>
        <w:spacing w:line="360" w:lineRule="auto"/>
        <w:ind w:firstLine="360"/>
        <w:jc w:val="both"/>
        <w:rPr>
          <w:rFonts w:asciiTheme="minorHAnsi" w:hAnsiTheme="minorHAnsi"/>
        </w:rPr>
      </w:pPr>
    </w:p>
    <w:p w14:paraId="05B996E7" w14:textId="77777777" w:rsidR="00563E66" w:rsidRDefault="00ED6D3A" w:rsidP="00ED6D3A">
      <w:pPr>
        <w:pStyle w:val="Nadpis2"/>
        <w:rPr>
          <w:rStyle w:val="eop"/>
        </w:rPr>
      </w:pPr>
      <w:bookmarkStart w:id="20" w:name="_Toc8123571"/>
      <w:r w:rsidRPr="00ED6D3A">
        <w:t>Limity výzkumu</w:t>
      </w:r>
      <w:bookmarkEnd w:id="20"/>
      <w:r w:rsidRPr="00ED6D3A">
        <w:t xml:space="preserve"> </w:t>
      </w:r>
    </w:p>
    <w:p w14:paraId="3BDEBCBD" w14:textId="08F0267B" w:rsidR="00ED6D3A" w:rsidRPr="004F036E" w:rsidRDefault="00ED6D3A" w:rsidP="00ED6D3A">
      <w:pPr>
        <w:spacing w:line="360" w:lineRule="auto"/>
        <w:ind w:firstLine="482"/>
        <w:jc w:val="both"/>
        <w:rPr>
          <w:rFonts w:asciiTheme="minorHAnsi" w:hAnsiTheme="minorHAnsi"/>
        </w:rPr>
      </w:pPr>
      <w:r w:rsidRPr="004F036E">
        <w:rPr>
          <w:rFonts w:asciiTheme="minorHAnsi" w:hAnsiTheme="minorHAnsi"/>
        </w:rPr>
        <w:t xml:space="preserve">Jako každý výzkum obsahuje i ten náš několik limitů a nedostatků. V první řadě by se dalo hovořit o určité míře subjektivity, jež obsahuje samotný proces vytváření kategorií. Stejně tak se můžeme bavit o subjektivitě při </w:t>
      </w:r>
      <w:r w:rsidR="00864E60">
        <w:rPr>
          <w:rFonts w:asciiTheme="minorHAnsi" w:hAnsiTheme="minorHAnsi"/>
        </w:rPr>
        <w:t>následném</w:t>
      </w:r>
      <w:r w:rsidRPr="004F036E">
        <w:rPr>
          <w:rFonts w:asciiTheme="minorHAnsi" w:hAnsiTheme="minorHAnsi"/>
        </w:rPr>
        <w:t xml:space="preserve"> kódování textových jednotek. Důvodem je skutečnost, že kódování závisí na samotné interpretaci výzkumníka, který dané textové jednotky kóduje na základě vlastn</w:t>
      </w:r>
      <w:r w:rsidR="00864E60">
        <w:rPr>
          <w:rFonts w:asciiTheme="minorHAnsi" w:hAnsiTheme="minorHAnsi"/>
        </w:rPr>
        <w:t>ího přesvědčení, a tak hrozí</w:t>
      </w:r>
      <w:r w:rsidRPr="004F036E">
        <w:rPr>
          <w:rFonts w:asciiTheme="minorHAnsi" w:hAnsiTheme="minorHAnsi"/>
        </w:rPr>
        <w:t xml:space="preserve"> přenesení osobnosti výzkumníka do procesu kódování. Zároveň bývá běžné do výzkumu zapojit více kodérů pro zvýšení reliability výsledků, přičemž v této práci jsou data kódována pouze j</w:t>
      </w:r>
      <w:r w:rsidR="006469CB">
        <w:rPr>
          <w:rFonts w:asciiTheme="minorHAnsi" w:hAnsiTheme="minorHAnsi"/>
        </w:rPr>
        <w:t xml:space="preserve">edním člověkem v jeden okamžik a </w:t>
      </w:r>
      <w:r w:rsidRPr="004F036E">
        <w:rPr>
          <w:rFonts w:asciiTheme="minorHAnsi" w:hAnsiTheme="minorHAnsi"/>
        </w:rPr>
        <w:t xml:space="preserve">text bude kódován z časových důvodů pouze jednou. </w:t>
      </w:r>
    </w:p>
    <w:p w14:paraId="6AFB7E8F" w14:textId="6DD70F0F" w:rsidR="00563E66" w:rsidRPr="004F036E" w:rsidRDefault="00ED6D3A" w:rsidP="00ED6D3A">
      <w:pPr>
        <w:pStyle w:val="Dalodstavce"/>
        <w:spacing w:line="360" w:lineRule="auto"/>
        <w:rPr>
          <w:rFonts w:asciiTheme="minorHAnsi" w:hAnsiTheme="minorHAnsi"/>
        </w:rPr>
      </w:pPr>
      <w:r w:rsidRPr="004F036E">
        <w:rPr>
          <w:rFonts w:asciiTheme="minorHAnsi" w:hAnsiTheme="minorHAnsi"/>
        </w:rPr>
        <w:t>Limitující je rovněž množství materiálu, se kterým je pracováno. Dalo by se samozřejmě využít více dat během celého působení vlády Andreje Babiše, nicméně takové množství dat není jeden výzkumník schopen zpracovat a zakódovat, a proto je pro účely této práce pracováno pouze s omezeným množstvím</w:t>
      </w:r>
      <w:r w:rsidR="001E483F">
        <w:rPr>
          <w:rFonts w:asciiTheme="minorHAnsi" w:hAnsiTheme="minorHAnsi"/>
        </w:rPr>
        <w:t xml:space="preserve"> dat</w:t>
      </w:r>
      <w:r w:rsidRPr="004F036E">
        <w:rPr>
          <w:rFonts w:asciiTheme="minorHAnsi" w:hAnsiTheme="minorHAnsi"/>
        </w:rPr>
        <w:t xml:space="preserve">, které je považováno za nejlepší reprezentativní vzorek. </w:t>
      </w:r>
      <w:r w:rsidR="00D16D6E">
        <w:rPr>
          <w:rFonts w:asciiTheme="minorHAnsi" w:hAnsiTheme="minorHAnsi"/>
        </w:rPr>
        <w:t>N</w:t>
      </w:r>
      <w:r w:rsidRPr="004F036E">
        <w:rPr>
          <w:rFonts w:asciiTheme="minorHAnsi" w:hAnsiTheme="minorHAnsi"/>
        </w:rPr>
        <w:t>a úskalí určité subjektivity</w:t>
      </w:r>
      <w:r w:rsidR="00D16D6E">
        <w:rPr>
          <w:rFonts w:asciiTheme="minorHAnsi" w:hAnsiTheme="minorHAnsi"/>
        </w:rPr>
        <w:t xml:space="preserve"> naráží</w:t>
      </w:r>
      <w:r w:rsidRPr="004F036E">
        <w:rPr>
          <w:rFonts w:asciiTheme="minorHAnsi" w:hAnsiTheme="minorHAnsi"/>
        </w:rPr>
        <w:t xml:space="preserve"> také sestavení rámců a vnímání kritizovaných témat opozičními stranami, která jsou výzkumníkem „převyprávěna“.</w:t>
      </w:r>
    </w:p>
    <w:p w14:paraId="4D3311AF" w14:textId="77777777" w:rsidR="00ED6D3A" w:rsidRDefault="00DA2413" w:rsidP="00BE0763">
      <w:pPr>
        <w:pStyle w:val="Nadpis1"/>
      </w:pPr>
      <w:bookmarkStart w:id="21" w:name="_Toc8123572"/>
      <w:r>
        <w:t>Analytická část</w:t>
      </w:r>
      <w:bookmarkEnd w:id="21"/>
    </w:p>
    <w:p w14:paraId="3B3A4968" w14:textId="77777777" w:rsidR="00DA2413" w:rsidRPr="00DA2413" w:rsidRDefault="00DA2413" w:rsidP="00DA2413">
      <w:pPr>
        <w:pStyle w:val="Nadpis2"/>
      </w:pPr>
      <w:bookmarkStart w:id="22" w:name="_Toc8123573"/>
      <w:r>
        <w:t>Přehled dat</w:t>
      </w:r>
      <w:bookmarkEnd w:id="22"/>
    </w:p>
    <w:p w14:paraId="461EE4A9" w14:textId="1328FEEF" w:rsidR="00DA2413" w:rsidRDefault="00DA2413" w:rsidP="00DA2413">
      <w:pPr>
        <w:spacing w:line="360" w:lineRule="auto"/>
        <w:ind w:firstLine="709"/>
        <w:jc w:val="both"/>
        <w:rPr>
          <w:rFonts w:asciiTheme="minorHAnsi" w:hAnsiTheme="minorHAnsi"/>
        </w:rPr>
      </w:pPr>
      <w:r w:rsidRPr="00DA2413">
        <w:rPr>
          <w:rFonts w:asciiTheme="minorHAnsi" w:hAnsiTheme="minorHAnsi"/>
        </w:rPr>
        <w:t xml:space="preserve">V rámci zkoumaných textů bylo nalezeno celkem 653 kvazi-vět. Kvazi-věty byly k jednotlivým kategoriím přiřazovány pomocí manuálního kódování, přičemž jedna kvazi-věta mohla být zařazena do více kategorií. V grafu č. 1 můžeme pozorovat, že první vláda Andreje Babiše při jejím vzniku byla nejvíce kritizována poslanci ODS, kteří pronesli celkem 60 výroků kritiky, z celkových 245, což tvoří 24 % z celkového podílu kritiky všech zkoumaných stran. Následují sestupně ČSSD se 42 výroky (17 %), KDU-ČSL s 33 výroky (13 %), Piráti s 27 výroky (11 %), KSČM s 26 výroky (11 %), TOP 09 s 24 výroky (10 %), SPD s 21 výroky (9%) a STAN s 12 výroky (5 %). </w:t>
      </w:r>
    </w:p>
    <w:p w14:paraId="2A3704FB" w14:textId="77777777" w:rsidR="00DA2413" w:rsidRPr="00DA2413" w:rsidRDefault="00DA2413" w:rsidP="00DA2413">
      <w:pPr>
        <w:spacing w:line="360" w:lineRule="auto"/>
        <w:ind w:firstLine="709"/>
        <w:jc w:val="both"/>
        <w:rPr>
          <w:rFonts w:asciiTheme="minorHAnsi" w:hAnsiTheme="minorHAnsi"/>
        </w:rPr>
      </w:pPr>
    </w:p>
    <w:p w14:paraId="1BC6E601" w14:textId="77777777" w:rsidR="00DA2413" w:rsidRDefault="00DA2413" w:rsidP="00DA2413">
      <w:pPr>
        <w:spacing w:line="360" w:lineRule="auto"/>
        <w:jc w:val="both"/>
        <w:rPr>
          <w:rFonts w:asciiTheme="minorHAnsi" w:hAnsiTheme="minorHAnsi"/>
        </w:rPr>
      </w:pPr>
      <w:r w:rsidRPr="00DA2413">
        <w:rPr>
          <w:rFonts w:asciiTheme="minorHAnsi" w:hAnsiTheme="minorHAnsi"/>
        </w:rPr>
        <w:t>Graf č. 1: Podíl opozičních stran na celkové kritice první vlády Andreje Babiše</w:t>
      </w:r>
    </w:p>
    <w:p w14:paraId="38727F84" w14:textId="77777777" w:rsidR="00DA2413" w:rsidRDefault="00DA2413" w:rsidP="00DA2413">
      <w:pPr>
        <w:spacing w:line="360" w:lineRule="auto"/>
        <w:jc w:val="both"/>
        <w:rPr>
          <w:rFonts w:asciiTheme="minorHAnsi" w:hAnsiTheme="minorHAnsi"/>
        </w:rPr>
      </w:pPr>
      <w:r>
        <w:rPr>
          <w:noProof/>
        </w:rPr>
        <w:drawing>
          <wp:inline distT="0" distB="0" distL="0" distR="0" wp14:anchorId="573D229A" wp14:editId="5F654695">
            <wp:extent cx="4675505" cy="2536173"/>
            <wp:effectExtent l="0" t="0" r="10795" b="17145"/>
            <wp:docPr id="2" name="Graf 2">
              <a:extLst xmlns:a="http://schemas.openxmlformats.org/drawingml/2006/main">
                <a:ext uri="{FF2B5EF4-FFF2-40B4-BE49-F238E27FC236}">
                  <a16:creationId xmlns:a16="http://schemas.microsoft.com/office/drawing/2014/main" id="{DD375669-9F7E-406E-99BE-468AA4A792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B92CBEA" w14:textId="77777777" w:rsidR="00DA2413" w:rsidRDefault="00DA2413" w:rsidP="00DA2413">
      <w:pPr>
        <w:spacing w:line="360" w:lineRule="auto"/>
        <w:jc w:val="both"/>
        <w:rPr>
          <w:rFonts w:asciiTheme="minorHAnsi" w:hAnsiTheme="minorHAnsi"/>
        </w:rPr>
      </w:pPr>
      <w:r>
        <w:rPr>
          <w:rFonts w:asciiTheme="minorHAnsi" w:hAnsiTheme="minorHAnsi"/>
        </w:rPr>
        <w:t>Zdroj: vlastní zpracování.</w:t>
      </w:r>
    </w:p>
    <w:p w14:paraId="69A58521" w14:textId="5BA128C2" w:rsidR="00DA2413" w:rsidRDefault="00DA2413" w:rsidP="00DA2413">
      <w:pPr>
        <w:spacing w:line="360" w:lineRule="auto"/>
        <w:ind w:firstLine="709"/>
        <w:jc w:val="both"/>
      </w:pPr>
      <w:r w:rsidRPr="008F5653">
        <w:t xml:space="preserve">Graf číslo 2. znázorňuje opět podíl opozičních stran na </w:t>
      </w:r>
      <w:r w:rsidR="00EF0A7E">
        <w:t xml:space="preserve">celkové </w:t>
      </w:r>
      <w:r w:rsidRPr="008F5653">
        <w:t>kritice, ovšem v tomto případě se jedná o období vzniku druhé Babišovy vlády</w:t>
      </w:r>
      <w:r>
        <w:t>, respektive hlasování o vyslovení důvěry této vládě (červenec 2018)</w:t>
      </w:r>
      <w:r w:rsidRPr="008F5653">
        <w:t>. Zde je možné vidět, že největší podíl kritiky zaujímá opět strana ODS a to 168 výroky (41 %) z celkových 408.</w:t>
      </w:r>
      <w:r>
        <w:t xml:space="preserve"> Následují s 87 výroky (21 %) poslanci KDU-ČSL, s 55 výroky (13 %) Piráti, s 36 výroky (9 %) STAN, 35 výroky (9 %) TOP 09 a na závěr s 27 výroky (7 %) poslanci za SPD. V rámci tohoto období v grafu vypadly strany KSČM a ČSSD</w:t>
      </w:r>
      <w:r w:rsidR="00E541E1">
        <w:t>,</w:t>
      </w:r>
      <w:r>
        <w:t xml:space="preserve"> </w:t>
      </w:r>
      <w:r w:rsidR="00DB28AA">
        <w:t>které vládu Andreje Babiše podpořily.</w:t>
      </w:r>
    </w:p>
    <w:p w14:paraId="0DF13AE0" w14:textId="77777777" w:rsidR="00DA2413" w:rsidRDefault="00DA2413" w:rsidP="00DA2413">
      <w:pPr>
        <w:spacing w:line="360" w:lineRule="auto"/>
        <w:jc w:val="both"/>
      </w:pPr>
    </w:p>
    <w:p w14:paraId="7A6C6ED3" w14:textId="77777777" w:rsidR="00DA2413" w:rsidRPr="008F5653" w:rsidRDefault="00DA2413" w:rsidP="00DA2413">
      <w:pPr>
        <w:spacing w:line="360" w:lineRule="auto"/>
        <w:jc w:val="both"/>
      </w:pPr>
      <w:r w:rsidRPr="008F5653">
        <w:t>Graf č. 2: Podíl opozičních stran na celkové kritice druhé vlády A</w:t>
      </w:r>
      <w:r>
        <w:t xml:space="preserve">ndreje </w:t>
      </w:r>
      <w:r w:rsidRPr="008F5653">
        <w:t>B</w:t>
      </w:r>
      <w:r>
        <w:t>abiše</w:t>
      </w:r>
    </w:p>
    <w:p w14:paraId="2CE4917C" w14:textId="77777777" w:rsidR="00DA2413" w:rsidRDefault="00DA2413" w:rsidP="00DA2413">
      <w:pPr>
        <w:spacing w:line="360" w:lineRule="auto"/>
        <w:jc w:val="both"/>
        <w:rPr>
          <w:rFonts w:asciiTheme="minorHAnsi" w:hAnsiTheme="minorHAnsi"/>
        </w:rPr>
      </w:pPr>
      <w:r>
        <w:rPr>
          <w:noProof/>
        </w:rPr>
        <w:drawing>
          <wp:inline distT="0" distB="0" distL="0" distR="0" wp14:anchorId="4B51BDC3" wp14:editId="19E9B071">
            <wp:extent cx="4675505" cy="2523288"/>
            <wp:effectExtent l="0" t="0" r="10795" b="10795"/>
            <wp:docPr id="8" name="Graf 8">
              <a:extLst xmlns:a="http://schemas.openxmlformats.org/drawingml/2006/main">
                <a:ext uri="{FF2B5EF4-FFF2-40B4-BE49-F238E27FC236}">
                  <a16:creationId xmlns:a16="http://schemas.microsoft.com/office/drawing/2014/main" id="{0470DF1E-D689-4E92-B842-48EB2ECF64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7AE0D33" w14:textId="77777777" w:rsidR="00DA2413" w:rsidRDefault="00DA2413" w:rsidP="00DA2413">
      <w:pPr>
        <w:spacing w:line="360" w:lineRule="auto"/>
        <w:jc w:val="both"/>
        <w:rPr>
          <w:rFonts w:asciiTheme="minorHAnsi" w:hAnsiTheme="minorHAnsi"/>
        </w:rPr>
      </w:pPr>
      <w:r>
        <w:rPr>
          <w:rFonts w:asciiTheme="minorHAnsi" w:hAnsiTheme="minorHAnsi"/>
        </w:rPr>
        <w:t>Zdroj: vlastní zpracování.</w:t>
      </w:r>
    </w:p>
    <w:p w14:paraId="4B3D3E7C" w14:textId="77777777" w:rsidR="00DA2413" w:rsidRDefault="00DA2413" w:rsidP="00DA2413">
      <w:pPr>
        <w:spacing w:line="360" w:lineRule="auto"/>
        <w:jc w:val="both"/>
        <w:rPr>
          <w:rFonts w:asciiTheme="minorHAnsi" w:hAnsiTheme="minorHAnsi"/>
        </w:rPr>
      </w:pPr>
    </w:p>
    <w:p w14:paraId="0792F68A" w14:textId="77777777" w:rsidR="00DA2413" w:rsidRPr="00C02F0F" w:rsidRDefault="00DA2413" w:rsidP="00DA2413">
      <w:pPr>
        <w:spacing w:line="360" w:lineRule="auto"/>
        <w:jc w:val="both"/>
      </w:pPr>
    </w:p>
    <w:p w14:paraId="2C08B74B" w14:textId="733F2CEB" w:rsidR="00DA2413" w:rsidRPr="00DA2413" w:rsidRDefault="00DA2413" w:rsidP="003E3DE1">
      <w:pPr>
        <w:spacing w:line="360" w:lineRule="auto"/>
        <w:ind w:firstLine="709"/>
        <w:jc w:val="both"/>
        <w:rPr>
          <w:rFonts w:asciiTheme="minorHAnsi" w:hAnsiTheme="minorHAnsi"/>
        </w:rPr>
      </w:pPr>
      <w:r w:rsidRPr="00DA2413">
        <w:rPr>
          <w:rFonts w:asciiTheme="minorHAnsi" w:hAnsiTheme="minorHAnsi"/>
        </w:rPr>
        <w:t xml:space="preserve">Třetí graf znázorňuje četnost výskytu jednotlivých kategorií v rámci období vzniku první vlády Andreje Babiše. Nejčastěji byly kritizovány kroky týkající se programového prohlášení a vize vlády, kde bylo nalezeno celkem 121 výroků tvořících 46 % kódovaných výroků v rámci </w:t>
      </w:r>
      <w:r w:rsidR="00DB28AA">
        <w:rPr>
          <w:rFonts w:asciiTheme="minorHAnsi" w:hAnsiTheme="minorHAnsi"/>
        </w:rPr>
        <w:t>prvního období</w:t>
      </w:r>
      <w:r w:rsidRPr="00DA2413">
        <w:rPr>
          <w:rFonts w:asciiTheme="minorHAnsi" w:hAnsiTheme="minorHAnsi"/>
        </w:rPr>
        <w:t>. Na druhém místě je pak kritika koaličního jednání a podoby vlády s 34 výroky (13 %), dále kritika kroků spadajících do kategorie „jiné“, kde bylo zakódováno 27 výroků (10 %), důvěryhodnost vlády s 26 výroky (10 %), trestní stíhání Andreje Babiše bylo zmíněno 18krát (7 %), personální obsazení vlády bylo podrobeno kritice 12krát (4 %), sociální politika 9krát (3 %), střet zájmů Andreje Babiše 7krát (3 %) stejně jako kompetence vlády. Třikrát byla kritizována minulost Andreje Babiše (1 %) a na posledním místě se nachází kategorie „účast KSČM na vládě“, jelikož komunis</w:t>
      </w:r>
      <w:r w:rsidR="00DB28AA">
        <w:rPr>
          <w:rFonts w:asciiTheme="minorHAnsi" w:hAnsiTheme="minorHAnsi"/>
        </w:rPr>
        <w:t>té vládu podpořili až v období druhém, a proto tyto kroky zde nemohly</w:t>
      </w:r>
      <w:r w:rsidR="001517F5">
        <w:rPr>
          <w:rFonts w:asciiTheme="minorHAnsi" w:hAnsiTheme="minorHAnsi"/>
        </w:rPr>
        <w:t xml:space="preserve"> být kritizovány</w:t>
      </w:r>
      <w:r w:rsidRPr="00DA2413">
        <w:rPr>
          <w:rFonts w:asciiTheme="minorHAnsi" w:hAnsiTheme="minorHAnsi"/>
        </w:rPr>
        <w:t>.</w:t>
      </w:r>
    </w:p>
    <w:p w14:paraId="656C83B2" w14:textId="77777777" w:rsidR="00DA2413" w:rsidRPr="00DA2413" w:rsidRDefault="00DA2413" w:rsidP="00DA2413">
      <w:pPr>
        <w:spacing w:line="360" w:lineRule="auto"/>
        <w:jc w:val="both"/>
        <w:rPr>
          <w:rFonts w:asciiTheme="minorHAnsi" w:hAnsiTheme="minorHAnsi"/>
        </w:rPr>
      </w:pPr>
    </w:p>
    <w:p w14:paraId="0F05407F" w14:textId="77777777" w:rsidR="00DA2413" w:rsidRPr="00DA2413" w:rsidRDefault="00DA2413" w:rsidP="00DA2413">
      <w:pPr>
        <w:spacing w:line="360" w:lineRule="auto"/>
        <w:jc w:val="both"/>
        <w:rPr>
          <w:rFonts w:asciiTheme="minorHAnsi" w:hAnsiTheme="minorHAnsi"/>
        </w:rPr>
      </w:pPr>
      <w:r w:rsidRPr="00DA2413">
        <w:rPr>
          <w:rFonts w:asciiTheme="minorHAnsi" w:hAnsiTheme="minorHAnsi"/>
        </w:rPr>
        <w:t>Graf č. 3: Četnost výskytu jednotlivých kategorií v období 1</w:t>
      </w:r>
    </w:p>
    <w:p w14:paraId="57881324" w14:textId="77777777" w:rsidR="00DA2413" w:rsidRDefault="00DA2413" w:rsidP="00DA2413">
      <w:pPr>
        <w:spacing w:line="360" w:lineRule="auto"/>
        <w:jc w:val="both"/>
        <w:rPr>
          <w:rFonts w:asciiTheme="minorHAnsi" w:hAnsiTheme="minorHAnsi"/>
        </w:rPr>
      </w:pPr>
      <w:r>
        <w:rPr>
          <w:noProof/>
        </w:rPr>
        <w:drawing>
          <wp:inline distT="0" distB="0" distL="0" distR="0" wp14:anchorId="3522A748" wp14:editId="0D7852E5">
            <wp:extent cx="4675505" cy="3030420"/>
            <wp:effectExtent l="0" t="0" r="10795" b="17780"/>
            <wp:docPr id="9" name="Graf 9">
              <a:extLst xmlns:a="http://schemas.openxmlformats.org/drawingml/2006/main">
                <a:ext uri="{FF2B5EF4-FFF2-40B4-BE49-F238E27FC236}">
                  <a16:creationId xmlns:a16="http://schemas.microsoft.com/office/drawing/2014/main" id="{79F35956-A65E-4389-B37C-B0EA952960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A531F1A" w14:textId="77777777" w:rsidR="00DA2413" w:rsidRDefault="00DA2413" w:rsidP="003E3DE1">
      <w:pPr>
        <w:spacing w:line="360" w:lineRule="auto"/>
        <w:jc w:val="both"/>
        <w:rPr>
          <w:rFonts w:asciiTheme="minorHAnsi" w:hAnsiTheme="minorHAnsi"/>
        </w:rPr>
      </w:pPr>
      <w:r>
        <w:rPr>
          <w:rFonts w:asciiTheme="minorHAnsi" w:hAnsiTheme="minorHAnsi"/>
        </w:rPr>
        <w:t>Zdroj: vlastní zpracování.</w:t>
      </w:r>
    </w:p>
    <w:p w14:paraId="01DCE5D1" w14:textId="77777777" w:rsidR="00DA2413" w:rsidRDefault="00DA2413" w:rsidP="00DA2413">
      <w:pPr>
        <w:spacing w:line="360" w:lineRule="auto"/>
        <w:ind w:firstLine="709"/>
        <w:jc w:val="both"/>
        <w:rPr>
          <w:rFonts w:asciiTheme="minorHAnsi" w:hAnsiTheme="minorHAnsi"/>
        </w:rPr>
      </w:pPr>
    </w:p>
    <w:p w14:paraId="12692D57" w14:textId="63713EA0" w:rsidR="00DA2413" w:rsidRPr="00DA2413" w:rsidRDefault="00DA2413" w:rsidP="00DA2413">
      <w:pPr>
        <w:spacing w:line="360" w:lineRule="auto"/>
        <w:ind w:firstLine="709"/>
        <w:jc w:val="both"/>
        <w:rPr>
          <w:rFonts w:asciiTheme="minorHAnsi" w:hAnsiTheme="minorHAnsi"/>
        </w:rPr>
      </w:pPr>
      <w:r w:rsidRPr="00DA2413">
        <w:rPr>
          <w:rFonts w:asciiTheme="minorHAnsi" w:hAnsiTheme="minorHAnsi"/>
        </w:rPr>
        <w:t>Poslední graf znázorňuje četnost výskytu jednotlivých kategorií stejným způsobem jako graf předchozí, ale tentokrát v rámci období vzniku druhé vlády Andreje Babiše. Nejvíce kritizovaným bylo opět programové prohlášení a vize vlády, kde bylo zakódov</w:t>
      </w:r>
      <w:r w:rsidR="007B46C3">
        <w:rPr>
          <w:rFonts w:asciiTheme="minorHAnsi" w:hAnsiTheme="minorHAnsi"/>
        </w:rPr>
        <w:t>áno 186 kvazi-vět (43 %). Druhou nejkritizovanější kategorií</w:t>
      </w:r>
      <w:r w:rsidRPr="00DA2413">
        <w:rPr>
          <w:rFonts w:asciiTheme="minorHAnsi" w:hAnsiTheme="minorHAnsi"/>
        </w:rPr>
        <w:t xml:space="preserve"> bylo koaliční jednání a podoba vlády se 78 výroky (18 %), dále účast KSČM na vládě, jež byla zkritizována 67krát (15 %), personální obsazení vlády s 39 výroky (9 %). Do kategorie „jiné“ bylo zařazeno celkem 20 výroků (5 %), na důvěryhodnost vlády bylo odkázáno 17krát (4 %), trestní stíhání Andreje Babiše bylo podrobeno kritice 10krát (2 %). Stejným dílem byly kritizovány minulost Andreje Babiše a střet zájmů Andreje Babiše – oboje zmíněny celkem 6krát (1 %). Nejméně kritizovanými tématy byly kompetence vlády a sociální politika, jež byly každé vzpomenuty </w:t>
      </w:r>
      <w:r w:rsidR="0066684D">
        <w:rPr>
          <w:rFonts w:asciiTheme="minorHAnsi" w:hAnsiTheme="minorHAnsi"/>
        </w:rPr>
        <w:t>ve čtyřech výrocích</w:t>
      </w:r>
      <w:r w:rsidRPr="00DA2413">
        <w:rPr>
          <w:rFonts w:asciiTheme="minorHAnsi" w:hAnsiTheme="minorHAnsi"/>
        </w:rPr>
        <w:t xml:space="preserve"> (1 %). </w:t>
      </w:r>
    </w:p>
    <w:p w14:paraId="67FD0EBD" w14:textId="77777777" w:rsidR="00DA2413" w:rsidRPr="00DA2413" w:rsidRDefault="00DA2413" w:rsidP="00DA2413">
      <w:pPr>
        <w:spacing w:line="360" w:lineRule="auto"/>
        <w:ind w:firstLine="709"/>
        <w:jc w:val="both"/>
        <w:rPr>
          <w:rFonts w:asciiTheme="minorHAnsi" w:hAnsiTheme="minorHAnsi"/>
        </w:rPr>
      </w:pPr>
    </w:p>
    <w:p w14:paraId="722B58FA" w14:textId="77777777" w:rsidR="00DA2413" w:rsidRPr="00DA2413" w:rsidRDefault="00DA2413" w:rsidP="003E3DE1">
      <w:pPr>
        <w:spacing w:line="360" w:lineRule="auto"/>
        <w:jc w:val="both"/>
        <w:rPr>
          <w:rFonts w:asciiTheme="minorHAnsi" w:hAnsiTheme="minorHAnsi"/>
        </w:rPr>
      </w:pPr>
      <w:r w:rsidRPr="00DA2413">
        <w:rPr>
          <w:rFonts w:asciiTheme="minorHAnsi" w:hAnsiTheme="minorHAnsi"/>
        </w:rPr>
        <w:t>Graf č. 4: Četnost výskytu jednotlivých kategorií v období 2</w:t>
      </w:r>
    </w:p>
    <w:p w14:paraId="04015361" w14:textId="77777777" w:rsidR="00DA2413" w:rsidRDefault="00DA2413" w:rsidP="00DA2413">
      <w:pPr>
        <w:spacing w:line="360" w:lineRule="auto"/>
        <w:jc w:val="both"/>
        <w:rPr>
          <w:rFonts w:asciiTheme="minorHAnsi" w:hAnsiTheme="minorHAnsi"/>
        </w:rPr>
      </w:pPr>
      <w:r>
        <w:rPr>
          <w:noProof/>
        </w:rPr>
        <w:drawing>
          <wp:inline distT="0" distB="0" distL="0" distR="0" wp14:anchorId="5C10D795" wp14:editId="089B3BB6">
            <wp:extent cx="4675505" cy="3143250"/>
            <wp:effectExtent l="0" t="0" r="10795" b="0"/>
            <wp:docPr id="11" name="Graf 11">
              <a:extLst xmlns:a="http://schemas.openxmlformats.org/drawingml/2006/main">
                <a:ext uri="{FF2B5EF4-FFF2-40B4-BE49-F238E27FC236}">
                  <a16:creationId xmlns:a16="http://schemas.microsoft.com/office/drawing/2014/main" id="{77BC6161-9061-48F9-AC8A-92FF956B98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1E85AB9" w14:textId="77777777" w:rsidR="00DA2413" w:rsidRDefault="00DA2413" w:rsidP="003E3DE1">
      <w:pPr>
        <w:spacing w:line="360" w:lineRule="auto"/>
        <w:jc w:val="both"/>
        <w:rPr>
          <w:rFonts w:asciiTheme="minorHAnsi" w:hAnsiTheme="minorHAnsi"/>
        </w:rPr>
      </w:pPr>
      <w:r>
        <w:rPr>
          <w:rFonts w:asciiTheme="minorHAnsi" w:hAnsiTheme="minorHAnsi"/>
        </w:rPr>
        <w:t>Zdroj: vlastní zpracování.</w:t>
      </w:r>
    </w:p>
    <w:p w14:paraId="09ED44AD" w14:textId="77777777" w:rsidR="00DA2413" w:rsidRDefault="00DA2413" w:rsidP="00DA2413">
      <w:pPr>
        <w:spacing w:line="360" w:lineRule="auto"/>
        <w:ind w:firstLine="709"/>
        <w:jc w:val="both"/>
        <w:rPr>
          <w:rFonts w:asciiTheme="minorHAnsi" w:hAnsiTheme="minorHAnsi"/>
        </w:rPr>
      </w:pPr>
    </w:p>
    <w:p w14:paraId="6E704FAD" w14:textId="77777777" w:rsidR="00DA2413" w:rsidRPr="00DA2413" w:rsidRDefault="00DA2413" w:rsidP="00DA2413">
      <w:pPr>
        <w:spacing w:line="360" w:lineRule="auto"/>
        <w:ind w:firstLine="709"/>
        <w:jc w:val="both"/>
        <w:rPr>
          <w:rFonts w:asciiTheme="minorHAnsi" w:hAnsiTheme="minorHAnsi"/>
        </w:rPr>
      </w:pPr>
      <w:r w:rsidRPr="00DA2413">
        <w:rPr>
          <w:rFonts w:asciiTheme="minorHAnsi" w:hAnsiTheme="minorHAnsi"/>
        </w:rPr>
        <w:t xml:space="preserve">Následující kontingenční tabulky znázorňují celkový počet a procentuální podíl zkoumaných opozičních stran v jednotlivých kategoriích, do nichž byly textové jednotky kódovány. Z tabulek vyplývá, že opozice kritizovala během vzniku obou vlád Andreje Babiše nejvíce programová prohlášení a vizi vznikajících vlád. Výjimkou jsou Piráti, kteří při vzniku první vlády Andreje Babiše kritizovali nejvíce problémy spadající do kategorie „jiné“ (36 %). </w:t>
      </w:r>
    </w:p>
    <w:p w14:paraId="65AD8DD7" w14:textId="77777777" w:rsidR="00DA2413" w:rsidRPr="00DA2413" w:rsidRDefault="00DA2413" w:rsidP="00DA2413">
      <w:pPr>
        <w:spacing w:line="360" w:lineRule="auto"/>
        <w:ind w:firstLine="709"/>
        <w:jc w:val="both"/>
        <w:rPr>
          <w:rFonts w:asciiTheme="minorHAnsi" w:hAnsiTheme="minorHAnsi"/>
        </w:rPr>
      </w:pPr>
      <w:r w:rsidRPr="00DA2413">
        <w:rPr>
          <w:rFonts w:asciiTheme="minorHAnsi" w:hAnsiTheme="minorHAnsi"/>
        </w:rPr>
        <w:t>V období vzniku Babišovy první vlády tvořila nejméně kritizovanou kategorii u ODS sociální politika a minulost Andreje Babiše, kde nebyly nalezeny žádné výroky. Ze všech stran také nejvíce právě ODS kritizovala koaliční jednání a podobu vlády (jednobarevnost) a trestní stíhání Andreje Babiše. Stejně tak je tomu u Pirátů, kteří kromě toho nekritizovali ani otázky týkající se kompetence vlády. Kritika SPD byla nalezena pouze v kategoriích důvěryhodnost vlády, personální obsazení vlády, koaliční jednání a podoba vlády (jednobarevnost), programové prohlášení a vize vlády, trestní stíhání Andreje Babiše a v kategorii „jiné“.  Komunisté kritizovali nejvíce programové prohlášení a vizi vlády, dále sociální politiku, důvěryhodnost vlády a koaliční jednání a podobu vlády. U ČSSD bylo možno nalézt kritiku, jež byla řazena do všech kategorií kromě minulosti Andreje Babiše a střetu zájmů Andreje Babiše. KDU-ČSL kritizovala převážně programové prohlášení vlády a její vizi, nechyběly ale ani výroky v kategoriích koaliční jednání a podoba vlády, kompetence vlády a důvěryhodnost vlády. TOP 09 kritizovala nejvíce programové prohlášení a vizi vlády a poté problémy vztahující se k důvěryhodnosti vlády. Starostové a nezávislí, u nichž bylo nalezeno nejméně výroků (13) kritizovali jmenovitě programové prohlášení a vizi vlády, důvěryhodnost vlády, minulost Andreje Babiše, kompetenci vlády, střet zájmů Andreje Babiše a jeho trestní stíhání.</w:t>
      </w:r>
    </w:p>
    <w:p w14:paraId="4E2763D2" w14:textId="7F1BC5A4" w:rsidR="00DA2413" w:rsidRPr="00DA2413" w:rsidRDefault="00DA2413" w:rsidP="00DA2413">
      <w:pPr>
        <w:spacing w:line="360" w:lineRule="auto"/>
        <w:ind w:firstLine="709"/>
        <w:jc w:val="both"/>
        <w:rPr>
          <w:rFonts w:asciiTheme="minorHAnsi" w:hAnsiTheme="minorHAnsi"/>
        </w:rPr>
      </w:pPr>
      <w:r w:rsidRPr="00DA2413">
        <w:rPr>
          <w:rFonts w:asciiTheme="minorHAnsi" w:hAnsiTheme="minorHAnsi"/>
        </w:rPr>
        <w:t xml:space="preserve">Během období vzniku druhé vlády A. Babiše strany bez výjimky kritizovaly nejvíce programové prohlášení a vizi vlády. Ty byly nejvíce kritizovány z pozice ODS, KDU-ČSL a Pirátů. ODS za programem kritizovala především účast KSČM na vládě, koaliční jednání a podobu vlády a další témata. </w:t>
      </w:r>
      <w:r w:rsidR="008377FD">
        <w:rPr>
          <w:rFonts w:asciiTheme="minorHAnsi" w:hAnsiTheme="minorHAnsi"/>
        </w:rPr>
        <w:t>Poslanci ODS n</w:t>
      </w:r>
      <w:r w:rsidRPr="00DA2413">
        <w:rPr>
          <w:rFonts w:asciiTheme="minorHAnsi" w:hAnsiTheme="minorHAnsi"/>
        </w:rPr>
        <w:t>ekritizovali pouze sociální politiku vlády. Piráti věnovali většinu pozornosti programovému prohlášení a ostatní témata kritizovali minimálně, vůbec</w:t>
      </w:r>
      <w:r w:rsidR="00A66322">
        <w:rPr>
          <w:rFonts w:asciiTheme="minorHAnsi" w:hAnsiTheme="minorHAnsi"/>
        </w:rPr>
        <w:t xml:space="preserve"> pak</w:t>
      </w:r>
      <w:r w:rsidRPr="00DA2413">
        <w:rPr>
          <w:rFonts w:asciiTheme="minorHAnsi" w:hAnsiTheme="minorHAnsi"/>
        </w:rPr>
        <w:t xml:space="preserve"> nekritizovali témata vztahující se k sociální politice, trestnímu stíhání a minulosti premiéra Babiše. SPD kritizovala hlavně programové prohlášení, dále pak koaliční jednání a podobu vlády, její personální obsazení a nakonec důvěryhodnost. Ostatní kategorie poslanci SPD nekritizovali. TOP 09 a STAN vztahovaly kritiku také zejména k programovému prohlášení vlády a její vizi, nekritizovaly pouze kompetenci vlády a její sociální politiku. STAN se nevyjadřoval</w:t>
      </w:r>
      <w:r w:rsidR="00A66322">
        <w:rPr>
          <w:rFonts w:asciiTheme="minorHAnsi" w:hAnsiTheme="minorHAnsi"/>
        </w:rPr>
        <w:t>i</w:t>
      </w:r>
      <w:r w:rsidRPr="00DA2413">
        <w:rPr>
          <w:rFonts w:asciiTheme="minorHAnsi" w:hAnsiTheme="minorHAnsi"/>
        </w:rPr>
        <w:t xml:space="preserve"> negativně ani k minulosti a střetu zájmů Andreje Babiše. </w:t>
      </w:r>
    </w:p>
    <w:p w14:paraId="582D4CA6" w14:textId="0C66783B" w:rsidR="00DA2413" w:rsidRPr="00DA2413" w:rsidRDefault="00DA2413" w:rsidP="00DA2413">
      <w:pPr>
        <w:spacing w:line="360" w:lineRule="auto"/>
        <w:ind w:firstLine="709"/>
        <w:jc w:val="both"/>
        <w:rPr>
          <w:rFonts w:asciiTheme="minorHAnsi" w:hAnsiTheme="minorHAnsi"/>
        </w:rPr>
      </w:pPr>
      <w:r w:rsidRPr="00DA2413">
        <w:rPr>
          <w:rFonts w:asciiTheme="minorHAnsi" w:hAnsiTheme="minorHAnsi"/>
        </w:rPr>
        <w:t>Srovnáme-li obě zkoumaná období, je patrné, že větší míře kritiky byla podrobena při svém vzniku druhá vláda Andreje Babiše. Největší pozornost pak strany ubíraly směrem k programu vlády. V prvn</w:t>
      </w:r>
      <w:r w:rsidR="000C172B">
        <w:rPr>
          <w:rFonts w:asciiTheme="minorHAnsi" w:hAnsiTheme="minorHAnsi"/>
        </w:rPr>
        <w:t>ím období byla nejméně kritizována</w:t>
      </w:r>
      <w:r w:rsidRPr="00DA2413">
        <w:rPr>
          <w:rFonts w:asciiTheme="minorHAnsi" w:hAnsiTheme="minorHAnsi"/>
        </w:rPr>
        <w:t xml:space="preserve"> minulost Andreje Babiše, zatímco ve druhém období byla nejméně kritizována sociální politika a kompetence vlády. Zajímavé je, že oproti prvnímu období se celková kritika stran u většiny z nich alespoň zdvojnásobila, nejmenší nárůst je pozorován u strany SPD. Jako zajímavou také považuji skutečnost, že v prvním období kritizovaly KSČM a ČSSD ve vysoké míře programové prohlášení, které nebylo při sestavování druhé vlády výrazně změněno, přesto se ČSSD stala součástí koalice a KSČM vládu podpořila.</w:t>
      </w:r>
    </w:p>
    <w:p w14:paraId="5CE26295" w14:textId="77777777" w:rsidR="00DA2413" w:rsidRPr="00DA2413" w:rsidRDefault="00DA2413" w:rsidP="00DA2413">
      <w:pPr>
        <w:spacing w:line="360" w:lineRule="auto"/>
        <w:ind w:firstLine="709"/>
        <w:jc w:val="both"/>
        <w:rPr>
          <w:rFonts w:asciiTheme="minorHAnsi" w:hAnsiTheme="minorHAnsi"/>
        </w:rPr>
      </w:pPr>
    </w:p>
    <w:p w14:paraId="73ECC5A4" w14:textId="0C383ACD" w:rsidR="00DA2413" w:rsidRDefault="00385F02" w:rsidP="00DA2413">
      <w:pPr>
        <w:spacing w:line="360" w:lineRule="auto"/>
        <w:ind w:firstLine="709"/>
        <w:jc w:val="both"/>
        <w:rPr>
          <w:rFonts w:asciiTheme="minorHAnsi" w:hAnsiTheme="minorHAnsi"/>
        </w:rPr>
      </w:pPr>
      <w:r>
        <w:rPr>
          <w:rFonts w:asciiTheme="minorHAnsi" w:hAnsiTheme="minorHAnsi"/>
        </w:rPr>
        <w:t>Tabulka č. 2</w:t>
      </w:r>
      <w:r w:rsidR="00DA2413" w:rsidRPr="00DA2413">
        <w:rPr>
          <w:rFonts w:asciiTheme="minorHAnsi" w:hAnsiTheme="minorHAnsi"/>
        </w:rPr>
        <w:t>: Přehled kritiky opozičních stran vyjádřený v absolutních číslech</w:t>
      </w:r>
    </w:p>
    <w:p w14:paraId="5D672AC6" w14:textId="77777777" w:rsidR="00DA2413" w:rsidRPr="00DA2413" w:rsidRDefault="00DA2413" w:rsidP="00DA2413">
      <w:pPr>
        <w:spacing w:line="360" w:lineRule="auto"/>
        <w:ind w:firstLine="709"/>
        <w:jc w:val="both"/>
        <w:rPr>
          <w:rFonts w:asciiTheme="minorHAnsi" w:hAnsiTheme="minorHAnsi"/>
        </w:rPr>
      </w:pPr>
    </w:p>
    <w:tbl>
      <w:tblPr>
        <w:tblStyle w:val="Svtltabulkasmkou1"/>
        <w:tblpPr w:leftFromText="141" w:rightFromText="141" w:vertAnchor="text" w:horzAnchor="margin" w:tblpXSpec="center" w:tblpY="-139"/>
        <w:tblW w:w="9024" w:type="dxa"/>
        <w:tblLook w:val="04A0" w:firstRow="1" w:lastRow="0" w:firstColumn="1" w:lastColumn="0" w:noHBand="0" w:noVBand="1"/>
      </w:tblPr>
      <w:tblGrid>
        <w:gridCol w:w="988"/>
        <w:gridCol w:w="2515"/>
        <w:gridCol w:w="644"/>
        <w:gridCol w:w="810"/>
        <w:gridCol w:w="583"/>
        <w:gridCol w:w="798"/>
        <w:gridCol w:w="723"/>
        <w:gridCol w:w="744"/>
        <w:gridCol w:w="645"/>
        <w:gridCol w:w="763"/>
      </w:tblGrid>
      <w:tr w:rsidR="00385F02" w:rsidRPr="00794B09" w14:paraId="24523EA6" w14:textId="77777777" w:rsidTr="00385F02">
        <w:trPr>
          <w:cnfStyle w:val="100000000000" w:firstRow="1" w:lastRow="0" w:firstColumn="0" w:lastColumn="0" w:oddVBand="0" w:evenVBand="0" w:oddHBand="0"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noWrap/>
            <w:vAlign w:val="center"/>
            <w:hideMark/>
          </w:tcPr>
          <w:p w14:paraId="59E0D40E" w14:textId="77777777" w:rsidR="00DA2413" w:rsidRPr="00385F02" w:rsidRDefault="00DA2413" w:rsidP="00DA2413">
            <w:pPr>
              <w:rPr>
                <w:rFonts w:eastAsia="Times New Roman" w:cs="Calibri"/>
                <w:color w:val="000000"/>
                <w:sz w:val="20"/>
                <w:lang w:eastAsia="cs-CZ"/>
              </w:rPr>
            </w:pPr>
            <w:r w:rsidRPr="00385F02">
              <w:rPr>
                <w:rFonts w:eastAsia="Times New Roman" w:cs="Calibri"/>
                <w:color w:val="000000"/>
                <w:sz w:val="20"/>
                <w:lang w:eastAsia="cs-CZ"/>
              </w:rPr>
              <w:t>Období</w:t>
            </w:r>
          </w:p>
        </w:tc>
        <w:tc>
          <w:tcPr>
            <w:tcW w:w="2515" w:type="dxa"/>
            <w:tcBorders>
              <w:top w:val="single" w:sz="4" w:space="0" w:color="auto"/>
              <w:left w:val="single" w:sz="4" w:space="0" w:color="auto"/>
              <w:bottom w:val="single" w:sz="4" w:space="0" w:color="auto"/>
            </w:tcBorders>
            <w:noWrap/>
            <w:vAlign w:val="center"/>
            <w:hideMark/>
          </w:tcPr>
          <w:p w14:paraId="21340D08" w14:textId="77777777" w:rsidR="00DA2413" w:rsidRPr="00385F02" w:rsidRDefault="00DA2413" w:rsidP="00DA2413">
            <w:pP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Kategorie</w:t>
            </w:r>
          </w:p>
        </w:tc>
        <w:tc>
          <w:tcPr>
            <w:tcW w:w="644" w:type="dxa"/>
            <w:tcBorders>
              <w:top w:val="single" w:sz="4" w:space="0" w:color="auto"/>
              <w:bottom w:val="single" w:sz="4" w:space="0" w:color="auto"/>
            </w:tcBorders>
            <w:noWrap/>
            <w:vAlign w:val="center"/>
            <w:hideMark/>
          </w:tcPr>
          <w:p w14:paraId="64E4AD9E" w14:textId="77777777" w:rsidR="00DA2413" w:rsidRPr="00385F02" w:rsidRDefault="00DA2413" w:rsidP="00DA2413">
            <w:pP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ODS</w:t>
            </w:r>
          </w:p>
        </w:tc>
        <w:tc>
          <w:tcPr>
            <w:tcW w:w="810" w:type="dxa"/>
            <w:tcBorders>
              <w:top w:val="single" w:sz="4" w:space="0" w:color="auto"/>
              <w:bottom w:val="single" w:sz="4" w:space="0" w:color="auto"/>
            </w:tcBorders>
            <w:noWrap/>
            <w:vAlign w:val="center"/>
            <w:hideMark/>
          </w:tcPr>
          <w:p w14:paraId="33E56BB4" w14:textId="77777777" w:rsidR="00DA2413" w:rsidRPr="00385F02" w:rsidRDefault="00DA2413" w:rsidP="00DA2413">
            <w:pP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Piráti</w:t>
            </w:r>
          </w:p>
        </w:tc>
        <w:tc>
          <w:tcPr>
            <w:tcW w:w="394" w:type="dxa"/>
            <w:tcBorders>
              <w:top w:val="single" w:sz="4" w:space="0" w:color="auto"/>
              <w:bottom w:val="single" w:sz="4" w:space="0" w:color="auto"/>
            </w:tcBorders>
            <w:noWrap/>
            <w:vAlign w:val="center"/>
            <w:hideMark/>
          </w:tcPr>
          <w:p w14:paraId="0361A20D" w14:textId="77777777" w:rsidR="00DA2413" w:rsidRPr="00385F02" w:rsidRDefault="00DA2413" w:rsidP="00DA2413">
            <w:pP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SPD</w:t>
            </w:r>
          </w:p>
        </w:tc>
        <w:tc>
          <w:tcPr>
            <w:tcW w:w="798" w:type="dxa"/>
            <w:tcBorders>
              <w:top w:val="single" w:sz="4" w:space="0" w:color="auto"/>
              <w:bottom w:val="single" w:sz="4" w:space="0" w:color="auto"/>
            </w:tcBorders>
            <w:noWrap/>
            <w:vAlign w:val="center"/>
            <w:hideMark/>
          </w:tcPr>
          <w:p w14:paraId="53926F0A" w14:textId="77777777" w:rsidR="00DA2413" w:rsidRPr="00385F02" w:rsidRDefault="00DA2413" w:rsidP="00DA2413">
            <w:pP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KSČM</w:t>
            </w:r>
          </w:p>
        </w:tc>
        <w:tc>
          <w:tcPr>
            <w:tcW w:w="723" w:type="dxa"/>
            <w:tcBorders>
              <w:top w:val="single" w:sz="4" w:space="0" w:color="auto"/>
              <w:bottom w:val="single" w:sz="4" w:space="0" w:color="auto"/>
            </w:tcBorders>
            <w:noWrap/>
            <w:vAlign w:val="center"/>
            <w:hideMark/>
          </w:tcPr>
          <w:p w14:paraId="33BAB3D1" w14:textId="77777777" w:rsidR="00DA2413" w:rsidRPr="00385F02" w:rsidRDefault="00DA2413" w:rsidP="00DA2413">
            <w:pP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ČSSD</w:t>
            </w:r>
          </w:p>
        </w:tc>
        <w:tc>
          <w:tcPr>
            <w:tcW w:w="744" w:type="dxa"/>
            <w:tcBorders>
              <w:top w:val="single" w:sz="4" w:space="0" w:color="auto"/>
              <w:bottom w:val="single" w:sz="4" w:space="0" w:color="auto"/>
            </w:tcBorders>
            <w:noWrap/>
            <w:vAlign w:val="center"/>
            <w:hideMark/>
          </w:tcPr>
          <w:p w14:paraId="1C9122F5" w14:textId="77777777" w:rsidR="00DA2413" w:rsidRPr="00385F02" w:rsidRDefault="00DA2413" w:rsidP="00DA2413">
            <w:pP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KDU-ČSL</w:t>
            </w:r>
          </w:p>
        </w:tc>
        <w:tc>
          <w:tcPr>
            <w:tcW w:w="645" w:type="dxa"/>
            <w:tcBorders>
              <w:top w:val="single" w:sz="4" w:space="0" w:color="auto"/>
              <w:bottom w:val="single" w:sz="4" w:space="0" w:color="auto"/>
            </w:tcBorders>
            <w:noWrap/>
            <w:vAlign w:val="center"/>
            <w:hideMark/>
          </w:tcPr>
          <w:p w14:paraId="06F6D62B" w14:textId="77777777" w:rsidR="00DA2413" w:rsidRPr="00385F02" w:rsidRDefault="00DA2413" w:rsidP="00DA2413">
            <w:pP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TOP 09</w:t>
            </w:r>
          </w:p>
        </w:tc>
        <w:tc>
          <w:tcPr>
            <w:tcW w:w="763" w:type="dxa"/>
            <w:tcBorders>
              <w:top w:val="single" w:sz="4" w:space="0" w:color="auto"/>
              <w:bottom w:val="single" w:sz="4" w:space="0" w:color="auto"/>
              <w:right w:val="single" w:sz="4" w:space="0" w:color="auto"/>
            </w:tcBorders>
            <w:noWrap/>
            <w:vAlign w:val="center"/>
            <w:hideMark/>
          </w:tcPr>
          <w:p w14:paraId="4682D5D6" w14:textId="77777777" w:rsidR="00DA2413" w:rsidRPr="00385F02" w:rsidRDefault="00DA2413" w:rsidP="00DA2413">
            <w:pP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STAN</w:t>
            </w:r>
          </w:p>
        </w:tc>
      </w:tr>
      <w:tr w:rsidR="00385F02" w:rsidRPr="00794B09" w14:paraId="7CA1AAE7" w14:textId="77777777" w:rsidTr="00385F02">
        <w:trPr>
          <w:trHeight w:val="224"/>
        </w:trPr>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auto"/>
              <w:left w:val="single" w:sz="4" w:space="0" w:color="auto"/>
              <w:bottom w:val="single" w:sz="4" w:space="0" w:color="auto"/>
              <w:right w:val="single" w:sz="4" w:space="0" w:color="auto"/>
            </w:tcBorders>
            <w:noWrap/>
            <w:vAlign w:val="center"/>
            <w:hideMark/>
          </w:tcPr>
          <w:p w14:paraId="023A19DC" w14:textId="77777777" w:rsidR="00DA2413" w:rsidRPr="00385F02" w:rsidRDefault="00DA2413" w:rsidP="00DA2413">
            <w:pPr>
              <w:jc w:val="center"/>
              <w:rPr>
                <w:rFonts w:eastAsia="Times New Roman" w:cs="Calibri"/>
                <w:color w:val="000000"/>
                <w:sz w:val="20"/>
                <w:lang w:eastAsia="cs-CZ"/>
              </w:rPr>
            </w:pPr>
            <w:r w:rsidRPr="00385F02">
              <w:rPr>
                <w:rFonts w:eastAsia="Times New Roman" w:cs="Calibri"/>
                <w:color w:val="000000"/>
                <w:sz w:val="20"/>
                <w:lang w:eastAsia="cs-CZ"/>
              </w:rPr>
              <w:t>1</w:t>
            </w:r>
          </w:p>
        </w:tc>
        <w:tc>
          <w:tcPr>
            <w:tcW w:w="2515" w:type="dxa"/>
            <w:tcBorders>
              <w:top w:val="single" w:sz="4" w:space="0" w:color="auto"/>
              <w:left w:val="single" w:sz="4" w:space="0" w:color="auto"/>
            </w:tcBorders>
            <w:noWrap/>
            <w:vAlign w:val="center"/>
            <w:hideMark/>
          </w:tcPr>
          <w:p w14:paraId="09FEBF34"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Kompetence vlády</w:t>
            </w:r>
          </w:p>
        </w:tc>
        <w:tc>
          <w:tcPr>
            <w:tcW w:w="644" w:type="dxa"/>
            <w:tcBorders>
              <w:top w:val="single" w:sz="4" w:space="0" w:color="auto"/>
            </w:tcBorders>
            <w:noWrap/>
            <w:vAlign w:val="center"/>
            <w:hideMark/>
          </w:tcPr>
          <w:p w14:paraId="0CF9DCCD"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3</w:t>
            </w:r>
          </w:p>
        </w:tc>
        <w:tc>
          <w:tcPr>
            <w:tcW w:w="810" w:type="dxa"/>
            <w:tcBorders>
              <w:top w:val="single" w:sz="4" w:space="0" w:color="auto"/>
            </w:tcBorders>
            <w:noWrap/>
            <w:vAlign w:val="center"/>
            <w:hideMark/>
          </w:tcPr>
          <w:p w14:paraId="689863B3"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394" w:type="dxa"/>
            <w:tcBorders>
              <w:top w:val="single" w:sz="4" w:space="0" w:color="auto"/>
            </w:tcBorders>
            <w:noWrap/>
            <w:vAlign w:val="center"/>
            <w:hideMark/>
          </w:tcPr>
          <w:p w14:paraId="3935C6A9"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98" w:type="dxa"/>
            <w:tcBorders>
              <w:top w:val="single" w:sz="4" w:space="0" w:color="auto"/>
            </w:tcBorders>
            <w:noWrap/>
            <w:vAlign w:val="center"/>
            <w:hideMark/>
          </w:tcPr>
          <w:p w14:paraId="5F132546"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23" w:type="dxa"/>
            <w:tcBorders>
              <w:top w:val="single" w:sz="4" w:space="0" w:color="auto"/>
            </w:tcBorders>
            <w:noWrap/>
            <w:vAlign w:val="center"/>
            <w:hideMark/>
          </w:tcPr>
          <w:p w14:paraId="7C89CD23"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w:t>
            </w:r>
          </w:p>
        </w:tc>
        <w:tc>
          <w:tcPr>
            <w:tcW w:w="744" w:type="dxa"/>
            <w:tcBorders>
              <w:top w:val="single" w:sz="4" w:space="0" w:color="auto"/>
            </w:tcBorders>
            <w:noWrap/>
            <w:vAlign w:val="center"/>
            <w:hideMark/>
          </w:tcPr>
          <w:p w14:paraId="4D8FA855"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w:t>
            </w:r>
          </w:p>
        </w:tc>
        <w:tc>
          <w:tcPr>
            <w:tcW w:w="645" w:type="dxa"/>
            <w:tcBorders>
              <w:top w:val="single" w:sz="4" w:space="0" w:color="auto"/>
            </w:tcBorders>
            <w:noWrap/>
            <w:vAlign w:val="center"/>
            <w:hideMark/>
          </w:tcPr>
          <w:p w14:paraId="1B399F05"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w:t>
            </w:r>
          </w:p>
        </w:tc>
        <w:tc>
          <w:tcPr>
            <w:tcW w:w="763" w:type="dxa"/>
            <w:tcBorders>
              <w:top w:val="single" w:sz="4" w:space="0" w:color="auto"/>
              <w:right w:val="single" w:sz="4" w:space="0" w:color="auto"/>
            </w:tcBorders>
            <w:noWrap/>
            <w:vAlign w:val="center"/>
            <w:hideMark/>
          </w:tcPr>
          <w:p w14:paraId="0C964A00"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w:t>
            </w:r>
          </w:p>
        </w:tc>
      </w:tr>
      <w:tr w:rsidR="00385F02" w:rsidRPr="00794B09" w14:paraId="70633127" w14:textId="77777777" w:rsidTr="00385F02">
        <w:trPr>
          <w:trHeight w:val="224"/>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vAlign w:val="center"/>
            <w:hideMark/>
          </w:tcPr>
          <w:p w14:paraId="61265601" w14:textId="77777777" w:rsidR="00DA2413" w:rsidRPr="00385F02" w:rsidRDefault="00DA2413" w:rsidP="00DA2413">
            <w:pPr>
              <w:jc w:val="center"/>
              <w:rPr>
                <w:rFonts w:eastAsia="Times New Roman" w:cs="Calibri"/>
                <w:color w:val="000000"/>
                <w:sz w:val="20"/>
                <w:lang w:eastAsia="cs-CZ"/>
              </w:rPr>
            </w:pPr>
          </w:p>
        </w:tc>
        <w:tc>
          <w:tcPr>
            <w:tcW w:w="2515" w:type="dxa"/>
            <w:tcBorders>
              <w:left w:val="single" w:sz="4" w:space="0" w:color="auto"/>
            </w:tcBorders>
            <w:noWrap/>
            <w:vAlign w:val="center"/>
            <w:hideMark/>
          </w:tcPr>
          <w:p w14:paraId="16BE4865"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Důvěryhodnost vlády</w:t>
            </w:r>
          </w:p>
        </w:tc>
        <w:tc>
          <w:tcPr>
            <w:tcW w:w="644" w:type="dxa"/>
            <w:noWrap/>
            <w:vAlign w:val="center"/>
            <w:hideMark/>
          </w:tcPr>
          <w:p w14:paraId="1CEC10FA"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2</w:t>
            </w:r>
          </w:p>
        </w:tc>
        <w:tc>
          <w:tcPr>
            <w:tcW w:w="810" w:type="dxa"/>
            <w:noWrap/>
            <w:vAlign w:val="center"/>
            <w:hideMark/>
          </w:tcPr>
          <w:p w14:paraId="275408D5"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3</w:t>
            </w:r>
          </w:p>
        </w:tc>
        <w:tc>
          <w:tcPr>
            <w:tcW w:w="394" w:type="dxa"/>
            <w:noWrap/>
            <w:vAlign w:val="center"/>
            <w:hideMark/>
          </w:tcPr>
          <w:p w14:paraId="5DE3AE31"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3</w:t>
            </w:r>
          </w:p>
        </w:tc>
        <w:tc>
          <w:tcPr>
            <w:tcW w:w="798" w:type="dxa"/>
            <w:noWrap/>
            <w:vAlign w:val="center"/>
            <w:hideMark/>
          </w:tcPr>
          <w:p w14:paraId="029E6D57"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2</w:t>
            </w:r>
          </w:p>
        </w:tc>
        <w:tc>
          <w:tcPr>
            <w:tcW w:w="723" w:type="dxa"/>
            <w:noWrap/>
            <w:vAlign w:val="center"/>
            <w:hideMark/>
          </w:tcPr>
          <w:p w14:paraId="12D5466D"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5</w:t>
            </w:r>
          </w:p>
        </w:tc>
        <w:tc>
          <w:tcPr>
            <w:tcW w:w="744" w:type="dxa"/>
            <w:noWrap/>
            <w:vAlign w:val="center"/>
            <w:hideMark/>
          </w:tcPr>
          <w:p w14:paraId="1AFB7056"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w:t>
            </w:r>
          </w:p>
        </w:tc>
        <w:tc>
          <w:tcPr>
            <w:tcW w:w="645" w:type="dxa"/>
            <w:noWrap/>
            <w:vAlign w:val="center"/>
            <w:hideMark/>
          </w:tcPr>
          <w:p w14:paraId="3B114838"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7</w:t>
            </w:r>
          </w:p>
        </w:tc>
        <w:tc>
          <w:tcPr>
            <w:tcW w:w="763" w:type="dxa"/>
            <w:tcBorders>
              <w:right w:val="single" w:sz="4" w:space="0" w:color="auto"/>
            </w:tcBorders>
            <w:noWrap/>
            <w:vAlign w:val="center"/>
            <w:hideMark/>
          </w:tcPr>
          <w:p w14:paraId="210C4FEE"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3</w:t>
            </w:r>
          </w:p>
        </w:tc>
      </w:tr>
      <w:tr w:rsidR="00385F02" w:rsidRPr="00794B09" w14:paraId="50A1CCF1" w14:textId="77777777" w:rsidTr="00385F02">
        <w:trPr>
          <w:trHeight w:val="224"/>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vAlign w:val="center"/>
            <w:hideMark/>
          </w:tcPr>
          <w:p w14:paraId="2861A140" w14:textId="77777777" w:rsidR="00DA2413" w:rsidRPr="00385F02" w:rsidRDefault="00DA2413" w:rsidP="00DA2413">
            <w:pPr>
              <w:jc w:val="center"/>
              <w:rPr>
                <w:rFonts w:eastAsia="Times New Roman" w:cs="Calibri"/>
                <w:color w:val="000000"/>
                <w:sz w:val="20"/>
                <w:lang w:eastAsia="cs-CZ"/>
              </w:rPr>
            </w:pPr>
          </w:p>
        </w:tc>
        <w:tc>
          <w:tcPr>
            <w:tcW w:w="2515" w:type="dxa"/>
            <w:tcBorders>
              <w:left w:val="single" w:sz="4" w:space="0" w:color="auto"/>
            </w:tcBorders>
            <w:noWrap/>
            <w:vAlign w:val="center"/>
            <w:hideMark/>
          </w:tcPr>
          <w:p w14:paraId="4473E64C"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Personální obsazení vlády</w:t>
            </w:r>
          </w:p>
        </w:tc>
        <w:tc>
          <w:tcPr>
            <w:tcW w:w="644" w:type="dxa"/>
            <w:noWrap/>
            <w:vAlign w:val="center"/>
            <w:hideMark/>
          </w:tcPr>
          <w:p w14:paraId="2D56C77B"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2</w:t>
            </w:r>
          </w:p>
        </w:tc>
        <w:tc>
          <w:tcPr>
            <w:tcW w:w="810" w:type="dxa"/>
            <w:noWrap/>
            <w:vAlign w:val="center"/>
            <w:hideMark/>
          </w:tcPr>
          <w:p w14:paraId="752F734D"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w:t>
            </w:r>
          </w:p>
        </w:tc>
        <w:tc>
          <w:tcPr>
            <w:tcW w:w="394" w:type="dxa"/>
            <w:noWrap/>
            <w:vAlign w:val="center"/>
            <w:hideMark/>
          </w:tcPr>
          <w:p w14:paraId="386744F6"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3</w:t>
            </w:r>
          </w:p>
        </w:tc>
        <w:tc>
          <w:tcPr>
            <w:tcW w:w="798" w:type="dxa"/>
            <w:noWrap/>
            <w:vAlign w:val="center"/>
            <w:hideMark/>
          </w:tcPr>
          <w:p w14:paraId="6CCD7219"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23" w:type="dxa"/>
            <w:noWrap/>
            <w:vAlign w:val="center"/>
            <w:hideMark/>
          </w:tcPr>
          <w:p w14:paraId="209F1608"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5</w:t>
            </w:r>
          </w:p>
        </w:tc>
        <w:tc>
          <w:tcPr>
            <w:tcW w:w="744" w:type="dxa"/>
            <w:noWrap/>
            <w:vAlign w:val="center"/>
            <w:hideMark/>
          </w:tcPr>
          <w:p w14:paraId="121CE895"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645" w:type="dxa"/>
            <w:noWrap/>
            <w:vAlign w:val="center"/>
            <w:hideMark/>
          </w:tcPr>
          <w:p w14:paraId="7A134E07"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w:t>
            </w:r>
          </w:p>
        </w:tc>
        <w:tc>
          <w:tcPr>
            <w:tcW w:w="763" w:type="dxa"/>
            <w:tcBorders>
              <w:right w:val="single" w:sz="4" w:space="0" w:color="auto"/>
            </w:tcBorders>
            <w:noWrap/>
            <w:vAlign w:val="center"/>
            <w:hideMark/>
          </w:tcPr>
          <w:p w14:paraId="51A561B2"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r>
      <w:tr w:rsidR="00385F02" w:rsidRPr="00794B09" w14:paraId="1D7EBE74" w14:textId="77777777" w:rsidTr="00385F02">
        <w:trPr>
          <w:trHeight w:val="224"/>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vAlign w:val="center"/>
            <w:hideMark/>
          </w:tcPr>
          <w:p w14:paraId="6A402D3D" w14:textId="77777777" w:rsidR="00DA2413" w:rsidRPr="00385F02" w:rsidRDefault="00DA2413" w:rsidP="00DA2413">
            <w:pPr>
              <w:jc w:val="center"/>
              <w:rPr>
                <w:rFonts w:eastAsia="Times New Roman" w:cs="Calibri"/>
                <w:color w:val="000000"/>
                <w:sz w:val="20"/>
                <w:lang w:eastAsia="cs-CZ"/>
              </w:rPr>
            </w:pPr>
          </w:p>
        </w:tc>
        <w:tc>
          <w:tcPr>
            <w:tcW w:w="2515" w:type="dxa"/>
            <w:tcBorders>
              <w:left w:val="single" w:sz="4" w:space="0" w:color="auto"/>
            </w:tcBorders>
            <w:noWrap/>
            <w:vAlign w:val="center"/>
            <w:hideMark/>
          </w:tcPr>
          <w:p w14:paraId="3B146862"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Koaliční jednání a podoba vlády (jednobarevnost)</w:t>
            </w:r>
          </w:p>
        </w:tc>
        <w:tc>
          <w:tcPr>
            <w:tcW w:w="644" w:type="dxa"/>
            <w:noWrap/>
            <w:vAlign w:val="center"/>
            <w:hideMark/>
          </w:tcPr>
          <w:p w14:paraId="18F54EAC"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12</w:t>
            </w:r>
          </w:p>
        </w:tc>
        <w:tc>
          <w:tcPr>
            <w:tcW w:w="810" w:type="dxa"/>
            <w:noWrap/>
            <w:vAlign w:val="center"/>
            <w:hideMark/>
          </w:tcPr>
          <w:p w14:paraId="15D7D283"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3</w:t>
            </w:r>
          </w:p>
        </w:tc>
        <w:tc>
          <w:tcPr>
            <w:tcW w:w="394" w:type="dxa"/>
            <w:noWrap/>
            <w:vAlign w:val="center"/>
            <w:hideMark/>
          </w:tcPr>
          <w:p w14:paraId="13B39DA5"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4</w:t>
            </w:r>
          </w:p>
        </w:tc>
        <w:tc>
          <w:tcPr>
            <w:tcW w:w="798" w:type="dxa"/>
            <w:noWrap/>
            <w:vAlign w:val="center"/>
            <w:hideMark/>
          </w:tcPr>
          <w:p w14:paraId="6CB3834D"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w:t>
            </w:r>
          </w:p>
        </w:tc>
        <w:tc>
          <w:tcPr>
            <w:tcW w:w="723" w:type="dxa"/>
            <w:noWrap/>
            <w:vAlign w:val="center"/>
            <w:hideMark/>
          </w:tcPr>
          <w:p w14:paraId="3DC1224D"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6</w:t>
            </w:r>
          </w:p>
        </w:tc>
        <w:tc>
          <w:tcPr>
            <w:tcW w:w="744" w:type="dxa"/>
            <w:noWrap/>
            <w:vAlign w:val="center"/>
            <w:hideMark/>
          </w:tcPr>
          <w:p w14:paraId="354DAB3B"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8</w:t>
            </w:r>
          </w:p>
        </w:tc>
        <w:tc>
          <w:tcPr>
            <w:tcW w:w="645" w:type="dxa"/>
            <w:noWrap/>
            <w:vAlign w:val="center"/>
            <w:hideMark/>
          </w:tcPr>
          <w:p w14:paraId="7FAEC64E"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63" w:type="dxa"/>
            <w:tcBorders>
              <w:right w:val="single" w:sz="4" w:space="0" w:color="auto"/>
            </w:tcBorders>
            <w:noWrap/>
            <w:vAlign w:val="center"/>
            <w:hideMark/>
          </w:tcPr>
          <w:p w14:paraId="6EFA904D"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r>
      <w:tr w:rsidR="00385F02" w:rsidRPr="00794B09" w14:paraId="215398A3" w14:textId="77777777" w:rsidTr="00385F02">
        <w:trPr>
          <w:trHeight w:val="224"/>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vAlign w:val="center"/>
            <w:hideMark/>
          </w:tcPr>
          <w:p w14:paraId="225D31F2" w14:textId="77777777" w:rsidR="00DA2413" w:rsidRPr="00385F02" w:rsidRDefault="00DA2413" w:rsidP="00DA2413">
            <w:pPr>
              <w:jc w:val="center"/>
              <w:rPr>
                <w:rFonts w:eastAsia="Times New Roman" w:cs="Calibri"/>
                <w:color w:val="000000"/>
                <w:sz w:val="20"/>
                <w:lang w:eastAsia="cs-CZ"/>
              </w:rPr>
            </w:pPr>
          </w:p>
        </w:tc>
        <w:tc>
          <w:tcPr>
            <w:tcW w:w="2515" w:type="dxa"/>
            <w:tcBorders>
              <w:left w:val="single" w:sz="4" w:space="0" w:color="auto"/>
            </w:tcBorders>
            <w:noWrap/>
            <w:vAlign w:val="center"/>
            <w:hideMark/>
          </w:tcPr>
          <w:p w14:paraId="6C51E787"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Programové prohlášení a vize vlády</w:t>
            </w:r>
          </w:p>
        </w:tc>
        <w:tc>
          <w:tcPr>
            <w:tcW w:w="644" w:type="dxa"/>
            <w:noWrap/>
            <w:vAlign w:val="center"/>
            <w:hideMark/>
          </w:tcPr>
          <w:p w14:paraId="1D2C2559"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24</w:t>
            </w:r>
          </w:p>
        </w:tc>
        <w:tc>
          <w:tcPr>
            <w:tcW w:w="810" w:type="dxa"/>
            <w:noWrap/>
            <w:vAlign w:val="center"/>
            <w:hideMark/>
          </w:tcPr>
          <w:p w14:paraId="41A19230"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7</w:t>
            </w:r>
          </w:p>
        </w:tc>
        <w:tc>
          <w:tcPr>
            <w:tcW w:w="394" w:type="dxa"/>
            <w:noWrap/>
            <w:vAlign w:val="center"/>
            <w:hideMark/>
          </w:tcPr>
          <w:p w14:paraId="6E720085"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5</w:t>
            </w:r>
          </w:p>
        </w:tc>
        <w:tc>
          <w:tcPr>
            <w:tcW w:w="798" w:type="dxa"/>
            <w:noWrap/>
            <w:vAlign w:val="center"/>
            <w:hideMark/>
          </w:tcPr>
          <w:p w14:paraId="268ADA4A"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23</w:t>
            </w:r>
          </w:p>
        </w:tc>
        <w:tc>
          <w:tcPr>
            <w:tcW w:w="723" w:type="dxa"/>
            <w:noWrap/>
            <w:vAlign w:val="center"/>
            <w:hideMark/>
          </w:tcPr>
          <w:p w14:paraId="37E518FB"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26</w:t>
            </w:r>
          </w:p>
        </w:tc>
        <w:tc>
          <w:tcPr>
            <w:tcW w:w="744" w:type="dxa"/>
            <w:noWrap/>
            <w:vAlign w:val="center"/>
            <w:hideMark/>
          </w:tcPr>
          <w:p w14:paraId="6AFC35B0"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23</w:t>
            </w:r>
          </w:p>
        </w:tc>
        <w:tc>
          <w:tcPr>
            <w:tcW w:w="645" w:type="dxa"/>
            <w:noWrap/>
            <w:vAlign w:val="center"/>
            <w:hideMark/>
          </w:tcPr>
          <w:p w14:paraId="68A49F57"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8</w:t>
            </w:r>
          </w:p>
        </w:tc>
        <w:tc>
          <w:tcPr>
            <w:tcW w:w="763" w:type="dxa"/>
            <w:tcBorders>
              <w:right w:val="single" w:sz="4" w:space="0" w:color="auto"/>
            </w:tcBorders>
            <w:noWrap/>
            <w:vAlign w:val="center"/>
            <w:hideMark/>
          </w:tcPr>
          <w:p w14:paraId="0E81B6EF"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5</w:t>
            </w:r>
          </w:p>
        </w:tc>
      </w:tr>
      <w:tr w:rsidR="00385F02" w:rsidRPr="00794B09" w14:paraId="075ED56D" w14:textId="77777777" w:rsidTr="00385F02">
        <w:trPr>
          <w:trHeight w:val="224"/>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vAlign w:val="center"/>
            <w:hideMark/>
          </w:tcPr>
          <w:p w14:paraId="1F136654" w14:textId="77777777" w:rsidR="00DA2413" w:rsidRPr="00385F02" w:rsidRDefault="00DA2413" w:rsidP="00DA2413">
            <w:pPr>
              <w:jc w:val="center"/>
              <w:rPr>
                <w:rFonts w:eastAsia="Times New Roman" w:cs="Calibri"/>
                <w:color w:val="000000"/>
                <w:sz w:val="20"/>
                <w:lang w:eastAsia="cs-CZ"/>
              </w:rPr>
            </w:pPr>
          </w:p>
        </w:tc>
        <w:tc>
          <w:tcPr>
            <w:tcW w:w="2515" w:type="dxa"/>
            <w:tcBorders>
              <w:left w:val="single" w:sz="4" w:space="0" w:color="auto"/>
            </w:tcBorders>
            <w:noWrap/>
            <w:vAlign w:val="center"/>
            <w:hideMark/>
          </w:tcPr>
          <w:p w14:paraId="4649786F"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Sociální politika</w:t>
            </w:r>
          </w:p>
        </w:tc>
        <w:tc>
          <w:tcPr>
            <w:tcW w:w="644" w:type="dxa"/>
            <w:noWrap/>
            <w:vAlign w:val="center"/>
            <w:hideMark/>
          </w:tcPr>
          <w:p w14:paraId="0B9E24F3"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810" w:type="dxa"/>
            <w:noWrap/>
            <w:vAlign w:val="center"/>
            <w:hideMark/>
          </w:tcPr>
          <w:p w14:paraId="4CFC43F6"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394" w:type="dxa"/>
            <w:noWrap/>
            <w:vAlign w:val="center"/>
            <w:hideMark/>
          </w:tcPr>
          <w:p w14:paraId="04C80B5D"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98" w:type="dxa"/>
            <w:noWrap/>
            <w:vAlign w:val="center"/>
            <w:hideMark/>
          </w:tcPr>
          <w:p w14:paraId="09689DD8"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7</w:t>
            </w:r>
          </w:p>
        </w:tc>
        <w:tc>
          <w:tcPr>
            <w:tcW w:w="723" w:type="dxa"/>
            <w:noWrap/>
            <w:vAlign w:val="center"/>
            <w:hideMark/>
          </w:tcPr>
          <w:p w14:paraId="0D7C1DA5"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2</w:t>
            </w:r>
          </w:p>
        </w:tc>
        <w:tc>
          <w:tcPr>
            <w:tcW w:w="744" w:type="dxa"/>
            <w:noWrap/>
            <w:vAlign w:val="center"/>
            <w:hideMark/>
          </w:tcPr>
          <w:p w14:paraId="6D8A02ED"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645" w:type="dxa"/>
            <w:noWrap/>
            <w:vAlign w:val="center"/>
            <w:hideMark/>
          </w:tcPr>
          <w:p w14:paraId="629F42F2"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63" w:type="dxa"/>
            <w:tcBorders>
              <w:right w:val="single" w:sz="4" w:space="0" w:color="auto"/>
            </w:tcBorders>
            <w:noWrap/>
            <w:vAlign w:val="center"/>
            <w:hideMark/>
          </w:tcPr>
          <w:p w14:paraId="12D819B4"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r>
      <w:tr w:rsidR="00385F02" w:rsidRPr="00794B09" w14:paraId="5F304EE6" w14:textId="77777777" w:rsidTr="00385F02">
        <w:trPr>
          <w:trHeight w:val="224"/>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vAlign w:val="center"/>
            <w:hideMark/>
          </w:tcPr>
          <w:p w14:paraId="5C2E7191" w14:textId="77777777" w:rsidR="00DA2413" w:rsidRPr="00385F02" w:rsidRDefault="00DA2413" w:rsidP="00DA2413">
            <w:pPr>
              <w:jc w:val="center"/>
              <w:rPr>
                <w:rFonts w:eastAsia="Times New Roman" w:cs="Calibri"/>
                <w:color w:val="000000"/>
                <w:sz w:val="20"/>
                <w:lang w:eastAsia="cs-CZ"/>
              </w:rPr>
            </w:pPr>
          </w:p>
        </w:tc>
        <w:tc>
          <w:tcPr>
            <w:tcW w:w="2515" w:type="dxa"/>
            <w:tcBorders>
              <w:left w:val="single" w:sz="4" w:space="0" w:color="auto"/>
            </w:tcBorders>
            <w:noWrap/>
            <w:vAlign w:val="center"/>
            <w:hideMark/>
          </w:tcPr>
          <w:p w14:paraId="7CC79FA3"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 xml:space="preserve">Trestní stíhání Andreje Babiše </w:t>
            </w:r>
          </w:p>
        </w:tc>
        <w:tc>
          <w:tcPr>
            <w:tcW w:w="644" w:type="dxa"/>
            <w:noWrap/>
            <w:vAlign w:val="center"/>
            <w:hideMark/>
          </w:tcPr>
          <w:p w14:paraId="114439DC"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9</w:t>
            </w:r>
          </w:p>
        </w:tc>
        <w:tc>
          <w:tcPr>
            <w:tcW w:w="810" w:type="dxa"/>
            <w:noWrap/>
            <w:vAlign w:val="center"/>
            <w:hideMark/>
          </w:tcPr>
          <w:p w14:paraId="016C7A54"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2</w:t>
            </w:r>
          </w:p>
        </w:tc>
        <w:tc>
          <w:tcPr>
            <w:tcW w:w="394" w:type="dxa"/>
            <w:noWrap/>
            <w:vAlign w:val="center"/>
            <w:hideMark/>
          </w:tcPr>
          <w:p w14:paraId="399D8DFB"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w:t>
            </w:r>
          </w:p>
        </w:tc>
        <w:tc>
          <w:tcPr>
            <w:tcW w:w="798" w:type="dxa"/>
            <w:noWrap/>
            <w:vAlign w:val="center"/>
            <w:hideMark/>
          </w:tcPr>
          <w:p w14:paraId="6C5CA921"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23" w:type="dxa"/>
            <w:noWrap/>
            <w:vAlign w:val="center"/>
            <w:hideMark/>
          </w:tcPr>
          <w:p w14:paraId="39D13F37"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w:t>
            </w:r>
          </w:p>
        </w:tc>
        <w:tc>
          <w:tcPr>
            <w:tcW w:w="744" w:type="dxa"/>
            <w:noWrap/>
            <w:vAlign w:val="center"/>
            <w:hideMark/>
          </w:tcPr>
          <w:p w14:paraId="2B72EDEF"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645" w:type="dxa"/>
            <w:noWrap/>
            <w:vAlign w:val="center"/>
            <w:hideMark/>
          </w:tcPr>
          <w:p w14:paraId="731EB234"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4</w:t>
            </w:r>
          </w:p>
        </w:tc>
        <w:tc>
          <w:tcPr>
            <w:tcW w:w="763" w:type="dxa"/>
            <w:tcBorders>
              <w:right w:val="single" w:sz="4" w:space="0" w:color="auto"/>
            </w:tcBorders>
            <w:noWrap/>
            <w:vAlign w:val="center"/>
            <w:hideMark/>
          </w:tcPr>
          <w:p w14:paraId="7BA7608F"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w:t>
            </w:r>
          </w:p>
        </w:tc>
      </w:tr>
      <w:tr w:rsidR="00385F02" w:rsidRPr="00794B09" w14:paraId="7EA5EA71" w14:textId="77777777" w:rsidTr="00385F02">
        <w:trPr>
          <w:trHeight w:val="224"/>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vAlign w:val="center"/>
            <w:hideMark/>
          </w:tcPr>
          <w:p w14:paraId="5B4FBE9F" w14:textId="77777777" w:rsidR="00DA2413" w:rsidRPr="00385F02" w:rsidRDefault="00DA2413" w:rsidP="00DA2413">
            <w:pPr>
              <w:jc w:val="center"/>
              <w:rPr>
                <w:rFonts w:eastAsia="Times New Roman" w:cs="Calibri"/>
                <w:color w:val="000000"/>
                <w:sz w:val="20"/>
                <w:lang w:eastAsia="cs-CZ"/>
              </w:rPr>
            </w:pPr>
          </w:p>
        </w:tc>
        <w:tc>
          <w:tcPr>
            <w:tcW w:w="2515" w:type="dxa"/>
            <w:tcBorders>
              <w:left w:val="single" w:sz="4" w:space="0" w:color="auto"/>
            </w:tcBorders>
            <w:noWrap/>
            <w:vAlign w:val="center"/>
            <w:hideMark/>
          </w:tcPr>
          <w:p w14:paraId="1D50B746"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Minulost Andreje Babiše</w:t>
            </w:r>
          </w:p>
        </w:tc>
        <w:tc>
          <w:tcPr>
            <w:tcW w:w="644" w:type="dxa"/>
            <w:noWrap/>
            <w:vAlign w:val="center"/>
            <w:hideMark/>
          </w:tcPr>
          <w:p w14:paraId="3C93C648"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810" w:type="dxa"/>
            <w:noWrap/>
            <w:vAlign w:val="center"/>
            <w:hideMark/>
          </w:tcPr>
          <w:p w14:paraId="0C2A876F"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394" w:type="dxa"/>
            <w:noWrap/>
            <w:vAlign w:val="center"/>
            <w:hideMark/>
          </w:tcPr>
          <w:p w14:paraId="569A678B"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98" w:type="dxa"/>
            <w:noWrap/>
            <w:vAlign w:val="center"/>
            <w:hideMark/>
          </w:tcPr>
          <w:p w14:paraId="7C831E80"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23" w:type="dxa"/>
            <w:noWrap/>
            <w:vAlign w:val="center"/>
            <w:hideMark/>
          </w:tcPr>
          <w:p w14:paraId="4D3620FD"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44" w:type="dxa"/>
            <w:noWrap/>
            <w:vAlign w:val="center"/>
            <w:hideMark/>
          </w:tcPr>
          <w:p w14:paraId="309C79EE"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645" w:type="dxa"/>
            <w:noWrap/>
            <w:vAlign w:val="center"/>
            <w:hideMark/>
          </w:tcPr>
          <w:p w14:paraId="7DFE6823"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w:t>
            </w:r>
          </w:p>
        </w:tc>
        <w:tc>
          <w:tcPr>
            <w:tcW w:w="763" w:type="dxa"/>
            <w:tcBorders>
              <w:right w:val="single" w:sz="4" w:space="0" w:color="auto"/>
            </w:tcBorders>
            <w:noWrap/>
            <w:vAlign w:val="center"/>
            <w:hideMark/>
          </w:tcPr>
          <w:p w14:paraId="23EE0E43"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2</w:t>
            </w:r>
          </w:p>
        </w:tc>
      </w:tr>
      <w:tr w:rsidR="00385F02" w:rsidRPr="00794B09" w14:paraId="59A1515F" w14:textId="77777777" w:rsidTr="00385F02">
        <w:trPr>
          <w:trHeight w:val="224"/>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vAlign w:val="center"/>
            <w:hideMark/>
          </w:tcPr>
          <w:p w14:paraId="3E1FE38B" w14:textId="77777777" w:rsidR="00DA2413" w:rsidRPr="00385F02" w:rsidRDefault="00DA2413" w:rsidP="00DA2413">
            <w:pPr>
              <w:jc w:val="center"/>
              <w:rPr>
                <w:rFonts w:eastAsia="Times New Roman" w:cs="Calibri"/>
                <w:color w:val="000000"/>
                <w:sz w:val="20"/>
                <w:lang w:eastAsia="cs-CZ"/>
              </w:rPr>
            </w:pPr>
          </w:p>
        </w:tc>
        <w:tc>
          <w:tcPr>
            <w:tcW w:w="2515" w:type="dxa"/>
            <w:tcBorders>
              <w:left w:val="single" w:sz="4" w:space="0" w:color="auto"/>
            </w:tcBorders>
            <w:noWrap/>
            <w:vAlign w:val="center"/>
            <w:hideMark/>
          </w:tcPr>
          <w:p w14:paraId="686913F3"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Střet zájmů Andreje Babiše</w:t>
            </w:r>
          </w:p>
        </w:tc>
        <w:tc>
          <w:tcPr>
            <w:tcW w:w="644" w:type="dxa"/>
            <w:noWrap/>
            <w:vAlign w:val="center"/>
            <w:hideMark/>
          </w:tcPr>
          <w:p w14:paraId="222F43EB"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w:t>
            </w:r>
          </w:p>
        </w:tc>
        <w:tc>
          <w:tcPr>
            <w:tcW w:w="810" w:type="dxa"/>
            <w:noWrap/>
            <w:vAlign w:val="center"/>
            <w:hideMark/>
          </w:tcPr>
          <w:p w14:paraId="0A4D64C4"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2</w:t>
            </w:r>
          </w:p>
        </w:tc>
        <w:tc>
          <w:tcPr>
            <w:tcW w:w="394" w:type="dxa"/>
            <w:noWrap/>
            <w:vAlign w:val="center"/>
            <w:hideMark/>
          </w:tcPr>
          <w:p w14:paraId="561F773D"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98" w:type="dxa"/>
            <w:noWrap/>
            <w:vAlign w:val="center"/>
            <w:hideMark/>
          </w:tcPr>
          <w:p w14:paraId="102E364E"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23" w:type="dxa"/>
            <w:noWrap/>
            <w:vAlign w:val="center"/>
            <w:hideMark/>
          </w:tcPr>
          <w:p w14:paraId="57E60B54"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44" w:type="dxa"/>
            <w:noWrap/>
            <w:vAlign w:val="center"/>
            <w:hideMark/>
          </w:tcPr>
          <w:p w14:paraId="2F4D69D0"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645" w:type="dxa"/>
            <w:noWrap/>
            <w:vAlign w:val="center"/>
            <w:hideMark/>
          </w:tcPr>
          <w:p w14:paraId="47E1114D"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3</w:t>
            </w:r>
          </w:p>
        </w:tc>
        <w:tc>
          <w:tcPr>
            <w:tcW w:w="763" w:type="dxa"/>
            <w:tcBorders>
              <w:right w:val="single" w:sz="4" w:space="0" w:color="auto"/>
            </w:tcBorders>
            <w:noWrap/>
            <w:vAlign w:val="center"/>
            <w:hideMark/>
          </w:tcPr>
          <w:p w14:paraId="20618E6B"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w:t>
            </w:r>
          </w:p>
        </w:tc>
      </w:tr>
      <w:tr w:rsidR="00385F02" w:rsidRPr="00794B09" w14:paraId="40209E7E" w14:textId="77777777" w:rsidTr="00385F02">
        <w:trPr>
          <w:trHeight w:val="224"/>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vAlign w:val="center"/>
            <w:hideMark/>
          </w:tcPr>
          <w:p w14:paraId="1CBB93B0" w14:textId="77777777" w:rsidR="00DA2413" w:rsidRPr="00385F02" w:rsidRDefault="00DA2413" w:rsidP="00DA2413">
            <w:pPr>
              <w:jc w:val="center"/>
              <w:rPr>
                <w:rFonts w:eastAsia="Times New Roman" w:cs="Calibri"/>
                <w:color w:val="000000"/>
                <w:sz w:val="20"/>
                <w:lang w:eastAsia="cs-CZ"/>
              </w:rPr>
            </w:pPr>
          </w:p>
        </w:tc>
        <w:tc>
          <w:tcPr>
            <w:tcW w:w="2515" w:type="dxa"/>
            <w:tcBorders>
              <w:left w:val="single" w:sz="4" w:space="0" w:color="auto"/>
            </w:tcBorders>
            <w:noWrap/>
            <w:vAlign w:val="center"/>
            <w:hideMark/>
          </w:tcPr>
          <w:p w14:paraId="631D892C"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Účast KSČM na vládě</w:t>
            </w:r>
          </w:p>
        </w:tc>
        <w:tc>
          <w:tcPr>
            <w:tcW w:w="644" w:type="dxa"/>
            <w:noWrap/>
            <w:vAlign w:val="center"/>
            <w:hideMark/>
          </w:tcPr>
          <w:p w14:paraId="7F244CB3"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810" w:type="dxa"/>
            <w:noWrap/>
            <w:vAlign w:val="center"/>
            <w:hideMark/>
          </w:tcPr>
          <w:p w14:paraId="2E9F6890"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394" w:type="dxa"/>
            <w:noWrap/>
            <w:vAlign w:val="center"/>
            <w:hideMark/>
          </w:tcPr>
          <w:p w14:paraId="347B27C4"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98" w:type="dxa"/>
            <w:noWrap/>
            <w:vAlign w:val="center"/>
            <w:hideMark/>
          </w:tcPr>
          <w:p w14:paraId="73B160AB"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23" w:type="dxa"/>
            <w:noWrap/>
            <w:vAlign w:val="center"/>
            <w:hideMark/>
          </w:tcPr>
          <w:p w14:paraId="76D6717C"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44" w:type="dxa"/>
            <w:noWrap/>
            <w:vAlign w:val="center"/>
            <w:hideMark/>
          </w:tcPr>
          <w:p w14:paraId="1BCC9B82"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645" w:type="dxa"/>
            <w:noWrap/>
            <w:vAlign w:val="center"/>
            <w:hideMark/>
          </w:tcPr>
          <w:p w14:paraId="13768EA4"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63" w:type="dxa"/>
            <w:tcBorders>
              <w:right w:val="single" w:sz="4" w:space="0" w:color="auto"/>
            </w:tcBorders>
            <w:noWrap/>
            <w:vAlign w:val="center"/>
            <w:hideMark/>
          </w:tcPr>
          <w:p w14:paraId="464AD6D6"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r>
      <w:tr w:rsidR="00385F02" w:rsidRPr="00794B09" w14:paraId="460880D3" w14:textId="77777777" w:rsidTr="00385F02">
        <w:trPr>
          <w:trHeight w:val="235"/>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vAlign w:val="center"/>
            <w:hideMark/>
          </w:tcPr>
          <w:p w14:paraId="3E6D1DF1" w14:textId="77777777" w:rsidR="00DA2413" w:rsidRPr="00385F02" w:rsidRDefault="00DA2413" w:rsidP="00DA2413">
            <w:pPr>
              <w:jc w:val="center"/>
              <w:rPr>
                <w:rFonts w:eastAsia="Times New Roman" w:cs="Calibri"/>
                <w:color w:val="000000"/>
                <w:sz w:val="20"/>
                <w:lang w:eastAsia="cs-CZ"/>
              </w:rPr>
            </w:pPr>
          </w:p>
        </w:tc>
        <w:tc>
          <w:tcPr>
            <w:tcW w:w="2515" w:type="dxa"/>
            <w:tcBorders>
              <w:left w:val="single" w:sz="4" w:space="0" w:color="auto"/>
              <w:bottom w:val="single" w:sz="4" w:space="0" w:color="auto"/>
            </w:tcBorders>
            <w:noWrap/>
            <w:vAlign w:val="center"/>
            <w:hideMark/>
          </w:tcPr>
          <w:p w14:paraId="7B227C0A"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Jiné</w:t>
            </w:r>
          </w:p>
        </w:tc>
        <w:tc>
          <w:tcPr>
            <w:tcW w:w="644" w:type="dxa"/>
            <w:tcBorders>
              <w:bottom w:val="single" w:sz="4" w:space="0" w:color="auto"/>
            </w:tcBorders>
            <w:noWrap/>
            <w:vAlign w:val="center"/>
            <w:hideMark/>
          </w:tcPr>
          <w:p w14:paraId="74FD957F"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10</w:t>
            </w:r>
          </w:p>
        </w:tc>
        <w:tc>
          <w:tcPr>
            <w:tcW w:w="810" w:type="dxa"/>
            <w:tcBorders>
              <w:bottom w:val="single" w:sz="4" w:space="0" w:color="auto"/>
            </w:tcBorders>
            <w:noWrap/>
            <w:vAlign w:val="center"/>
            <w:hideMark/>
          </w:tcPr>
          <w:p w14:paraId="3F5D31BB"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10</w:t>
            </w:r>
          </w:p>
        </w:tc>
        <w:tc>
          <w:tcPr>
            <w:tcW w:w="394" w:type="dxa"/>
            <w:tcBorders>
              <w:bottom w:val="single" w:sz="4" w:space="0" w:color="auto"/>
            </w:tcBorders>
            <w:noWrap/>
            <w:vAlign w:val="center"/>
            <w:hideMark/>
          </w:tcPr>
          <w:p w14:paraId="7549B1DD"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5</w:t>
            </w:r>
          </w:p>
        </w:tc>
        <w:tc>
          <w:tcPr>
            <w:tcW w:w="798" w:type="dxa"/>
            <w:tcBorders>
              <w:bottom w:val="single" w:sz="4" w:space="0" w:color="auto"/>
            </w:tcBorders>
            <w:noWrap/>
            <w:vAlign w:val="center"/>
            <w:hideMark/>
          </w:tcPr>
          <w:p w14:paraId="273970CF"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23" w:type="dxa"/>
            <w:tcBorders>
              <w:bottom w:val="single" w:sz="4" w:space="0" w:color="auto"/>
            </w:tcBorders>
            <w:noWrap/>
            <w:vAlign w:val="center"/>
            <w:hideMark/>
          </w:tcPr>
          <w:p w14:paraId="61A9830C"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2</w:t>
            </w:r>
          </w:p>
        </w:tc>
        <w:tc>
          <w:tcPr>
            <w:tcW w:w="744" w:type="dxa"/>
            <w:tcBorders>
              <w:bottom w:val="single" w:sz="4" w:space="0" w:color="auto"/>
            </w:tcBorders>
            <w:noWrap/>
            <w:vAlign w:val="center"/>
            <w:hideMark/>
          </w:tcPr>
          <w:p w14:paraId="3F1558FF"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645" w:type="dxa"/>
            <w:tcBorders>
              <w:bottom w:val="single" w:sz="4" w:space="0" w:color="auto"/>
            </w:tcBorders>
            <w:noWrap/>
            <w:vAlign w:val="center"/>
            <w:hideMark/>
          </w:tcPr>
          <w:p w14:paraId="31040F38"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63" w:type="dxa"/>
            <w:tcBorders>
              <w:bottom w:val="single" w:sz="4" w:space="0" w:color="auto"/>
              <w:right w:val="single" w:sz="4" w:space="0" w:color="auto"/>
            </w:tcBorders>
            <w:noWrap/>
            <w:vAlign w:val="center"/>
            <w:hideMark/>
          </w:tcPr>
          <w:p w14:paraId="03C8B65B"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r>
      <w:tr w:rsidR="00385F02" w:rsidRPr="00794B09" w14:paraId="556C455A" w14:textId="77777777" w:rsidTr="00385F02">
        <w:trPr>
          <w:trHeight w:val="235"/>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vAlign w:val="center"/>
            <w:hideMark/>
          </w:tcPr>
          <w:p w14:paraId="4F42E83B" w14:textId="77777777" w:rsidR="00DA2413" w:rsidRPr="00385F02" w:rsidRDefault="00DA2413" w:rsidP="00DA2413">
            <w:pPr>
              <w:jc w:val="center"/>
              <w:rPr>
                <w:rFonts w:eastAsia="Times New Roman" w:cs="Calibri"/>
                <w:color w:val="000000"/>
                <w:sz w:val="20"/>
                <w:lang w:eastAsia="cs-CZ"/>
              </w:rPr>
            </w:pPr>
          </w:p>
        </w:tc>
        <w:tc>
          <w:tcPr>
            <w:tcW w:w="2515" w:type="dxa"/>
            <w:tcBorders>
              <w:top w:val="single" w:sz="4" w:space="0" w:color="auto"/>
              <w:left w:val="single" w:sz="4" w:space="0" w:color="auto"/>
              <w:bottom w:val="single" w:sz="4" w:space="0" w:color="auto"/>
            </w:tcBorders>
            <w:noWrap/>
            <w:vAlign w:val="center"/>
            <w:hideMark/>
          </w:tcPr>
          <w:p w14:paraId="54D40782"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20"/>
                <w:lang w:eastAsia="cs-CZ"/>
              </w:rPr>
            </w:pPr>
            <w:r w:rsidRPr="00385F02">
              <w:rPr>
                <w:rFonts w:eastAsia="Times New Roman" w:cs="Calibri"/>
                <w:b/>
                <w:bCs/>
                <w:color w:val="000000"/>
                <w:sz w:val="20"/>
                <w:lang w:eastAsia="cs-CZ"/>
              </w:rPr>
              <w:t>Celkem</w:t>
            </w:r>
          </w:p>
        </w:tc>
        <w:tc>
          <w:tcPr>
            <w:tcW w:w="644" w:type="dxa"/>
            <w:tcBorders>
              <w:top w:val="single" w:sz="4" w:space="0" w:color="auto"/>
              <w:bottom w:val="single" w:sz="4" w:space="0" w:color="auto"/>
            </w:tcBorders>
            <w:noWrap/>
            <w:vAlign w:val="center"/>
            <w:hideMark/>
          </w:tcPr>
          <w:p w14:paraId="6530EB87"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20"/>
                <w:lang w:eastAsia="cs-CZ"/>
              </w:rPr>
            </w:pPr>
            <w:r w:rsidRPr="00385F02">
              <w:rPr>
                <w:rFonts w:eastAsia="Times New Roman" w:cs="Calibri"/>
                <w:b/>
                <w:bCs/>
                <w:color w:val="000000"/>
                <w:sz w:val="20"/>
                <w:lang w:eastAsia="cs-CZ"/>
              </w:rPr>
              <w:t>63</w:t>
            </w:r>
          </w:p>
        </w:tc>
        <w:tc>
          <w:tcPr>
            <w:tcW w:w="810" w:type="dxa"/>
            <w:tcBorders>
              <w:top w:val="single" w:sz="4" w:space="0" w:color="auto"/>
              <w:bottom w:val="single" w:sz="4" w:space="0" w:color="auto"/>
            </w:tcBorders>
            <w:noWrap/>
            <w:vAlign w:val="center"/>
            <w:hideMark/>
          </w:tcPr>
          <w:p w14:paraId="20C88A10"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20"/>
                <w:lang w:eastAsia="cs-CZ"/>
              </w:rPr>
            </w:pPr>
            <w:r w:rsidRPr="00385F02">
              <w:rPr>
                <w:rFonts w:eastAsia="Times New Roman" w:cs="Calibri"/>
                <w:b/>
                <w:bCs/>
                <w:color w:val="000000"/>
                <w:sz w:val="20"/>
                <w:lang w:eastAsia="cs-CZ"/>
              </w:rPr>
              <w:t>28</w:t>
            </w:r>
          </w:p>
        </w:tc>
        <w:tc>
          <w:tcPr>
            <w:tcW w:w="394" w:type="dxa"/>
            <w:tcBorders>
              <w:top w:val="single" w:sz="4" w:space="0" w:color="auto"/>
              <w:bottom w:val="single" w:sz="4" w:space="0" w:color="auto"/>
            </w:tcBorders>
            <w:noWrap/>
            <w:vAlign w:val="center"/>
            <w:hideMark/>
          </w:tcPr>
          <w:p w14:paraId="4865507E"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20"/>
                <w:lang w:eastAsia="cs-CZ"/>
              </w:rPr>
            </w:pPr>
            <w:r w:rsidRPr="00385F02">
              <w:rPr>
                <w:rFonts w:eastAsia="Times New Roman" w:cs="Calibri"/>
                <w:b/>
                <w:bCs/>
                <w:color w:val="000000"/>
                <w:sz w:val="20"/>
                <w:lang w:eastAsia="cs-CZ"/>
              </w:rPr>
              <w:t>21</w:t>
            </w:r>
          </w:p>
        </w:tc>
        <w:tc>
          <w:tcPr>
            <w:tcW w:w="798" w:type="dxa"/>
            <w:tcBorders>
              <w:top w:val="single" w:sz="4" w:space="0" w:color="auto"/>
              <w:bottom w:val="single" w:sz="4" w:space="0" w:color="auto"/>
            </w:tcBorders>
            <w:noWrap/>
            <w:vAlign w:val="center"/>
            <w:hideMark/>
          </w:tcPr>
          <w:p w14:paraId="71CDD2F4"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20"/>
                <w:lang w:eastAsia="cs-CZ"/>
              </w:rPr>
            </w:pPr>
            <w:r w:rsidRPr="00385F02">
              <w:rPr>
                <w:rFonts w:eastAsia="Times New Roman" w:cs="Calibri"/>
                <w:b/>
                <w:bCs/>
                <w:color w:val="000000"/>
                <w:sz w:val="20"/>
                <w:lang w:eastAsia="cs-CZ"/>
              </w:rPr>
              <w:t>33</w:t>
            </w:r>
          </w:p>
        </w:tc>
        <w:tc>
          <w:tcPr>
            <w:tcW w:w="723" w:type="dxa"/>
            <w:tcBorders>
              <w:top w:val="single" w:sz="4" w:space="0" w:color="auto"/>
              <w:bottom w:val="single" w:sz="4" w:space="0" w:color="auto"/>
            </w:tcBorders>
            <w:noWrap/>
            <w:vAlign w:val="center"/>
            <w:hideMark/>
          </w:tcPr>
          <w:p w14:paraId="0022CB0A"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20"/>
                <w:lang w:eastAsia="cs-CZ"/>
              </w:rPr>
            </w:pPr>
            <w:r w:rsidRPr="00385F02">
              <w:rPr>
                <w:rFonts w:eastAsia="Times New Roman" w:cs="Calibri"/>
                <w:b/>
                <w:bCs/>
                <w:color w:val="000000"/>
                <w:sz w:val="20"/>
                <w:lang w:eastAsia="cs-CZ"/>
              </w:rPr>
              <w:t>48</w:t>
            </w:r>
          </w:p>
        </w:tc>
        <w:tc>
          <w:tcPr>
            <w:tcW w:w="744" w:type="dxa"/>
            <w:tcBorders>
              <w:top w:val="single" w:sz="4" w:space="0" w:color="auto"/>
              <w:bottom w:val="single" w:sz="4" w:space="0" w:color="auto"/>
            </w:tcBorders>
            <w:noWrap/>
            <w:vAlign w:val="center"/>
            <w:hideMark/>
          </w:tcPr>
          <w:p w14:paraId="51D3DD6D"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20"/>
                <w:lang w:eastAsia="cs-CZ"/>
              </w:rPr>
            </w:pPr>
            <w:r w:rsidRPr="00385F02">
              <w:rPr>
                <w:rFonts w:eastAsia="Times New Roman" w:cs="Calibri"/>
                <w:b/>
                <w:bCs/>
                <w:color w:val="000000"/>
                <w:sz w:val="20"/>
                <w:lang w:eastAsia="cs-CZ"/>
              </w:rPr>
              <w:t>33</w:t>
            </w:r>
          </w:p>
        </w:tc>
        <w:tc>
          <w:tcPr>
            <w:tcW w:w="645" w:type="dxa"/>
            <w:tcBorders>
              <w:top w:val="single" w:sz="4" w:space="0" w:color="auto"/>
              <w:bottom w:val="single" w:sz="4" w:space="0" w:color="auto"/>
            </w:tcBorders>
            <w:noWrap/>
            <w:vAlign w:val="center"/>
            <w:hideMark/>
          </w:tcPr>
          <w:p w14:paraId="47E2918A"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20"/>
                <w:lang w:eastAsia="cs-CZ"/>
              </w:rPr>
            </w:pPr>
            <w:r w:rsidRPr="00385F02">
              <w:rPr>
                <w:rFonts w:eastAsia="Times New Roman" w:cs="Calibri"/>
                <w:b/>
                <w:bCs/>
                <w:color w:val="000000"/>
                <w:sz w:val="20"/>
                <w:lang w:eastAsia="cs-CZ"/>
              </w:rPr>
              <w:t>25</w:t>
            </w:r>
          </w:p>
        </w:tc>
        <w:tc>
          <w:tcPr>
            <w:tcW w:w="763" w:type="dxa"/>
            <w:tcBorders>
              <w:top w:val="single" w:sz="4" w:space="0" w:color="auto"/>
              <w:bottom w:val="single" w:sz="4" w:space="0" w:color="auto"/>
              <w:right w:val="single" w:sz="4" w:space="0" w:color="auto"/>
            </w:tcBorders>
            <w:noWrap/>
            <w:vAlign w:val="center"/>
            <w:hideMark/>
          </w:tcPr>
          <w:p w14:paraId="59F6356C"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20"/>
                <w:lang w:eastAsia="cs-CZ"/>
              </w:rPr>
            </w:pPr>
            <w:r w:rsidRPr="00385F02">
              <w:rPr>
                <w:rFonts w:eastAsia="Times New Roman" w:cs="Calibri"/>
                <w:b/>
                <w:bCs/>
                <w:color w:val="000000"/>
                <w:sz w:val="20"/>
                <w:lang w:eastAsia="cs-CZ"/>
              </w:rPr>
              <w:t>13</w:t>
            </w:r>
          </w:p>
        </w:tc>
      </w:tr>
      <w:tr w:rsidR="00385F02" w:rsidRPr="00794B09" w14:paraId="66B8D355" w14:textId="77777777" w:rsidTr="00385F02">
        <w:trPr>
          <w:trHeight w:val="224"/>
        </w:trPr>
        <w:tc>
          <w:tcPr>
            <w:cnfStyle w:val="001000000000" w:firstRow="0" w:lastRow="0" w:firstColumn="1" w:lastColumn="0" w:oddVBand="0" w:evenVBand="0" w:oddHBand="0" w:evenHBand="0" w:firstRowFirstColumn="0" w:firstRowLastColumn="0" w:lastRowFirstColumn="0" w:lastRowLastColumn="0"/>
            <w:tcW w:w="988" w:type="dxa"/>
            <w:vMerge w:val="restart"/>
            <w:tcBorders>
              <w:top w:val="single" w:sz="4" w:space="0" w:color="auto"/>
              <w:left w:val="single" w:sz="4" w:space="0" w:color="auto"/>
              <w:bottom w:val="single" w:sz="4" w:space="0" w:color="auto"/>
              <w:right w:val="single" w:sz="4" w:space="0" w:color="auto"/>
            </w:tcBorders>
            <w:noWrap/>
            <w:vAlign w:val="center"/>
            <w:hideMark/>
          </w:tcPr>
          <w:p w14:paraId="35AD74B9" w14:textId="77777777" w:rsidR="00DA2413" w:rsidRPr="00385F02" w:rsidRDefault="00DA2413" w:rsidP="00DA2413">
            <w:pPr>
              <w:jc w:val="center"/>
              <w:rPr>
                <w:rFonts w:eastAsia="Times New Roman" w:cs="Calibri"/>
                <w:color w:val="000000"/>
                <w:sz w:val="20"/>
                <w:lang w:eastAsia="cs-CZ"/>
              </w:rPr>
            </w:pPr>
            <w:r w:rsidRPr="00385F02">
              <w:rPr>
                <w:rFonts w:eastAsia="Times New Roman" w:cs="Calibri"/>
                <w:color w:val="000000"/>
                <w:sz w:val="20"/>
                <w:lang w:eastAsia="cs-CZ"/>
              </w:rPr>
              <w:t>2</w:t>
            </w:r>
          </w:p>
        </w:tc>
        <w:tc>
          <w:tcPr>
            <w:tcW w:w="2515" w:type="dxa"/>
            <w:tcBorders>
              <w:top w:val="single" w:sz="4" w:space="0" w:color="auto"/>
              <w:left w:val="single" w:sz="4" w:space="0" w:color="auto"/>
            </w:tcBorders>
            <w:noWrap/>
            <w:vAlign w:val="center"/>
            <w:hideMark/>
          </w:tcPr>
          <w:p w14:paraId="5A63ADAE"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Kompetence vlády</w:t>
            </w:r>
          </w:p>
        </w:tc>
        <w:tc>
          <w:tcPr>
            <w:tcW w:w="644" w:type="dxa"/>
            <w:tcBorders>
              <w:top w:val="single" w:sz="4" w:space="0" w:color="auto"/>
            </w:tcBorders>
            <w:noWrap/>
            <w:vAlign w:val="center"/>
            <w:hideMark/>
          </w:tcPr>
          <w:p w14:paraId="3D0AC933"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2</w:t>
            </w:r>
          </w:p>
        </w:tc>
        <w:tc>
          <w:tcPr>
            <w:tcW w:w="810" w:type="dxa"/>
            <w:tcBorders>
              <w:top w:val="single" w:sz="4" w:space="0" w:color="auto"/>
            </w:tcBorders>
            <w:noWrap/>
            <w:vAlign w:val="center"/>
            <w:hideMark/>
          </w:tcPr>
          <w:p w14:paraId="61D56CF6"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2</w:t>
            </w:r>
          </w:p>
        </w:tc>
        <w:tc>
          <w:tcPr>
            <w:tcW w:w="394" w:type="dxa"/>
            <w:tcBorders>
              <w:top w:val="single" w:sz="4" w:space="0" w:color="auto"/>
            </w:tcBorders>
            <w:noWrap/>
            <w:vAlign w:val="center"/>
            <w:hideMark/>
          </w:tcPr>
          <w:p w14:paraId="53C2057D"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98" w:type="dxa"/>
            <w:vMerge w:val="restart"/>
            <w:tcBorders>
              <w:top w:val="single" w:sz="4" w:space="0" w:color="auto"/>
            </w:tcBorders>
            <w:noWrap/>
            <w:vAlign w:val="center"/>
            <w:hideMark/>
          </w:tcPr>
          <w:p w14:paraId="55596A5F"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 </w:t>
            </w:r>
          </w:p>
          <w:p w14:paraId="62528FCF"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 </w:t>
            </w:r>
          </w:p>
          <w:p w14:paraId="1463D51D"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 </w:t>
            </w:r>
          </w:p>
          <w:p w14:paraId="54F37600"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 </w:t>
            </w:r>
          </w:p>
          <w:p w14:paraId="1B02CE3F"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 </w:t>
            </w:r>
          </w:p>
          <w:p w14:paraId="55AEFE1C"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 </w:t>
            </w:r>
          </w:p>
          <w:p w14:paraId="35574CFE"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 </w:t>
            </w:r>
          </w:p>
          <w:p w14:paraId="7131776D"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 </w:t>
            </w:r>
          </w:p>
          <w:p w14:paraId="11BF718F"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 </w:t>
            </w:r>
          </w:p>
          <w:p w14:paraId="78743038"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 </w:t>
            </w:r>
          </w:p>
          <w:p w14:paraId="1C6ADA2B"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 </w:t>
            </w:r>
          </w:p>
        </w:tc>
        <w:tc>
          <w:tcPr>
            <w:tcW w:w="723" w:type="dxa"/>
            <w:vMerge w:val="restart"/>
            <w:tcBorders>
              <w:top w:val="single" w:sz="4" w:space="0" w:color="auto"/>
            </w:tcBorders>
            <w:noWrap/>
            <w:vAlign w:val="center"/>
            <w:hideMark/>
          </w:tcPr>
          <w:p w14:paraId="4A4066FB"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p>
        </w:tc>
        <w:tc>
          <w:tcPr>
            <w:tcW w:w="744" w:type="dxa"/>
            <w:tcBorders>
              <w:top w:val="single" w:sz="4" w:space="0" w:color="auto"/>
            </w:tcBorders>
            <w:noWrap/>
            <w:vAlign w:val="center"/>
            <w:hideMark/>
          </w:tcPr>
          <w:p w14:paraId="23BB9057"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645" w:type="dxa"/>
            <w:tcBorders>
              <w:top w:val="single" w:sz="4" w:space="0" w:color="auto"/>
            </w:tcBorders>
            <w:noWrap/>
            <w:vAlign w:val="center"/>
            <w:hideMark/>
          </w:tcPr>
          <w:p w14:paraId="6D9D1552"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63" w:type="dxa"/>
            <w:tcBorders>
              <w:top w:val="single" w:sz="4" w:space="0" w:color="auto"/>
              <w:right w:val="single" w:sz="4" w:space="0" w:color="auto"/>
            </w:tcBorders>
            <w:noWrap/>
            <w:vAlign w:val="center"/>
            <w:hideMark/>
          </w:tcPr>
          <w:p w14:paraId="3E47E213"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r>
      <w:tr w:rsidR="00385F02" w:rsidRPr="00794B09" w14:paraId="43118F1A" w14:textId="77777777" w:rsidTr="00385F02">
        <w:trPr>
          <w:trHeight w:val="224"/>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hideMark/>
          </w:tcPr>
          <w:p w14:paraId="5B905B50" w14:textId="77777777" w:rsidR="00DA2413" w:rsidRPr="00385F02" w:rsidRDefault="00DA2413" w:rsidP="00DA2413">
            <w:pPr>
              <w:rPr>
                <w:rFonts w:eastAsia="Times New Roman" w:cs="Calibri"/>
                <w:color w:val="000000"/>
                <w:sz w:val="20"/>
                <w:lang w:eastAsia="cs-CZ"/>
              </w:rPr>
            </w:pPr>
          </w:p>
        </w:tc>
        <w:tc>
          <w:tcPr>
            <w:tcW w:w="2515" w:type="dxa"/>
            <w:tcBorders>
              <w:left w:val="single" w:sz="4" w:space="0" w:color="auto"/>
            </w:tcBorders>
            <w:noWrap/>
            <w:vAlign w:val="center"/>
            <w:hideMark/>
          </w:tcPr>
          <w:p w14:paraId="4C0BFA6E"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Důvěryhodnost vlády</w:t>
            </w:r>
          </w:p>
        </w:tc>
        <w:tc>
          <w:tcPr>
            <w:tcW w:w="644" w:type="dxa"/>
            <w:noWrap/>
            <w:vAlign w:val="center"/>
            <w:hideMark/>
          </w:tcPr>
          <w:p w14:paraId="02933D29"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4</w:t>
            </w:r>
          </w:p>
        </w:tc>
        <w:tc>
          <w:tcPr>
            <w:tcW w:w="810" w:type="dxa"/>
            <w:noWrap/>
            <w:vAlign w:val="center"/>
            <w:hideMark/>
          </w:tcPr>
          <w:p w14:paraId="659DF049"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w:t>
            </w:r>
          </w:p>
        </w:tc>
        <w:tc>
          <w:tcPr>
            <w:tcW w:w="394" w:type="dxa"/>
            <w:noWrap/>
            <w:vAlign w:val="center"/>
            <w:hideMark/>
          </w:tcPr>
          <w:p w14:paraId="771808AB"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w:t>
            </w:r>
          </w:p>
        </w:tc>
        <w:tc>
          <w:tcPr>
            <w:tcW w:w="798" w:type="dxa"/>
            <w:vMerge/>
            <w:noWrap/>
            <w:vAlign w:val="center"/>
            <w:hideMark/>
          </w:tcPr>
          <w:p w14:paraId="70118B65"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p>
        </w:tc>
        <w:tc>
          <w:tcPr>
            <w:tcW w:w="723" w:type="dxa"/>
            <w:vMerge/>
            <w:noWrap/>
            <w:vAlign w:val="center"/>
            <w:hideMark/>
          </w:tcPr>
          <w:p w14:paraId="6C1D8485"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p>
        </w:tc>
        <w:tc>
          <w:tcPr>
            <w:tcW w:w="744" w:type="dxa"/>
            <w:noWrap/>
            <w:vAlign w:val="center"/>
            <w:hideMark/>
          </w:tcPr>
          <w:p w14:paraId="4371D2A2"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5</w:t>
            </w:r>
          </w:p>
        </w:tc>
        <w:tc>
          <w:tcPr>
            <w:tcW w:w="645" w:type="dxa"/>
            <w:noWrap/>
            <w:vAlign w:val="center"/>
            <w:hideMark/>
          </w:tcPr>
          <w:p w14:paraId="00AA757C"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5</w:t>
            </w:r>
          </w:p>
        </w:tc>
        <w:tc>
          <w:tcPr>
            <w:tcW w:w="763" w:type="dxa"/>
            <w:tcBorders>
              <w:right w:val="single" w:sz="4" w:space="0" w:color="auto"/>
            </w:tcBorders>
            <w:noWrap/>
            <w:vAlign w:val="center"/>
            <w:hideMark/>
          </w:tcPr>
          <w:p w14:paraId="2669C75A"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w:t>
            </w:r>
          </w:p>
        </w:tc>
      </w:tr>
      <w:tr w:rsidR="00385F02" w:rsidRPr="00794B09" w14:paraId="08065E38" w14:textId="77777777" w:rsidTr="00385F02">
        <w:trPr>
          <w:trHeight w:val="224"/>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hideMark/>
          </w:tcPr>
          <w:p w14:paraId="13ABC1C3" w14:textId="77777777" w:rsidR="00DA2413" w:rsidRPr="00385F02" w:rsidRDefault="00DA2413" w:rsidP="00DA2413">
            <w:pPr>
              <w:rPr>
                <w:rFonts w:eastAsia="Times New Roman" w:cs="Calibri"/>
                <w:color w:val="000000"/>
                <w:sz w:val="20"/>
                <w:lang w:eastAsia="cs-CZ"/>
              </w:rPr>
            </w:pPr>
          </w:p>
        </w:tc>
        <w:tc>
          <w:tcPr>
            <w:tcW w:w="2515" w:type="dxa"/>
            <w:tcBorders>
              <w:left w:val="single" w:sz="4" w:space="0" w:color="auto"/>
            </w:tcBorders>
            <w:noWrap/>
            <w:vAlign w:val="center"/>
            <w:hideMark/>
          </w:tcPr>
          <w:p w14:paraId="3F350173"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Personální obsazení vlády</w:t>
            </w:r>
          </w:p>
        </w:tc>
        <w:tc>
          <w:tcPr>
            <w:tcW w:w="644" w:type="dxa"/>
            <w:noWrap/>
            <w:vAlign w:val="center"/>
            <w:hideMark/>
          </w:tcPr>
          <w:p w14:paraId="6F8567AD"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14</w:t>
            </w:r>
          </w:p>
        </w:tc>
        <w:tc>
          <w:tcPr>
            <w:tcW w:w="810" w:type="dxa"/>
            <w:noWrap/>
            <w:vAlign w:val="center"/>
            <w:hideMark/>
          </w:tcPr>
          <w:p w14:paraId="6BE73BF3"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6</w:t>
            </w:r>
          </w:p>
        </w:tc>
        <w:tc>
          <w:tcPr>
            <w:tcW w:w="394" w:type="dxa"/>
            <w:noWrap/>
            <w:vAlign w:val="center"/>
            <w:hideMark/>
          </w:tcPr>
          <w:p w14:paraId="20F3CCE5"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5</w:t>
            </w:r>
          </w:p>
        </w:tc>
        <w:tc>
          <w:tcPr>
            <w:tcW w:w="798" w:type="dxa"/>
            <w:vMerge/>
            <w:noWrap/>
            <w:vAlign w:val="center"/>
            <w:hideMark/>
          </w:tcPr>
          <w:p w14:paraId="44082B28"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p>
        </w:tc>
        <w:tc>
          <w:tcPr>
            <w:tcW w:w="723" w:type="dxa"/>
            <w:vMerge/>
            <w:noWrap/>
            <w:vAlign w:val="center"/>
            <w:hideMark/>
          </w:tcPr>
          <w:p w14:paraId="086C7FB1"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p>
        </w:tc>
        <w:tc>
          <w:tcPr>
            <w:tcW w:w="744" w:type="dxa"/>
            <w:noWrap/>
            <w:vAlign w:val="center"/>
            <w:hideMark/>
          </w:tcPr>
          <w:p w14:paraId="456B5AD4"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5</w:t>
            </w:r>
          </w:p>
        </w:tc>
        <w:tc>
          <w:tcPr>
            <w:tcW w:w="645" w:type="dxa"/>
            <w:noWrap/>
            <w:vAlign w:val="center"/>
            <w:hideMark/>
          </w:tcPr>
          <w:p w14:paraId="42885354"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5</w:t>
            </w:r>
          </w:p>
        </w:tc>
        <w:tc>
          <w:tcPr>
            <w:tcW w:w="763" w:type="dxa"/>
            <w:tcBorders>
              <w:right w:val="single" w:sz="4" w:space="0" w:color="auto"/>
            </w:tcBorders>
            <w:noWrap/>
            <w:vAlign w:val="center"/>
            <w:hideMark/>
          </w:tcPr>
          <w:p w14:paraId="02F18EF7"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4</w:t>
            </w:r>
          </w:p>
        </w:tc>
      </w:tr>
      <w:tr w:rsidR="00385F02" w:rsidRPr="00794B09" w14:paraId="0EDD512F" w14:textId="77777777" w:rsidTr="00385F02">
        <w:trPr>
          <w:trHeight w:val="224"/>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hideMark/>
          </w:tcPr>
          <w:p w14:paraId="77593E91" w14:textId="77777777" w:rsidR="00DA2413" w:rsidRPr="00385F02" w:rsidRDefault="00DA2413" w:rsidP="00DA2413">
            <w:pPr>
              <w:rPr>
                <w:rFonts w:eastAsia="Times New Roman" w:cs="Calibri"/>
                <w:color w:val="000000"/>
                <w:sz w:val="20"/>
                <w:lang w:eastAsia="cs-CZ"/>
              </w:rPr>
            </w:pPr>
          </w:p>
        </w:tc>
        <w:tc>
          <w:tcPr>
            <w:tcW w:w="2515" w:type="dxa"/>
            <w:tcBorders>
              <w:left w:val="single" w:sz="4" w:space="0" w:color="auto"/>
            </w:tcBorders>
            <w:noWrap/>
            <w:vAlign w:val="center"/>
            <w:hideMark/>
          </w:tcPr>
          <w:p w14:paraId="35C248AA"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Koaliční jednání a podoba vlády (jednobarevnost)</w:t>
            </w:r>
          </w:p>
        </w:tc>
        <w:tc>
          <w:tcPr>
            <w:tcW w:w="644" w:type="dxa"/>
            <w:noWrap/>
            <w:vAlign w:val="center"/>
            <w:hideMark/>
          </w:tcPr>
          <w:p w14:paraId="796A6005"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35</w:t>
            </w:r>
          </w:p>
        </w:tc>
        <w:tc>
          <w:tcPr>
            <w:tcW w:w="810" w:type="dxa"/>
            <w:noWrap/>
            <w:vAlign w:val="center"/>
            <w:hideMark/>
          </w:tcPr>
          <w:p w14:paraId="00F29DDA"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6</w:t>
            </w:r>
          </w:p>
        </w:tc>
        <w:tc>
          <w:tcPr>
            <w:tcW w:w="394" w:type="dxa"/>
            <w:noWrap/>
            <w:vAlign w:val="center"/>
            <w:hideMark/>
          </w:tcPr>
          <w:p w14:paraId="769E5563"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9</w:t>
            </w:r>
          </w:p>
        </w:tc>
        <w:tc>
          <w:tcPr>
            <w:tcW w:w="798" w:type="dxa"/>
            <w:vMerge/>
            <w:noWrap/>
            <w:vAlign w:val="center"/>
            <w:hideMark/>
          </w:tcPr>
          <w:p w14:paraId="333EA2B7"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p>
        </w:tc>
        <w:tc>
          <w:tcPr>
            <w:tcW w:w="723" w:type="dxa"/>
            <w:vMerge/>
            <w:noWrap/>
            <w:vAlign w:val="center"/>
            <w:hideMark/>
          </w:tcPr>
          <w:p w14:paraId="04F50D24"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p>
        </w:tc>
        <w:tc>
          <w:tcPr>
            <w:tcW w:w="744" w:type="dxa"/>
            <w:noWrap/>
            <w:vAlign w:val="center"/>
            <w:hideMark/>
          </w:tcPr>
          <w:p w14:paraId="4805DC91"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17</w:t>
            </w:r>
          </w:p>
        </w:tc>
        <w:tc>
          <w:tcPr>
            <w:tcW w:w="645" w:type="dxa"/>
            <w:noWrap/>
            <w:vAlign w:val="center"/>
            <w:hideMark/>
          </w:tcPr>
          <w:p w14:paraId="23EB9340"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5</w:t>
            </w:r>
          </w:p>
        </w:tc>
        <w:tc>
          <w:tcPr>
            <w:tcW w:w="763" w:type="dxa"/>
            <w:tcBorders>
              <w:right w:val="single" w:sz="4" w:space="0" w:color="auto"/>
            </w:tcBorders>
            <w:noWrap/>
            <w:vAlign w:val="center"/>
            <w:hideMark/>
          </w:tcPr>
          <w:p w14:paraId="1F7CB94C"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6</w:t>
            </w:r>
          </w:p>
        </w:tc>
      </w:tr>
      <w:tr w:rsidR="00385F02" w:rsidRPr="00794B09" w14:paraId="1381AE1C" w14:textId="77777777" w:rsidTr="00385F02">
        <w:trPr>
          <w:trHeight w:val="224"/>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hideMark/>
          </w:tcPr>
          <w:p w14:paraId="5B8030DE" w14:textId="77777777" w:rsidR="00DA2413" w:rsidRPr="00385F02" w:rsidRDefault="00DA2413" w:rsidP="00DA2413">
            <w:pPr>
              <w:rPr>
                <w:rFonts w:eastAsia="Times New Roman" w:cs="Calibri"/>
                <w:color w:val="000000"/>
                <w:sz w:val="20"/>
                <w:lang w:eastAsia="cs-CZ"/>
              </w:rPr>
            </w:pPr>
          </w:p>
        </w:tc>
        <w:tc>
          <w:tcPr>
            <w:tcW w:w="2515" w:type="dxa"/>
            <w:tcBorders>
              <w:left w:val="single" w:sz="4" w:space="0" w:color="auto"/>
            </w:tcBorders>
            <w:noWrap/>
            <w:vAlign w:val="center"/>
            <w:hideMark/>
          </w:tcPr>
          <w:p w14:paraId="5FDFA8B6"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Programové prohlášení a vize vlády</w:t>
            </w:r>
          </w:p>
        </w:tc>
        <w:tc>
          <w:tcPr>
            <w:tcW w:w="644" w:type="dxa"/>
            <w:noWrap/>
            <w:vAlign w:val="center"/>
            <w:hideMark/>
          </w:tcPr>
          <w:p w14:paraId="225835D2"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69</w:t>
            </w:r>
          </w:p>
        </w:tc>
        <w:tc>
          <w:tcPr>
            <w:tcW w:w="810" w:type="dxa"/>
            <w:noWrap/>
            <w:vAlign w:val="center"/>
            <w:hideMark/>
          </w:tcPr>
          <w:p w14:paraId="2D157BC0"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35</w:t>
            </w:r>
          </w:p>
        </w:tc>
        <w:tc>
          <w:tcPr>
            <w:tcW w:w="394" w:type="dxa"/>
            <w:noWrap/>
            <w:vAlign w:val="center"/>
            <w:hideMark/>
          </w:tcPr>
          <w:p w14:paraId="2C395303"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12</w:t>
            </w:r>
          </w:p>
        </w:tc>
        <w:tc>
          <w:tcPr>
            <w:tcW w:w="798" w:type="dxa"/>
            <w:vMerge/>
            <w:noWrap/>
            <w:vAlign w:val="center"/>
            <w:hideMark/>
          </w:tcPr>
          <w:p w14:paraId="2E3260E6"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p>
        </w:tc>
        <w:tc>
          <w:tcPr>
            <w:tcW w:w="723" w:type="dxa"/>
            <w:vMerge/>
            <w:noWrap/>
            <w:vAlign w:val="center"/>
            <w:hideMark/>
          </w:tcPr>
          <w:p w14:paraId="5DBC23FB"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p>
        </w:tc>
        <w:tc>
          <w:tcPr>
            <w:tcW w:w="744" w:type="dxa"/>
            <w:noWrap/>
            <w:vAlign w:val="center"/>
            <w:hideMark/>
          </w:tcPr>
          <w:p w14:paraId="15BD3884"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41</w:t>
            </w:r>
          </w:p>
        </w:tc>
        <w:tc>
          <w:tcPr>
            <w:tcW w:w="645" w:type="dxa"/>
            <w:noWrap/>
            <w:vAlign w:val="center"/>
            <w:hideMark/>
          </w:tcPr>
          <w:p w14:paraId="172DDBC0"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11</w:t>
            </w:r>
          </w:p>
        </w:tc>
        <w:tc>
          <w:tcPr>
            <w:tcW w:w="763" w:type="dxa"/>
            <w:tcBorders>
              <w:right w:val="single" w:sz="4" w:space="0" w:color="auto"/>
            </w:tcBorders>
            <w:noWrap/>
            <w:vAlign w:val="center"/>
            <w:hideMark/>
          </w:tcPr>
          <w:p w14:paraId="55540647"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18</w:t>
            </w:r>
          </w:p>
        </w:tc>
      </w:tr>
      <w:tr w:rsidR="00385F02" w:rsidRPr="00794B09" w14:paraId="029D61EB" w14:textId="77777777" w:rsidTr="00385F02">
        <w:trPr>
          <w:trHeight w:val="224"/>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hideMark/>
          </w:tcPr>
          <w:p w14:paraId="71011341" w14:textId="77777777" w:rsidR="00DA2413" w:rsidRPr="00385F02" w:rsidRDefault="00DA2413" w:rsidP="00DA2413">
            <w:pPr>
              <w:rPr>
                <w:rFonts w:eastAsia="Times New Roman" w:cs="Calibri"/>
                <w:color w:val="000000"/>
                <w:sz w:val="20"/>
                <w:lang w:eastAsia="cs-CZ"/>
              </w:rPr>
            </w:pPr>
          </w:p>
        </w:tc>
        <w:tc>
          <w:tcPr>
            <w:tcW w:w="2515" w:type="dxa"/>
            <w:tcBorders>
              <w:left w:val="single" w:sz="4" w:space="0" w:color="auto"/>
            </w:tcBorders>
            <w:noWrap/>
            <w:vAlign w:val="center"/>
            <w:hideMark/>
          </w:tcPr>
          <w:p w14:paraId="514C8F76"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Sociální politika</w:t>
            </w:r>
          </w:p>
        </w:tc>
        <w:tc>
          <w:tcPr>
            <w:tcW w:w="644" w:type="dxa"/>
            <w:noWrap/>
            <w:vAlign w:val="center"/>
            <w:hideMark/>
          </w:tcPr>
          <w:p w14:paraId="01287C9C"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810" w:type="dxa"/>
            <w:noWrap/>
            <w:vAlign w:val="center"/>
            <w:hideMark/>
          </w:tcPr>
          <w:p w14:paraId="09411EE1"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394" w:type="dxa"/>
            <w:noWrap/>
            <w:vAlign w:val="center"/>
            <w:hideMark/>
          </w:tcPr>
          <w:p w14:paraId="224A45AE"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98" w:type="dxa"/>
            <w:vMerge/>
            <w:noWrap/>
            <w:vAlign w:val="center"/>
            <w:hideMark/>
          </w:tcPr>
          <w:p w14:paraId="165FDC13"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p>
        </w:tc>
        <w:tc>
          <w:tcPr>
            <w:tcW w:w="723" w:type="dxa"/>
            <w:vMerge/>
            <w:noWrap/>
            <w:vAlign w:val="center"/>
            <w:hideMark/>
          </w:tcPr>
          <w:p w14:paraId="768A750A"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p>
        </w:tc>
        <w:tc>
          <w:tcPr>
            <w:tcW w:w="744" w:type="dxa"/>
            <w:noWrap/>
            <w:vAlign w:val="center"/>
            <w:hideMark/>
          </w:tcPr>
          <w:p w14:paraId="38B908AA"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4</w:t>
            </w:r>
          </w:p>
        </w:tc>
        <w:tc>
          <w:tcPr>
            <w:tcW w:w="645" w:type="dxa"/>
            <w:noWrap/>
            <w:vAlign w:val="center"/>
            <w:hideMark/>
          </w:tcPr>
          <w:p w14:paraId="2D8E45F0"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63" w:type="dxa"/>
            <w:tcBorders>
              <w:right w:val="single" w:sz="4" w:space="0" w:color="auto"/>
            </w:tcBorders>
            <w:noWrap/>
            <w:vAlign w:val="center"/>
            <w:hideMark/>
          </w:tcPr>
          <w:p w14:paraId="461DDC68"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r>
      <w:tr w:rsidR="00385F02" w:rsidRPr="00794B09" w14:paraId="378F0549" w14:textId="77777777" w:rsidTr="00385F02">
        <w:trPr>
          <w:trHeight w:val="224"/>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hideMark/>
          </w:tcPr>
          <w:p w14:paraId="6AC22991" w14:textId="77777777" w:rsidR="00DA2413" w:rsidRPr="00385F02" w:rsidRDefault="00DA2413" w:rsidP="00DA2413">
            <w:pPr>
              <w:rPr>
                <w:rFonts w:eastAsia="Times New Roman" w:cs="Calibri"/>
                <w:color w:val="000000"/>
                <w:sz w:val="20"/>
                <w:lang w:eastAsia="cs-CZ"/>
              </w:rPr>
            </w:pPr>
          </w:p>
        </w:tc>
        <w:tc>
          <w:tcPr>
            <w:tcW w:w="2515" w:type="dxa"/>
            <w:tcBorders>
              <w:left w:val="single" w:sz="4" w:space="0" w:color="auto"/>
            </w:tcBorders>
            <w:noWrap/>
            <w:vAlign w:val="center"/>
            <w:hideMark/>
          </w:tcPr>
          <w:p w14:paraId="35C19E88"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 xml:space="preserve">Trestní stíhání Andreje Babiše </w:t>
            </w:r>
          </w:p>
        </w:tc>
        <w:tc>
          <w:tcPr>
            <w:tcW w:w="644" w:type="dxa"/>
            <w:noWrap/>
            <w:vAlign w:val="center"/>
            <w:hideMark/>
          </w:tcPr>
          <w:p w14:paraId="5FEBA5BD"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4</w:t>
            </w:r>
          </w:p>
        </w:tc>
        <w:tc>
          <w:tcPr>
            <w:tcW w:w="810" w:type="dxa"/>
            <w:noWrap/>
            <w:vAlign w:val="center"/>
            <w:hideMark/>
          </w:tcPr>
          <w:p w14:paraId="6E4237CC"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394" w:type="dxa"/>
            <w:noWrap/>
            <w:vAlign w:val="center"/>
            <w:hideMark/>
          </w:tcPr>
          <w:p w14:paraId="7D637BC6"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98" w:type="dxa"/>
            <w:vMerge/>
            <w:noWrap/>
            <w:vAlign w:val="center"/>
            <w:hideMark/>
          </w:tcPr>
          <w:p w14:paraId="6C906612"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p>
        </w:tc>
        <w:tc>
          <w:tcPr>
            <w:tcW w:w="723" w:type="dxa"/>
            <w:vMerge/>
            <w:noWrap/>
            <w:vAlign w:val="center"/>
            <w:hideMark/>
          </w:tcPr>
          <w:p w14:paraId="7AA8A637"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p>
        </w:tc>
        <w:tc>
          <w:tcPr>
            <w:tcW w:w="744" w:type="dxa"/>
            <w:noWrap/>
            <w:vAlign w:val="center"/>
            <w:hideMark/>
          </w:tcPr>
          <w:p w14:paraId="32FD788D"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3</w:t>
            </w:r>
          </w:p>
        </w:tc>
        <w:tc>
          <w:tcPr>
            <w:tcW w:w="645" w:type="dxa"/>
            <w:noWrap/>
            <w:vAlign w:val="center"/>
            <w:hideMark/>
          </w:tcPr>
          <w:p w14:paraId="41069AB4"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2</w:t>
            </w:r>
          </w:p>
        </w:tc>
        <w:tc>
          <w:tcPr>
            <w:tcW w:w="763" w:type="dxa"/>
            <w:tcBorders>
              <w:right w:val="single" w:sz="4" w:space="0" w:color="auto"/>
            </w:tcBorders>
            <w:noWrap/>
            <w:vAlign w:val="center"/>
            <w:hideMark/>
          </w:tcPr>
          <w:p w14:paraId="3569D14B"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w:t>
            </w:r>
          </w:p>
        </w:tc>
      </w:tr>
      <w:tr w:rsidR="00385F02" w:rsidRPr="00794B09" w14:paraId="1D57C19C" w14:textId="77777777" w:rsidTr="00385F02">
        <w:trPr>
          <w:trHeight w:val="224"/>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hideMark/>
          </w:tcPr>
          <w:p w14:paraId="04CA8F99" w14:textId="77777777" w:rsidR="00DA2413" w:rsidRPr="00385F02" w:rsidRDefault="00DA2413" w:rsidP="00DA2413">
            <w:pPr>
              <w:rPr>
                <w:rFonts w:eastAsia="Times New Roman" w:cs="Calibri"/>
                <w:color w:val="000000"/>
                <w:sz w:val="20"/>
                <w:lang w:eastAsia="cs-CZ"/>
              </w:rPr>
            </w:pPr>
          </w:p>
        </w:tc>
        <w:tc>
          <w:tcPr>
            <w:tcW w:w="2515" w:type="dxa"/>
            <w:tcBorders>
              <w:left w:val="single" w:sz="4" w:space="0" w:color="auto"/>
            </w:tcBorders>
            <w:noWrap/>
            <w:vAlign w:val="center"/>
            <w:hideMark/>
          </w:tcPr>
          <w:p w14:paraId="69F39E65"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Minulost Andreje Babiše</w:t>
            </w:r>
          </w:p>
        </w:tc>
        <w:tc>
          <w:tcPr>
            <w:tcW w:w="644" w:type="dxa"/>
            <w:noWrap/>
            <w:vAlign w:val="center"/>
            <w:hideMark/>
          </w:tcPr>
          <w:p w14:paraId="42108346"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2</w:t>
            </w:r>
          </w:p>
        </w:tc>
        <w:tc>
          <w:tcPr>
            <w:tcW w:w="810" w:type="dxa"/>
            <w:noWrap/>
            <w:vAlign w:val="center"/>
            <w:hideMark/>
          </w:tcPr>
          <w:p w14:paraId="0E88F491"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394" w:type="dxa"/>
            <w:noWrap/>
            <w:vAlign w:val="center"/>
            <w:hideMark/>
          </w:tcPr>
          <w:p w14:paraId="371B13E0"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98" w:type="dxa"/>
            <w:vMerge/>
            <w:noWrap/>
            <w:vAlign w:val="center"/>
            <w:hideMark/>
          </w:tcPr>
          <w:p w14:paraId="24D650DE"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p>
        </w:tc>
        <w:tc>
          <w:tcPr>
            <w:tcW w:w="723" w:type="dxa"/>
            <w:vMerge/>
            <w:noWrap/>
            <w:vAlign w:val="center"/>
            <w:hideMark/>
          </w:tcPr>
          <w:p w14:paraId="4CE91BFB"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p>
        </w:tc>
        <w:tc>
          <w:tcPr>
            <w:tcW w:w="744" w:type="dxa"/>
            <w:noWrap/>
            <w:vAlign w:val="center"/>
            <w:hideMark/>
          </w:tcPr>
          <w:p w14:paraId="25E34307"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w:t>
            </w:r>
          </w:p>
        </w:tc>
        <w:tc>
          <w:tcPr>
            <w:tcW w:w="645" w:type="dxa"/>
            <w:noWrap/>
            <w:vAlign w:val="center"/>
            <w:hideMark/>
          </w:tcPr>
          <w:p w14:paraId="1A8F2B07"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3</w:t>
            </w:r>
          </w:p>
        </w:tc>
        <w:tc>
          <w:tcPr>
            <w:tcW w:w="763" w:type="dxa"/>
            <w:tcBorders>
              <w:right w:val="single" w:sz="4" w:space="0" w:color="auto"/>
            </w:tcBorders>
            <w:noWrap/>
            <w:vAlign w:val="center"/>
            <w:hideMark/>
          </w:tcPr>
          <w:p w14:paraId="017269F6"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r>
      <w:tr w:rsidR="00385F02" w:rsidRPr="00794B09" w14:paraId="2FF36D98" w14:textId="77777777" w:rsidTr="00385F02">
        <w:trPr>
          <w:trHeight w:val="224"/>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hideMark/>
          </w:tcPr>
          <w:p w14:paraId="4AAB3CD6" w14:textId="77777777" w:rsidR="00DA2413" w:rsidRPr="00385F02" w:rsidRDefault="00DA2413" w:rsidP="00DA2413">
            <w:pPr>
              <w:rPr>
                <w:rFonts w:eastAsia="Times New Roman" w:cs="Calibri"/>
                <w:color w:val="000000"/>
                <w:sz w:val="20"/>
                <w:lang w:eastAsia="cs-CZ"/>
              </w:rPr>
            </w:pPr>
          </w:p>
        </w:tc>
        <w:tc>
          <w:tcPr>
            <w:tcW w:w="2515" w:type="dxa"/>
            <w:tcBorders>
              <w:left w:val="single" w:sz="4" w:space="0" w:color="auto"/>
            </w:tcBorders>
            <w:noWrap/>
            <w:vAlign w:val="center"/>
            <w:hideMark/>
          </w:tcPr>
          <w:p w14:paraId="2649C7CE"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Střet zájmů Andreje Babiše</w:t>
            </w:r>
          </w:p>
        </w:tc>
        <w:tc>
          <w:tcPr>
            <w:tcW w:w="644" w:type="dxa"/>
            <w:noWrap/>
            <w:vAlign w:val="center"/>
            <w:hideMark/>
          </w:tcPr>
          <w:p w14:paraId="7782F4C3"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w:t>
            </w:r>
          </w:p>
        </w:tc>
        <w:tc>
          <w:tcPr>
            <w:tcW w:w="810" w:type="dxa"/>
            <w:noWrap/>
            <w:vAlign w:val="center"/>
            <w:hideMark/>
          </w:tcPr>
          <w:p w14:paraId="75F4CF41"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2</w:t>
            </w:r>
          </w:p>
        </w:tc>
        <w:tc>
          <w:tcPr>
            <w:tcW w:w="394" w:type="dxa"/>
            <w:noWrap/>
            <w:vAlign w:val="center"/>
            <w:hideMark/>
          </w:tcPr>
          <w:p w14:paraId="4BBFD88A"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98" w:type="dxa"/>
            <w:vMerge/>
            <w:noWrap/>
            <w:vAlign w:val="center"/>
            <w:hideMark/>
          </w:tcPr>
          <w:p w14:paraId="19E2FD94"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p>
        </w:tc>
        <w:tc>
          <w:tcPr>
            <w:tcW w:w="723" w:type="dxa"/>
            <w:vMerge/>
            <w:noWrap/>
            <w:vAlign w:val="center"/>
            <w:hideMark/>
          </w:tcPr>
          <w:p w14:paraId="3426C945"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p>
        </w:tc>
        <w:tc>
          <w:tcPr>
            <w:tcW w:w="744" w:type="dxa"/>
            <w:noWrap/>
            <w:vAlign w:val="center"/>
            <w:hideMark/>
          </w:tcPr>
          <w:p w14:paraId="4F041FE0"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w:t>
            </w:r>
          </w:p>
        </w:tc>
        <w:tc>
          <w:tcPr>
            <w:tcW w:w="645" w:type="dxa"/>
            <w:noWrap/>
            <w:vAlign w:val="center"/>
            <w:hideMark/>
          </w:tcPr>
          <w:p w14:paraId="6C47BCF9"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2</w:t>
            </w:r>
          </w:p>
        </w:tc>
        <w:tc>
          <w:tcPr>
            <w:tcW w:w="763" w:type="dxa"/>
            <w:tcBorders>
              <w:right w:val="single" w:sz="4" w:space="0" w:color="auto"/>
            </w:tcBorders>
            <w:noWrap/>
            <w:vAlign w:val="center"/>
            <w:hideMark/>
          </w:tcPr>
          <w:p w14:paraId="17298C2E"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r>
      <w:tr w:rsidR="00385F02" w:rsidRPr="00794B09" w14:paraId="453D3A5E" w14:textId="77777777" w:rsidTr="00385F02">
        <w:trPr>
          <w:trHeight w:val="224"/>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hideMark/>
          </w:tcPr>
          <w:p w14:paraId="28C0327E" w14:textId="77777777" w:rsidR="00DA2413" w:rsidRPr="00385F02" w:rsidRDefault="00DA2413" w:rsidP="00DA2413">
            <w:pPr>
              <w:rPr>
                <w:rFonts w:eastAsia="Times New Roman" w:cs="Calibri"/>
                <w:color w:val="000000"/>
                <w:sz w:val="20"/>
                <w:lang w:eastAsia="cs-CZ"/>
              </w:rPr>
            </w:pPr>
          </w:p>
        </w:tc>
        <w:tc>
          <w:tcPr>
            <w:tcW w:w="2515" w:type="dxa"/>
            <w:tcBorders>
              <w:left w:val="single" w:sz="4" w:space="0" w:color="auto"/>
            </w:tcBorders>
            <w:noWrap/>
            <w:vAlign w:val="center"/>
            <w:hideMark/>
          </w:tcPr>
          <w:p w14:paraId="705DD02E"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Účast KSČM na vládě</w:t>
            </w:r>
          </w:p>
        </w:tc>
        <w:tc>
          <w:tcPr>
            <w:tcW w:w="644" w:type="dxa"/>
            <w:noWrap/>
            <w:vAlign w:val="center"/>
            <w:hideMark/>
          </w:tcPr>
          <w:p w14:paraId="5A086EB1"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38</w:t>
            </w:r>
          </w:p>
        </w:tc>
        <w:tc>
          <w:tcPr>
            <w:tcW w:w="810" w:type="dxa"/>
            <w:noWrap/>
            <w:vAlign w:val="center"/>
            <w:hideMark/>
          </w:tcPr>
          <w:p w14:paraId="108B716B"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3</w:t>
            </w:r>
          </w:p>
        </w:tc>
        <w:tc>
          <w:tcPr>
            <w:tcW w:w="394" w:type="dxa"/>
            <w:noWrap/>
            <w:vAlign w:val="center"/>
            <w:hideMark/>
          </w:tcPr>
          <w:p w14:paraId="508AC5AD"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98" w:type="dxa"/>
            <w:vMerge/>
            <w:noWrap/>
            <w:vAlign w:val="center"/>
            <w:hideMark/>
          </w:tcPr>
          <w:p w14:paraId="76CE5356"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p>
        </w:tc>
        <w:tc>
          <w:tcPr>
            <w:tcW w:w="723" w:type="dxa"/>
            <w:vMerge/>
            <w:noWrap/>
            <w:vAlign w:val="center"/>
            <w:hideMark/>
          </w:tcPr>
          <w:p w14:paraId="6460141C"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p>
        </w:tc>
        <w:tc>
          <w:tcPr>
            <w:tcW w:w="744" w:type="dxa"/>
            <w:noWrap/>
            <w:vAlign w:val="center"/>
            <w:hideMark/>
          </w:tcPr>
          <w:p w14:paraId="54F05867"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17</w:t>
            </w:r>
          </w:p>
        </w:tc>
        <w:tc>
          <w:tcPr>
            <w:tcW w:w="645" w:type="dxa"/>
            <w:noWrap/>
            <w:vAlign w:val="center"/>
            <w:hideMark/>
          </w:tcPr>
          <w:p w14:paraId="237C4647"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5</w:t>
            </w:r>
          </w:p>
        </w:tc>
        <w:tc>
          <w:tcPr>
            <w:tcW w:w="763" w:type="dxa"/>
            <w:tcBorders>
              <w:right w:val="single" w:sz="4" w:space="0" w:color="auto"/>
            </w:tcBorders>
            <w:noWrap/>
            <w:vAlign w:val="center"/>
            <w:hideMark/>
          </w:tcPr>
          <w:p w14:paraId="71A0E9FB"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4</w:t>
            </w:r>
          </w:p>
        </w:tc>
      </w:tr>
      <w:tr w:rsidR="00385F02" w:rsidRPr="00794B09" w14:paraId="10988674" w14:textId="77777777" w:rsidTr="00385F02">
        <w:trPr>
          <w:trHeight w:val="235"/>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hideMark/>
          </w:tcPr>
          <w:p w14:paraId="58F50F79" w14:textId="77777777" w:rsidR="00DA2413" w:rsidRPr="00385F02" w:rsidRDefault="00DA2413" w:rsidP="00DA2413">
            <w:pPr>
              <w:rPr>
                <w:rFonts w:eastAsia="Times New Roman" w:cs="Calibri"/>
                <w:color w:val="000000"/>
                <w:sz w:val="20"/>
                <w:lang w:eastAsia="cs-CZ"/>
              </w:rPr>
            </w:pPr>
          </w:p>
        </w:tc>
        <w:tc>
          <w:tcPr>
            <w:tcW w:w="2515" w:type="dxa"/>
            <w:tcBorders>
              <w:left w:val="single" w:sz="4" w:space="0" w:color="auto"/>
              <w:bottom w:val="single" w:sz="4" w:space="0" w:color="auto"/>
            </w:tcBorders>
            <w:noWrap/>
            <w:vAlign w:val="center"/>
            <w:hideMark/>
          </w:tcPr>
          <w:p w14:paraId="4C5F814E"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Jiné</w:t>
            </w:r>
          </w:p>
        </w:tc>
        <w:tc>
          <w:tcPr>
            <w:tcW w:w="644" w:type="dxa"/>
            <w:tcBorders>
              <w:bottom w:val="single" w:sz="4" w:space="0" w:color="auto"/>
            </w:tcBorders>
            <w:noWrap/>
            <w:vAlign w:val="center"/>
            <w:hideMark/>
          </w:tcPr>
          <w:p w14:paraId="06F059D7"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11</w:t>
            </w:r>
          </w:p>
        </w:tc>
        <w:tc>
          <w:tcPr>
            <w:tcW w:w="810" w:type="dxa"/>
            <w:tcBorders>
              <w:bottom w:val="single" w:sz="4" w:space="0" w:color="auto"/>
            </w:tcBorders>
            <w:noWrap/>
            <w:vAlign w:val="center"/>
            <w:hideMark/>
          </w:tcPr>
          <w:p w14:paraId="4DB3520A"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2</w:t>
            </w:r>
          </w:p>
        </w:tc>
        <w:tc>
          <w:tcPr>
            <w:tcW w:w="394" w:type="dxa"/>
            <w:tcBorders>
              <w:bottom w:val="single" w:sz="4" w:space="0" w:color="auto"/>
            </w:tcBorders>
            <w:noWrap/>
            <w:vAlign w:val="center"/>
            <w:hideMark/>
          </w:tcPr>
          <w:p w14:paraId="735F27AA"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0</w:t>
            </w:r>
          </w:p>
        </w:tc>
        <w:tc>
          <w:tcPr>
            <w:tcW w:w="798" w:type="dxa"/>
            <w:vMerge/>
            <w:tcBorders>
              <w:bottom w:val="single" w:sz="4" w:space="0" w:color="auto"/>
            </w:tcBorders>
            <w:noWrap/>
            <w:vAlign w:val="center"/>
            <w:hideMark/>
          </w:tcPr>
          <w:p w14:paraId="2481A363"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p>
        </w:tc>
        <w:tc>
          <w:tcPr>
            <w:tcW w:w="723" w:type="dxa"/>
            <w:vMerge/>
            <w:tcBorders>
              <w:bottom w:val="single" w:sz="4" w:space="0" w:color="auto"/>
            </w:tcBorders>
            <w:noWrap/>
            <w:vAlign w:val="center"/>
            <w:hideMark/>
          </w:tcPr>
          <w:p w14:paraId="1C65E5E8"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p>
        </w:tc>
        <w:tc>
          <w:tcPr>
            <w:tcW w:w="744" w:type="dxa"/>
            <w:tcBorders>
              <w:bottom w:val="single" w:sz="4" w:space="0" w:color="auto"/>
            </w:tcBorders>
            <w:noWrap/>
            <w:vAlign w:val="center"/>
            <w:hideMark/>
          </w:tcPr>
          <w:p w14:paraId="0C31C010"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3</w:t>
            </w:r>
          </w:p>
        </w:tc>
        <w:tc>
          <w:tcPr>
            <w:tcW w:w="645" w:type="dxa"/>
            <w:tcBorders>
              <w:bottom w:val="single" w:sz="4" w:space="0" w:color="auto"/>
            </w:tcBorders>
            <w:noWrap/>
            <w:vAlign w:val="center"/>
            <w:hideMark/>
          </w:tcPr>
          <w:p w14:paraId="6BA1E3ED"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2</w:t>
            </w:r>
          </w:p>
        </w:tc>
        <w:tc>
          <w:tcPr>
            <w:tcW w:w="763" w:type="dxa"/>
            <w:tcBorders>
              <w:bottom w:val="single" w:sz="4" w:space="0" w:color="auto"/>
              <w:right w:val="single" w:sz="4" w:space="0" w:color="auto"/>
            </w:tcBorders>
            <w:noWrap/>
            <w:vAlign w:val="center"/>
            <w:hideMark/>
          </w:tcPr>
          <w:p w14:paraId="3CB1EB31"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lang w:eastAsia="cs-CZ"/>
              </w:rPr>
            </w:pPr>
            <w:r w:rsidRPr="00385F02">
              <w:rPr>
                <w:rFonts w:eastAsia="Times New Roman" w:cs="Calibri"/>
                <w:color w:val="000000"/>
                <w:sz w:val="20"/>
                <w:lang w:eastAsia="cs-CZ"/>
              </w:rPr>
              <w:t>2</w:t>
            </w:r>
          </w:p>
        </w:tc>
      </w:tr>
      <w:tr w:rsidR="00385F02" w:rsidRPr="00794B09" w14:paraId="0C1CE8E5" w14:textId="77777777" w:rsidTr="00385F02">
        <w:trPr>
          <w:trHeight w:val="235"/>
        </w:trPr>
        <w:tc>
          <w:tcPr>
            <w:cnfStyle w:val="001000000000" w:firstRow="0" w:lastRow="0" w:firstColumn="1" w:lastColumn="0" w:oddVBand="0" w:evenVBand="0" w:oddHBand="0" w:evenHBand="0" w:firstRowFirstColumn="0" w:firstRowLastColumn="0" w:lastRowFirstColumn="0" w:lastRowLastColumn="0"/>
            <w:tcW w:w="988" w:type="dxa"/>
            <w:vMerge/>
            <w:tcBorders>
              <w:left w:val="single" w:sz="4" w:space="0" w:color="auto"/>
              <w:bottom w:val="single" w:sz="4" w:space="0" w:color="auto"/>
              <w:right w:val="single" w:sz="4" w:space="0" w:color="auto"/>
            </w:tcBorders>
            <w:hideMark/>
          </w:tcPr>
          <w:p w14:paraId="466AC6D7" w14:textId="77777777" w:rsidR="00DA2413" w:rsidRPr="00385F02" w:rsidRDefault="00DA2413" w:rsidP="00DA2413">
            <w:pPr>
              <w:rPr>
                <w:rFonts w:eastAsia="Times New Roman" w:cs="Calibri"/>
                <w:color w:val="000000"/>
                <w:sz w:val="20"/>
                <w:lang w:eastAsia="cs-CZ"/>
              </w:rPr>
            </w:pPr>
          </w:p>
        </w:tc>
        <w:tc>
          <w:tcPr>
            <w:tcW w:w="2515" w:type="dxa"/>
            <w:tcBorders>
              <w:top w:val="single" w:sz="4" w:space="0" w:color="auto"/>
              <w:left w:val="single" w:sz="4" w:space="0" w:color="auto"/>
              <w:bottom w:val="single" w:sz="4" w:space="0" w:color="auto"/>
            </w:tcBorders>
            <w:noWrap/>
            <w:vAlign w:val="center"/>
            <w:hideMark/>
          </w:tcPr>
          <w:p w14:paraId="095AF083"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20"/>
                <w:lang w:eastAsia="cs-CZ"/>
              </w:rPr>
            </w:pPr>
            <w:r w:rsidRPr="00385F02">
              <w:rPr>
                <w:rFonts w:eastAsia="Times New Roman" w:cs="Calibri"/>
                <w:b/>
                <w:bCs/>
                <w:color w:val="000000"/>
                <w:sz w:val="20"/>
                <w:lang w:eastAsia="cs-CZ"/>
              </w:rPr>
              <w:t>Celkem</w:t>
            </w:r>
          </w:p>
        </w:tc>
        <w:tc>
          <w:tcPr>
            <w:tcW w:w="644" w:type="dxa"/>
            <w:tcBorders>
              <w:top w:val="single" w:sz="4" w:space="0" w:color="auto"/>
              <w:bottom w:val="single" w:sz="4" w:space="0" w:color="auto"/>
            </w:tcBorders>
            <w:noWrap/>
            <w:vAlign w:val="center"/>
            <w:hideMark/>
          </w:tcPr>
          <w:p w14:paraId="00C9933B"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20"/>
                <w:lang w:eastAsia="cs-CZ"/>
              </w:rPr>
            </w:pPr>
            <w:r w:rsidRPr="00385F02">
              <w:rPr>
                <w:rFonts w:eastAsia="Times New Roman" w:cs="Calibri"/>
                <w:b/>
                <w:bCs/>
                <w:color w:val="000000"/>
                <w:sz w:val="20"/>
                <w:lang w:eastAsia="cs-CZ"/>
              </w:rPr>
              <w:t>180</w:t>
            </w:r>
          </w:p>
        </w:tc>
        <w:tc>
          <w:tcPr>
            <w:tcW w:w="810" w:type="dxa"/>
            <w:tcBorders>
              <w:top w:val="single" w:sz="4" w:space="0" w:color="auto"/>
              <w:bottom w:val="single" w:sz="4" w:space="0" w:color="auto"/>
            </w:tcBorders>
            <w:noWrap/>
            <w:vAlign w:val="center"/>
            <w:hideMark/>
          </w:tcPr>
          <w:p w14:paraId="5021F668"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20"/>
                <w:lang w:eastAsia="cs-CZ"/>
              </w:rPr>
            </w:pPr>
            <w:r w:rsidRPr="00385F02">
              <w:rPr>
                <w:rFonts w:eastAsia="Times New Roman" w:cs="Calibri"/>
                <w:b/>
                <w:bCs/>
                <w:color w:val="000000"/>
                <w:sz w:val="20"/>
                <w:lang w:eastAsia="cs-CZ"/>
              </w:rPr>
              <w:t>57</w:t>
            </w:r>
          </w:p>
        </w:tc>
        <w:tc>
          <w:tcPr>
            <w:tcW w:w="394" w:type="dxa"/>
            <w:tcBorders>
              <w:top w:val="single" w:sz="4" w:space="0" w:color="auto"/>
              <w:bottom w:val="single" w:sz="4" w:space="0" w:color="auto"/>
            </w:tcBorders>
            <w:noWrap/>
            <w:vAlign w:val="center"/>
            <w:hideMark/>
          </w:tcPr>
          <w:p w14:paraId="41F6C18F"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20"/>
                <w:lang w:eastAsia="cs-CZ"/>
              </w:rPr>
            </w:pPr>
            <w:r w:rsidRPr="00385F02">
              <w:rPr>
                <w:rFonts w:eastAsia="Times New Roman" w:cs="Calibri"/>
                <w:b/>
                <w:bCs/>
                <w:color w:val="000000"/>
                <w:sz w:val="20"/>
                <w:lang w:eastAsia="cs-CZ"/>
              </w:rPr>
              <w:t>27</w:t>
            </w:r>
          </w:p>
        </w:tc>
        <w:tc>
          <w:tcPr>
            <w:tcW w:w="798" w:type="dxa"/>
            <w:tcBorders>
              <w:top w:val="single" w:sz="4" w:space="0" w:color="auto"/>
              <w:bottom w:val="single" w:sz="4" w:space="0" w:color="auto"/>
            </w:tcBorders>
            <w:noWrap/>
            <w:vAlign w:val="center"/>
            <w:hideMark/>
          </w:tcPr>
          <w:p w14:paraId="326C5EB8"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20"/>
                <w:lang w:eastAsia="cs-CZ"/>
              </w:rPr>
            </w:pPr>
            <w:r w:rsidRPr="00385F02">
              <w:rPr>
                <w:rFonts w:eastAsia="Times New Roman" w:cs="Calibri"/>
                <w:b/>
                <w:bCs/>
                <w:color w:val="000000"/>
                <w:sz w:val="20"/>
                <w:lang w:eastAsia="cs-CZ"/>
              </w:rPr>
              <w:t> </w:t>
            </w:r>
          </w:p>
        </w:tc>
        <w:tc>
          <w:tcPr>
            <w:tcW w:w="723" w:type="dxa"/>
            <w:tcBorders>
              <w:top w:val="single" w:sz="4" w:space="0" w:color="auto"/>
              <w:bottom w:val="single" w:sz="4" w:space="0" w:color="auto"/>
            </w:tcBorders>
            <w:noWrap/>
            <w:vAlign w:val="center"/>
            <w:hideMark/>
          </w:tcPr>
          <w:p w14:paraId="027A9589"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20"/>
                <w:lang w:eastAsia="cs-CZ"/>
              </w:rPr>
            </w:pPr>
            <w:r w:rsidRPr="00385F02">
              <w:rPr>
                <w:rFonts w:eastAsia="Times New Roman" w:cs="Calibri"/>
                <w:b/>
                <w:bCs/>
                <w:color w:val="000000"/>
                <w:sz w:val="20"/>
                <w:lang w:eastAsia="cs-CZ"/>
              </w:rPr>
              <w:t> </w:t>
            </w:r>
          </w:p>
        </w:tc>
        <w:tc>
          <w:tcPr>
            <w:tcW w:w="744" w:type="dxa"/>
            <w:tcBorders>
              <w:top w:val="single" w:sz="4" w:space="0" w:color="auto"/>
              <w:bottom w:val="single" w:sz="4" w:space="0" w:color="auto"/>
            </w:tcBorders>
            <w:noWrap/>
            <w:vAlign w:val="center"/>
            <w:hideMark/>
          </w:tcPr>
          <w:p w14:paraId="33C75055"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20"/>
                <w:lang w:eastAsia="cs-CZ"/>
              </w:rPr>
            </w:pPr>
            <w:r w:rsidRPr="00385F02">
              <w:rPr>
                <w:rFonts w:eastAsia="Times New Roman" w:cs="Calibri"/>
                <w:b/>
                <w:bCs/>
                <w:color w:val="000000"/>
                <w:sz w:val="20"/>
                <w:lang w:eastAsia="cs-CZ"/>
              </w:rPr>
              <w:t>97</w:t>
            </w:r>
          </w:p>
        </w:tc>
        <w:tc>
          <w:tcPr>
            <w:tcW w:w="645" w:type="dxa"/>
            <w:tcBorders>
              <w:top w:val="single" w:sz="4" w:space="0" w:color="auto"/>
              <w:bottom w:val="single" w:sz="4" w:space="0" w:color="auto"/>
            </w:tcBorders>
            <w:noWrap/>
            <w:vAlign w:val="center"/>
            <w:hideMark/>
          </w:tcPr>
          <w:p w14:paraId="0061A321"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20"/>
                <w:lang w:eastAsia="cs-CZ"/>
              </w:rPr>
            </w:pPr>
            <w:r w:rsidRPr="00385F02">
              <w:rPr>
                <w:rFonts w:eastAsia="Times New Roman" w:cs="Calibri"/>
                <w:b/>
                <w:bCs/>
                <w:color w:val="000000"/>
                <w:sz w:val="20"/>
                <w:lang w:eastAsia="cs-CZ"/>
              </w:rPr>
              <w:t>40</w:t>
            </w:r>
          </w:p>
        </w:tc>
        <w:tc>
          <w:tcPr>
            <w:tcW w:w="763" w:type="dxa"/>
            <w:tcBorders>
              <w:top w:val="single" w:sz="4" w:space="0" w:color="auto"/>
              <w:bottom w:val="single" w:sz="4" w:space="0" w:color="auto"/>
              <w:right w:val="single" w:sz="4" w:space="0" w:color="auto"/>
            </w:tcBorders>
            <w:noWrap/>
            <w:vAlign w:val="center"/>
            <w:hideMark/>
          </w:tcPr>
          <w:p w14:paraId="3CBBCFBA" w14:textId="77777777" w:rsidR="00DA2413" w:rsidRPr="00385F02" w:rsidRDefault="00DA2413" w:rsidP="00DA2413">
            <w:pPr>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20"/>
                <w:lang w:eastAsia="cs-CZ"/>
              </w:rPr>
            </w:pPr>
            <w:r w:rsidRPr="00385F02">
              <w:rPr>
                <w:rFonts w:eastAsia="Times New Roman" w:cs="Calibri"/>
                <w:b/>
                <w:bCs/>
                <w:color w:val="000000"/>
                <w:sz w:val="20"/>
                <w:lang w:eastAsia="cs-CZ"/>
              </w:rPr>
              <w:t>36</w:t>
            </w:r>
          </w:p>
        </w:tc>
      </w:tr>
    </w:tbl>
    <w:p w14:paraId="4C1F3E48" w14:textId="77777777" w:rsidR="00DA2413" w:rsidRPr="00DA2413" w:rsidRDefault="00DA2413" w:rsidP="00DA2413">
      <w:pPr>
        <w:spacing w:line="360" w:lineRule="auto"/>
        <w:ind w:firstLine="709"/>
        <w:jc w:val="both"/>
        <w:rPr>
          <w:rFonts w:asciiTheme="minorHAnsi" w:hAnsiTheme="minorHAnsi"/>
        </w:rPr>
      </w:pPr>
      <w:r w:rsidRPr="00DA2413">
        <w:rPr>
          <w:rFonts w:asciiTheme="minorHAnsi" w:hAnsiTheme="minorHAnsi"/>
        </w:rPr>
        <w:t>Zdroj: vlastní zpracování.</w:t>
      </w:r>
    </w:p>
    <w:p w14:paraId="65A5269F" w14:textId="59033BF5" w:rsidR="00DA2413" w:rsidRDefault="00DA2413" w:rsidP="00DA2413">
      <w:pPr>
        <w:spacing w:line="360" w:lineRule="auto"/>
        <w:jc w:val="both"/>
        <w:rPr>
          <w:rFonts w:asciiTheme="minorHAnsi" w:hAnsiTheme="minorHAnsi"/>
        </w:rPr>
      </w:pPr>
    </w:p>
    <w:p w14:paraId="6C2015B8" w14:textId="31BF35C5" w:rsidR="00385F02" w:rsidRDefault="00385F02" w:rsidP="00DA2413">
      <w:pPr>
        <w:spacing w:line="360" w:lineRule="auto"/>
        <w:jc w:val="both"/>
        <w:rPr>
          <w:rFonts w:asciiTheme="minorHAnsi" w:hAnsiTheme="minorHAnsi"/>
        </w:rPr>
      </w:pPr>
    </w:p>
    <w:p w14:paraId="0F7EA1FB" w14:textId="388A9FA3" w:rsidR="00385F02" w:rsidRDefault="00385F02" w:rsidP="00DA2413">
      <w:pPr>
        <w:spacing w:line="360" w:lineRule="auto"/>
        <w:jc w:val="both"/>
        <w:rPr>
          <w:rFonts w:asciiTheme="minorHAnsi" w:hAnsiTheme="minorHAnsi"/>
        </w:rPr>
      </w:pPr>
    </w:p>
    <w:p w14:paraId="50DE84ED" w14:textId="2454EA98" w:rsidR="00385F02" w:rsidRDefault="00385F02" w:rsidP="00DA2413">
      <w:pPr>
        <w:spacing w:line="360" w:lineRule="auto"/>
        <w:jc w:val="both"/>
        <w:rPr>
          <w:rFonts w:asciiTheme="minorHAnsi" w:hAnsiTheme="minorHAnsi"/>
        </w:rPr>
      </w:pPr>
    </w:p>
    <w:tbl>
      <w:tblPr>
        <w:tblpPr w:leftFromText="141" w:rightFromText="141" w:vertAnchor="text" w:horzAnchor="margin" w:tblpXSpec="center" w:tblpY="338"/>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2651"/>
        <w:gridCol w:w="691"/>
        <w:gridCol w:w="691"/>
        <w:gridCol w:w="691"/>
        <w:gridCol w:w="691"/>
        <w:gridCol w:w="691"/>
        <w:gridCol w:w="691"/>
        <w:gridCol w:w="691"/>
        <w:gridCol w:w="590"/>
      </w:tblGrid>
      <w:tr w:rsidR="00385F02" w:rsidRPr="00385F02" w14:paraId="4622CA72" w14:textId="77777777" w:rsidTr="00385F02">
        <w:trPr>
          <w:trHeight w:val="323"/>
        </w:trPr>
        <w:tc>
          <w:tcPr>
            <w:tcW w:w="846" w:type="dxa"/>
            <w:shd w:val="clear" w:color="auto" w:fill="auto"/>
            <w:noWrap/>
            <w:vAlign w:val="center"/>
            <w:hideMark/>
          </w:tcPr>
          <w:p w14:paraId="14E52319" w14:textId="77777777" w:rsidR="00385F02" w:rsidRPr="00385F02" w:rsidRDefault="00385F02" w:rsidP="00385F02">
            <w:pPr>
              <w:rPr>
                <w:rFonts w:asciiTheme="minorHAnsi" w:hAnsiTheme="minorHAnsi" w:cs="Calibri"/>
                <w:b/>
                <w:bCs/>
                <w:color w:val="000000"/>
                <w:sz w:val="20"/>
                <w:szCs w:val="20"/>
              </w:rPr>
            </w:pPr>
            <w:r w:rsidRPr="00385F02">
              <w:rPr>
                <w:rFonts w:asciiTheme="minorHAnsi" w:hAnsiTheme="minorHAnsi" w:cs="Calibri"/>
                <w:b/>
                <w:bCs/>
                <w:color w:val="000000"/>
                <w:sz w:val="20"/>
                <w:szCs w:val="20"/>
              </w:rPr>
              <w:t>Období</w:t>
            </w:r>
          </w:p>
        </w:tc>
        <w:tc>
          <w:tcPr>
            <w:tcW w:w="2651" w:type="dxa"/>
            <w:shd w:val="clear" w:color="auto" w:fill="auto"/>
            <w:noWrap/>
            <w:vAlign w:val="center"/>
            <w:hideMark/>
          </w:tcPr>
          <w:p w14:paraId="35802789" w14:textId="77777777" w:rsidR="00385F02" w:rsidRPr="00385F02" w:rsidRDefault="00385F02" w:rsidP="00385F02">
            <w:pPr>
              <w:rPr>
                <w:rFonts w:asciiTheme="minorHAnsi" w:hAnsiTheme="minorHAnsi" w:cs="Calibri"/>
                <w:b/>
                <w:bCs/>
                <w:color w:val="000000"/>
                <w:sz w:val="20"/>
                <w:szCs w:val="20"/>
              </w:rPr>
            </w:pPr>
            <w:r w:rsidRPr="00385F02">
              <w:rPr>
                <w:rFonts w:asciiTheme="minorHAnsi" w:hAnsiTheme="minorHAnsi" w:cs="Calibri"/>
                <w:b/>
                <w:bCs/>
                <w:color w:val="000000"/>
                <w:sz w:val="20"/>
                <w:szCs w:val="20"/>
              </w:rPr>
              <w:t>Kategorie</w:t>
            </w:r>
          </w:p>
        </w:tc>
        <w:tc>
          <w:tcPr>
            <w:tcW w:w="691" w:type="dxa"/>
            <w:shd w:val="clear" w:color="auto" w:fill="auto"/>
            <w:noWrap/>
            <w:vAlign w:val="center"/>
            <w:hideMark/>
          </w:tcPr>
          <w:p w14:paraId="1079881E" w14:textId="77777777" w:rsidR="00385F02" w:rsidRPr="00385F02" w:rsidRDefault="00385F02" w:rsidP="00385F02">
            <w:pPr>
              <w:rPr>
                <w:rFonts w:asciiTheme="minorHAnsi" w:hAnsiTheme="minorHAnsi" w:cs="Calibri"/>
                <w:b/>
                <w:color w:val="000000"/>
                <w:sz w:val="20"/>
                <w:szCs w:val="20"/>
              </w:rPr>
            </w:pPr>
            <w:r w:rsidRPr="00385F02">
              <w:rPr>
                <w:rFonts w:asciiTheme="minorHAnsi" w:hAnsiTheme="minorHAnsi" w:cs="Calibri"/>
                <w:b/>
                <w:color w:val="000000"/>
                <w:sz w:val="20"/>
                <w:szCs w:val="20"/>
              </w:rPr>
              <w:t>ODS</w:t>
            </w:r>
          </w:p>
        </w:tc>
        <w:tc>
          <w:tcPr>
            <w:tcW w:w="691" w:type="dxa"/>
            <w:shd w:val="clear" w:color="auto" w:fill="auto"/>
            <w:noWrap/>
            <w:vAlign w:val="center"/>
            <w:hideMark/>
          </w:tcPr>
          <w:p w14:paraId="2167961B" w14:textId="77777777" w:rsidR="00385F02" w:rsidRPr="00385F02" w:rsidRDefault="00385F02" w:rsidP="00385F02">
            <w:pPr>
              <w:rPr>
                <w:rFonts w:asciiTheme="minorHAnsi" w:hAnsiTheme="minorHAnsi" w:cs="Calibri"/>
                <w:b/>
                <w:color w:val="000000"/>
                <w:sz w:val="20"/>
                <w:szCs w:val="20"/>
              </w:rPr>
            </w:pPr>
            <w:r w:rsidRPr="00385F02">
              <w:rPr>
                <w:rFonts w:asciiTheme="minorHAnsi" w:hAnsiTheme="minorHAnsi" w:cs="Calibri"/>
                <w:b/>
                <w:color w:val="000000"/>
                <w:sz w:val="20"/>
                <w:szCs w:val="20"/>
              </w:rPr>
              <w:t>Piráti</w:t>
            </w:r>
          </w:p>
        </w:tc>
        <w:tc>
          <w:tcPr>
            <w:tcW w:w="691" w:type="dxa"/>
            <w:shd w:val="clear" w:color="auto" w:fill="auto"/>
            <w:noWrap/>
            <w:vAlign w:val="center"/>
            <w:hideMark/>
          </w:tcPr>
          <w:p w14:paraId="1DF64DEC" w14:textId="77777777" w:rsidR="00385F02" w:rsidRPr="00385F02" w:rsidRDefault="00385F02" w:rsidP="00385F02">
            <w:pPr>
              <w:rPr>
                <w:rFonts w:asciiTheme="minorHAnsi" w:hAnsiTheme="minorHAnsi" w:cs="Calibri"/>
                <w:b/>
                <w:color w:val="000000"/>
                <w:sz w:val="20"/>
                <w:szCs w:val="20"/>
              </w:rPr>
            </w:pPr>
            <w:r w:rsidRPr="00385F02">
              <w:rPr>
                <w:rFonts w:asciiTheme="minorHAnsi" w:hAnsiTheme="minorHAnsi" w:cs="Calibri"/>
                <w:b/>
                <w:color w:val="000000"/>
                <w:sz w:val="20"/>
                <w:szCs w:val="20"/>
              </w:rPr>
              <w:t>SPD</w:t>
            </w:r>
          </w:p>
        </w:tc>
        <w:tc>
          <w:tcPr>
            <w:tcW w:w="691" w:type="dxa"/>
            <w:shd w:val="clear" w:color="auto" w:fill="auto"/>
            <w:noWrap/>
            <w:vAlign w:val="center"/>
            <w:hideMark/>
          </w:tcPr>
          <w:p w14:paraId="0D180E7C" w14:textId="77777777" w:rsidR="00385F02" w:rsidRPr="00385F02" w:rsidRDefault="00385F02" w:rsidP="00385F02">
            <w:pPr>
              <w:rPr>
                <w:rFonts w:asciiTheme="minorHAnsi" w:hAnsiTheme="minorHAnsi" w:cs="Calibri"/>
                <w:b/>
                <w:color w:val="000000"/>
                <w:sz w:val="20"/>
                <w:szCs w:val="20"/>
              </w:rPr>
            </w:pPr>
            <w:r w:rsidRPr="00385F02">
              <w:rPr>
                <w:rFonts w:asciiTheme="minorHAnsi" w:hAnsiTheme="minorHAnsi" w:cs="Calibri"/>
                <w:b/>
                <w:color w:val="000000"/>
                <w:sz w:val="20"/>
                <w:szCs w:val="20"/>
              </w:rPr>
              <w:t>KSČM</w:t>
            </w:r>
          </w:p>
        </w:tc>
        <w:tc>
          <w:tcPr>
            <w:tcW w:w="691" w:type="dxa"/>
            <w:shd w:val="clear" w:color="auto" w:fill="auto"/>
            <w:noWrap/>
            <w:vAlign w:val="center"/>
            <w:hideMark/>
          </w:tcPr>
          <w:p w14:paraId="6EF063EA" w14:textId="77777777" w:rsidR="00385F02" w:rsidRPr="00385F02" w:rsidRDefault="00385F02" w:rsidP="00385F02">
            <w:pPr>
              <w:rPr>
                <w:rFonts w:asciiTheme="minorHAnsi" w:hAnsiTheme="minorHAnsi" w:cs="Calibri"/>
                <w:b/>
                <w:color w:val="000000"/>
                <w:sz w:val="20"/>
                <w:szCs w:val="20"/>
              </w:rPr>
            </w:pPr>
            <w:r w:rsidRPr="00385F02">
              <w:rPr>
                <w:rFonts w:asciiTheme="minorHAnsi" w:hAnsiTheme="minorHAnsi" w:cs="Calibri"/>
                <w:b/>
                <w:color w:val="000000"/>
                <w:sz w:val="20"/>
                <w:szCs w:val="20"/>
              </w:rPr>
              <w:t>ČSSD</w:t>
            </w:r>
          </w:p>
        </w:tc>
        <w:tc>
          <w:tcPr>
            <w:tcW w:w="691" w:type="dxa"/>
            <w:shd w:val="clear" w:color="auto" w:fill="auto"/>
            <w:noWrap/>
            <w:vAlign w:val="center"/>
            <w:hideMark/>
          </w:tcPr>
          <w:p w14:paraId="1736030B" w14:textId="77777777" w:rsidR="00385F02" w:rsidRPr="00385F02" w:rsidRDefault="00385F02" w:rsidP="00385F02">
            <w:pPr>
              <w:rPr>
                <w:rFonts w:asciiTheme="minorHAnsi" w:hAnsiTheme="minorHAnsi" w:cs="Calibri"/>
                <w:b/>
                <w:color w:val="000000"/>
                <w:sz w:val="20"/>
                <w:szCs w:val="20"/>
              </w:rPr>
            </w:pPr>
            <w:r w:rsidRPr="00385F02">
              <w:rPr>
                <w:rFonts w:asciiTheme="minorHAnsi" w:hAnsiTheme="minorHAnsi" w:cs="Calibri"/>
                <w:b/>
                <w:color w:val="000000"/>
                <w:sz w:val="20"/>
                <w:szCs w:val="20"/>
              </w:rPr>
              <w:t>KDU-ČSL</w:t>
            </w:r>
          </w:p>
        </w:tc>
        <w:tc>
          <w:tcPr>
            <w:tcW w:w="691" w:type="dxa"/>
            <w:shd w:val="clear" w:color="auto" w:fill="auto"/>
            <w:noWrap/>
            <w:vAlign w:val="center"/>
            <w:hideMark/>
          </w:tcPr>
          <w:p w14:paraId="0E1F7A5E" w14:textId="77777777" w:rsidR="00385F02" w:rsidRPr="00385F02" w:rsidRDefault="00385F02" w:rsidP="00385F02">
            <w:pPr>
              <w:rPr>
                <w:rFonts w:asciiTheme="minorHAnsi" w:hAnsiTheme="minorHAnsi" w:cs="Calibri"/>
                <w:b/>
                <w:color w:val="000000"/>
                <w:sz w:val="20"/>
                <w:szCs w:val="20"/>
              </w:rPr>
            </w:pPr>
            <w:r w:rsidRPr="00385F02">
              <w:rPr>
                <w:rFonts w:asciiTheme="minorHAnsi" w:hAnsiTheme="minorHAnsi" w:cs="Calibri"/>
                <w:b/>
                <w:color w:val="000000"/>
                <w:sz w:val="20"/>
                <w:szCs w:val="20"/>
              </w:rPr>
              <w:t>TOP-09</w:t>
            </w:r>
          </w:p>
        </w:tc>
        <w:tc>
          <w:tcPr>
            <w:tcW w:w="590" w:type="dxa"/>
            <w:shd w:val="clear" w:color="auto" w:fill="auto"/>
            <w:noWrap/>
            <w:vAlign w:val="center"/>
            <w:hideMark/>
          </w:tcPr>
          <w:p w14:paraId="68A6128E" w14:textId="77777777" w:rsidR="00385F02" w:rsidRPr="00385F02" w:rsidRDefault="00385F02" w:rsidP="00385F02">
            <w:pPr>
              <w:rPr>
                <w:rFonts w:ascii="Calibri" w:hAnsi="Calibri" w:cs="Calibri"/>
                <w:b/>
                <w:color w:val="000000"/>
                <w:sz w:val="20"/>
                <w:szCs w:val="20"/>
              </w:rPr>
            </w:pPr>
            <w:r w:rsidRPr="00385F02">
              <w:rPr>
                <w:rFonts w:ascii="Calibri" w:hAnsi="Calibri" w:cs="Calibri"/>
                <w:b/>
                <w:color w:val="000000"/>
                <w:sz w:val="20"/>
                <w:szCs w:val="20"/>
              </w:rPr>
              <w:t>STAN</w:t>
            </w:r>
          </w:p>
        </w:tc>
      </w:tr>
      <w:tr w:rsidR="00385F02" w:rsidRPr="00385F02" w14:paraId="589AE274" w14:textId="77777777" w:rsidTr="00385F02">
        <w:trPr>
          <w:trHeight w:val="308"/>
        </w:trPr>
        <w:tc>
          <w:tcPr>
            <w:tcW w:w="846" w:type="dxa"/>
            <w:vMerge w:val="restart"/>
            <w:shd w:val="clear" w:color="auto" w:fill="auto"/>
            <w:noWrap/>
            <w:vAlign w:val="center"/>
            <w:hideMark/>
          </w:tcPr>
          <w:p w14:paraId="3FBD50BB" w14:textId="77777777" w:rsidR="00385F02" w:rsidRPr="00385F02" w:rsidRDefault="00385F02" w:rsidP="00385F02">
            <w:pPr>
              <w:jc w:val="center"/>
              <w:rPr>
                <w:rFonts w:asciiTheme="minorHAnsi" w:hAnsiTheme="minorHAnsi" w:cs="Calibri"/>
                <w:b/>
                <w:bCs/>
                <w:color w:val="000000"/>
                <w:sz w:val="20"/>
                <w:szCs w:val="20"/>
              </w:rPr>
            </w:pPr>
            <w:r w:rsidRPr="00385F02">
              <w:rPr>
                <w:rFonts w:asciiTheme="minorHAnsi" w:hAnsiTheme="minorHAnsi" w:cs="Calibri"/>
                <w:b/>
                <w:bCs/>
                <w:color w:val="000000"/>
                <w:sz w:val="20"/>
                <w:szCs w:val="20"/>
              </w:rPr>
              <w:t>1</w:t>
            </w:r>
          </w:p>
        </w:tc>
        <w:tc>
          <w:tcPr>
            <w:tcW w:w="2651" w:type="dxa"/>
            <w:shd w:val="clear" w:color="auto" w:fill="auto"/>
            <w:noWrap/>
            <w:vAlign w:val="center"/>
            <w:hideMark/>
          </w:tcPr>
          <w:p w14:paraId="5CCEDD30"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Kompetence vlády</w:t>
            </w:r>
          </w:p>
        </w:tc>
        <w:tc>
          <w:tcPr>
            <w:tcW w:w="691" w:type="dxa"/>
            <w:shd w:val="clear" w:color="auto" w:fill="auto"/>
            <w:noWrap/>
            <w:vAlign w:val="center"/>
            <w:hideMark/>
          </w:tcPr>
          <w:p w14:paraId="070870AE"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5%</w:t>
            </w:r>
          </w:p>
        </w:tc>
        <w:tc>
          <w:tcPr>
            <w:tcW w:w="691" w:type="dxa"/>
            <w:shd w:val="clear" w:color="auto" w:fill="auto"/>
            <w:noWrap/>
            <w:vAlign w:val="center"/>
            <w:hideMark/>
          </w:tcPr>
          <w:p w14:paraId="69D76873"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07CEE82F"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27AE15D6"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5C888683"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2%</w:t>
            </w:r>
          </w:p>
        </w:tc>
        <w:tc>
          <w:tcPr>
            <w:tcW w:w="691" w:type="dxa"/>
            <w:shd w:val="clear" w:color="auto" w:fill="auto"/>
            <w:noWrap/>
            <w:vAlign w:val="center"/>
            <w:hideMark/>
          </w:tcPr>
          <w:p w14:paraId="7C9D2C46"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3%</w:t>
            </w:r>
          </w:p>
        </w:tc>
        <w:tc>
          <w:tcPr>
            <w:tcW w:w="691" w:type="dxa"/>
            <w:shd w:val="clear" w:color="auto" w:fill="auto"/>
            <w:noWrap/>
            <w:vAlign w:val="center"/>
            <w:hideMark/>
          </w:tcPr>
          <w:p w14:paraId="34B86DB8"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4%</w:t>
            </w:r>
          </w:p>
        </w:tc>
        <w:tc>
          <w:tcPr>
            <w:tcW w:w="590" w:type="dxa"/>
            <w:shd w:val="clear" w:color="auto" w:fill="auto"/>
            <w:noWrap/>
            <w:vAlign w:val="center"/>
            <w:hideMark/>
          </w:tcPr>
          <w:p w14:paraId="22560217"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8%</w:t>
            </w:r>
          </w:p>
        </w:tc>
      </w:tr>
      <w:tr w:rsidR="00385F02" w:rsidRPr="00385F02" w14:paraId="1A524786" w14:textId="77777777" w:rsidTr="00385F02">
        <w:trPr>
          <w:trHeight w:val="308"/>
        </w:trPr>
        <w:tc>
          <w:tcPr>
            <w:tcW w:w="846" w:type="dxa"/>
            <w:vMerge/>
            <w:vAlign w:val="center"/>
            <w:hideMark/>
          </w:tcPr>
          <w:p w14:paraId="48EE5B86" w14:textId="77777777" w:rsidR="00385F02" w:rsidRPr="00385F02" w:rsidRDefault="00385F02" w:rsidP="00385F02">
            <w:pPr>
              <w:jc w:val="center"/>
              <w:rPr>
                <w:rFonts w:asciiTheme="minorHAnsi" w:hAnsiTheme="minorHAnsi" w:cs="Calibri"/>
                <w:b/>
                <w:bCs/>
                <w:color w:val="000000"/>
                <w:sz w:val="20"/>
                <w:szCs w:val="20"/>
              </w:rPr>
            </w:pPr>
          </w:p>
        </w:tc>
        <w:tc>
          <w:tcPr>
            <w:tcW w:w="2651" w:type="dxa"/>
            <w:shd w:val="clear" w:color="auto" w:fill="auto"/>
            <w:noWrap/>
            <w:vAlign w:val="center"/>
            <w:hideMark/>
          </w:tcPr>
          <w:p w14:paraId="7B3A0648"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Důvěryhodnost vlády</w:t>
            </w:r>
          </w:p>
        </w:tc>
        <w:tc>
          <w:tcPr>
            <w:tcW w:w="691" w:type="dxa"/>
            <w:shd w:val="clear" w:color="auto" w:fill="auto"/>
            <w:noWrap/>
            <w:vAlign w:val="center"/>
            <w:hideMark/>
          </w:tcPr>
          <w:p w14:paraId="7C0FF9DB"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3%</w:t>
            </w:r>
          </w:p>
        </w:tc>
        <w:tc>
          <w:tcPr>
            <w:tcW w:w="691" w:type="dxa"/>
            <w:shd w:val="clear" w:color="auto" w:fill="auto"/>
            <w:noWrap/>
            <w:vAlign w:val="center"/>
            <w:hideMark/>
          </w:tcPr>
          <w:p w14:paraId="0BF13096"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11%</w:t>
            </w:r>
          </w:p>
        </w:tc>
        <w:tc>
          <w:tcPr>
            <w:tcW w:w="691" w:type="dxa"/>
            <w:shd w:val="clear" w:color="auto" w:fill="auto"/>
            <w:noWrap/>
            <w:vAlign w:val="center"/>
            <w:hideMark/>
          </w:tcPr>
          <w:p w14:paraId="3EE19EDE"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14%</w:t>
            </w:r>
          </w:p>
        </w:tc>
        <w:tc>
          <w:tcPr>
            <w:tcW w:w="691" w:type="dxa"/>
            <w:shd w:val="clear" w:color="auto" w:fill="auto"/>
            <w:noWrap/>
            <w:vAlign w:val="center"/>
            <w:hideMark/>
          </w:tcPr>
          <w:p w14:paraId="70988336"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6%</w:t>
            </w:r>
          </w:p>
        </w:tc>
        <w:tc>
          <w:tcPr>
            <w:tcW w:w="691" w:type="dxa"/>
            <w:shd w:val="clear" w:color="auto" w:fill="auto"/>
            <w:noWrap/>
            <w:vAlign w:val="center"/>
            <w:hideMark/>
          </w:tcPr>
          <w:p w14:paraId="25EEA348"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10%</w:t>
            </w:r>
          </w:p>
        </w:tc>
        <w:tc>
          <w:tcPr>
            <w:tcW w:w="691" w:type="dxa"/>
            <w:shd w:val="clear" w:color="auto" w:fill="auto"/>
            <w:noWrap/>
            <w:vAlign w:val="center"/>
            <w:hideMark/>
          </w:tcPr>
          <w:p w14:paraId="4EFAD3F4"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3%</w:t>
            </w:r>
          </w:p>
        </w:tc>
        <w:tc>
          <w:tcPr>
            <w:tcW w:w="691" w:type="dxa"/>
            <w:shd w:val="clear" w:color="auto" w:fill="auto"/>
            <w:noWrap/>
            <w:vAlign w:val="center"/>
            <w:hideMark/>
          </w:tcPr>
          <w:p w14:paraId="07A20678"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28%</w:t>
            </w:r>
          </w:p>
        </w:tc>
        <w:tc>
          <w:tcPr>
            <w:tcW w:w="590" w:type="dxa"/>
            <w:shd w:val="clear" w:color="auto" w:fill="auto"/>
            <w:noWrap/>
            <w:vAlign w:val="center"/>
            <w:hideMark/>
          </w:tcPr>
          <w:p w14:paraId="6DDEE05D"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23%</w:t>
            </w:r>
          </w:p>
        </w:tc>
      </w:tr>
      <w:tr w:rsidR="00385F02" w:rsidRPr="00385F02" w14:paraId="00D3E715" w14:textId="77777777" w:rsidTr="00385F02">
        <w:trPr>
          <w:trHeight w:val="308"/>
        </w:trPr>
        <w:tc>
          <w:tcPr>
            <w:tcW w:w="846" w:type="dxa"/>
            <w:vMerge/>
            <w:vAlign w:val="center"/>
            <w:hideMark/>
          </w:tcPr>
          <w:p w14:paraId="618E9D58" w14:textId="77777777" w:rsidR="00385F02" w:rsidRPr="00385F02" w:rsidRDefault="00385F02" w:rsidP="00385F02">
            <w:pPr>
              <w:jc w:val="center"/>
              <w:rPr>
                <w:rFonts w:asciiTheme="minorHAnsi" w:hAnsiTheme="minorHAnsi" w:cs="Calibri"/>
                <w:b/>
                <w:bCs/>
                <w:color w:val="000000"/>
                <w:sz w:val="20"/>
                <w:szCs w:val="20"/>
              </w:rPr>
            </w:pPr>
          </w:p>
        </w:tc>
        <w:tc>
          <w:tcPr>
            <w:tcW w:w="2651" w:type="dxa"/>
            <w:shd w:val="clear" w:color="auto" w:fill="auto"/>
            <w:noWrap/>
            <w:vAlign w:val="center"/>
            <w:hideMark/>
          </w:tcPr>
          <w:p w14:paraId="3737259E"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Personální obsazení vlády</w:t>
            </w:r>
          </w:p>
        </w:tc>
        <w:tc>
          <w:tcPr>
            <w:tcW w:w="691" w:type="dxa"/>
            <w:shd w:val="clear" w:color="auto" w:fill="auto"/>
            <w:noWrap/>
            <w:vAlign w:val="center"/>
            <w:hideMark/>
          </w:tcPr>
          <w:p w14:paraId="59AAE069"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3%</w:t>
            </w:r>
          </w:p>
        </w:tc>
        <w:tc>
          <w:tcPr>
            <w:tcW w:w="691" w:type="dxa"/>
            <w:shd w:val="clear" w:color="auto" w:fill="auto"/>
            <w:noWrap/>
            <w:vAlign w:val="center"/>
            <w:hideMark/>
          </w:tcPr>
          <w:p w14:paraId="0B6FF6F6"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4%</w:t>
            </w:r>
          </w:p>
        </w:tc>
        <w:tc>
          <w:tcPr>
            <w:tcW w:w="691" w:type="dxa"/>
            <w:shd w:val="clear" w:color="auto" w:fill="auto"/>
            <w:noWrap/>
            <w:vAlign w:val="center"/>
            <w:hideMark/>
          </w:tcPr>
          <w:p w14:paraId="6161F489"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14%</w:t>
            </w:r>
          </w:p>
        </w:tc>
        <w:tc>
          <w:tcPr>
            <w:tcW w:w="691" w:type="dxa"/>
            <w:shd w:val="clear" w:color="auto" w:fill="auto"/>
            <w:noWrap/>
            <w:vAlign w:val="center"/>
            <w:hideMark/>
          </w:tcPr>
          <w:p w14:paraId="05EF1C51"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411DFC29"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10%</w:t>
            </w:r>
          </w:p>
        </w:tc>
        <w:tc>
          <w:tcPr>
            <w:tcW w:w="691" w:type="dxa"/>
            <w:shd w:val="clear" w:color="auto" w:fill="auto"/>
            <w:noWrap/>
            <w:vAlign w:val="center"/>
            <w:hideMark/>
          </w:tcPr>
          <w:p w14:paraId="365F753B"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07212517"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4%</w:t>
            </w:r>
          </w:p>
        </w:tc>
        <w:tc>
          <w:tcPr>
            <w:tcW w:w="590" w:type="dxa"/>
            <w:shd w:val="clear" w:color="auto" w:fill="auto"/>
            <w:noWrap/>
            <w:vAlign w:val="center"/>
            <w:hideMark/>
          </w:tcPr>
          <w:p w14:paraId="1D988FDE"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0%</w:t>
            </w:r>
          </w:p>
        </w:tc>
      </w:tr>
      <w:tr w:rsidR="00385F02" w:rsidRPr="00385F02" w14:paraId="21881B44" w14:textId="77777777" w:rsidTr="00385F02">
        <w:trPr>
          <w:trHeight w:val="308"/>
        </w:trPr>
        <w:tc>
          <w:tcPr>
            <w:tcW w:w="846" w:type="dxa"/>
            <w:vMerge/>
            <w:vAlign w:val="center"/>
            <w:hideMark/>
          </w:tcPr>
          <w:p w14:paraId="5C54C347" w14:textId="77777777" w:rsidR="00385F02" w:rsidRPr="00385F02" w:rsidRDefault="00385F02" w:rsidP="00385F02">
            <w:pPr>
              <w:jc w:val="center"/>
              <w:rPr>
                <w:rFonts w:asciiTheme="minorHAnsi" w:hAnsiTheme="minorHAnsi" w:cs="Calibri"/>
                <w:b/>
                <w:bCs/>
                <w:color w:val="000000"/>
                <w:sz w:val="20"/>
                <w:szCs w:val="20"/>
              </w:rPr>
            </w:pPr>
          </w:p>
        </w:tc>
        <w:tc>
          <w:tcPr>
            <w:tcW w:w="2651" w:type="dxa"/>
            <w:shd w:val="clear" w:color="auto" w:fill="auto"/>
            <w:noWrap/>
            <w:vAlign w:val="center"/>
            <w:hideMark/>
          </w:tcPr>
          <w:p w14:paraId="3AD472E8"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Koaliční jednání a podoba vlády (jednobarevnost)</w:t>
            </w:r>
          </w:p>
        </w:tc>
        <w:tc>
          <w:tcPr>
            <w:tcW w:w="691" w:type="dxa"/>
            <w:shd w:val="clear" w:color="auto" w:fill="auto"/>
            <w:noWrap/>
            <w:vAlign w:val="center"/>
            <w:hideMark/>
          </w:tcPr>
          <w:p w14:paraId="0348F3BE"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19%</w:t>
            </w:r>
          </w:p>
        </w:tc>
        <w:tc>
          <w:tcPr>
            <w:tcW w:w="691" w:type="dxa"/>
            <w:shd w:val="clear" w:color="auto" w:fill="auto"/>
            <w:noWrap/>
            <w:vAlign w:val="center"/>
            <w:hideMark/>
          </w:tcPr>
          <w:p w14:paraId="20BB821D"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11%</w:t>
            </w:r>
          </w:p>
        </w:tc>
        <w:tc>
          <w:tcPr>
            <w:tcW w:w="691" w:type="dxa"/>
            <w:shd w:val="clear" w:color="auto" w:fill="auto"/>
            <w:noWrap/>
            <w:vAlign w:val="center"/>
            <w:hideMark/>
          </w:tcPr>
          <w:p w14:paraId="547B4DF4"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19%</w:t>
            </w:r>
          </w:p>
        </w:tc>
        <w:tc>
          <w:tcPr>
            <w:tcW w:w="691" w:type="dxa"/>
            <w:shd w:val="clear" w:color="auto" w:fill="auto"/>
            <w:noWrap/>
            <w:vAlign w:val="center"/>
            <w:hideMark/>
          </w:tcPr>
          <w:p w14:paraId="196A7C0F"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3%</w:t>
            </w:r>
          </w:p>
        </w:tc>
        <w:tc>
          <w:tcPr>
            <w:tcW w:w="691" w:type="dxa"/>
            <w:shd w:val="clear" w:color="auto" w:fill="auto"/>
            <w:noWrap/>
            <w:vAlign w:val="center"/>
            <w:hideMark/>
          </w:tcPr>
          <w:p w14:paraId="25260CF0"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13%</w:t>
            </w:r>
          </w:p>
        </w:tc>
        <w:tc>
          <w:tcPr>
            <w:tcW w:w="691" w:type="dxa"/>
            <w:shd w:val="clear" w:color="auto" w:fill="auto"/>
            <w:noWrap/>
            <w:vAlign w:val="center"/>
            <w:hideMark/>
          </w:tcPr>
          <w:p w14:paraId="3FCB2396"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24%</w:t>
            </w:r>
          </w:p>
        </w:tc>
        <w:tc>
          <w:tcPr>
            <w:tcW w:w="691" w:type="dxa"/>
            <w:shd w:val="clear" w:color="auto" w:fill="auto"/>
            <w:noWrap/>
            <w:vAlign w:val="center"/>
            <w:hideMark/>
          </w:tcPr>
          <w:p w14:paraId="6F210782"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590" w:type="dxa"/>
            <w:shd w:val="clear" w:color="auto" w:fill="auto"/>
            <w:noWrap/>
            <w:vAlign w:val="center"/>
            <w:hideMark/>
          </w:tcPr>
          <w:p w14:paraId="6129F425"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0%</w:t>
            </w:r>
          </w:p>
        </w:tc>
      </w:tr>
      <w:tr w:rsidR="00385F02" w:rsidRPr="00385F02" w14:paraId="04CB679C" w14:textId="77777777" w:rsidTr="00385F02">
        <w:trPr>
          <w:trHeight w:val="308"/>
        </w:trPr>
        <w:tc>
          <w:tcPr>
            <w:tcW w:w="846" w:type="dxa"/>
            <w:vMerge/>
            <w:vAlign w:val="center"/>
            <w:hideMark/>
          </w:tcPr>
          <w:p w14:paraId="7D8AC1C9" w14:textId="77777777" w:rsidR="00385F02" w:rsidRPr="00385F02" w:rsidRDefault="00385F02" w:rsidP="00385F02">
            <w:pPr>
              <w:jc w:val="center"/>
              <w:rPr>
                <w:rFonts w:asciiTheme="minorHAnsi" w:hAnsiTheme="minorHAnsi" w:cs="Calibri"/>
                <w:b/>
                <w:bCs/>
                <w:color w:val="000000"/>
                <w:sz w:val="20"/>
                <w:szCs w:val="20"/>
              </w:rPr>
            </w:pPr>
          </w:p>
        </w:tc>
        <w:tc>
          <w:tcPr>
            <w:tcW w:w="2651" w:type="dxa"/>
            <w:shd w:val="clear" w:color="auto" w:fill="auto"/>
            <w:noWrap/>
            <w:vAlign w:val="center"/>
            <w:hideMark/>
          </w:tcPr>
          <w:p w14:paraId="4F39442A"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Programové prohlášení a vize vlády</w:t>
            </w:r>
          </w:p>
        </w:tc>
        <w:tc>
          <w:tcPr>
            <w:tcW w:w="691" w:type="dxa"/>
            <w:shd w:val="clear" w:color="auto" w:fill="auto"/>
            <w:noWrap/>
            <w:vAlign w:val="center"/>
            <w:hideMark/>
          </w:tcPr>
          <w:p w14:paraId="62F8DABE"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38%</w:t>
            </w:r>
          </w:p>
        </w:tc>
        <w:tc>
          <w:tcPr>
            <w:tcW w:w="691" w:type="dxa"/>
            <w:shd w:val="clear" w:color="auto" w:fill="auto"/>
            <w:noWrap/>
            <w:vAlign w:val="center"/>
            <w:hideMark/>
          </w:tcPr>
          <w:p w14:paraId="7FECA2E8"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25%</w:t>
            </w:r>
          </w:p>
        </w:tc>
        <w:tc>
          <w:tcPr>
            <w:tcW w:w="691" w:type="dxa"/>
            <w:shd w:val="clear" w:color="auto" w:fill="auto"/>
            <w:noWrap/>
            <w:vAlign w:val="center"/>
            <w:hideMark/>
          </w:tcPr>
          <w:p w14:paraId="34329019"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24%</w:t>
            </w:r>
          </w:p>
        </w:tc>
        <w:tc>
          <w:tcPr>
            <w:tcW w:w="691" w:type="dxa"/>
            <w:shd w:val="clear" w:color="auto" w:fill="auto"/>
            <w:noWrap/>
            <w:vAlign w:val="center"/>
            <w:hideMark/>
          </w:tcPr>
          <w:p w14:paraId="12CEE5A1"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70%</w:t>
            </w:r>
          </w:p>
        </w:tc>
        <w:tc>
          <w:tcPr>
            <w:tcW w:w="691" w:type="dxa"/>
            <w:shd w:val="clear" w:color="auto" w:fill="auto"/>
            <w:noWrap/>
            <w:vAlign w:val="center"/>
            <w:hideMark/>
          </w:tcPr>
          <w:p w14:paraId="264BFD19"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54%</w:t>
            </w:r>
          </w:p>
        </w:tc>
        <w:tc>
          <w:tcPr>
            <w:tcW w:w="691" w:type="dxa"/>
            <w:shd w:val="clear" w:color="auto" w:fill="auto"/>
            <w:noWrap/>
            <w:vAlign w:val="center"/>
            <w:hideMark/>
          </w:tcPr>
          <w:p w14:paraId="4C3976FB"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70%</w:t>
            </w:r>
          </w:p>
        </w:tc>
        <w:tc>
          <w:tcPr>
            <w:tcW w:w="691" w:type="dxa"/>
            <w:shd w:val="clear" w:color="auto" w:fill="auto"/>
            <w:noWrap/>
            <w:vAlign w:val="center"/>
            <w:hideMark/>
          </w:tcPr>
          <w:p w14:paraId="53965F49"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32%</w:t>
            </w:r>
          </w:p>
        </w:tc>
        <w:tc>
          <w:tcPr>
            <w:tcW w:w="590" w:type="dxa"/>
            <w:shd w:val="clear" w:color="auto" w:fill="auto"/>
            <w:noWrap/>
            <w:vAlign w:val="center"/>
            <w:hideMark/>
          </w:tcPr>
          <w:p w14:paraId="4AD26722"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38%</w:t>
            </w:r>
          </w:p>
        </w:tc>
      </w:tr>
      <w:tr w:rsidR="00385F02" w:rsidRPr="00385F02" w14:paraId="5156C588" w14:textId="77777777" w:rsidTr="00385F02">
        <w:trPr>
          <w:trHeight w:val="308"/>
        </w:trPr>
        <w:tc>
          <w:tcPr>
            <w:tcW w:w="846" w:type="dxa"/>
            <w:vMerge/>
            <w:vAlign w:val="center"/>
            <w:hideMark/>
          </w:tcPr>
          <w:p w14:paraId="0A528080" w14:textId="77777777" w:rsidR="00385F02" w:rsidRPr="00385F02" w:rsidRDefault="00385F02" w:rsidP="00385F02">
            <w:pPr>
              <w:jc w:val="center"/>
              <w:rPr>
                <w:rFonts w:asciiTheme="minorHAnsi" w:hAnsiTheme="minorHAnsi" w:cs="Calibri"/>
                <w:b/>
                <w:bCs/>
                <w:color w:val="000000"/>
                <w:sz w:val="20"/>
                <w:szCs w:val="20"/>
              </w:rPr>
            </w:pPr>
          </w:p>
        </w:tc>
        <w:tc>
          <w:tcPr>
            <w:tcW w:w="2651" w:type="dxa"/>
            <w:shd w:val="clear" w:color="auto" w:fill="auto"/>
            <w:noWrap/>
            <w:vAlign w:val="center"/>
            <w:hideMark/>
          </w:tcPr>
          <w:p w14:paraId="1A186427"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Sociální politika</w:t>
            </w:r>
          </w:p>
        </w:tc>
        <w:tc>
          <w:tcPr>
            <w:tcW w:w="691" w:type="dxa"/>
            <w:shd w:val="clear" w:color="auto" w:fill="auto"/>
            <w:noWrap/>
            <w:vAlign w:val="center"/>
            <w:hideMark/>
          </w:tcPr>
          <w:p w14:paraId="34C6E1BE"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4CCF0AFE"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3DE58B5D"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2A204780"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21%</w:t>
            </w:r>
          </w:p>
        </w:tc>
        <w:tc>
          <w:tcPr>
            <w:tcW w:w="691" w:type="dxa"/>
            <w:shd w:val="clear" w:color="auto" w:fill="auto"/>
            <w:noWrap/>
            <w:vAlign w:val="center"/>
            <w:hideMark/>
          </w:tcPr>
          <w:p w14:paraId="3363D5BD"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4%</w:t>
            </w:r>
          </w:p>
        </w:tc>
        <w:tc>
          <w:tcPr>
            <w:tcW w:w="691" w:type="dxa"/>
            <w:shd w:val="clear" w:color="auto" w:fill="auto"/>
            <w:noWrap/>
            <w:vAlign w:val="center"/>
            <w:hideMark/>
          </w:tcPr>
          <w:p w14:paraId="180B7E24"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0BF2F3B0"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590" w:type="dxa"/>
            <w:shd w:val="clear" w:color="auto" w:fill="auto"/>
            <w:noWrap/>
            <w:vAlign w:val="center"/>
            <w:hideMark/>
          </w:tcPr>
          <w:p w14:paraId="027B5ACB"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0%</w:t>
            </w:r>
          </w:p>
        </w:tc>
      </w:tr>
      <w:tr w:rsidR="00385F02" w:rsidRPr="00385F02" w14:paraId="5EAE640B" w14:textId="77777777" w:rsidTr="00385F02">
        <w:trPr>
          <w:trHeight w:val="308"/>
        </w:trPr>
        <w:tc>
          <w:tcPr>
            <w:tcW w:w="846" w:type="dxa"/>
            <w:vMerge/>
            <w:vAlign w:val="center"/>
            <w:hideMark/>
          </w:tcPr>
          <w:p w14:paraId="08E4DD8F" w14:textId="77777777" w:rsidR="00385F02" w:rsidRPr="00385F02" w:rsidRDefault="00385F02" w:rsidP="00385F02">
            <w:pPr>
              <w:jc w:val="center"/>
              <w:rPr>
                <w:rFonts w:asciiTheme="minorHAnsi" w:hAnsiTheme="minorHAnsi" w:cs="Calibri"/>
                <w:b/>
                <w:bCs/>
                <w:color w:val="000000"/>
                <w:sz w:val="20"/>
                <w:szCs w:val="20"/>
              </w:rPr>
            </w:pPr>
          </w:p>
        </w:tc>
        <w:tc>
          <w:tcPr>
            <w:tcW w:w="2651" w:type="dxa"/>
            <w:shd w:val="clear" w:color="auto" w:fill="auto"/>
            <w:noWrap/>
            <w:vAlign w:val="center"/>
            <w:hideMark/>
          </w:tcPr>
          <w:p w14:paraId="4F1477B0"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 xml:space="preserve">Trestní stíhání Andreje Babiše </w:t>
            </w:r>
          </w:p>
        </w:tc>
        <w:tc>
          <w:tcPr>
            <w:tcW w:w="691" w:type="dxa"/>
            <w:shd w:val="clear" w:color="auto" w:fill="auto"/>
            <w:noWrap/>
            <w:vAlign w:val="center"/>
            <w:hideMark/>
          </w:tcPr>
          <w:p w14:paraId="5F407261"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14%</w:t>
            </w:r>
          </w:p>
        </w:tc>
        <w:tc>
          <w:tcPr>
            <w:tcW w:w="691" w:type="dxa"/>
            <w:shd w:val="clear" w:color="auto" w:fill="auto"/>
            <w:noWrap/>
            <w:vAlign w:val="center"/>
            <w:hideMark/>
          </w:tcPr>
          <w:p w14:paraId="4670CC1A"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7%</w:t>
            </w:r>
          </w:p>
        </w:tc>
        <w:tc>
          <w:tcPr>
            <w:tcW w:w="691" w:type="dxa"/>
            <w:shd w:val="clear" w:color="auto" w:fill="auto"/>
            <w:noWrap/>
            <w:vAlign w:val="center"/>
            <w:hideMark/>
          </w:tcPr>
          <w:p w14:paraId="7052EB9E"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5%</w:t>
            </w:r>
          </w:p>
        </w:tc>
        <w:tc>
          <w:tcPr>
            <w:tcW w:w="691" w:type="dxa"/>
            <w:shd w:val="clear" w:color="auto" w:fill="auto"/>
            <w:noWrap/>
            <w:vAlign w:val="center"/>
            <w:hideMark/>
          </w:tcPr>
          <w:p w14:paraId="3825F500"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2334CA5B"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2%</w:t>
            </w:r>
          </w:p>
        </w:tc>
        <w:tc>
          <w:tcPr>
            <w:tcW w:w="691" w:type="dxa"/>
            <w:shd w:val="clear" w:color="auto" w:fill="auto"/>
            <w:noWrap/>
            <w:vAlign w:val="center"/>
            <w:hideMark/>
          </w:tcPr>
          <w:p w14:paraId="3B43D83B"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34CB1ABD"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16%</w:t>
            </w:r>
          </w:p>
        </w:tc>
        <w:tc>
          <w:tcPr>
            <w:tcW w:w="590" w:type="dxa"/>
            <w:shd w:val="clear" w:color="auto" w:fill="auto"/>
            <w:noWrap/>
            <w:vAlign w:val="center"/>
            <w:hideMark/>
          </w:tcPr>
          <w:p w14:paraId="6ECD8D30"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8%</w:t>
            </w:r>
          </w:p>
        </w:tc>
      </w:tr>
      <w:tr w:rsidR="00385F02" w:rsidRPr="00385F02" w14:paraId="73046E02" w14:textId="77777777" w:rsidTr="00385F02">
        <w:trPr>
          <w:trHeight w:val="308"/>
        </w:trPr>
        <w:tc>
          <w:tcPr>
            <w:tcW w:w="846" w:type="dxa"/>
            <w:vMerge/>
            <w:vAlign w:val="center"/>
            <w:hideMark/>
          </w:tcPr>
          <w:p w14:paraId="6340F2B4" w14:textId="77777777" w:rsidR="00385F02" w:rsidRPr="00385F02" w:rsidRDefault="00385F02" w:rsidP="00385F02">
            <w:pPr>
              <w:jc w:val="center"/>
              <w:rPr>
                <w:rFonts w:asciiTheme="minorHAnsi" w:hAnsiTheme="minorHAnsi" w:cs="Calibri"/>
                <w:b/>
                <w:bCs/>
                <w:color w:val="000000"/>
                <w:sz w:val="20"/>
                <w:szCs w:val="20"/>
              </w:rPr>
            </w:pPr>
          </w:p>
        </w:tc>
        <w:tc>
          <w:tcPr>
            <w:tcW w:w="2651" w:type="dxa"/>
            <w:shd w:val="clear" w:color="auto" w:fill="auto"/>
            <w:noWrap/>
            <w:vAlign w:val="center"/>
            <w:hideMark/>
          </w:tcPr>
          <w:p w14:paraId="4DABD522"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Minulost Andreje Babiše</w:t>
            </w:r>
          </w:p>
        </w:tc>
        <w:tc>
          <w:tcPr>
            <w:tcW w:w="691" w:type="dxa"/>
            <w:shd w:val="clear" w:color="auto" w:fill="auto"/>
            <w:noWrap/>
            <w:vAlign w:val="center"/>
            <w:hideMark/>
          </w:tcPr>
          <w:p w14:paraId="541C48D9"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5C23A251"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5E16F66F"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31F8E794"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34D8D7C8"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7DDAE447"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517462B7"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4%</w:t>
            </w:r>
          </w:p>
        </w:tc>
        <w:tc>
          <w:tcPr>
            <w:tcW w:w="590" w:type="dxa"/>
            <w:shd w:val="clear" w:color="auto" w:fill="auto"/>
            <w:noWrap/>
            <w:vAlign w:val="center"/>
            <w:hideMark/>
          </w:tcPr>
          <w:p w14:paraId="78FBE81C"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15%</w:t>
            </w:r>
          </w:p>
        </w:tc>
      </w:tr>
      <w:tr w:rsidR="00385F02" w:rsidRPr="00385F02" w14:paraId="1AC3785E" w14:textId="77777777" w:rsidTr="00385F02">
        <w:trPr>
          <w:trHeight w:val="308"/>
        </w:trPr>
        <w:tc>
          <w:tcPr>
            <w:tcW w:w="846" w:type="dxa"/>
            <w:vMerge/>
            <w:vAlign w:val="center"/>
            <w:hideMark/>
          </w:tcPr>
          <w:p w14:paraId="0BFD3C0A" w14:textId="77777777" w:rsidR="00385F02" w:rsidRPr="00385F02" w:rsidRDefault="00385F02" w:rsidP="00385F02">
            <w:pPr>
              <w:jc w:val="center"/>
              <w:rPr>
                <w:rFonts w:asciiTheme="minorHAnsi" w:hAnsiTheme="minorHAnsi" w:cs="Calibri"/>
                <w:b/>
                <w:bCs/>
                <w:color w:val="000000"/>
                <w:sz w:val="20"/>
                <w:szCs w:val="20"/>
              </w:rPr>
            </w:pPr>
          </w:p>
        </w:tc>
        <w:tc>
          <w:tcPr>
            <w:tcW w:w="2651" w:type="dxa"/>
            <w:shd w:val="clear" w:color="auto" w:fill="auto"/>
            <w:noWrap/>
            <w:vAlign w:val="center"/>
            <w:hideMark/>
          </w:tcPr>
          <w:p w14:paraId="0CF5021C"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Střet zájmů Andreje Babiše</w:t>
            </w:r>
          </w:p>
        </w:tc>
        <w:tc>
          <w:tcPr>
            <w:tcW w:w="691" w:type="dxa"/>
            <w:shd w:val="clear" w:color="auto" w:fill="auto"/>
            <w:noWrap/>
            <w:vAlign w:val="center"/>
            <w:hideMark/>
          </w:tcPr>
          <w:p w14:paraId="2E5EA1AC"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2%</w:t>
            </w:r>
          </w:p>
        </w:tc>
        <w:tc>
          <w:tcPr>
            <w:tcW w:w="691" w:type="dxa"/>
            <w:shd w:val="clear" w:color="auto" w:fill="auto"/>
            <w:noWrap/>
            <w:vAlign w:val="center"/>
            <w:hideMark/>
          </w:tcPr>
          <w:p w14:paraId="7F6D117B"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7%</w:t>
            </w:r>
          </w:p>
        </w:tc>
        <w:tc>
          <w:tcPr>
            <w:tcW w:w="691" w:type="dxa"/>
            <w:shd w:val="clear" w:color="auto" w:fill="auto"/>
            <w:noWrap/>
            <w:vAlign w:val="center"/>
            <w:hideMark/>
          </w:tcPr>
          <w:p w14:paraId="16449F43"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619E7F51"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18872630"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13D0B829"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4935C3A0"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12%</w:t>
            </w:r>
          </w:p>
        </w:tc>
        <w:tc>
          <w:tcPr>
            <w:tcW w:w="590" w:type="dxa"/>
            <w:shd w:val="clear" w:color="auto" w:fill="auto"/>
            <w:noWrap/>
            <w:vAlign w:val="center"/>
            <w:hideMark/>
          </w:tcPr>
          <w:p w14:paraId="2E9EBCF3"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8%</w:t>
            </w:r>
          </w:p>
        </w:tc>
      </w:tr>
      <w:tr w:rsidR="00385F02" w:rsidRPr="00385F02" w14:paraId="52EE101D" w14:textId="77777777" w:rsidTr="00385F02">
        <w:trPr>
          <w:trHeight w:val="308"/>
        </w:trPr>
        <w:tc>
          <w:tcPr>
            <w:tcW w:w="846" w:type="dxa"/>
            <w:vMerge/>
            <w:vAlign w:val="center"/>
            <w:hideMark/>
          </w:tcPr>
          <w:p w14:paraId="57ED6991" w14:textId="77777777" w:rsidR="00385F02" w:rsidRPr="00385F02" w:rsidRDefault="00385F02" w:rsidP="00385F02">
            <w:pPr>
              <w:jc w:val="center"/>
              <w:rPr>
                <w:rFonts w:asciiTheme="minorHAnsi" w:hAnsiTheme="minorHAnsi" w:cs="Calibri"/>
                <w:b/>
                <w:bCs/>
                <w:color w:val="000000"/>
                <w:sz w:val="20"/>
                <w:szCs w:val="20"/>
              </w:rPr>
            </w:pPr>
          </w:p>
        </w:tc>
        <w:tc>
          <w:tcPr>
            <w:tcW w:w="2651" w:type="dxa"/>
            <w:shd w:val="clear" w:color="auto" w:fill="auto"/>
            <w:noWrap/>
            <w:vAlign w:val="center"/>
            <w:hideMark/>
          </w:tcPr>
          <w:p w14:paraId="49F7BB17"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Účast KSČM na vládě</w:t>
            </w:r>
          </w:p>
        </w:tc>
        <w:tc>
          <w:tcPr>
            <w:tcW w:w="691" w:type="dxa"/>
            <w:shd w:val="clear" w:color="auto" w:fill="auto"/>
            <w:noWrap/>
            <w:vAlign w:val="center"/>
            <w:hideMark/>
          </w:tcPr>
          <w:p w14:paraId="3FD12BE9"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568E5938"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2E018F70"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0CE88A37"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500B213E"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56072961"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6BCB509E"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590" w:type="dxa"/>
            <w:shd w:val="clear" w:color="auto" w:fill="auto"/>
            <w:noWrap/>
            <w:vAlign w:val="center"/>
            <w:hideMark/>
          </w:tcPr>
          <w:p w14:paraId="71E0AA31"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0%</w:t>
            </w:r>
          </w:p>
        </w:tc>
      </w:tr>
      <w:tr w:rsidR="00385F02" w:rsidRPr="00385F02" w14:paraId="05D903C7" w14:textId="77777777" w:rsidTr="00385F02">
        <w:trPr>
          <w:trHeight w:val="323"/>
        </w:trPr>
        <w:tc>
          <w:tcPr>
            <w:tcW w:w="846" w:type="dxa"/>
            <w:vMerge/>
            <w:vAlign w:val="center"/>
            <w:hideMark/>
          </w:tcPr>
          <w:p w14:paraId="11ECFB2F" w14:textId="77777777" w:rsidR="00385F02" w:rsidRPr="00385F02" w:rsidRDefault="00385F02" w:rsidP="00385F02">
            <w:pPr>
              <w:jc w:val="center"/>
              <w:rPr>
                <w:rFonts w:asciiTheme="minorHAnsi" w:hAnsiTheme="minorHAnsi" w:cs="Calibri"/>
                <w:b/>
                <w:bCs/>
                <w:color w:val="000000"/>
                <w:sz w:val="20"/>
                <w:szCs w:val="20"/>
              </w:rPr>
            </w:pPr>
          </w:p>
        </w:tc>
        <w:tc>
          <w:tcPr>
            <w:tcW w:w="2651" w:type="dxa"/>
            <w:shd w:val="clear" w:color="auto" w:fill="auto"/>
            <w:noWrap/>
            <w:vAlign w:val="center"/>
            <w:hideMark/>
          </w:tcPr>
          <w:p w14:paraId="4B6CFAF6"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Jiné</w:t>
            </w:r>
          </w:p>
        </w:tc>
        <w:tc>
          <w:tcPr>
            <w:tcW w:w="691" w:type="dxa"/>
            <w:shd w:val="clear" w:color="auto" w:fill="auto"/>
            <w:noWrap/>
            <w:vAlign w:val="center"/>
            <w:hideMark/>
          </w:tcPr>
          <w:p w14:paraId="2EE494BF"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16%</w:t>
            </w:r>
          </w:p>
        </w:tc>
        <w:tc>
          <w:tcPr>
            <w:tcW w:w="691" w:type="dxa"/>
            <w:shd w:val="clear" w:color="auto" w:fill="auto"/>
            <w:noWrap/>
            <w:vAlign w:val="center"/>
            <w:hideMark/>
          </w:tcPr>
          <w:p w14:paraId="122B3403"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36%</w:t>
            </w:r>
          </w:p>
        </w:tc>
        <w:tc>
          <w:tcPr>
            <w:tcW w:w="691" w:type="dxa"/>
            <w:shd w:val="clear" w:color="auto" w:fill="auto"/>
            <w:noWrap/>
            <w:vAlign w:val="center"/>
            <w:hideMark/>
          </w:tcPr>
          <w:p w14:paraId="1E771BA7"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24%</w:t>
            </w:r>
          </w:p>
        </w:tc>
        <w:tc>
          <w:tcPr>
            <w:tcW w:w="691" w:type="dxa"/>
            <w:shd w:val="clear" w:color="auto" w:fill="auto"/>
            <w:noWrap/>
            <w:vAlign w:val="center"/>
            <w:hideMark/>
          </w:tcPr>
          <w:p w14:paraId="5A6C90DC"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11FE34CC"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4%</w:t>
            </w:r>
          </w:p>
        </w:tc>
        <w:tc>
          <w:tcPr>
            <w:tcW w:w="691" w:type="dxa"/>
            <w:shd w:val="clear" w:color="auto" w:fill="auto"/>
            <w:noWrap/>
            <w:vAlign w:val="center"/>
            <w:hideMark/>
          </w:tcPr>
          <w:p w14:paraId="603C26A9"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7EA41634"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590" w:type="dxa"/>
            <w:shd w:val="clear" w:color="auto" w:fill="auto"/>
            <w:noWrap/>
            <w:vAlign w:val="center"/>
            <w:hideMark/>
          </w:tcPr>
          <w:p w14:paraId="77F4CFE9"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0%</w:t>
            </w:r>
          </w:p>
        </w:tc>
      </w:tr>
      <w:tr w:rsidR="00385F02" w:rsidRPr="00385F02" w14:paraId="368C8505" w14:textId="77777777" w:rsidTr="00385F02">
        <w:trPr>
          <w:trHeight w:val="323"/>
        </w:trPr>
        <w:tc>
          <w:tcPr>
            <w:tcW w:w="846" w:type="dxa"/>
            <w:vMerge/>
            <w:vAlign w:val="center"/>
            <w:hideMark/>
          </w:tcPr>
          <w:p w14:paraId="71728C95" w14:textId="77777777" w:rsidR="00385F02" w:rsidRPr="00385F02" w:rsidRDefault="00385F02" w:rsidP="00385F02">
            <w:pPr>
              <w:jc w:val="center"/>
              <w:rPr>
                <w:rFonts w:asciiTheme="minorHAnsi" w:hAnsiTheme="minorHAnsi" w:cs="Calibri"/>
                <w:b/>
                <w:bCs/>
                <w:color w:val="000000"/>
                <w:sz w:val="20"/>
                <w:szCs w:val="20"/>
              </w:rPr>
            </w:pPr>
          </w:p>
        </w:tc>
        <w:tc>
          <w:tcPr>
            <w:tcW w:w="2651" w:type="dxa"/>
            <w:shd w:val="clear" w:color="auto" w:fill="auto"/>
            <w:noWrap/>
            <w:vAlign w:val="center"/>
            <w:hideMark/>
          </w:tcPr>
          <w:p w14:paraId="52881F2C" w14:textId="77777777" w:rsidR="00385F02" w:rsidRPr="00385F02" w:rsidRDefault="00385F02" w:rsidP="00385F02">
            <w:pPr>
              <w:rPr>
                <w:rFonts w:asciiTheme="minorHAnsi" w:hAnsiTheme="minorHAnsi" w:cs="Calibri"/>
                <w:b/>
                <w:bCs/>
                <w:color w:val="000000"/>
                <w:sz w:val="20"/>
                <w:szCs w:val="20"/>
              </w:rPr>
            </w:pPr>
            <w:r w:rsidRPr="00385F02">
              <w:rPr>
                <w:rFonts w:asciiTheme="minorHAnsi" w:hAnsiTheme="minorHAnsi" w:cs="Calibri"/>
                <w:b/>
                <w:bCs/>
                <w:color w:val="000000"/>
                <w:sz w:val="20"/>
                <w:szCs w:val="20"/>
              </w:rPr>
              <w:t>Celkem</w:t>
            </w:r>
          </w:p>
        </w:tc>
        <w:tc>
          <w:tcPr>
            <w:tcW w:w="691" w:type="dxa"/>
            <w:shd w:val="clear" w:color="auto" w:fill="auto"/>
            <w:noWrap/>
            <w:vAlign w:val="center"/>
            <w:hideMark/>
          </w:tcPr>
          <w:p w14:paraId="4B20BC51" w14:textId="77777777" w:rsidR="00385F02" w:rsidRPr="00385F02" w:rsidRDefault="00385F02" w:rsidP="00385F02">
            <w:pPr>
              <w:rPr>
                <w:rFonts w:asciiTheme="minorHAnsi" w:hAnsiTheme="minorHAnsi" w:cs="Calibri"/>
                <w:b/>
                <w:bCs/>
                <w:color w:val="000000"/>
                <w:sz w:val="20"/>
                <w:szCs w:val="20"/>
              </w:rPr>
            </w:pPr>
            <w:r w:rsidRPr="00385F02">
              <w:rPr>
                <w:rFonts w:asciiTheme="minorHAnsi" w:hAnsiTheme="minorHAnsi" w:cs="Calibri"/>
                <w:b/>
                <w:bCs/>
                <w:color w:val="000000"/>
                <w:sz w:val="20"/>
                <w:szCs w:val="20"/>
              </w:rPr>
              <w:t>100%</w:t>
            </w:r>
          </w:p>
        </w:tc>
        <w:tc>
          <w:tcPr>
            <w:tcW w:w="691" w:type="dxa"/>
            <w:shd w:val="clear" w:color="auto" w:fill="auto"/>
            <w:noWrap/>
            <w:vAlign w:val="center"/>
            <w:hideMark/>
          </w:tcPr>
          <w:p w14:paraId="41E54764" w14:textId="77777777" w:rsidR="00385F02" w:rsidRPr="00385F02" w:rsidRDefault="00385F02" w:rsidP="00385F02">
            <w:pPr>
              <w:rPr>
                <w:rFonts w:asciiTheme="minorHAnsi" w:hAnsiTheme="minorHAnsi" w:cs="Calibri"/>
                <w:b/>
                <w:bCs/>
                <w:color w:val="000000"/>
                <w:sz w:val="20"/>
                <w:szCs w:val="20"/>
              </w:rPr>
            </w:pPr>
            <w:r w:rsidRPr="00385F02">
              <w:rPr>
                <w:rFonts w:asciiTheme="minorHAnsi" w:hAnsiTheme="minorHAnsi" w:cs="Calibri"/>
                <w:b/>
                <w:bCs/>
                <w:color w:val="000000"/>
                <w:sz w:val="20"/>
                <w:szCs w:val="20"/>
              </w:rPr>
              <w:t>100%</w:t>
            </w:r>
          </w:p>
        </w:tc>
        <w:tc>
          <w:tcPr>
            <w:tcW w:w="691" w:type="dxa"/>
            <w:shd w:val="clear" w:color="auto" w:fill="auto"/>
            <w:noWrap/>
            <w:vAlign w:val="center"/>
            <w:hideMark/>
          </w:tcPr>
          <w:p w14:paraId="13F0AA9C" w14:textId="77777777" w:rsidR="00385F02" w:rsidRPr="00385F02" w:rsidRDefault="00385F02" w:rsidP="00385F02">
            <w:pPr>
              <w:rPr>
                <w:rFonts w:asciiTheme="minorHAnsi" w:hAnsiTheme="minorHAnsi" w:cs="Calibri"/>
                <w:b/>
                <w:bCs/>
                <w:color w:val="000000"/>
                <w:sz w:val="20"/>
                <w:szCs w:val="20"/>
              </w:rPr>
            </w:pPr>
            <w:r w:rsidRPr="00385F02">
              <w:rPr>
                <w:rFonts w:asciiTheme="minorHAnsi" w:hAnsiTheme="minorHAnsi" w:cs="Calibri"/>
                <w:b/>
                <w:bCs/>
                <w:color w:val="000000"/>
                <w:sz w:val="20"/>
                <w:szCs w:val="20"/>
              </w:rPr>
              <w:t>100%</w:t>
            </w:r>
          </w:p>
        </w:tc>
        <w:tc>
          <w:tcPr>
            <w:tcW w:w="691" w:type="dxa"/>
            <w:shd w:val="clear" w:color="auto" w:fill="auto"/>
            <w:noWrap/>
            <w:vAlign w:val="center"/>
            <w:hideMark/>
          </w:tcPr>
          <w:p w14:paraId="12CDF000" w14:textId="77777777" w:rsidR="00385F02" w:rsidRPr="00385F02" w:rsidRDefault="00385F02" w:rsidP="00385F02">
            <w:pPr>
              <w:rPr>
                <w:rFonts w:asciiTheme="minorHAnsi" w:hAnsiTheme="minorHAnsi" w:cs="Calibri"/>
                <w:b/>
                <w:bCs/>
                <w:color w:val="000000"/>
                <w:sz w:val="20"/>
                <w:szCs w:val="20"/>
              </w:rPr>
            </w:pPr>
            <w:r w:rsidRPr="00385F02">
              <w:rPr>
                <w:rFonts w:asciiTheme="minorHAnsi" w:hAnsiTheme="minorHAnsi" w:cs="Calibri"/>
                <w:b/>
                <w:bCs/>
                <w:color w:val="000000"/>
                <w:sz w:val="20"/>
                <w:szCs w:val="20"/>
              </w:rPr>
              <w:t>100%</w:t>
            </w:r>
          </w:p>
        </w:tc>
        <w:tc>
          <w:tcPr>
            <w:tcW w:w="691" w:type="dxa"/>
            <w:shd w:val="clear" w:color="auto" w:fill="auto"/>
            <w:noWrap/>
            <w:vAlign w:val="center"/>
            <w:hideMark/>
          </w:tcPr>
          <w:p w14:paraId="017CF4DD" w14:textId="77777777" w:rsidR="00385F02" w:rsidRPr="00385F02" w:rsidRDefault="00385F02" w:rsidP="00385F02">
            <w:pPr>
              <w:rPr>
                <w:rFonts w:asciiTheme="minorHAnsi" w:hAnsiTheme="minorHAnsi" w:cs="Calibri"/>
                <w:b/>
                <w:bCs/>
                <w:color w:val="000000"/>
                <w:sz w:val="20"/>
                <w:szCs w:val="20"/>
              </w:rPr>
            </w:pPr>
            <w:r w:rsidRPr="00385F02">
              <w:rPr>
                <w:rFonts w:asciiTheme="minorHAnsi" w:hAnsiTheme="minorHAnsi" w:cs="Calibri"/>
                <w:b/>
                <w:bCs/>
                <w:color w:val="000000"/>
                <w:sz w:val="20"/>
                <w:szCs w:val="20"/>
              </w:rPr>
              <w:t>100%</w:t>
            </w:r>
          </w:p>
        </w:tc>
        <w:tc>
          <w:tcPr>
            <w:tcW w:w="691" w:type="dxa"/>
            <w:shd w:val="clear" w:color="auto" w:fill="auto"/>
            <w:noWrap/>
            <w:vAlign w:val="center"/>
            <w:hideMark/>
          </w:tcPr>
          <w:p w14:paraId="31CA72FD" w14:textId="77777777" w:rsidR="00385F02" w:rsidRPr="00385F02" w:rsidRDefault="00385F02" w:rsidP="00385F02">
            <w:pPr>
              <w:rPr>
                <w:rFonts w:asciiTheme="minorHAnsi" w:hAnsiTheme="minorHAnsi" w:cs="Calibri"/>
                <w:b/>
                <w:bCs/>
                <w:color w:val="000000"/>
                <w:sz w:val="20"/>
                <w:szCs w:val="20"/>
              </w:rPr>
            </w:pPr>
            <w:r w:rsidRPr="00385F02">
              <w:rPr>
                <w:rFonts w:asciiTheme="minorHAnsi" w:hAnsiTheme="minorHAnsi" w:cs="Calibri"/>
                <w:b/>
                <w:bCs/>
                <w:color w:val="000000"/>
                <w:sz w:val="20"/>
                <w:szCs w:val="20"/>
              </w:rPr>
              <w:t>100%</w:t>
            </w:r>
          </w:p>
        </w:tc>
        <w:tc>
          <w:tcPr>
            <w:tcW w:w="691" w:type="dxa"/>
            <w:shd w:val="clear" w:color="auto" w:fill="auto"/>
            <w:noWrap/>
            <w:vAlign w:val="center"/>
            <w:hideMark/>
          </w:tcPr>
          <w:p w14:paraId="3EAA304C" w14:textId="77777777" w:rsidR="00385F02" w:rsidRPr="00385F02" w:rsidRDefault="00385F02" w:rsidP="00385F02">
            <w:pPr>
              <w:rPr>
                <w:rFonts w:asciiTheme="minorHAnsi" w:hAnsiTheme="minorHAnsi" w:cs="Calibri"/>
                <w:b/>
                <w:bCs/>
                <w:color w:val="000000"/>
                <w:sz w:val="20"/>
                <w:szCs w:val="20"/>
              </w:rPr>
            </w:pPr>
            <w:r w:rsidRPr="00385F02">
              <w:rPr>
                <w:rFonts w:asciiTheme="minorHAnsi" w:hAnsiTheme="minorHAnsi" w:cs="Calibri"/>
                <w:b/>
                <w:bCs/>
                <w:color w:val="000000"/>
                <w:sz w:val="20"/>
                <w:szCs w:val="20"/>
              </w:rPr>
              <w:t>100%</w:t>
            </w:r>
          </w:p>
        </w:tc>
        <w:tc>
          <w:tcPr>
            <w:tcW w:w="590" w:type="dxa"/>
            <w:shd w:val="clear" w:color="auto" w:fill="auto"/>
            <w:noWrap/>
            <w:vAlign w:val="center"/>
            <w:hideMark/>
          </w:tcPr>
          <w:p w14:paraId="220BB787" w14:textId="77777777" w:rsidR="00385F02" w:rsidRPr="00385F02" w:rsidRDefault="00385F02" w:rsidP="00385F02">
            <w:pPr>
              <w:rPr>
                <w:rFonts w:ascii="Calibri" w:hAnsi="Calibri" w:cs="Calibri"/>
                <w:b/>
                <w:bCs/>
                <w:color w:val="000000"/>
                <w:sz w:val="20"/>
                <w:szCs w:val="20"/>
              </w:rPr>
            </w:pPr>
            <w:r w:rsidRPr="00385F02">
              <w:rPr>
                <w:rFonts w:ascii="Calibri" w:hAnsi="Calibri" w:cs="Calibri"/>
                <w:b/>
                <w:bCs/>
                <w:color w:val="000000"/>
                <w:sz w:val="20"/>
                <w:szCs w:val="20"/>
              </w:rPr>
              <w:t>100%</w:t>
            </w:r>
          </w:p>
        </w:tc>
      </w:tr>
      <w:tr w:rsidR="00385F02" w:rsidRPr="00385F02" w14:paraId="420B3895" w14:textId="77777777" w:rsidTr="00385F02">
        <w:trPr>
          <w:trHeight w:val="308"/>
        </w:trPr>
        <w:tc>
          <w:tcPr>
            <w:tcW w:w="846" w:type="dxa"/>
            <w:vMerge w:val="restart"/>
            <w:shd w:val="clear" w:color="auto" w:fill="auto"/>
            <w:noWrap/>
            <w:vAlign w:val="center"/>
            <w:hideMark/>
          </w:tcPr>
          <w:p w14:paraId="47D7D587" w14:textId="77777777" w:rsidR="00385F02" w:rsidRPr="00385F02" w:rsidRDefault="00385F02" w:rsidP="00385F02">
            <w:pPr>
              <w:jc w:val="center"/>
              <w:rPr>
                <w:rFonts w:asciiTheme="minorHAnsi" w:hAnsiTheme="minorHAnsi" w:cs="Calibri"/>
                <w:b/>
                <w:bCs/>
                <w:color w:val="000000"/>
                <w:sz w:val="20"/>
                <w:szCs w:val="20"/>
              </w:rPr>
            </w:pPr>
            <w:r w:rsidRPr="00385F02">
              <w:rPr>
                <w:rFonts w:asciiTheme="minorHAnsi" w:hAnsiTheme="minorHAnsi" w:cs="Calibri"/>
                <w:b/>
                <w:bCs/>
                <w:color w:val="000000"/>
                <w:sz w:val="20"/>
                <w:szCs w:val="20"/>
              </w:rPr>
              <w:t>2</w:t>
            </w:r>
          </w:p>
        </w:tc>
        <w:tc>
          <w:tcPr>
            <w:tcW w:w="2651" w:type="dxa"/>
            <w:shd w:val="clear" w:color="auto" w:fill="auto"/>
            <w:noWrap/>
            <w:vAlign w:val="center"/>
            <w:hideMark/>
          </w:tcPr>
          <w:p w14:paraId="3E27652C"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Kompetence vlády</w:t>
            </w:r>
          </w:p>
        </w:tc>
        <w:tc>
          <w:tcPr>
            <w:tcW w:w="691" w:type="dxa"/>
            <w:shd w:val="clear" w:color="auto" w:fill="auto"/>
            <w:noWrap/>
            <w:vAlign w:val="center"/>
            <w:hideMark/>
          </w:tcPr>
          <w:p w14:paraId="08612D9E"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w:t>
            </w:r>
          </w:p>
        </w:tc>
        <w:tc>
          <w:tcPr>
            <w:tcW w:w="691" w:type="dxa"/>
            <w:shd w:val="clear" w:color="auto" w:fill="auto"/>
            <w:noWrap/>
            <w:vAlign w:val="center"/>
            <w:hideMark/>
          </w:tcPr>
          <w:p w14:paraId="131FB7B4"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4%</w:t>
            </w:r>
          </w:p>
        </w:tc>
        <w:tc>
          <w:tcPr>
            <w:tcW w:w="691" w:type="dxa"/>
            <w:shd w:val="clear" w:color="auto" w:fill="auto"/>
            <w:noWrap/>
            <w:vAlign w:val="center"/>
            <w:hideMark/>
          </w:tcPr>
          <w:p w14:paraId="42D73BCC"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vMerge w:val="restart"/>
            <w:shd w:val="clear" w:color="auto" w:fill="auto"/>
            <w:noWrap/>
            <w:vAlign w:val="center"/>
            <w:hideMark/>
          </w:tcPr>
          <w:p w14:paraId="561DDEEB"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 </w:t>
            </w:r>
          </w:p>
          <w:p w14:paraId="52FDC718"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 </w:t>
            </w:r>
          </w:p>
          <w:p w14:paraId="6CCBC8DF"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 </w:t>
            </w:r>
          </w:p>
          <w:p w14:paraId="60E5F517"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 </w:t>
            </w:r>
          </w:p>
          <w:p w14:paraId="70F86AB7"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 </w:t>
            </w:r>
          </w:p>
          <w:p w14:paraId="0522D5E3"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 </w:t>
            </w:r>
          </w:p>
          <w:p w14:paraId="24740C0E"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 </w:t>
            </w:r>
          </w:p>
          <w:p w14:paraId="12FF3D78"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 </w:t>
            </w:r>
          </w:p>
          <w:p w14:paraId="64E5E9E7"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 </w:t>
            </w:r>
          </w:p>
          <w:p w14:paraId="634B1D6E"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 </w:t>
            </w:r>
          </w:p>
          <w:p w14:paraId="53B4EEFC"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 </w:t>
            </w:r>
          </w:p>
        </w:tc>
        <w:tc>
          <w:tcPr>
            <w:tcW w:w="691" w:type="dxa"/>
            <w:vMerge w:val="restart"/>
            <w:shd w:val="clear" w:color="auto" w:fill="auto"/>
            <w:noWrap/>
            <w:vAlign w:val="center"/>
            <w:hideMark/>
          </w:tcPr>
          <w:p w14:paraId="5F411435" w14:textId="77777777" w:rsidR="00385F02" w:rsidRPr="00385F02" w:rsidRDefault="00385F02" w:rsidP="00385F02">
            <w:pPr>
              <w:rPr>
                <w:rFonts w:asciiTheme="minorHAnsi" w:hAnsiTheme="minorHAnsi" w:cs="Calibri"/>
                <w:color w:val="000000"/>
                <w:sz w:val="20"/>
                <w:szCs w:val="20"/>
              </w:rPr>
            </w:pPr>
          </w:p>
        </w:tc>
        <w:tc>
          <w:tcPr>
            <w:tcW w:w="691" w:type="dxa"/>
            <w:shd w:val="clear" w:color="auto" w:fill="auto"/>
            <w:noWrap/>
            <w:vAlign w:val="center"/>
            <w:hideMark/>
          </w:tcPr>
          <w:p w14:paraId="5EB12D36"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4E206967"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590" w:type="dxa"/>
            <w:shd w:val="clear" w:color="auto" w:fill="auto"/>
            <w:noWrap/>
            <w:vAlign w:val="center"/>
            <w:hideMark/>
          </w:tcPr>
          <w:p w14:paraId="4C7866C4"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0%</w:t>
            </w:r>
          </w:p>
        </w:tc>
      </w:tr>
      <w:tr w:rsidR="00385F02" w:rsidRPr="00385F02" w14:paraId="4E197E7D" w14:textId="77777777" w:rsidTr="00385F02">
        <w:trPr>
          <w:trHeight w:val="308"/>
        </w:trPr>
        <w:tc>
          <w:tcPr>
            <w:tcW w:w="846" w:type="dxa"/>
            <w:vMerge/>
            <w:vAlign w:val="center"/>
            <w:hideMark/>
          </w:tcPr>
          <w:p w14:paraId="43867BA1" w14:textId="77777777" w:rsidR="00385F02" w:rsidRPr="00385F02" w:rsidRDefault="00385F02" w:rsidP="00385F02">
            <w:pPr>
              <w:rPr>
                <w:rFonts w:asciiTheme="minorHAnsi" w:hAnsiTheme="minorHAnsi" w:cs="Calibri"/>
                <w:b/>
                <w:bCs/>
                <w:color w:val="000000"/>
                <w:sz w:val="20"/>
                <w:szCs w:val="20"/>
              </w:rPr>
            </w:pPr>
          </w:p>
        </w:tc>
        <w:tc>
          <w:tcPr>
            <w:tcW w:w="2651" w:type="dxa"/>
            <w:shd w:val="clear" w:color="auto" w:fill="auto"/>
            <w:noWrap/>
            <w:vAlign w:val="center"/>
            <w:hideMark/>
          </w:tcPr>
          <w:p w14:paraId="19419E9E"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Důvěryhodnost vlády</w:t>
            </w:r>
          </w:p>
        </w:tc>
        <w:tc>
          <w:tcPr>
            <w:tcW w:w="691" w:type="dxa"/>
            <w:shd w:val="clear" w:color="auto" w:fill="auto"/>
            <w:noWrap/>
            <w:vAlign w:val="center"/>
            <w:hideMark/>
          </w:tcPr>
          <w:p w14:paraId="056EBFAF"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2%</w:t>
            </w:r>
          </w:p>
        </w:tc>
        <w:tc>
          <w:tcPr>
            <w:tcW w:w="691" w:type="dxa"/>
            <w:shd w:val="clear" w:color="auto" w:fill="auto"/>
            <w:noWrap/>
            <w:vAlign w:val="center"/>
            <w:hideMark/>
          </w:tcPr>
          <w:p w14:paraId="04BC5D77"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2%</w:t>
            </w:r>
          </w:p>
        </w:tc>
        <w:tc>
          <w:tcPr>
            <w:tcW w:w="691" w:type="dxa"/>
            <w:shd w:val="clear" w:color="auto" w:fill="auto"/>
            <w:noWrap/>
            <w:vAlign w:val="center"/>
            <w:hideMark/>
          </w:tcPr>
          <w:p w14:paraId="495A5D3F"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4%</w:t>
            </w:r>
          </w:p>
        </w:tc>
        <w:tc>
          <w:tcPr>
            <w:tcW w:w="691" w:type="dxa"/>
            <w:vMerge/>
            <w:shd w:val="clear" w:color="auto" w:fill="auto"/>
            <w:noWrap/>
            <w:vAlign w:val="center"/>
            <w:hideMark/>
          </w:tcPr>
          <w:p w14:paraId="2AB80A83" w14:textId="77777777" w:rsidR="00385F02" w:rsidRPr="00385F02" w:rsidRDefault="00385F02" w:rsidP="00385F02">
            <w:pPr>
              <w:rPr>
                <w:rFonts w:asciiTheme="minorHAnsi" w:hAnsiTheme="minorHAnsi" w:cs="Calibri"/>
                <w:color w:val="000000"/>
                <w:sz w:val="20"/>
                <w:szCs w:val="20"/>
              </w:rPr>
            </w:pPr>
          </w:p>
        </w:tc>
        <w:tc>
          <w:tcPr>
            <w:tcW w:w="691" w:type="dxa"/>
            <w:vMerge/>
            <w:shd w:val="clear" w:color="auto" w:fill="auto"/>
            <w:noWrap/>
            <w:vAlign w:val="center"/>
            <w:hideMark/>
          </w:tcPr>
          <w:p w14:paraId="71780826" w14:textId="77777777" w:rsidR="00385F02" w:rsidRPr="00385F02" w:rsidRDefault="00385F02" w:rsidP="00385F02">
            <w:pPr>
              <w:rPr>
                <w:rFonts w:asciiTheme="minorHAnsi" w:hAnsiTheme="minorHAnsi" w:cs="Calibri"/>
                <w:color w:val="000000"/>
                <w:sz w:val="20"/>
                <w:szCs w:val="20"/>
              </w:rPr>
            </w:pPr>
          </w:p>
        </w:tc>
        <w:tc>
          <w:tcPr>
            <w:tcW w:w="691" w:type="dxa"/>
            <w:shd w:val="clear" w:color="auto" w:fill="auto"/>
            <w:noWrap/>
            <w:vAlign w:val="center"/>
            <w:hideMark/>
          </w:tcPr>
          <w:p w14:paraId="24DD7B5D"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5%</w:t>
            </w:r>
          </w:p>
        </w:tc>
        <w:tc>
          <w:tcPr>
            <w:tcW w:w="691" w:type="dxa"/>
            <w:shd w:val="clear" w:color="auto" w:fill="auto"/>
            <w:noWrap/>
            <w:vAlign w:val="center"/>
            <w:hideMark/>
          </w:tcPr>
          <w:p w14:paraId="5FD26571"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13%</w:t>
            </w:r>
          </w:p>
        </w:tc>
        <w:tc>
          <w:tcPr>
            <w:tcW w:w="590" w:type="dxa"/>
            <w:shd w:val="clear" w:color="auto" w:fill="auto"/>
            <w:noWrap/>
            <w:vAlign w:val="center"/>
            <w:hideMark/>
          </w:tcPr>
          <w:p w14:paraId="258A84E8"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3%</w:t>
            </w:r>
          </w:p>
        </w:tc>
      </w:tr>
      <w:tr w:rsidR="00385F02" w:rsidRPr="00385F02" w14:paraId="7EAE95B4" w14:textId="77777777" w:rsidTr="00385F02">
        <w:trPr>
          <w:trHeight w:val="308"/>
        </w:trPr>
        <w:tc>
          <w:tcPr>
            <w:tcW w:w="846" w:type="dxa"/>
            <w:vMerge/>
            <w:vAlign w:val="center"/>
            <w:hideMark/>
          </w:tcPr>
          <w:p w14:paraId="431662D1" w14:textId="77777777" w:rsidR="00385F02" w:rsidRPr="00385F02" w:rsidRDefault="00385F02" w:rsidP="00385F02">
            <w:pPr>
              <w:rPr>
                <w:rFonts w:asciiTheme="minorHAnsi" w:hAnsiTheme="minorHAnsi" w:cs="Calibri"/>
                <w:b/>
                <w:bCs/>
                <w:color w:val="000000"/>
                <w:sz w:val="20"/>
                <w:szCs w:val="20"/>
              </w:rPr>
            </w:pPr>
          </w:p>
        </w:tc>
        <w:tc>
          <w:tcPr>
            <w:tcW w:w="2651" w:type="dxa"/>
            <w:shd w:val="clear" w:color="auto" w:fill="auto"/>
            <w:noWrap/>
            <w:vAlign w:val="center"/>
            <w:hideMark/>
          </w:tcPr>
          <w:p w14:paraId="4CD9CADC"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Personální obsazení vlády</w:t>
            </w:r>
          </w:p>
        </w:tc>
        <w:tc>
          <w:tcPr>
            <w:tcW w:w="691" w:type="dxa"/>
            <w:shd w:val="clear" w:color="auto" w:fill="auto"/>
            <w:noWrap/>
            <w:vAlign w:val="center"/>
            <w:hideMark/>
          </w:tcPr>
          <w:p w14:paraId="5A483914"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8%</w:t>
            </w:r>
          </w:p>
        </w:tc>
        <w:tc>
          <w:tcPr>
            <w:tcW w:w="691" w:type="dxa"/>
            <w:shd w:val="clear" w:color="auto" w:fill="auto"/>
            <w:noWrap/>
            <w:vAlign w:val="center"/>
            <w:hideMark/>
          </w:tcPr>
          <w:p w14:paraId="1FC2A855"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11%</w:t>
            </w:r>
          </w:p>
        </w:tc>
        <w:tc>
          <w:tcPr>
            <w:tcW w:w="691" w:type="dxa"/>
            <w:shd w:val="clear" w:color="auto" w:fill="auto"/>
            <w:noWrap/>
            <w:vAlign w:val="center"/>
            <w:hideMark/>
          </w:tcPr>
          <w:p w14:paraId="09C08638"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19%</w:t>
            </w:r>
          </w:p>
        </w:tc>
        <w:tc>
          <w:tcPr>
            <w:tcW w:w="691" w:type="dxa"/>
            <w:vMerge/>
            <w:shd w:val="clear" w:color="auto" w:fill="auto"/>
            <w:noWrap/>
            <w:vAlign w:val="center"/>
            <w:hideMark/>
          </w:tcPr>
          <w:p w14:paraId="39E9D4CE" w14:textId="77777777" w:rsidR="00385F02" w:rsidRPr="00385F02" w:rsidRDefault="00385F02" w:rsidP="00385F02">
            <w:pPr>
              <w:rPr>
                <w:rFonts w:asciiTheme="minorHAnsi" w:hAnsiTheme="minorHAnsi" w:cs="Calibri"/>
                <w:color w:val="000000"/>
                <w:sz w:val="20"/>
                <w:szCs w:val="20"/>
              </w:rPr>
            </w:pPr>
          </w:p>
        </w:tc>
        <w:tc>
          <w:tcPr>
            <w:tcW w:w="691" w:type="dxa"/>
            <w:vMerge/>
            <w:shd w:val="clear" w:color="auto" w:fill="auto"/>
            <w:noWrap/>
            <w:vAlign w:val="center"/>
            <w:hideMark/>
          </w:tcPr>
          <w:p w14:paraId="5A95C118" w14:textId="77777777" w:rsidR="00385F02" w:rsidRPr="00385F02" w:rsidRDefault="00385F02" w:rsidP="00385F02">
            <w:pPr>
              <w:rPr>
                <w:rFonts w:asciiTheme="minorHAnsi" w:hAnsiTheme="minorHAnsi" w:cs="Calibri"/>
                <w:color w:val="000000"/>
                <w:sz w:val="20"/>
                <w:szCs w:val="20"/>
              </w:rPr>
            </w:pPr>
          </w:p>
        </w:tc>
        <w:tc>
          <w:tcPr>
            <w:tcW w:w="691" w:type="dxa"/>
            <w:shd w:val="clear" w:color="auto" w:fill="auto"/>
            <w:noWrap/>
            <w:vAlign w:val="center"/>
            <w:hideMark/>
          </w:tcPr>
          <w:p w14:paraId="3E1DA2E4"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5%</w:t>
            </w:r>
          </w:p>
        </w:tc>
        <w:tc>
          <w:tcPr>
            <w:tcW w:w="691" w:type="dxa"/>
            <w:shd w:val="clear" w:color="auto" w:fill="auto"/>
            <w:noWrap/>
            <w:vAlign w:val="center"/>
            <w:hideMark/>
          </w:tcPr>
          <w:p w14:paraId="11FED142"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13%</w:t>
            </w:r>
          </w:p>
        </w:tc>
        <w:tc>
          <w:tcPr>
            <w:tcW w:w="590" w:type="dxa"/>
            <w:shd w:val="clear" w:color="auto" w:fill="auto"/>
            <w:noWrap/>
            <w:vAlign w:val="center"/>
            <w:hideMark/>
          </w:tcPr>
          <w:p w14:paraId="77AE8EF0"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11%</w:t>
            </w:r>
          </w:p>
        </w:tc>
      </w:tr>
      <w:tr w:rsidR="00385F02" w:rsidRPr="00385F02" w14:paraId="4E59495B" w14:textId="77777777" w:rsidTr="00385F02">
        <w:trPr>
          <w:trHeight w:val="308"/>
        </w:trPr>
        <w:tc>
          <w:tcPr>
            <w:tcW w:w="846" w:type="dxa"/>
            <w:vMerge/>
            <w:vAlign w:val="center"/>
            <w:hideMark/>
          </w:tcPr>
          <w:p w14:paraId="0AB218CC" w14:textId="77777777" w:rsidR="00385F02" w:rsidRPr="00385F02" w:rsidRDefault="00385F02" w:rsidP="00385F02">
            <w:pPr>
              <w:rPr>
                <w:rFonts w:asciiTheme="minorHAnsi" w:hAnsiTheme="minorHAnsi" w:cs="Calibri"/>
                <w:b/>
                <w:bCs/>
                <w:color w:val="000000"/>
                <w:sz w:val="20"/>
                <w:szCs w:val="20"/>
              </w:rPr>
            </w:pPr>
          </w:p>
        </w:tc>
        <w:tc>
          <w:tcPr>
            <w:tcW w:w="2651" w:type="dxa"/>
            <w:shd w:val="clear" w:color="auto" w:fill="auto"/>
            <w:noWrap/>
            <w:vAlign w:val="center"/>
            <w:hideMark/>
          </w:tcPr>
          <w:p w14:paraId="6D6E0E11"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Koaliční jednání a podoba vlády (jednobarevnost)</w:t>
            </w:r>
          </w:p>
        </w:tc>
        <w:tc>
          <w:tcPr>
            <w:tcW w:w="691" w:type="dxa"/>
            <w:shd w:val="clear" w:color="auto" w:fill="auto"/>
            <w:noWrap/>
            <w:vAlign w:val="center"/>
            <w:hideMark/>
          </w:tcPr>
          <w:p w14:paraId="321E98B7"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19%</w:t>
            </w:r>
          </w:p>
        </w:tc>
        <w:tc>
          <w:tcPr>
            <w:tcW w:w="691" w:type="dxa"/>
            <w:shd w:val="clear" w:color="auto" w:fill="auto"/>
            <w:noWrap/>
            <w:vAlign w:val="center"/>
            <w:hideMark/>
          </w:tcPr>
          <w:p w14:paraId="5AD565BE"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11%</w:t>
            </w:r>
          </w:p>
        </w:tc>
        <w:tc>
          <w:tcPr>
            <w:tcW w:w="691" w:type="dxa"/>
            <w:shd w:val="clear" w:color="auto" w:fill="auto"/>
            <w:noWrap/>
            <w:vAlign w:val="center"/>
            <w:hideMark/>
          </w:tcPr>
          <w:p w14:paraId="47AD0BE1"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33%</w:t>
            </w:r>
          </w:p>
        </w:tc>
        <w:tc>
          <w:tcPr>
            <w:tcW w:w="691" w:type="dxa"/>
            <w:vMerge/>
            <w:shd w:val="clear" w:color="auto" w:fill="auto"/>
            <w:noWrap/>
            <w:vAlign w:val="center"/>
            <w:hideMark/>
          </w:tcPr>
          <w:p w14:paraId="54AD991E" w14:textId="77777777" w:rsidR="00385F02" w:rsidRPr="00385F02" w:rsidRDefault="00385F02" w:rsidP="00385F02">
            <w:pPr>
              <w:rPr>
                <w:rFonts w:asciiTheme="minorHAnsi" w:hAnsiTheme="minorHAnsi" w:cs="Calibri"/>
                <w:color w:val="000000"/>
                <w:sz w:val="20"/>
                <w:szCs w:val="20"/>
              </w:rPr>
            </w:pPr>
          </w:p>
        </w:tc>
        <w:tc>
          <w:tcPr>
            <w:tcW w:w="691" w:type="dxa"/>
            <w:vMerge/>
            <w:shd w:val="clear" w:color="auto" w:fill="auto"/>
            <w:noWrap/>
            <w:vAlign w:val="center"/>
            <w:hideMark/>
          </w:tcPr>
          <w:p w14:paraId="22D800B2" w14:textId="77777777" w:rsidR="00385F02" w:rsidRPr="00385F02" w:rsidRDefault="00385F02" w:rsidP="00385F02">
            <w:pPr>
              <w:rPr>
                <w:rFonts w:asciiTheme="minorHAnsi" w:hAnsiTheme="minorHAnsi" w:cs="Calibri"/>
                <w:color w:val="000000"/>
                <w:sz w:val="20"/>
                <w:szCs w:val="20"/>
              </w:rPr>
            </w:pPr>
          </w:p>
        </w:tc>
        <w:tc>
          <w:tcPr>
            <w:tcW w:w="691" w:type="dxa"/>
            <w:shd w:val="clear" w:color="auto" w:fill="auto"/>
            <w:noWrap/>
            <w:vAlign w:val="center"/>
            <w:hideMark/>
          </w:tcPr>
          <w:p w14:paraId="539F7C9D"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18%</w:t>
            </w:r>
          </w:p>
        </w:tc>
        <w:tc>
          <w:tcPr>
            <w:tcW w:w="691" w:type="dxa"/>
            <w:shd w:val="clear" w:color="auto" w:fill="auto"/>
            <w:noWrap/>
            <w:vAlign w:val="center"/>
            <w:hideMark/>
          </w:tcPr>
          <w:p w14:paraId="287C659C"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13%</w:t>
            </w:r>
          </w:p>
        </w:tc>
        <w:tc>
          <w:tcPr>
            <w:tcW w:w="590" w:type="dxa"/>
            <w:shd w:val="clear" w:color="auto" w:fill="auto"/>
            <w:noWrap/>
            <w:vAlign w:val="center"/>
            <w:hideMark/>
          </w:tcPr>
          <w:p w14:paraId="4752CB97"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17%</w:t>
            </w:r>
          </w:p>
        </w:tc>
      </w:tr>
      <w:tr w:rsidR="00385F02" w:rsidRPr="00385F02" w14:paraId="228645DA" w14:textId="77777777" w:rsidTr="00385F02">
        <w:trPr>
          <w:trHeight w:val="308"/>
        </w:trPr>
        <w:tc>
          <w:tcPr>
            <w:tcW w:w="846" w:type="dxa"/>
            <w:vMerge/>
            <w:vAlign w:val="center"/>
            <w:hideMark/>
          </w:tcPr>
          <w:p w14:paraId="525FF84E" w14:textId="77777777" w:rsidR="00385F02" w:rsidRPr="00385F02" w:rsidRDefault="00385F02" w:rsidP="00385F02">
            <w:pPr>
              <w:rPr>
                <w:rFonts w:asciiTheme="minorHAnsi" w:hAnsiTheme="minorHAnsi" w:cs="Calibri"/>
                <w:b/>
                <w:bCs/>
                <w:color w:val="000000"/>
                <w:sz w:val="20"/>
                <w:szCs w:val="20"/>
              </w:rPr>
            </w:pPr>
          </w:p>
        </w:tc>
        <w:tc>
          <w:tcPr>
            <w:tcW w:w="2651" w:type="dxa"/>
            <w:shd w:val="clear" w:color="auto" w:fill="auto"/>
            <w:noWrap/>
            <w:vAlign w:val="center"/>
            <w:hideMark/>
          </w:tcPr>
          <w:p w14:paraId="46C5B6C8"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Programové prohlášení a vize vlády</w:t>
            </w:r>
          </w:p>
        </w:tc>
        <w:tc>
          <w:tcPr>
            <w:tcW w:w="691" w:type="dxa"/>
            <w:shd w:val="clear" w:color="auto" w:fill="auto"/>
            <w:noWrap/>
            <w:vAlign w:val="center"/>
            <w:hideMark/>
          </w:tcPr>
          <w:p w14:paraId="2A01E675"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38%</w:t>
            </w:r>
          </w:p>
        </w:tc>
        <w:tc>
          <w:tcPr>
            <w:tcW w:w="691" w:type="dxa"/>
            <w:shd w:val="clear" w:color="auto" w:fill="auto"/>
            <w:noWrap/>
            <w:vAlign w:val="center"/>
            <w:hideMark/>
          </w:tcPr>
          <w:p w14:paraId="25F2DB24"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61%</w:t>
            </w:r>
          </w:p>
        </w:tc>
        <w:tc>
          <w:tcPr>
            <w:tcW w:w="691" w:type="dxa"/>
            <w:shd w:val="clear" w:color="auto" w:fill="auto"/>
            <w:noWrap/>
            <w:vAlign w:val="center"/>
            <w:hideMark/>
          </w:tcPr>
          <w:p w14:paraId="70CDB63D"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44%</w:t>
            </w:r>
          </w:p>
        </w:tc>
        <w:tc>
          <w:tcPr>
            <w:tcW w:w="691" w:type="dxa"/>
            <w:vMerge/>
            <w:shd w:val="clear" w:color="auto" w:fill="auto"/>
            <w:noWrap/>
            <w:vAlign w:val="center"/>
            <w:hideMark/>
          </w:tcPr>
          <w:p w14:paraId="1ED52AEA" w14:textId="77777777" w:rsidR="00385F02" w:rsidRPr="00385F02" w:rsidRDefault="00385F02" w:rsidP="00385F02">
            <w:pPr>
              <w:rPr>
                <w:rFonts w:asciiTheme="minorHAnsi" w:hAnsiTheme="minorHAnsi" w:cs="Calibri"/>
                <w:color w:val="000000"/>
                <w:sz w:val="20"/>
                <w:szCs w:val="20"/>
              </w:rPr>
            </w:pPr>
          </w:p>
        </w:tc>
        <w:tc>
          <w:tcPr>
            <w:tcW w:w="691" w:type="dxa"/>
            <w:vMerge/>
            <w:shd w:val="clear" w:color="auto" w:fill="auto"/>
            <w:noWrap/>
            <w:vAlign w:val="center"/>
            <w:hideMark/>
          </w:tcPr>
          <w:p w14:paraId="72DC0415" w14:textId="77777777" w:rsidR="00385F02" w:rsidRPr="00385F02" w:rsidRDefault="00385F02" w:rsidP="00385F02">
            <w:pPr>
              <w:rPr>
                <w:rFonts w:asciiTheme="minorHAnsi" w:hAnsiTheme="minorHAnsi" w:cs="Calibri"/>
                <w:color w:val="000000"/>
                <w:sz w:val="20"/>
                <w:szCs w:val="20"/>
              </w:rPr>
            </w:pPr>
          </w:p>
        </w:tc>
        <w:tc>
          <w:tcPr>
            <w:tcW w:w="691" w:type="dxa"/>
            <w:shd w:val="clear" w:color="auto" w:fill="auto"/>
            <w:noWrap/>
            <w:vAlign w:val="center"/>
            <w:hideMark/>
          </w:tcPr>
          <w:p w14:paraId="7D9598DB"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42%</w:t>
            </w:r>
          </w:p>
        </w:tc>
        <w:tc>
          <w:tcPr>
            <w:tcW w:w="691" w:type="dxa"/>
            <w:shd w:val="clear" w:color="auto" w:fill="auto"/>
            <w:noWrap/>
            <w:vAlign w:val="center"/>
            <w:hideMark/>
          </w:tcPr>
          <w:p w14:paraId="6F15F3E1"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28%</w:t>
            </w:r>
          </w:p>
        </w:tc>
        <w:tc>
          <w:tcPr>
            <w:tcW w:w="590" w:type="dxa"/>
            <w:shd w:val="clear" w:color="auto" w:fill="auto"/>
            <w:noWrap/>
            <w:vAlign w:val="center"/>
            <w:hideMark/>
          </w:tcPr>
          <w:p w14:paraId="3839F55A"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50%</w:t>
            </w:r>
          </w:p>
        </w:tc>
      </w:tr>
      <w:tr w:rsidR="00385F02" w:rsidRPr="00385F02" w14:paraId="6200DE6E" w14:textId="77777777" w:rsidTr="00385F02">
        <w:trPr>
          <w:trHeight w:val="308"/>
        </w:trPr>
        <w:tc>
          <w:tcPr>
            <w:tcW w:w="846" w:type="dxa"/>
            <w:vMerge/>
            <w:vAlign w:val="center"/>
            <w:hideMark/>
          </w:tcPr>
          <w:p w14:paraId="143292F7" w14:textId="77777777" w:rsidR="00385F02" w:rsidRPr="00385F02" w:rsidRDefault="00385F02" w:rsidP="00385F02">
            <w:pPr>
              <w:rPr>
                <w:rFonts w:asciiTheme="minorHAnsi" w:hAnsiTheme="minorHAnsi" w:cs="Calibri"/>
                <w:b/>
                <w:bCs/>
                <w:color w:val="000000"/>
                <w:sz w:val="20"/>
                <w:szCs w:val="20"/>
              </w:rPr>
            </w:pPr>
          </w:p>
        </w:tc>
        <w:tc>
          <w:tcPr>
            <w:tcW w:w="2651" w:type="dxa"/>
            <w:shd w:val="clear" w:color="auto" w:fill="auto"/>
            <w:noWrap/>
            <w:vAlign w:val="center"/>
            <w:hideMark/>
          </w:tcPr>
          <w:p w14:paraId="733CCE3E"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Sociální politika</w:t>
            </w:r>
          </w:p>
        </w:tc>
        <w:tc>
          <w:tcPr>
            <w:tcW w:w="691" w:type="dxa"/>
            <w:shd w:val="clear" w:color="auto" w:fill="auto"/>
            <w:noWrap/>
            <w:vAlign w:val="center"/>
            <w:hideMark/>
          </w:tcPr>
          <w:p w14:paraId="7EC1096B"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4E935976"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05DBECFF"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vMerge/>
            <w:shd w:val="clear" w:color="auto" w:fill="auto"/>
            <w:noWrap/>
            <w:vAlign w:val="center"/>
            <w:hideMark/>
          </w:tcPr>
          <w:p w14:paraId="611FA00B" w14:textId="77777777" w:rsidR="00385F02" w:rsidRPr="00385F02" w:rsidRDefault="00385F02" w:rsidP="00385F02">
            <w:pPr>
              <w:rPr>
                <w:rFonts w:asciiTheme="minorHAnsi" w:hAnsiTheme="minorHAnsi" w:cs="Calibri"/>
                <w:color w:val="000000"/>
                <w:sz w:val="20"/>
                <w:szCs w:val="20"/>
              </w:rPr>
            </w:pPr>
          </w:p>
        </w:tc>
        <w:tc>
          <w:tcPr>
            <w:tcW w:w="691" w:type="dxa"/>
            <w:vMerge/>
            <w:shd w:val="clear" w:color="auto" w:fill="auto"/>
            <w:noWrap/>
            <w:vAlign w:val="center"/>
            <w:hideMark/>
          </w:tcPr>
          <w:p w14:paraId="154BA2AF" w14:textId="77777777" w:rsidR="00385F02" w:rsidRPr="00385F02" w:rsidRDefault="00385F02" w:rsidP="00385F02">
            <w:pPr>
              <w:rPr>
                <w:rFonts w:asciiTheme="minorHAnsi" w:hAnsiTheme="minorHAnsi" w:cs="Calibri"/>
                <w:color w:val="000000"/>
                <w:sz w:val="20"/>
                <w:szCs w:val="20"/>
              </w:rPr>
            </w:pPr>
          </w:p>
        </w:tc>
        <w:tc>
          <w:tcPr>
            <w:tcW w:w="691" w:type="dxa"/>
            <w:shd w:val="clear" w:color="auto" w:fill="auto"/>
            <w:noWrap/>
            <w:vAlign w:val="center"/>
            <w:hideMark/>
          </w:tcPr>
          <w:p w14:paraId="11ACE181"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4%</w:t>
            </w:r>
          </w:p>
        </w:tc>
        <w:tc>
          <w:tcPr>
            <w:tcW w:w="691" w:type="dxa"/>
            <w:shd w:val="clear" w:color="auto" w:fill="auto"/>
            <w:noWrap/>
            <w:vAlign w:val="center"/>
            <w:hideMark/>
          </w:tcPr>
          <w:p w14:paraId="3053C1BE"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590" w:type="dxa"/>
            <w:shd w:val="clear" w:color="auto" w:fill="auto"/>
            <w:noWrap/>
            <w:vAlign w:val="center"/>
            <w:hideMark/>
          </w:tcPr>
          <w:p w14:paraId="183C727D"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0%</w:t>
            </w:r>
          </w:p>
        </w:tc>
      </w:tr>
      <w:tr w:rsidR="00385F02" w:rsidRPr="00385F02" w14:paraId="4406D6B6" w14:textId="77777777" w:rsidTr="00385F02">
        <w:trPr>
          <w:trHeight w:val="308"/>
        </w:trPr>
        <w:tc>
          <w:tcPr>
            <w:tcW w:w="846" w:type="dxa"/>
            <w:vMerge/>
            <w:vAlign w:val="center"/>
            <w:hideMark/>
          </w:tcPr>
          <w:p w14:paraId="56620491" w14:textId="77777777" w:rsidR="00385F02" w:rsidRPr="00385F02" w:rsidRDefault="00385F02" w:rsidP="00385F02">
            <w:pPr>
              <w:rPr>
                <w:rFonts w:asciiTheme="minorHAnsi" w:hAnsiTheme="minorHAnsi" w:cs="Calibri"/>
                <w:b/>
                <w:bCs/>
                <w:color w:val="000000"/>
                <w:sz w:val="20"/>
                <w:szCs w:val="20"/>
              </w:rPr>
            </w:pPr>
          </w:p>
        </w:tc>
        <w:tc>
          <w:tcPr>
            <w:tcW w:w="2651" w:type="dxa"/>
            <w:shd w:val="clear" w:color="auto" w:fill="auto"/>
            <w:noWrap/>
            <w:vAlign w:val="center"/>
            <w:hideMark/>
          </w:tcPr>
          <w:p w14:paraId="09560A04"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 xml:space="preserve">Trestní stíhání Andreje Babiše </w:t>
            </w:r>
          </w:p>
        </w:tc>
        <w:tc>
          <w:tcPr>
            <w:tcW w:w="691" w:type="dxa"/>
            <w:shd w:val="clear" w:color="auto" w:fill="auto"/>
            <w:noWrap/>
            <w:vAlign w:val="center"/>
            <w:hideMark/>
          </w:tcPr>
          <w:p w14:paraId="44CAFF0A"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2%</w:t>
            </w:r>
          </w:p>
        </w:tc>
        <w:tc>
          <w:tcPr>
            <w:tcW w:w="691" w:type="dxa"/>
            <w:shd w:val="clear" w:color="auto" w:fill="auto"/>
            <w:noWrap/>
            <w:vAlign w:val="center"/>
            <w:hideMark/>
          </w:tcPr>
          <w:p w14:paraId="3AA6F654"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3244CA3C"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vMerge/>
            <w:shd w:val="clear" w:color="auto" w:fill="auto"/>
            <w:noWrap/>
            <w:vAlign w:val="center"/>
            <w:hideMark/>
          </w:tcPr>
          <w:p w14:paraId="140F31D9" w14:textId="77777777" w:rsidR="00385F02" w:rsidRPr="00385F02" w:rsidRDefault="00385F02" w:rsidP="00385F02">
            <w:pPr>
              <w:rPr>
                <w:rFonts w:asciiTheme="minorHAnsi" w:hAnsiTheme="minorHAnsi" w:cs="Calibri"/>
                <w:color w:val="000000"/>
                <w:sz w:val="20"/>
                <w:szCs w:val="20"/>
              </w:rPr>
            </w:pPr>
          </w:p>
        </w:tc>
        <w:tc>
          <w:tcPr>
            <w:tcW w:w="691" w:type="dxa"/>
            <w:vMerge/>
            <w:shd w:val="clear" w:color="auto" w:fill="auto"/>
            <w:noWrap/>
            <w:vAlign w:val="center"/>
            <w:hideMark/>
          </w:tcPr>
          <w:p w14:paraId="25F80157" w14:textId="77777777" w:rsidR="00385F02" w:rsidRPr="00385F02" w:rsidRDefault="00385F02" w:rsidP="00385F02">
            <w:pPr>
              <w:rPr>
                <w:rFonts w:asciiTheme="minorHAnsi" w:hAnsiTheme="minorHAnsi" w:cs="Calibri"/>
                <w:color w:val="000000"/>
                <w:sz w:val="20"/>
                <w:szCs w:val="20"/>
              </w:rPr>
            </w:pPr>
          </w:p>
        </w:tc>
        <w:tc>
          <w:tcPr>
            <w:tcW w:w="691" w:type="dxa"/>
            <w:shd w:val="clear" w:color="auto" w:fill="auto"/>
            <w:noWrap/>
            <w:vAlign w:val="center"/>
            <w:hideMark/>
          </w:tcPr>
          <w:p w14:paraId="3658203A"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3%</w:t>
            </w:r>
          </w:p>
        </w:tc>
        <w:tc>
          <w:tcPr>
            <w:tcW w:w="691" w:type="dxa"/>
            <w:shd w:val="clear" w:color="auto" w:fill="auto"/>
            <w:noWrap/>
            <w:vAlign w:val="center"/>
            <w:hideMark/>
          </w:tcPr>
          <w:p w14:paraId="6DD91EB2"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5%</w:t>
            </w:r>
          </w:p>
        </w:tc>
        <w:tc>
          <w:tcPr>
            <w:tcW w:w="590" w:type="dxa"/>
            <w:shd w:val="clear" w:color="auto" w:fill="auto"/>
            <w:noWrap/>
            <w:vAlign w:val="center"/>
            <w:hideMark/>
          </w:tcPr>
          <w:p w14:paraId="3D7B7366"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3%</w:t>
            </w:r>
          </w:p>
        </w:tc>
      </w:tr>
      <w:tr w:rsidR="00385F02" w:rsidRPr="00385F02" w14:paraId="7BAD850A" w14:textId="77777777" w:rsidTr="00385F02">
        <w:trPr>
          <w:trHeight w:val="308"/>
        </w:trPr>
        <w:tc>
          <w:tcPr>
            <w:tcW w:w="846" w:type="dxa"/>
            <w:vMerge/>
            <w:vAlign w:val="center"/>
            <w:hideMark/>
          </w:tcPr>
          <w:p w14:paraId="5567E8F8" w14:textId="77777777" w:rsidR="00385F02" w:rsidRPr="00385F02" w:rsidRDefault="00385F02" w:rsidP="00385F02">
            <w:pPr>
              <w:rPr>
                <w:rFonts w:asciiTheme="minorHAnsi" w:hAnsiTheme="minorHAnsi" w:cs="Calibri"/>
                <w:b/>
                <w:bCs/>
                <w:color w:val="000000"/>
                <w:sz w:val="20"/>
                <w:szCs w:val="20"/>
              </w:rPr>
            </w:pPr>
          </w:p>
        </w:tc>
        <w:tc>
          <w:tcPr>
            <w:tcW w:w="2651" w:type="dxa"/>
            <w:shd w:val="clear" w:color="auto" w:fill="auto"/>
            <w:noWrap/>
            <w:vAlign w:val="center"/>
            <w:hideMark/>
          </w:tcPr>
          <w:p w14:paraId="0E615EAB"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Minulost Andreje Babiše</w:t>
            </w:r>
          </w:p>
        </w:tc>
        <w:tc>
          <w:tcPr>
            <w:tcW w:w="691" w:type="dxa"/>
            <w:shd w:val="clear" w:color="auto" w:fill="auto"/>
            <w:noWrap/>
            <w:vAlign w:val="center"/>
            <w:hideMark/>
          </w:tcPr>
          <w:p w14:paraId="4879812A"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w:t>
            </w:r>
          </w:p>
        </w:tc>
        <w:tc>
          <w:tcPr>
            <w:tcW w:w="691" w:type="dxa"/>
            <w:shd w:val="clear" w:color="auto" w:fill="auto"/>
            <w:noWrap/>
            <w:vAlign w:val="center"/>
            <w:hideMark/>
          </w:tcPr>
          <w:p w14:paraId="785D0730"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shd w:val="clear" w:color="auto" w:fill="auto"/>
            <w:noWrap/>
            <w:vAlign w:val="center"/>
            <w:hideMark/>
          </w:tcPr>
          <w:p w14:paraId="23E9C1F6"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vMerge/>
            <w:shd w:val="clear" w:color="auto" w:fill="auto"/>
            <w:noWrap/>
            <w:vAlign w:val="center"/>
            <w:hideMark/>
          </w:tcPr>
          <w:p w14:paraId="59C2C837" w14:textId="77777777" w:rsidR="00385F02" w:rsidRPr="00385F02" w:rsidRDefault="00385F02" w:rsidP="00385F02">
            <w:pPr>
              <w:rPr>
                <w:rFonts w:asciiTheme="minorHAnsi" w:hAnsiTheme="minorHAnsi" w:cs="Calibri"/>
                <w:color w:val="000000"/>
                <w:sz w:val="20"/>
                <w:szCs w:val="20"/>
              </w:rPr>
            </w:pPr>
          </w:p>
        </w:tc>
        <w:tc>
          <w:tcPr>
            <w:tcW w:w="691" w:type="dxa"/>
            <w:vMerge/>
            <w:shd w:val="clear" w:color="auto" w:fill="auto"/>
            <w:noWrap/>
            <w:vAlign w:val="center"/>
            <w:hideMark/>
          </w:tcPr>
          <w:p w14:paraId="2087DB9F" w14:textId="77777777" w:rsidR="00385F02" w:rsidRPr="00385F02" w:rsidRDefault="00385F02" w:rsidP="00385F02">
            <w:pPr>
              <w:rPr>
                <w:rFonts w:asciiTheme="minorHAnsi" w:hAnsiTheme="minorHAnsi" w:cs="Calibri"/>
                <w:color w:val="000000"/>
                <w:sz w:val="20"/>
                <w:szCs w:val="20"/>
              </w:rPr>
            </w:pPr>
          </w:p>
        </w:tc>
        <w:tc>
          <w:tcPr>
            <w:tcW w:w="691" w:type="dxa"/>
            <w:shd w:val="clear" w:color="auto" w:fill="auto"/>
            <w:noWrap/>
            <w:vAlign w:val="center"/>
            <w:hideMark/>
          </w:tcPr>
          <w:p w14:paraId="17011CFC"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w:t>
            </w:r>
          </w:p>
        </w:tc>
        <w:tc>
          <w:tcPr>
            <w:tcW w:w="691" w:type="dxa"/>
            <w:shd w:val="clear" w:color="auto" w:fill="auto"/>
            <w:noWrap/>
            <w:vAlign w:val="center"/>
            <w:hideMark/>
          </w:tcPr>
          <w:p w14:paraId="20C1A832"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8%</w:t>
            </w:r>
          </w:p>
        </w:tc>
        <w:tc>
          <w:tcPr>
            <w:tcW w:w="590" w:type="dxa"/>
            <w:shd w:val="clear" w:color="auto" w:fill="auto"/>
            <w:noWrap/>
            <w:vAlign w:val="center"/>
            <w:hideMark/>
          </w:tcPr>
          <w:p w14:paraId="405E45EE"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0%</w:t>
            </w:r>
          </w:p>
        </w:tc>
      </w:tr>
      <w:tr w:rsidR="00385F02" w:rsidRPr="00385F02" w14:paraId="466B1B5B" w14:textId="77777777" w:rsidTr="00385F02">
        <w:trPr>
          <w:trHeight w:val="308"/>
        </w:trPr>
        <w:tc>
          <w:tcPr>
            <w:tcW w:w="846" w:type="dxa"/>
            <w:vMerge/>
            <w:vAlign w:val="center"/>
            <w:hideMark/>
          </w:tcPr>
          <w:p w14:paraId="4AD5B8B5" w14:textId="77777777" w:rsidR="00385F02" w:rsidRPr="00385F02" w:rsidRDefault="00385F02" w:rsidP="00385F02">
            <w:pPr>
              <w:rPr>
                <w:rFonts w:asciiTheme="minorHAnsi" w:hAnsiTheme="minorHAnsi" w:cs="Calibri"/>
                <w:b/>
                <w:bCs/>
                <w:color w:val="000000"/>
                <w:sz w:val="20"/>
                <w:szCs w:val="20"/>
              </w:rPr>
            </w:pPr>
          </w:p>
        </w:tc>
        <w:tc>
          <w:tcPr>
            <w:tcW w:w="2651" w:type="dxa"/>
            <w:shd w:val="clear" w:color="auto" w:fill="auto"/>
            <w:noWrap/>
            <w:vAlign w:val="center"/>
            <w:hideMark/>
          </w:tcPr>
          <w:p w14:paraId="041BDD23"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Střet zájmů Andreje Babiše</w:t>
            </w:r>
          </w:p>
        </w:tc>
        <w:tc>
          <w:tcPr>
            <w:tcW w:w="691" w:type="dxa"/>
            <w:shd w:val="clear" w:color="auto" w:fill="auto"/>
            <w:noWrap/>
            <w:vAlign w:val="center"/>
            <w:hideMark/>
          </w:tcPr>
          <w:p w14:paraId="3BFF31FA"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w:t>
            </w:r>
          </w:p>
        </w:tc>
        <w:tc>
          <w:tcPr>
            <w:tcW w:w="691" w:type="dxa"/>
            <w:shd w:val="clear" w:color="auto" w:fill="auto"/>
            <w:noWrap/>
            <w:vAlign w:val="center"/>
            <w:hideMark/>
          </w:tcPr>
          <w:p w14:paraId="482D0861"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4%</w:t>
            </w:r>
          </w:p>
        </w:tc>
        <w:tc>
          <w:tcPr>
            <w:tcW w:w="691" w:type="dxa"/>
            <w:shd w:val="clear" w:color="auto" w:fill="auto"/>
            <w:noWrap/>
            <w:vAlign w:val="center"/>
            <w:hideMark/>
          </w:tcPr>
          <w:p w14:paraId="02A752CD"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vMerge/>
            <w:shd w:val="clear" w:color="auto" w:fill="auto"/>
            <w:noWrap/>
            <w:vAlign w:val="center"/>
            <w:hideMark/>
          </w:tcPr>
          <w:p w14:paraId="6820229D" w14:textId="77777777" w:rsidR="00385F02" w:rsidRPr="00385F02" w:rsidRDefault="00385F02" w:rsidP="00385F02">
            <w:pPr>
              <w:rPr>
                <w:rFonts w:asciiTheme="minorHAnsi" w:hAnsiTheme="minorHAnsi" w:cs="Calibri"/>
                <w:color w:val="000000"/>
                <w:sz w:val="20"/>
                <w:szCs w:val="20"/>
              </w:rPr>
            </w:pPr>
          </w:p>
        </w:tc>
        <w:tc>
          <w:tcPr>
            <w:tcW w:w="691" w:type="dxa"/>
            <w:vMerge/>
            <w:shd w:val="clear" w:color="auto" w:fill="auto"/>
            <w:noWrap/>
            <w:vAlign w:val="center"/>
            <w:hideMark/>
          </w:tcPr>
          <w:p w14:paraId="33DCDE52" w14:textId="77777777" w:rsidR="00385F02" w:rsidRPr="00385F02" w:rsidRDefault="00385F02" w:rsidP="00385F02">
            <w:pPr>
              <w:rPr>
                <w:rFonts w:asciiTheme="minorHAnsi" w:hAnsiTheme="minorHAnsi" w:cs="Calibri"/>
                <w:color w:val="000000"/>
                <w:sz w:val="20"/>
                <w:szCs w:val="20"/>
              </w:rPr>
            </w:pPr>
          </w:p>
        </w:tc>
        <w:tc>
          <w:tcPr>
            <w:tcW w:w="691" w:type="dxa"/>
            <w:shd w:val="clear" w:color="auto" w:fill="auto"/>
            <w:noWrap/>
            <w:vAlign w:val="center"/>
            <w:hideMark/>
          </w:tcPr>
          <w:p w14:paraId="3B49AEE1"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w:t>
            </w:r>
          </w:p>
        </w:tc>
        <w:tc>
          <w:tcPr>
            <w:tcW w:w="691" w:type="dxa"/>
            <w:shd w:val="clear" w:color="auto" w:fill="auto"/>
            <w:noWrap/>
            <w:vAlign w:val="center"/>
            <w:hideMark/>
          </w:tcPr>
          <w:p w14:paraId="14C6C555"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5%</w:t>
            </w:r>
          </w:p>
        </w:tc>
        <w:tc>
          <w:tcPr>
            <w:tcW w:w="590" w:type="dxa"/>
            <w:shd w:val="clear" w:color="auto" w:fill="auto"/>
            <w:noWrap/>
            <w:vAlign w:val="center"/>
            <w:hideMark/>
          </w:tcPr>
          <w:p w14:paraId="288D0E52"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0%</w:t>
            </w:r>
          </w:p>
        </w:tc>
      </w:tr>
      <w:tr w:rsidR="00385F02" w:rsidRPr="00385F02" w14:paraId="18EFB672" w14:textId="77777777" w:rsidTr="00385F02">
        <w:trPr>
          <w:trHeight w:val="308"/>
        </w:trPr>
        <w:tc>
          <w:tcPr>
            <w:tcW w:w="846" w:type="dxa"/>
            <w:vMerge/>
            <w:vAlign w:val="center"/>
            <w:hideMark/>
          </w:tcPr>
          <w:p w14:paraId="16055B69" w14:textId="77777777" w:rsidR="00385F02" w:rsidRPr="00385F02" w:rsidRDefault="00385F02" w:rsidP="00385F02">
            <w:pPr>
              <w:rPr>
                <w:rFonts w:asciiTheme="minorHAnsi" w:hAnsiTheme="minorHAnsi" w:cs="Calibri"/>
                <w:b/>
                <w:bCs/>
                <w:color w:val="000000"/>
                <w:sz w:val="20"/>
                <w:szCs w:val="20"/>
              </w:rPr>
            </w:pPr>
          </w:p>
        </w:tc>
        <w:tc>
          <w:tcPr>
            <w:tcW w:w="2651" w:type="dxa"/>
            <w:shd w:val="clear" w:color="auto" w:fill="auto"/>
            <w:noWrap/>
            <w:vAlign w:val="center"/>
            <w:hideMark/>
          </w:tcPr>
          <w:p w14:paraId="66908D74"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Účast KSČM na vládě</w:t>
            </w:r>
          </w:p>
        </w:tc>
        <w:tc>
          <w:tcPr>
            <w:tcW w:w="691" w:type="dxa"/>
            <w:shd w:val="clear" w:color="auto" w:fill="auto"/>
            <w:noWrap/>
            <w:vAlign w:val="center"/>
            <w:hideMark/>
          </w:tcPr>
          <w:p w14:paraId="528F91D4"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21%</w:t>
            </w:r>
          </w:p>
        </w:tc>
        <w:tc>
          <w:tcPr>
            <w:tcW w:w="691" w:type="dxa"/>
            <w:shd w:val="clear" w:color="auto" w:fill="auto"/>
            <w:noWrap/>
            <w:vAlign w:val="center"/>
            <w:hideMark/>
          </w:tcPr>
          <w:p w14:paraId="68DA4110"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5%</w:t>
            </w:r>
          </w:p>
        </w:tc>
        <w:tc>
          <w:tcPr>
            <w:tcW w:w="691" w:type="dxa"/>
            <w:shd w:val="clear" w:color="auto" w:fill="auto"/>
            <w:noWrap/>
            <w:vAlign w:val="center"/>
            <w:hideMark/>
          </w:tcPr>
          <w:p w14:paraId="17FEF4DB"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vMerge/>
            <w:shd w:val="clear" w:color="auto" w:fill="auto"/>
            <w:noWrap/>
            <w:vAlign w:val="center"/>
            <w:hideMark/>
          </w:tcPr>
          <w:p w14:paraId="2B043A92" w14:textId="77777777" w:rsidR="00385F02" w:rsidRPr="00385F02" w:rsidRDefault="00385F02" w:rsidP="00385F02">
            <w:pPr>
              <w:rPr>
                <w:rFonts w:asciiTheme="minorHAnsi" w:hAnsiTheme="minorHAnsi" w:cs="Calibri"/>
                <w:color w:val="000000"/>
                <w:sz w:val="20"/>
                <w:szCs w:val="20"/>
              </w:rPr>
            </w:pPr>
          </w:p>
        </w:tc>
        <w:tc>
          <w:tcPr>
            <w:tcW w:w="691" w:type="dxa"/>
            <w:vMerge/>
            <w:shd w:val="clear" w:color="auto" w:fill="auto"/>
            <w:noWrap/>
            <w:vAlign w:val="center"/>
            <w:hideMark/>
          </w:tcPr>
          <w:p w14:paraId="5C47B1AD" w14:textId="77777777" w:rsidR="00385F02" w:rsidRPr="00385F02" w:rsidRDefault="00385F02" w:rsidP="00385F02">
            <w:pPr>
              <w:rPr>
                <w:rFonts w:asciiTheme="minorHAnsi" w:hAnsiTheme="minorHAnsi" w:cs="Calibri"/>
                <w:color w:val="000000"/>
                <w:sz w:val="20"/>
                <w:szCs w:val="20"/>
              </w:rPr>
            </w:pPr>
          </w:p>
        </w:tc>
        <w:tc>
          <w:tcPr>
            <w:tcW w:w="691" w:type="dxa"/>
            <w:shd w:val="clear" w:color="auto" w:fill="auto"/>
            <w:noWrap/>
            <w:vAlign w:val="center"/>
            <w:hideMark/>
          </w:tcPr>
          <w:p w14:paraId="4578345B"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18%</w:t>
            </w:r>
          </w:p>
        </w:tc>
        <w:tc>
          <w:tcPr>
            <w:tcW w:w="691" w:type="dxa"/>
            <w:shd w:val="clear" w:color="auto" w:fill="auto"/>
            <w:noWrap/>
            <w:vAlign w:val="center"/>
            <w:hideMark/>
          </w:tcPr>
          <w:p w14:paraId="2F7D6039"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13%</w:t>
            </w:r>
          </w:p>
        </w:tc>
        <w:tc>
          <w:tcPr>
            <w:tcW w:w="590" w:type="dxa"/>
            <w:shd w:val="clear" w:color="auto" w:fill="auto"/>
            <w:noWrap/>
            <w:vAlign w:val="center"/>
            <w:hideMark/>
          </w:tcPr>
          <w:p w14:paraId="77E14A63"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11%</w:t>
            </w:r>
          </w:p>
        </w:tc>
      </w:tr>
      <w:tr w:rsidR="00385F02" w:rsidRPr="00385F02" w14:paraId="09AD272E" w14:textId="77777777" w:rsidTr="00385F02">
        <w:trPr>
          <w:trHeight w:val="323"/>
        </w:trPr>
        <w:tc>
          <w:tcPr>
            <w:tcW w:w="846" w:type="dxa"/>
            <w:vMerge/>
            <w:vAlign w:val="center"/>
            <w:hideMark/>
          </w:tcPr>
          <w:p w14:paraId="3F36FE45" w14:textId="77777777" w:rsidR="00385F02" w:rsidRPr="00385F02" w:rsidRDefault="00385F02" w:rsidP="00385F02">
            <w:pPr>
              <w:rPr>
                <w:rFonts w:asciiTheme="minorHAnsi" w:hAnsiTheme="minorHAnsi" w:cs="Calibri"/>
                <w:b/>
                <w:bCs/>
                <w:color w:val="000000"/>
                <w:sz w:val="20"/>
                <w:szCs w:val="20"/>
              </w:rPr>
            </w:pPr>
          </w:p>
        </w:tc>
        <w:tc>
          <w:tcPr>
            <w:tcW w:w="2651" w:type="dxa"/>
            <w:shd w:val="clear" w:color="auto" w:fill="auto"/>
            <w:noWrap/>
            <w:vAlign w:val="center"/>
            <w:hideMark/>
          </w:tcPr>
          <w:p w14:paraId="3BC56227"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Jiné</w:t>
            </w:r>
          </w:p>
        </w:tc>
        <w:tc>
          <w:tcPr>
            <w:tcW w:w="691" w:type="dxa"/>
            <w:shd w:val="clear" w:color="auto" w:fill="auto"/>
            <w:noWrap/>
            <w:vAlign w:val="center"/>
            <w:hideMark/>
          </w:tcPr>
          <w:p w14:paraId="1E5337C7"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6%</w:t>
            </w:r>
          </w:p>
        </w:tc>
        <w:tc>
          <w:tcPr>
            <w:tcW w:w="691" w:type="dxa"/>
            <w:shd w:val="clear" w:color="auto" w:fill="auto"/>
            <w:noWrap/>
            <w:vAlign w:val="center"/>
            <w:hideMark/>
          </w:tcPr>
          <w:p w14:paraId="798F9D50"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4%</w:t>
            </w:r>
          </w:p>
        </w:tc>
        <w:tc>
          <w:tcPr>
            <w:tcW w:w="691" w:type="dxa"/>
            <w:shd w:val="clear" w:color="auto" w:fill="auto"/>
            <w:noWrap/>
            <w:vAlign w:val="center"/>
            <w:hideMark/>
          </w:tcPr>
          <w:p w14:paraId="159305F8"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0%</w:t>
            </w:r>
          </w:p>
        </w:tc>
        <w:tc>
          <w:tcPr>
            <w:tcW w:w="691" w:type="dxa"/>
            <w:vMerge/>
            <w:shd w:val="clear" w:color="auto" w:fill="auto"/>
            <w:noWrap/>
            <w:vAlign w:val="center"/>
            <w:hideMark/>
          </w:tcPr>
          <w:p w14:paraId="4458B0F8" w14:textId="77777777" w:rsidR="00385F02" w:rsidRPr="00385F02" w:rsidRDefault="00385F02" w:rsidP="00385F02">
            <w:pPr>
              <w:rPr>
                <w:rFonts w:asciiTheme="minorHAnsi" w:hAnsiTheme="minorHAnsi" w:cs="Calibri"/>
                <w:color w:val="000000"/>
                <w:sz w:val="20"/>
                <w:szCs w:val="20"/>
              </w:rPr>
            </w:pPr>
          </w:p>
        </w:tc>
        <w:tc>
          <w:tcPr>
            <w:tcW w:w="691" w:type="dxa"/>
            <w:vMerge/>
            <w:shd w:val="clear" w:color="auto" w:fill="auto"/>
            <w:noWrap/>
            <w:vAlign w:val="center"/>
            <w:hideMark/>
          </w:tcPr>
          <w:p w14:paraId="1989E493" w14:textId="77777777" w:rsidR="00385F02" w:rsidRPr="00385F02" w:rsidRDefault="00385F02" w:rsidP="00385F02">
            <w:pPr>
              <w:rPr>
                <w:rFonts w:asciiTheme="minorHAnsi" w:hAnsiTheme="minorHAnsi" w:cs="Calibri"/>
                <w:color w:val="000000"/>
                <w:sz w:val="20"/>
                <w:szCs w:val="20"/>
              </w:rPr>
            </w:pPr>
          </w:p>
        </w:tc>
        <w:tc>
          <w:tcPr>
            <w:tcW w:w="691" w:type="dxa"/>
            <w:shd w:val="clear" w:color="auto" w:fill="auto"/>
            <w:noWrap/>
            <w:vAlign w:val="center"/>
            <w:hideMark/>
          </w:tcPr>
          <w:p w14:paraId="5A12A402"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3%</w:t>
            </w:r>
          </w:p>
        </w:tc>
        <w:tc>
          <w:tcPr>
            <w:tcW w:w="691" w:type="dxa"/>
            <w:shd w:val="clear" w:color="auto" w:fill="auto"/>
            <w:noWrap/>
            <w:vAlign w:val="center"/>
            <w:hideMark/>
          </w:tcPr>
          <w:p w14:paraId="182ABAF1" w14:textId="77777777" w:rsidR="00385F02" w:rsidRPr="00385F02" w:rsidRDefault="00385F02" w:rsidP="00385F02">
            <w:pPr>
              <w:rPr>
                <w:rFonts w:asciiTheme="minorHAnsi" w:hAnsiTheme="minorHAnsi" w:cs="Calibri"/>
                <w:color w:val="000000"/>
                <w:sz w:val="20"/>
                <w:szCs w:val="20"/>
              </w:rPr>
            </w:pPr>
            <w:r w:rsidRPr="00385F02">
              <w:rPr>
                <w:rFonts w:asciiTheme="minorHAnsi" w:hAnsiTheme="minorHAnsi" w:cs="Calibri"/>
                <w:color w:val="000000"/>
                <w:sz w:val="20"/>
                <w:szCs w:val="20"/>
              </w:rPr>
              <w:t>5%</w:t>
            </w:r>
          </w:p>
        </w:tc>
        <w:tc>
          <w:tcPr>
            <w:tcW w:w="590" w:type="dxa"/>
            <w:shd w:val="clear" w:color="auto" w:fill="auto"/>
            <w:noWrap/>
            <w:vAlign w:val="center"/>
            <w:hideMark/>
          </w:tcPr>
          <w:p w14:paraId="3A527DB4" w14:textId="77777777" w:rsidR="00385F02" w:rsidRPr="00385F02" w:rsidRDefault="00385F02" w:rsidP="00385F02">
            <w:pPr>
              <w:rPr>
                <w:rFonts w:ascii="Calibri" w:hAnsi="Calibri" w:cs="Calibri"/>
                <w:color w:val="000000"/>
                <w:sz w:val="20"/>
                <w:szCs w:val="20"/>
              </w:rPr>
            </w:pPr>
            <w:r w:rsidRPr="00385F02">
              <w:rPr>
                <w:rFonts w:ascii="Calibri" w:hAnsi="Calibri" w:cs="Calibri"/>
                <w:color w:val="000000"/>
                <w:sz w:val="20"/>
                <w:szCs w:val="20"/>
              </w:rPr>
              <w:t>6%</w:t>
            </w:r>
          </w:p>
        </w:tc>
      </w:tr>
      <w:tr w:rsidR="00385F02" w:rsidRPr="00385F02" w14:paraId="610AB6B9" w14:textId="77777777" w:rsidTr="00385F02">
        <w:trPr>
          <w:trHeight w:val="323"/>
        </w:trPr>
        <w:tc>
          <w:tcPr>
            <w:tcW w:w="846" w:type="dxa"/>
            <w:vMerge/>
            <w:vAlign w:val="center"/>
            <w:hideMark/>
          </w:tcPr>
          <w:p w14:paraId="52C4B972" w14:textId="77777777" w:rsidR="00385F02" w:rsidRPr="00385F02" w:rsidRDefault="00385F02" w:rsidP="00385F02">
            <w:pPr>
              <w:rPr>
                <w:rFonts w:asciiTheme="minorHAnsi" w:hAnsiTheme="minorHAnsi" w:cs="Calibri"/>
                <w:b/>
                <w:bCs/>
                <w:color w:val="000000"/>
                <w:sz w:val="20"/>
                <w:szCs w:val="20"/>
              </w:rPr>
            </w:pPr>
          </w:p>
        </w:tc>
        <w:tc>
          <w:tcPr>
            <w:tcW w:w="2651" w:type="dxa"/>
            <w:shd w:val="clear" w:color="auto" w:fill="auto"/>
            <w:noWrap/>
            <w:vAlign w:val="center"/>
            <w:hideMark/>
          </w:tcPr>
          <w:p w14:paraId="600B2AEC" w14:textId="77777777" w:rsidR="00385F02" w:rsidRPr="00385F02" w:rsidRDefault="00385F02" w:rsidP="00385F02">
            <w:pPr>
              <w:rPr>
                <w:rFonts w:asciiTheme="minorHAnsi" w:hAnsiTheme="minorHAnsi" w:cs="Calibri"/>
                <w:b/>
                <w:bCs/>
                <w:color w:val="000000"/>
                <w:sz w:val="20"/>
                <w:szCs w:val="20"/>
              </w:rPr>
            </w:pPr>
            <w:r w:rsidRPr="00385F02">
              <w:rPr>
                <w:rFonts w:asciiTheme="minorHAnsi" w:hAnsiTheme="minorHAnsi" w:cs="Calibri"/>
                <w:b/>
                <w:bCs/>
                <w:color w:val="000000"/>
                <w:sz w:val="20"/>
                <w:szCs w:val="20"/>
              </w:rPr>
              <w:t>Celkem</w:t>
            </w:r>
          </w:p>
        </w:tc>
        <w:tc>
          <w:tcPr>
            <w:tcW w:w="691" w:type="dxa"/>
            <w:shd w:val="clear" w:color="auto" w:fill="auto"/>
            <w:noWrap/>
            <w:vAlign w:val="center"/>
            <w:hideMark/>
          </w:tcPr>
          <w:p w14:paraId="277A77C7" w14:textId="77777777" w:rsidR="00385F02" w:rsidRPr="00385F02" w:rsidRDefault="00385F02" w:rsidP="00385F02">
            <w:pPr>
              <w:rPr>
                <w:rFonts w:asciiTheme="minorHAnsi" w:hAnsiTheme="minorHAnsi" w:cs="Calibri"/>
                <w:b/>
                <w:bCs/>
                <w:color w:val="000000"/>
                <w:sz w:val="20"/>
                <w:szCs w:val="20"/>
              </w:rPr>
            </w:pPr>
            <w:r w:rsidRPr="00385F02">
              <w:rPr>
                <w:rFonts w:asciiTheme="minorHAnsi" w:hAnsiTheme="minorHAnsi" w:cs="Calibri"/>
                <w:b/>
                <w:bCs/>
                <w:color w:val="000000"/>
                <w:sz w:val="20"/>
                <w:szCs w:val="20"/>
              </w:rPr>
              <w:t>100%</w:t>
            </w:r>
          </w:p>
        </w:tc>
        <w:tc>
          <w:tcPr>
            <w:tcW w:w="691" w:type="dxa"/>
            <w:shd w:val="clear" w:color="auto" w:fill="auto"/>
            <w:noWrap/>
            <w:vAlign w:val="center"/>
            <w:hideMark/>
          </w:tcPr>
          <w:p w14:paraId="2051D12E" w14:textId="77777777" w:rsidR="00385F02" w:rsidRPr="00385F02" w:rsidRDefault="00385F02" w:rsidP="00385F02">
            <w:pPr>
              <w:rPr>
                <w:rFonts w:asciiTheme="minorHAnsi" w:hAnsiTheme="minorHAnsi" w:cs="Calibri"/>
                <w:b/>
                <w:bCs/>
                <w:color w:val="000000"/>
                <w:sz w:val="20"/>
                <w:szCs w:val="20"/>
              </w:rPr>
            </w:pPr>
            <w:r w:rsidRPr="00385F02">
              <w:rPr>
                <w:rFonts w:asciiTheme="minorHAnsi" w:hAnsiTheme="minorHAnsi" w:cs="Calibri"/>
                <w:b/>
                <w:bCs/>
                <w:color w:val="000000"/>
                <w:sz w:val="20"/>
                <w:szCs w:val="20"/>
              </w:rPr>
              <w:t>100%</w:t>
            </w:r>
          </w:p>
        </w:tc>
        <w:tc>
          <w:tcPr>
            <w:tcW w:w="691" w:type="dxa"/>
            <w:shd w:val="clear" w:color="auto" w:fill="auto"/>
            <w:noWrap/>
            <w:vAlign w:val="center"/>
            <w:hideMark/>
          </w:tcPr>
          <w:p w14:paraId="7DD29AEA" w14:textId="77777777" w:rsidR="00385F02" w:rsidRPr="00385F02" w:rsidRDefault="00385F02" w:rsidP="00385F02">
            <w:pPr>
              <w:rPr>
                <w:rFonts w:asciiTheme="minorHAnsi" w:hAnsiTheme="minorHAnsi" w:cs="Calibri"/>
                <w:b/>
                <w:bCs/>
                <w:color w:val="000000"/>
                <w:sz w:val="20"/>
                <w:szCs w:val="20"/>
              </w:rPr>
            </w:pPr>
            <w:r w:rsidRPr="00385F02">
              <w:rPr>
                <w:rFonts w:asciiTheme="minorHAnsi" w:hAnsiTheme="minorHAnsi" w:cs="Calibri"/>
                <w:b/>
                <w:bCs/>
                <w:color w:val="000000"/>
                <w:sz w:val="20"/>
                <w:szCs w:val="20"/>
              </w:rPr>
              <w:t>100%</w:t>
            </w:r>
          </w:p>
        </w:tc>
        <w:tc>
          <w:tcPr>
            <w:tcW w:w="691" w:type="dxa"/>
            <w:shd w:val="clear" w:color="auto" w:fill="auto"/>
            <w:noWrap/>
            <w:vAlign w:val="center"/>
            <w:hideMark/>
          </w:tcPr>
          <w:p w14:paraId="138DEE9C" w14:textId="77777777" w:rsidR="00385F02" w:rsidRPr="00385F02" w:rsidRDefault="00385F02" w:rsidP="00385F02">
            <w:pPr>
              <w:rPr>
                <w:rFonts w:asciiTheme="minorHAnsi" w:hAnsiTheme="minorHAnsi" w:cs="Calibri"/>
                <w:b/>
                <w:bCs/>
                <w:color w:val="000000"/>
                <w:sz w:val="20"/>
                <w:szCs w:val="20"/>
              </w:rPr>
            </w:pPr>
            <w:r w:rsidRPr="00385F02">
              <w:rPr>
                <w:rFonts w:asciiTheme="minorHAnsi" w:hAnsiTheme="minorHAnsi" w:cs="Calibri"/>
                <w:b/>
                <w:bCs/>
                <w:color w:val="000000"/>
                <w:sz w:val="20"/>
                <w:szCs w:val="20"/>
              </w:rPr>
              <w:t> </w:t>
            </w:r>
          </w:p>
        </w:tc>
        <w:tc>
          <w:tcPr>
            <w:tcW w:w="691" w:type="dxa"/>
            <w:shd w:val="clear" w:color="auto" w:fill="auto"/>
            <w:noWrap/>
            <w:vAlign w:val="center"/>
            <w:hideMark/>
          </w:tcPr>
          <w:p w14:paraId="470783DB" w14:textId="77777777" w:rsidR="00385F02" w:rsidRPr="00385F02" w:rsidRDefault="00385F02" w:rsidP="00385F02">
            <w:pPr>
              <w:rPr>
                <w:rFonts w:asciiTheme="minorHAnsi" w:hAnsiTheme="minorHAnsi" w:cs="Calibri"/>
                <w:b/>
                <w:bCs/>
                <w:color w:val="000000"/>
                <w:sz w:val="20"/>
                <w:szCs w:val="20"/>
              </w:rPr>
            </w:pPr>
            <w:r w:rsidRPr="00385F02">
              <w:rPr>
                <w:rFonts w:asciiTheme="minorHAnsi" w:hAnsiTheme="minorHAnsi" w:cs="Calibri"/>
                <w:b/>
                <w:bCs/>
                <w:color w:val="000000"/>
                <w:sz w:val="20"/>
                <w:szCs w:val="20"/>
              </w:rPr>
              <w:t> </w:t>
            </w:r>
          </w:p>
        </w:tc>
        <w:tc>
          <w:tcPr>
            <w:tcW w:w="691" w:type="dxa"/>
            <w:shd w:val="clear" w:color="auto" w:fill="auto"/>
            <w:noWrap/>
            <w:vAlign w:val="center"/>
            <w:hideMark/>
          </w:tcPr>
          <w:p w14:paraId="065A3058" w14:textId="77777777" w:rsidR="00385F02" w:rsidRPr="00385F02" w:rsidRDefault="00385F02" w:rsidP="00385F02">
            <w:pPr>
              <w:rPr>
                <w:rFonts w:asciiTheme="minorHAnsi" w:hAnsiTheme="minorHAnsi" w:cs="Calibri"/>
                <w:b/>
                <w:bCs/>
                <w:color w:val="000000"/>
                <w:sz w:val="20"/>
                <w:szCs w:val="20"/>
              </w:rPr>
            </w:pPr>
            <w:r w:rsidRPr="00385F02">
              <w:rPr>
                <w:rFonts w:asciiTheme="minorHAnsi" w:hAnsiTheme="minorHAnsi" w:cs="Calibri"/>
                <w:b/>
                <w:bCs/>
                <w:color w:val="000000"/>
                <w:sz w:val="20"/>
                <w:szCs w:val="20"/>
              </w:rPr>
              <w:t>100%</w:t>
            </w:r>
          </w:p>
        </w:tc>
        <w:tc>
          <w:tcPr>
            <w:tcW w:w="691" w:type="dxa"/>
            <w:shd w:val="clear" w:color="auto" w:fill="auto"/>
            <w:noWrap/>
            <w:vAlign w:val="center"/>
            <w:hideMark/>
          </w:tcPr>
          <w:p w14:paraId="4CFD53E5" w14:textId="77777777" w:rsidR="00385F02" w:rsidRPr="00385F02" w:rsidRDefault="00385F02" w:rsidP="00385F02">
            <w:pPr>
              <w:rPr>
                <w:rFonts w:asciiTheme="minorHAnsi" w:hAnsiTheme="minorHAnsi" w:cs="Calibri"/>
                <w:b/>
                <w:bCs/>
                <w:color w:val="000000"/>
                <w:sz w:val="20"/>
                <w:szCs w:val="20"/>
              </w:rPr>
            </w:pPr>
            <w:r w:rsidRPr="00385F02">
              <w:rPr>
                <w:rFonts w:asciiTheme="minorHAnsi" w:hAnsiTheme="minorHAnsi" w:cs="Calibri"/>
                <w:b/>
                <w:bCs/>
                <w:color w:val="000000"/>
                <w:sz w:val="20"/>
                <w:szCs w:val="20"/>
              </w:rPr>
              <w:t>100%</w:t>
            </w:r>
          </w:p>
        </w:tc>
        <w:tc>
          <w:tcPr>
            <w:tcW w:w="590" w:type="dxa"/>
            <w:shd w:val="clear" w:color="auto" w:fill="auto"/>
            <w:noWrap/>
            <w:vAlign w:val="center"/>
            <w:hideMark/>
          </w:tcPr>
          <w:p w14:paraId="2D884D50" w14:textId="77777777" w:rsidR="00385F02" w:rsidRPr="00385F02" w:rsidRDefault="00385F02" w:rsidP="00385F02">
            <w:pPr>
              <w:rPr>
                <w:rFonts w:ascii="Calibri" w:hAnsi="Calibri" w:cs="Calibri"/>
                <w:b/>
                <w:bCs/>
                <w:color w:val="000000"/>
                <w:sz w:val="20"/>
                <w:szCs w:val="20"/>
              </w:rPr>
            </w:pPr>
            <w:r w:rsidRPr="00385F02">
              <w:rPr>
                <w:rFonts w:ascii="Calibri" w:hAnsi="Calibri" w:cs="Calibri"/>
                <w:b/>
                <w:bCs/>
                <w:color w:val="000000"/>
                <w:sz w:val="20"/>
                <w:szCs w:val="20"/>
              </w:rPr>
              <w:t>100%</w:t>
            </w:r>
          </w:p>
        </w:tc>
      </w:tr>
    </w:tbl>
    <w:p w14:paraId="0BC79322" w14:textId="49A96DC9" w:rsidR="00DA2413" w:rsidRPr="00DA2413" w:rsidRDefault="00385F02" w:rsidP="00DA2413">
      <w:pPr>
        <w:spacing w:line="360" w:lineRule="auto"/>
        <w:jc w:val="both"/>
        <w:rPr>
          <w:rFonts w:asciiTheme="minorHAnsi" w:hAnsiTheme="minorHAnsi"/>
        </w:rPr>
      </w:pPr>
      <w:r>
        <w:rPr>
          <w:rFonts w:asciiTheme="minorHAnsi" w:hAnsiTheme="minorHAnsi"/>
        </w:rPr>
        <w:t>Tabulka č. 3</w:t>
      </w:r>
      <w:r w:rsidR="00DA2413" w:rsidRPr="00DA2413">
        <w:rPr>
          <w:rFonts w:asciiTheme="minorHAnsi" w:hAnsiTheme="minorHAnsi"/>
        </w:rPr>
        <w:t>: Přehled kritiky opozičních stran vyjádřený v procentech</w:t>
      </w:r>
    </w:p>
    <w:p w14:paraId="5955F153" w14:textId="07D356BF" w:rsidR="00DA2413" w:rsidRDefault="00DA2413" w:rsidP="00385F02">
      <w:pPr>
        <w:spacing w:line="360" w:lineRule="auto"/>
        <w:jc w:val="both"/>
        <w:rPr>
          <w:rFonts w:asciiTheme="minorHAnsi" w:hAnsiTheme="minorHAnsi"/>
        </w:rPr>
      </w:pPr>
      <w:r>
        <w:rPr>
          <w:rFonts w:asciiTheme="minorHAnsi" w:hAnsiTheme="minorHAnsi"/>
        </w:rPr>
        <w:t>Zdroj: vlastní zpracování.</w:t>
      </w:r>
    </w:p>
    <w:p w14:paraId="5117E4C7" w14:textId="494C26C0" w:rsidR="00DA2413" w:rsidRDefault="00DA2413" w:rsidP="00DA2413">
      <w:pPr>
        <w:spacing w:line="360" w:lineRule="auto"/>
        <w:ind w:firstLine="709"/>
        <w:jc w:val="both"/>
        <w:rPr>
          <w:rFonts w:asciiTheme="minorHAnsi" w:hAnsiTheme="minorHAnsi"/>
        </w:rPr>
      </w:pPr>
    </w:p>
    <w:p w14:paraId="09777217" w14:textId="1F84E579" w:rsidR="00385F02" w:rsidRDefault="00385F02" w:rsidP="00DA2413">
      <w:pPr>
        <w:spacing w:line="360" w:lineRule="auto"/>
        <w:ind w:firstLine="709"/>
        <w:jc w:val="both"/>
        <w:rPr>
          <w:rFonts w:asciiTheme="minorHAnsi" w:hAnsiTheme="minorHAnsi"/>
        </w:rPr>
      </w:pPr>
    </w:p>
    <w:p w14:paraId="4864084E" w14:textId="77777777" w:rsidR="00385F02" w:rsidRDefault="00385F02" w:rsidP="00DA2413">
      <w:pPr>
        <w:spacing w:line="360" w:lineRule="auto"/>
        <w:ind w:firstLine="709"/>
        <w:jc w:val="both"/>
        <w:rPr>
          <w:rFonts w:asciiTheme="minorHAnsi" w:hAnsiTheme="minorHAnsi"/>
        </w:rPr>
      </w:pPr>
    </w:p>
    <w:p w14:paraId="1CB08827" w14:textId="69ADABA8" w:rsidR="00DA2413" w:rsidRPr="00DA2413" w:rsidRDefault="00DA2413" w:rsidP="00DA2413">
      <w:pPr>
        <w:spacing w:line="360" w:lineRule="auto"/>
        <w:ind w:firstLine="709"/>
        <w:jc w:val="both"/>
        <w:rPr>
          <w:rFonts w:asciiTheme="minorHAnsi" w:hAnsiTheme="minorHAnsi"/>
        </w:rPr>
      </w:pPr>
      <w:r w:rsidRPr="00DA2413">
        <w:rPr>
          <w:rFonts w:asciiTheme="minorHAnsi" w:hAnsiTheme="minorHAnsi"/>
        </w:rPr>
        <w:t>Dalším zkoumaným jevem v této práci byl výskyt abstraktní a konkrétní formy kritiky u jednotlivých opozičních stran. Ty byly v SPSS kódovány číslem 0 (jev není přítomen) a 1 (</w:t>
      </w:r>
      <w:r w:rsidR="00BA1174">
        <w:rPr>
          <w:rFonts w:asciiTheme="minorHAnsi" w:hAnsiTheme="minorHAnsi"/>
        </w:rPr>
        <w:t xml:space="preserve">jev </w:t>
      </w:r>
      <w:r w:rsidRPr="00DA2413">
        <w:rPr>
          <w:rFonts w:asciiTheme="minorHAnsi" w:hAnsiTheme="minorHAnsi"/>
        </w:rPr>
        <w:t>je přítomen). Kvazi-věta zahrnující v sobě konkrétní kritiku byla chápána tak, že v sobě zahrnovala konkrétní, představitelné významy. Jednoduše řečeno strany odkazovaly na konkrétní problém, na nějž měly alternativní řešení a z kontextu bylo možné chápat, na jaký problém konkrétně odkazují. Pokud toto ve výroku patrné nebylo, byl kódován jako abstraktní. Z níže uvedené tabulky je možné vidět,</w:t>
      </w:r>
      <w:r w:rsidR="00614F8E">
        <w:rPr>
          <w:rFonts w:asciiTheme="minorHAnsi" w:hAnsiTheme="minorHAnsi"/>
        </w:rPr>
        <w:t xml:space="preserve"> že strany v argumentaci používaly </w:t>
      </w:r>
      <w:r w:rsidRPr="00DA2413">
        <w:rPr>
          <w:rFonts w:asciiTheme="minorHAnsi" w:hAnsiTheme="minorHAnsi"/>
        </w:rPr>
        <w:t xml:space="preserve">ve větší míře </w:t>
      </w:r>
      <w:r w:rsidR="00614F8E">
        <w:rPr>
          <w:rFonts w:asciiTheme="minorHAnsi" w:hAnsiTheme="minorHAnsi"/>
        </w:rPr>
        <w:t>konkrétní kritiku</w:t>
      </w:r>
      <w:r w:rsidRPr="00DA2413">
        <w:rPr>
          <w:rFonts w:asciiTheme="minorHAnsi" w:hAnsiTheme="minorHAnsi"/>
        </w:rPr>
        <w:t>. V prvním sledovaném období se nejabstraktněji vůči vládě vyjadřovala ODS, zatímco v druhém období to byli poslanci SPD. Zajímavé také je, že u obou sledovaných období zůstávají pr</w:t>
      </w:r>
      <w:r>
        <w:rPr>
          <w:rFonts w:asciiTheme="minorHAnsi" w:hAnsiTheme="minorHAnsi"/>
        </w:rPr>
        <w:t xml:space="preserve">ocentuální hodnoty abstraktní a </w:t>
      </w:r>
      <w:r w:rsidRPr="00DA2413">
        <w:rPr>
          <w:rFonts w:asciiTheme="minorHAnsi" w:hAnsiTheme="minorHAnsi"/>
        </w:rPr>
        <w:t xml:space="preserve">konkrétní kritiky identické. V rámci analýzy a interpretace rámců bude pracováno pouze s výroky jež byly kódovány jako konkrétní. </w:t>
      </w:r>
    </w:p>
    <w:p w14:paraId="05CE83E0" w14:textId="6660CB4A" w:rsidR="00DA2413" w:rsidRPr="00DA2413" w:rsidRDefault="00385F02" w:rsidP="00385F02">
      <w:pPr>
        <w:spacing w:line="360" w:lineRule="auto"/>
        <w:ind w:firstLine="709"/>
        <w:jc w:val="both"/>
        <w:rPr>
          <w:rFonts w:asciiTheme="minorHAnsi" w:hAnsiTheme="minorHAnsi"/>
        </w:rPr>
      </w:pPr>
      <w:r>
        <w:rPr>
          <w:rFonts w:asciiTheme="minorHAnsi" w:hAnsiTheme="minorHAnsi"/>
        </w:rPr>
        <w:t>Tabulka č. 4</w:t>
      </w:r>
      <w:r w:rsidRPr="00DA2413">
        <w:rPr>
          <w:rFonts w:asciiTheme="minorHAnsi" w:hAnsiTheme="minorHAnsi"/>
        </w:rPr>
        <w:t>: Přehled výskytu kon</w:t>
      </w:r>
      <w:r>
        <w:rPr>
          <w:rFonts w:asciiTheme="minorHAnsi" w:hAnsiTheme="minorHAnsi"/>
        </w:rPr>
        <w:t xml:space="preserve">krétní vs. abstraktní kritiky u </w:t>
      </w:r>
      <w:r w:rsidRPr="00DA2413">
        <w:rPr>
          <w:rFonts w:asciiTheme="minorHAnsi" w:hAnsiTheme="minorHAnsi"/>
        </w:rPr>
        <w:t>jednotlivých opozičních stran</w:t>
      </w:r>
    </w:p>
    <w:tbl>
      <w:tblPr>
        <w:tblStyle w:val="Prosttabulka1"/>
        <w:tblpPr w:leftFromText="141" w:rightFromText="141" w:vertAnchor="page" w:horzAnchor="margin" w:tblpXSpec="center" w:tblpY="10096"/>
        <w:tblW w:w="5000" w:type="pct"/>
        <w:tblLook w:val="04A0" w:firstRow="1" w:lastRow="0" w:firstColumn="1" w:lastColumn="0" w:noHBand="0" w:noVBand="1"/>
      </w:tblPr>
      <w:tblGrid>
        <w:gridCol w:w="1768"/>
        <w:gridCol w:w="673"/>
        <w:gridCol w:w="724"/>
        <w:gridCol w:w="672"/>
        <w:gridCol w:w="724"/>
        <w:gridCol w:w="672"/>
        <w:gridCol w:w="724"/>
        <w:gridCol w:w="672"/>
        <w:gridCol w:w="724"/>
      </w:tblGrid>
      <w:tr w:rsidR="006C4665" w:rsidRPr="00CE176A" w14:paraId="3DCE1640" w14:textId="77777777" w:rsidTr="00385F02">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191" w:type="pct"/>
            <w:tcBorders>
              <w:top w:val="single" w:sz="4" w:space="0" w:color="auto"/>
              <w:left w:val="single" w:sz="4" w:space="0" w:color="auto"/>
              <w:bottom w:val="single" w:sz="4" w:space="0" w:color="auto"/>
              <w:right w:val="single" w:sz="4" w:space="0" w:color="auto"/>
            </w:tcBorders>
            <w:noWrap/>
            <w:hideMark/>
          </w:tcPr>
          <w:p w14:paraId="5EA5D1F5" w14:textId="77777777" w:rsidR="006C4665" w:rsidRPr="00385F02" w:rsidRDefault="006C4665" w:rsidP="00385F02">
            <w:pPr>
              <w:rPr>
                <w:rFonts w:asciiTheme="minorHAnsi" w:hAnsiTheme="minorHAnsi"/>
                <w:color w:val="000000"/>
                <w:sz w:val="22"/>
              </w:rPr>
            </w:pPr>
            <w:r w:rsidRPr="00385F02">
              <w:rPr>
                <w:rFonts w:asciiTheme="minorHAnsi" w:hAnsiTheme="minorHAnsi"/>
                <w:color w:val="000000"/>
                <w:sz w:val="22"/>
              </w:rPr>
              <w:t>Klasifikace</w:t>
            </w:r>
          </w:p>
        </w:tc>
        <w:tc>
          <w:tcPr>
            <w:tcW w:w="951" w:type="pct"/>
            <w:gridSpan w:val="2"/>
            <w:tcBorders>
              <w:top w:val="single" w:sz="4" w:space="0" w:color="auto"/>
              <w:left w:val="single" w:sz="4" w:space="0" w:color="auto"/>
              <w:bottom w:val="single" w:sz="4" w:space="0" w:color="auto"/>
            </w:tcBorders>
            <w:noWrap/>
            <w:hideMark/>
          </w:tcPr>
          <w:p w14:paraId="1A749CF1" w14:textId="77777777" w:rsidR="006C4665" w:rsidRPr="00385F02" w:rsidRDefault="006C4665" w:rsidP="00385F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Konkrétní</w:t>
            </w:r>
          </w:p>
        </w:tc>
        <w:tc>
          <w:tcPr>
            <w:tcW w:w="953" w:type="pct"/>
            <w:gridSpan w:val="2"/>
            <w:tcBorders>
              <w:top w:val="single" w:sz="4" w:space="0" w:color="auto"/>
              <w:bottom w:val="single" w:sz="4" w:space="0" w:color="auto"/>
              <w:right w:val="single" w:sz="4" w:space="0" w:color="auto"/>
            </w:tcBorders>
            <w:noWrap/>
            <w:hideMark/>
          </w:tcPr>
          <w:p w14:paraId="06B58379" w14:textId="77777777" w:rsidR="006C4665" w:rsidRPr="00385F02" w:rsidRDefault="006C4665" w:rsidP="00385F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Abstraktní</w:t>
            </w:r>
          </w:p>
        </w:tc>
        <w:tc>
          <w:tcPr>
            <w:tcW w:w="953" w:type="pct"/>
            <w:gridSpan w:val="2"/>
            <w:tcBorders>
              <w:top w:val="single" w:sz="4" w:space="0" w:color="auto"/>
              <w:left w:val="single" w:sz="4" w:space="0" w:color="auto"/>
              <w:bottom w:val="single" w:sz="4" w:space="0" w:color="auto"/>
            </w:tcBorders>
            <w:noWrap/>
            <w:hideMark/>
          </w:tcPr>
          <w:p w14:paraId="7C817C17" w14:textId="77777777" w:rsidR="006C4665" w:rsidRPr="00385F02" w:rsidRDefault="006C4665" w:rsidP="00385F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Konkrétní</w:t>
            </w:r>
          </w:p>
        </w:tc>
        <w:tc>
          <w:tcPr>
            <w:tcW w:w="953" w:type="pct"/>
            <w:gridSpan w:val="2"/>
            <w:tcBorders>
              <w:top w:val="single" w:sz="4" w:space="0" w:color="auto"/>
              <w:bottom w:val="single" w:sz="4" w:space="0" w:color="auto"/>
              <w:right w:val="single" w:sz="4" w:space="0" w:color="auto"/>
            </w:tcBorders>
            <w:noWrap/>
            <w:hideMark/>
          </w:tcPr>
          <w:p w14:paraId="0E8274F8" w14:textId="77777777" w:rsidR="006C4665" w:rsidRPr="00385F02" w:rsidRDefault="006C4665" w:rsidP="00385F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Abstraktní</w:t>
            </w:r>
          </w:p>
        </w:tc>
      </w:tr>
      <w:tr w:rsidR="006C4665" w:rsidRPr="00CE176A" w14:paraId="48CD86BC" w14:textId="77777777" w:rsidTr="00385F02">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191" w:type="pct"/>
            <w:tcBorders>
              <w:top w:val="single" w:sz="4" w:space="0" w:color="auto"/>
              <w:left w:val="single" w:sz="4" w:space="0" w:color="auto"/>
              <w:bottom w:val="single" w:sz="4" w:space="0" w:color="auto"/>
              <w:right w:val="single" w:sz="4" w:space="0" w:color="auto"/>
            </w:tcBorders>
            <w:noWrap/>
            <w:hideMark/>
          </w:tcPr>
          <w:p w14:paraId="26386C05" w14:textId="77777777" w:rsidR="006C4665" w:rsidRPr="00385F02" w:rsidRDefault="006C4665" w:rsidP="00385F02">
            <w:pPr>
              <w:rPr>
                <w:rFonts w:asciiTheme="minorHAnsi" w:hAnsiTheme="minorHAnsi"/>
                <w:color w:val="000000"/>
                <w:sz w:val="22"/>
              </w:rPr>
            </w:pPr>
            <w:r w:rsidRPr="00385F02">
              <w:rPr>
                <w:rFonts w:asciiTheme="minorHAnsi" w:hAnsiTheme="minorHAnsi"/>
                <w:color w:val="000000"/>
                <w:sz w:val="22"/>
              </w:rPr>
              <w:t>Vláda</w:t>
            </w:r>
          </w:p>
        </w:tc>
        <w:tc>
          <w:tcPr>
            <w:tcW w:w="1904" w:type="pct"/>
            <w:gridSpan w:val="4"/>
            <w:tcBorders>
              <w:top w:val="single" w:sz="4" w:space="0" w:color="auto"/>
              <w:left w:val="single" w:sz="4" w:space="0" w:color="auto"/>
              <w:bottom w:val="single" w:sz="4" w:space="0" w:color="auto"/>
              <w:right w:val="single" w:sz="4" w:space="0" w:color="auto"/>
            </w:tcBorders>
            <w:noWrap/>
            <w:hideMark/>
          </w:tcPr>
          <w:p w14:paraId="5D94BC54"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sz w:val="22"/>
              </w:rPr>
            </w:pPr>
            <w:r w:rsidRPr="00385F02">
              <w:rPr>
                <w:rFonts w:asciiTheme="minorHAnsi" w:hAnsiTheme="minorHAnsi"/>
                <w:b/>
                <w:bCs/>
                <w:color w:val="000000"/>
                <w:sz w:val="22"/>
              </w:rPr>
              <w:t>1.</w:t>
            </w:r>
          </w:p>
        </w:tc>
        <w:tc>
          <w:tcPr>
            <w:tcW w:w="1905" w:type="pct"/>
            <w:gridSpan w:val="4"/>
            <w:tcBorders>
              <w:top w:val="single" w:sz="4" w:space="0" w:color="auto"/>
              <w:left w:val="single" w:sz="4" w:space="0" w:color="auto"/>
              <w:bottom w:val="single" w:sz="4" w:space="0" w:color="auto"/>
              <w:right w:val="single" w:sz="4" w:space="0" w:color="auto"/>
            </w:tcBorders>
            <w:noWrap/>
            <w:hideMark/>
          </w:tcPr>
          <w:p w14:paraId="2E09CB6B"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sz w:val="22"/>
              </w:rPr>
            </w:pPr>
            <w:r w:rsidRPr="00385F02">
              <w:rPr>
                <w:rFonts w:asciiTheme="minorHAnsi" w:hAnsiTheme="minorHAnsi"/>
                <w:b/>
                <w:bCs/>
                <w:color w:val="000000"/>
                <w:sz w:val="22"/>
              </w:rPr>
              <w:t>2.</w:t>
            </w:r>
          </w:p>
        </w:tc>
      </w:tr>
      <w:tr w:rsidR="00385F02" w:rsidRPr="00CE176A" w14:paraId="67553646" w14:textId="77777777" w:rsidTr="00385F02">
        <w:trPr>
          <w:trHeight w:val="233"/>
        </w:trPr>
        <w:tc>
          <w:tcPr>
            <w:cnfStyle w:val="001000000000" w:firstRow="0" w:lastRow="0" w:firstColumn="1" w:lastColumn="0" w:oddVBand="0" w:evenVBand="0" w:oddHBand="0" w:evenHBand="0" w:firstRowFirstColumn="0" w:firstRowLastColumn="0" w:lastRowFirstColumn="0" w:lastRowLastColumn="0"/>
            <w:tcW w:w="1191" w:type="pct"/>
            <w:tcBorders>
              <w:top w:val="single" w:sz="4" w:space="0" w:color="auto"/>
              <w:left w:val="single" w:sz="4" w:space="0" w:color="auto"/>
              <w:bottom w:val="single" w:sz="4" w:space="0" w:color="auto"/>
              <w:right w:val="single" w:sz="4" w:space="0" w:color="auto"/>
            </w:tcBorders>
            <w:noWrap/>
            <w:hideMark/>
          </w:tcPr>
          <w:p w14:paraId="0FB6C35A" w14:textId="77777777" w:rsidR="006C4665" w:rsidRPr="00385F02" w:rsidRDefault="006C4665" w:rsidP="00385F02">
            <w:pPr>
              <w:rPr>
                <w:rFonts w:asciiTheme="minorHAnsi" w:hAnsiTheme="minorHAnsi"/>
                <w:color w:val="000000"/>
                <w:sz w:val="22"/>
              </w:rPr>
            </w:pPr>
            <w:r w:rsidRPr="00385F02">
              <w:rPr>
                <w:rFonts w:asciiTheme="minorHAnsi" w:hAnsiTheme="minorHAnsi"/>
                <w:color w:val="000000"/>
                <w:sz w:val="22"/>
              </w:rPr>
              <w:t>Politická strana</w:t>
            </w:r>
          </w:p>
        </w:tc>
        <w:tc>
          <w:tcPr>
            <w:tcW w:w="461" w:type="pct"/>
            <w:tcBorders>
              <w:top w:val="single" w:sz="4" w:space="0" w:color="auto"/>
              <w:left w:val="single" w:sz="4" w:space="0" w:color="auto"/>
              <w:bottom w:val="single" w:sz="4" w:space="0" w:color="auto"/>
            </w:tcBorders>
            <w:noWrap/>
            <w:hideMark/>
          </w:tcPr>
          <w:p w14:paraId="7170FA21"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22"/>
              </w:rPr>
            </w:pPr>
            <w:r w:rsidRPr="00385F02">
              <w:rPr>
                <w:rFonts w:asciiTheme="minorHAnsi" w:hAnsiTheme="minorHAnsi"/>
                <w:b/>
                <w:color w:val="000000"/>
                <w:sz w:val="22"/>
              </w:rPr>
              <w:t>Freq</w:t>
            </w:r>
          </w:p>
        </w:tc>
        <w:tc>
          <w:tcPr>
            <w:tcW w:w="490" w:type="pct"/>
            <w:tcBorders>
              <w:top w:val="single" w:sz="4" w:space="0" w:color="auto"/>
              <w:bottom w:val="single" w:sz="4" w:space="0" w:color="auto"/>
              <w:right w:val="single" w:sz="4" w:space="0" w:color="auto"/>
            </w:tcBorders>
            <w:noWrap/>
            <w:hideMark/>
          </w:tcPr>
          <w:p w14:paraId="1638CB29"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22"/>
              </w:rPr>
            </w:pPr>
            <w:r w:rsidRPr="00385F02">
              <w:rPr>
                <w:rFonts w:asciiTheme="minorHAnsi" w:hAnsiTheme="minorHAnsi"/>
                <w:b/>
                <w:color w:val="000000"/>
                <w:sz w:val="22"/>
              </w:rPr>
              <w:t>%</w:t>
            </w:r>
          </w:p>
        </w:tc>
        <w:tc>
          <w:tcPr>
            <w:tcW w:w="462" w:type="pct"/>
            <w:tcBorders>
              <w:top w:val="single" w:sz="4" w:space="0" w:color="auto"/>
              <w:left w:val="single" w:sz="4" w:space="0" w:color="auto"/>
              <w:bottom w:val="single" w:sz="4" w:space="0" w:color="auto"/>
            </w:tcBorders>
            <w:noWrap/>
            <w:hideMark/>
          </w:tcPr>
          <w:p w14:paraId="1BD6B173"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22"/>
              </w:rPr>
            </w:pPr>
            <w:r w:rsidRPr="00385F02">
              <w:rPr>
                <w:rFonts w:asciiTheme="minorHAnsi" w:hAnsiTheme="minorHAnsi"/>
                <w:b/>
                <w:color w:val="000000"/>
                <w:sz w:val="22"/>
              </w:rPr>
              <w:t>Freq</w:t>
            </w:r>
          </w:p>
        </w:tc>
        <w:tc>
          <w:tcPr>
            <w:tcW w:w="491" w:type="pct"/>
            <w:tcBorders>
              <w:top w:val="single" w:sz="4" w:space="0" w:color="auto"/>
              <w:bottom w:val="single" w:sz="4" w:space="0" w:color="auto"/>
              <w:right w:val="single" w:sz="4" w:space="0" w:color="auto"/>
            </w:tcBorders>
            <w:noWrap/>
            <w:hideMark/>
          </w:tcPr>
          <w:p w14:paraId="16623C2E"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22"/>
              </w:rPr>
            </w:pPr>
            <w:r w:rsidRPr="00385F02">
              <w:rPr>
                <w:rFonts w:asciiTheme="minorHAnsi" w:hAnsiTheme="minorHAnsi"/>
                <w:b/>
                <w:color w:val="000000"/>
                <w:sz w:val="22"/>
              </w:rPr>
              <w:t>%</w:t>
            </w:r>
          </w:p>
        </w:tc>
        <w:tc>
          <w:tcPr>
            <w:tcW w:w="462" w:type="pct"/>
            <w:tcBorders>
              <w:top w:val="single" w:sz="4" w:space="0" w:color="auto"/>
              <w:left w:val="single" w:sz="4" w:space="0" w:color="auto"/>
              <w:bottom w:val="single" w:sz="4" w:space="0" w:color="auto"/>
            </w:tcBorders>
            <w:noWrap/>
            <w:hideMark/>
          </w:tcPr>
          <w:p w14:paraId="51AB7B6A"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22"/>
              </w:rPr>
            </w:pPr>
            <w:r w:rsidRPr="00385F02">
              <w:rPr>
                <w:rFonts w:asciiTheme="minorHAnsi" w:hAnsiTheme="minorHAnsi"/>
                <w:b/>
                <w:color w:val="000000"/>
                <w:sz w:val="22"/>
              </w:rPr>
              <w:t>Freq</w:t>
            </w:r>
          </w:p>
        </w:tc>
        <w:tc>
          <w:tcPr>
            <w:tcW w:w="491" w:type="pct"/>
            <w:tcBorders>
              <w:top w:val="single" w:sz="4" w:space="0" w:color="auto"/>
              <w:bottom w:val="single" w:sz="4" w:space="0" w:color="auto"/>
              <w:right w:val="single" w:sz="4" w:space="0" w:color="auto"/>
            </w:tcBorders>
            <w:noWrap/>
            <w:hideMark/>
          </w:tcPr>
          <w:p w14:paraId="3AAA6F05"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22"/>
              </w:rPr>
            </w:pPr>
            <w:r w:rsidRPr="00385F02">
              <w:rPr>
                <w:rFonts w:asciiTheme="minorHAnsi" w:hAnsiTheme="minorHAnsi"/>
                <w:b/>
                <w:color w:val="000000"/>
                <w:sz w:val="22"/>
              </w:rPr>
              <w:t>%</w:t>
            </w:r>
          </w:p>
        </w:tc>
        <w:tc>
          <w:tcPr>
            <w:tcW w:w="462" w:type="pct"/>
            <w:tcBorders>
              <w:top w:val="single" w:sz="4" w:space="0" w:color="auto"/>
              <w:left w:val="single" w:sz="4" w:space="0" w:color="auto"/>
              <w:bottom w:val="single" w:sz="4" w:space="0" w:color="auto"/>
            </w:tcBorders>
            <w:noWrap/>
            <w:hideMark/>
          </w:tcPr>
          <w:p w14:paraId="3771E0AB"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22"/>
              </w:rPr>
            </w:pPr>
            <w:r w:rsidRPr="00385F02">
              <w:rPr>
                <w:rFonts w:asciiTheme="minorHAnsi" w:hAnsiTheme="minorHAnsi"/>
                <w:b/>
                <w:color w:val="000000"/>
                <w:sz w:val="22"/>
              </w:rPr>
              <w:t>Freq</w:t>
            </w:r>
          </w:p>
        </w:tc>
        <w:tc>
          <w:tcPr>
            <w:tcW w:w="491" w:type="pct"/>
            <w:tcBorders>
              <w:top w:val="single" w:sz="4" w:space="0" w:color="auto"/>
              <w:bottom w:val="single" w:sz="4" w:space="0" w:color="auto"/>
              <w:right w:val="single" w:sz="4" w:space="0" w:color="auto"/>
            </w:tcBorders>
            <w:noWrap/>
            <w:hideMark/>
          </w:tcPr>
          <w:p w14:paraId="26C4CF66"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22"/>
              </w:rPr>
            </w:pPr>
            <w:r w:rsidRPr="00385F02">
              <w:rPr>
                <w:rFonts w:asciiTheme="minorHAnsi" w:hAnsiTheme="minorHAnsi"/>
                <w:b/>
                <w:color w:val="000000"/>
                <w:sz w:val="22"/>
              </w:rPr>
              <w:t>%</w:t>
            </w:r>
          </w:p>
        </w:tc>
      </w:tr>
      <w:tr w:rsidR="00385F02" w:rsidRPr="00CE176A" w14:paraId="537F2C2B" w14:textId="77777777" w:rsidTr="00385F02">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191" w:type="pct"/>
            <w:tcBorders>
              <w:top w:val="single" w:sz="4" w:space="0" w:color="auto"/>
              <w:left w:val="single" w:sz="4" w:space="0" w:color="auto"/>
              <w:right w:val="single" w:sz="4" w:space="0" w:color="auto"/>
            </w:tcBorders>
            <w:noWrap/>
            <w:hideMark/>
          </w:tcPr>
          <w:p w14:paraId="4B0FFA70" w14:textId="77777777" w:rsidR="006C4665" w:rsidRPr="00385F02" w:rsidRDefault="006C4665" w:rsidP="00385F02">
            <w:pPr>
              <w:rPr>
                <w:rFonts w:asciiTheme="minorHAnsi" w:hAnsiTheme="minorHAnsi"/>
                <w:color w:val="000000"/>
                <w:sz w:val="22"/>
              </w:rPr>
            </w:pPr>
            <w:r w:rsidRPr="00385F02">
              <w:rPr>
                <w:rFonts w:asciiTheme="minorHAnsi" w:hAnsiTheme="minorHAnsi"/>
                <w:color w:val="000000"/>
                <w:sz w:val="22"/>
              </w:rPr>
              <w:t>ODS</w:t>
            </w:r>
          </w:p>
        </w:tc>
        <w:tc>
          <w:tcPr>
            <w:tcW w:w="461" w:type="pct"/>
            <w:tcBorders>
              <w:top w:val="single" w:sz="4" w:space="0" w:color="auto"/>
              <w:left w:val="single" w:sz="4" w:space="0" w:color="auto"/>
            </w:tcBorders>
            <w:noWrap/>
            <w:hideMark/>
          </w:tcPr>
          <w:p w14:paraId="3F0780D1"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37</w:t>
            </w:r>
          </w:p>
        </w:tc>
        <w:tc>
          <w:tcPr>
            <w:tcW w:w="490" w:type="pct"/>
            <w:tcBorders>
              <w:top w:val="single" w:sz="4" w:space="0" w:color="auto"/>
              <w:right w:val="single" w:sz="4" w:space="0" w:color="auto"/>
            </w:tcBorders>
            <w:noWrap/>
            <w:hideMark/>
          </w:tcPr>
          <w:p w14:paraId="1DE59B82"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62 %</w:t>
            </w:r>
          </w:p>
        </w:tc>
        <w:tc>
          <w:tcPr>
            <w:tcW w:w="462" w:type="pct"/>
            <w:tcBorders>
              <w:top w:val="single" w:sz="4" w:space="0" w:color="auto"/>
              <w:left w:val="single" w:sz="4" w:space="0" w:color="auto"/>
            </w:tcBorders>
            <w:noWrap/>
            <w:hideMark/>
          </w:tcPr>
          <w:p w14:paraId="0C8B8BF1"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23</w:t>
            </w:r>
          </w:p>
        </w:tc>
        <w:tc>
          <w:tcPr>
            <w:tcW w:w="491" w:type="pct"/>
            <w:tcBorders>
              <w:top w:val="single" w:sz="4" w:space="0" w:color="auto"/>
              <w:right w:val="single" w:sz="4" w:space="0" w:color="auto"/>
            </w:tcBorders>
            <w:noWrap/>
            <w:hideMark/>
          </w:tcPr>
          <w:p w14:paraId="60845B7D"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38 %</w:t>
            </w:r>
          </w:p>
        </w:tc>
        <w:tc>
          <w:tcPr>
            <w:tcW w:w="462" w:type="pct"/>
            <w:tcBorders>
              <w:top w:val="single" w:sz="4" w:space="0" w:color="auto"/>
              <w:left w:val="single" w:sz="4" w:space="0" w:color="auto"/>
            </w:tcBorders>
            <w:noWrap/>
            <w:hideMark/>
          </w:tcPr>
          <w:p w14:paraId="50B6BA6D"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120</w:t>
            </w:r>
          </w:p>
        </w:tc>
        <w:tc>
          <w:tcPr>
            <w:tcW w:w="491" w:type="pct"/>
            <w:tcBorders>
              <w:top w:val="single" w:sz="4" w:space="0" w:color="auto"/>
              <w:right w:val="single" w:sz="4" w:space="0" w:color="auto"/>
            </w:tcBorders>
            <w:noWrap/>
            <w:hideMark/>
          </w:tcPr>
          <w:p w14:paraId="0D1AD6A5"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71 %</w:t>
            </w:r>
          </w:p>
        </w:tc>
        <w:tc>
          <w:tcPr>
            <w:tcW w:w="462" w:type="pct"/>
            <w:tcBorders>
              <w:top w:val="single" w:sz="4" w:space="0" w:color="auto"/>
              <w:left w:val="single" w:sz="4" w:space="0" w:color="auto"/>
            </w:tcBorders>
            <w:noWrap/>
            <w:hideMark/>
          </w:tcPr>
          <w:p w14:paraId="59A932C2"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48</w:t>
            </w:r>
          </w:p>
        </w:tc>
        <w:tc>
          <w:tcPr>
            <w:tcW w:w="491" w:type="pct"/>
            <w:tcBorders>
              <w:top w:val="single" w:sz="4" w:space="0" w:color="auto"/>
              <w:right w:val="single" w:sz="4" w:space="0" w:color="auto"/>
            </w:tcBorders>
            <w:noWrap/>
            <w:hideMark/>
          </w:tcPr>
          <w:p w14:paraId="4B0D2CDE"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29 %</w:t>
            </w:r>
          </w:p>
        </w:tc>
      </w:tr>
      <w:tr w:rsidR="006C4665" w:rsidRPr="00CE176A" w14:paraId="37BD29C3" w14:textId="77777777" w:rsidTr="00385F02">
        <w:trPr>
          <w:trHeight w:val="222"/>
        </w:trPr>
        <w:tc>
          <w:tcPr>
            <w:cnfStyle w:val="001000000000" w:firstRow="0" w:lastRow="0" w:firstColumn="1" w:lastColumn="0" w:oddVBand="0" w:evenVBand="0" w:oddHBand="0" w:evenHBand="0" w:firstRowFirstColumn="0" w:firstRowLastColumn="0" w:lastRowFirstColumn="0" w:lastRowLastColumn="0"/>
            <w:tcW w:w="1191" w:type="pct"/>
            <w:tcBorders>
              <w:left w:val="single" w:sz="4" w:space="0" w:color="auto"/>
              <w:right w:val="single" w:sz="4" w:space="0" w:color="auto"/>
            </w:tcBorders>
            <w:noWrap/>
            <w:hideMark/>
          </w:tcPr>
          <w:p w14:paraId="50CE608F" w14:textId="77777777" w:rsidR="006C4665" w:rsidRPr="00385F02" w:rsidRDefault="006C4665" w:rsidP="00385F02">
            <w:pPr>
              <w:rPr>
                <w:rFonts w:asciiTheme="minorHAnsi" w:hAnsiTheme="minorHAnsi"/>
                <w:color w:val="000000"/>
                <w:sz w:val="22"/>
              </w:rPr>
            </w:pPr>
            <w:r w:rsidRPr="00385F02">
              <w:rPr>
                <w:rFonts w:asciiTheme="minorHAnsi" w:hAnsiTheme="minorHAnsi"/>
                <w:color w:val="000000"/>
                <w:sz w:val="22"/>
              </w:rPr>
              <w:t>Piráti</w:t>
            </w:r>
          </w:p>
        </w:tc>
        <w:tc>
          <w:tcPr>
            <w:tcW w:w="461" w:type="pct"/>
            <w:tcBorders>
              <w:left w:val="single" w:sz="4" w:space="0" w:color="auto"/>
            </w:tcBorders>
            <w:noWrap/>
            <w:hideMark/>
          </w:tcPr>
          <w:p w14:paraId="185B4038"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19</w:t>
            </w:r>
          </w:p>
        </w:tc>
        <w:tc>
          <w:tcPr>
            <w:tcW w:w="490" w:type="pct"/>
            <w:tcBorders>
              <w:right w:val="single" w:sz="4" w:space="0" w:color="auto"/>
            </w:tcBorders>
            <w:noWrap/>
            <w:hideMark/>
          </w:tcPr>
          <w:p w14:paraId="7FBB57E4"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70 %</w:t>
            </w:r>
          </w:p>
        </w:tc>
        <w:tc>
          <w:tcPr>
            <w:tcW w:w="462" w:type="pct"/>
            <w:tcBorders>
              <w:left w:val="single" w:sz="4" w:space="0" w:color="auto"/>
            </w:tcBorders>
            <w:noWrap/>
            <w:hideMark/>
          </w:tcPr>
          <w:p w14:paraId="5127C4D5"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8</w:t>
            </w:r>
          </w:p>
        </w:tc>
        <w:tc>
          <w:tcPr>
            <w:tcW w:w="491" w:type="pct"/>
            <w:tcBorders>
              <w:right w:val="single" w:sz="4" w:space="0" w:color="auto"/>
            </w:tcBorders>
            <w:noWrap/>
            <w:hideMark/>
          </w:tcPr>
          <w:p w14:paraId="7DB6F4B8"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30 %</w:t>
            </w:r>
          </w:p>
        </w:tc>
        <w:tc>
          <w:tcPr>
            <w:tcW w:w="462" w:type="pct"/>
            <w:tcBorders>
              <w:left w:val="single" w:sz="4" w:space="0" w:color="auto"/>
            </w:tcBorders>
            <w:noWrap/>
            <w:hideMark/>
          </w:tcPr>
          <w:p w14:paraId="6ED732C6"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49</w:t>
            </w:r>
          </w:p>
        </w:tc>
        <w:tc>
          <w:tcPr>
            <w:tcW w:w="491" w:type="pct"/>
            <w:tcBorders>
              <w:right w:val="single" w:sz="4" w:space="0" w:color="auto"/>
            </w:tcBorders>
            <w:noWrap/>
            <w:hideMark/>
          </w:tcPr>
          <w:p w14:paraId="50C3C08D"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89 %</w:t>
            </w:r>
          </w:p>
        </w:tc>
        <w:tc>
          <w:tcPr>
            <w:tcW w:w="462" w:type="pct"/>
            <w:tcBorders>
              <w:left w:val="single" w:sz="4" w:space="0" w:color="auto"/>
            </w:tcBorders>
            <w:noWrap/>
            <w:hideMark/>
          </w:tcPr>
          <w:p w14:paraId="00BECD59"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6</w:t>
            </w:r>
          </w:p>
        </w:tc>
        <w:tc>
          <w:tcPr>
            <w:tcW w:w="491" w:type="pct"/>
            <w:tcBorders>
              <w:right w:val="single" w:sz="4" w:space="0" w:color="auto"/>
            </w:tcBorders>
            <w:noWrap/>
            <w:hideMark/>
          </w:tcPr>
          <w:p w14:paraId="32D886EE"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11 %</w:t>
            </w:r>
          </w:p>
        </w:tc>
      </w:tr>
      <w:tr w:rsidR="006C4665" w:rsidRPr="00CE176A" w14:paraId="171559CA" w14:textId="77777777" w:rsidTr="00385F02">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191" w:type="pct"/>
            <w:tcBorders>
              <w:left w:val="single" w:sz="4" w:space="0" w:color="auto"/>
              <w:right w:val="single" w:sz="4" w:space="0" w:color="auto"/>
            </w:tcBorders>
            <w:noWrap/>
            <w:hideMark/>
          </w:tcPr>
          <w:p w14:paraId="6EF7DFE3" w14:textId="77777777" w:rsidR="006C4665" w:rsidRPr="00385F02" w:rsidRDefault="006C4665" w:rsidP="00385F02">
            <w:pPr>
              <w:rPr>
                <w:rFonts w:asciiTheme="minorHAnsi" w:hAnsiTheme="minorHAnsi"/>
                <w:color w:val="000000"/>
                <w:sz w:val="22"/>
              </w:rPr>
            </w:pPr>
            <w:r w:rsidRPr="00385F02">
              <w:rPr>
                <w:rFonts w:asciiTheme="minorHAnsi" w:hAnsiTheme="minorHAnsi"/>
                <w:color w:val="000000"/>
                <w:sz w:val="22"/>
              </w:rPr>
              <w:t>SPD</w:t>
            </w:r>
          </w:p>
        </w:tc>
        <w:tc>
          <w:tcPr>
            <w:tcW w:w="461" w:type="pct"/>
            <w:tcBorders>
              <w:left w:val="single" w:sz="4" w:space="0" w:color="auto"/>
            </w:tcBorders>
            <w:noWrap/>
            <w:hideMark/>
          </w:tcPr>
          <w:p w14:paraId="3654F8E8"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15</w:t>
            </w:r>
          </w:p>
        </w:tc>
        <w:tc>
          <w:tcPr>
            <w:tcW w:w="490" w:type="pct"/>
            <w:tcBorders>
              <w:right w:val="single" w:sz="4" w:space="0" w:color="auto"/>
            </w:tcBorders>
            <w:noWrap/>
            <w:hideMark/>
          </w:tcPr>
          <w:p w14:paraId="74DDB66B"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71 %</w:t>
            </w:r>
          </w:p>
        </w:tc>
        <w:tc>
          <w:tcPr>
            <w:tcW w:w="462" w:type="pct"/>
            <w:tcBorders>
              <w:left w:val="single" w:sz="4" w:space="0" w:color="auto"/>
            </w:tcBorders>
            <w:noWrap/>
            <w:hideMark/>
          </w:tcPr>
          <w:p w14:paraId="78AC146A"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6</w:t>
            </w:r>
          </w:p>
        </w:tc>
        <w:tc>
          <w:tcPr>
            <w:tcW w:w="491" w:type="pct"/>
            <w:tcBorders>
              <w:right w:val="single" w:sz="4" w:space="0" w:color="auto"/>
            </w:tcBorders>
            <w:noWrap/>
            <w:hideMark/>
          </w:tcPr>
          <w:p w14:paraId="7C9815EC"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29 %</w:t>
            </w:r>
          </w:p>
        </w:tc>
        <w:tc>
          <w:tcPr>
            <w:tcW w:w="462" w:type="pct"/>
            <w:tcBorders>
              <w:left w:val="single" w:sz="4" w:space="0" w:color="auto"/>
            </w:tcBorders>
            <w:noWrap/>
            <w:hideMark/>
          </w:tcPr>
          <w:p w14:paraId="718E02D5"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18</w:t>
            </w:r>
          </w:p>
        </w:tc>
        <w:tc>
          <w:tcPr>
            <w:tcW w:w="491" w:type="pct"/>
            <w:tcBorders>
              <w:right w:val="single" w:sz="4" w:space="0" w:color="auto"/>
            </w:tcBorders>
            <w:noWrap/>
            <w:hideMark/>
          </w:tcPr>
          <w:p w14:paraId="700F8835"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67 %</w:t>
            </w:r>
          </w:p>
        </w:tc>
        <w:tc>
          <w:tcPr>
            <w:tcW w:w="462" w:type="pct"/>
            <w:tcBorders>
              <w:left w:val="single" w:sz="4" w:space="0" w:color="auto"/>
            </w:tcBorders>
            <w:noWrap/>
            <w:hideMark/>
          </w:tcPr>
          <w:p w14:paraId="1EE94993"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9</w:t>
            </w:r>
          </w:p>
        </w:tc>
        <w:tc>
          <w:tcPr>
            <w:tcW w:w="491" w:type="pct"/>
            <w:tcBorders>
              <w:right w:val="single" w:sz="4" w:space="0" w:color="auto"/>
            </w:tcBorders>
            <w:noWrap/>
            <w:hideMark/>
          </w:tcPr>
          <w:p w14:paraId="76B84AAA"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33 %</w:t>
            </w:r>
          </w:p>
        </w:tc>
      </w:tr>
      <w:tr w:rsidR="006C4665" w:rsidRPr="00CE176A" w14:paraId="65A70881" w14:textId="77777777" w:rsidTr="00385F02">
        <w:trPr>
          <w:trHeight w:val="222"/>
        </w:trPr>
        <w:tc>
          <w:tcPr>
            <w:cnfStyle w:val="001000000000" w:firstRow="0" w:lastRow="0" w:firstColumn="1" w:lastColumn="0" w:oddVBand="0" w:evenVBand="0" w:oddHBand="0" w:evenHBand="0" w:firstRowFirstColumn="0" w:firstRowLastColumn="0" w:lastRowFirstColumn="0" w:lastRowLastColumn="0"/>
            <w:tcW w:w="1191" w:type="pct"/>
            <w:tcBorders>
              <w:left w:val="single" w:sz="4" w:space="0" w:color="auto"/>
              <w:right w:val="single" w:sz="4" w:space="0" w:color="auto"/>
            </w:tcBorders>
            <w:noWrap/>
            <w:hideMark/>
          </w:tcPr>
          <w:p w14:paraId="292261F1" w14:textId="77777777" w:rsidR="006C4665" w:rsidRPr="00385F02" w:rsidRDefault="006C4665" w:rsidP="00385F02">
            <w:pPr>
              <w:rPr>
                <w:rFonts w:asciiTheme="minorHAnsi" w:hAnsiTheme="minorHAnsi"/>
                <w:color w:val="000000"/>
                <w:sz w:val="22"/>
              </w:rPr>
            </w:pPr>
            <w:r w:rsidRPr="00385F02">
              <w:rPr>
                <w:rFonts w:asciiTheme="minorHAnsi" w:hAnsiTheme="minorHAnsi"/>
                <w:color w:val="000000"/>
                <w:sz w:val="22"/>
              </w:rPr>
              <w:t>KSČM</w:t>
            </w:r>
          </w:p>
        </w:tc>
        <w:tc>
          <w:tcPr>
            <w:tcW w:w="461" w:type="pct"/>
            <w:tcBorders>
              <w:left w:val="single" w:sz="4" w:space="0" w:color="auto"/>
            </w:tcBorders>
            <w:noWrap/>
            <w:hideMark/>
          </w:tcPr>
          <w:p w14:paraId="27141FF0"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23</w:t>
            </w:r>
          </w:p>
        </w:tc>
        <w:tc>
          <w:tcPr>
            <w:tcW w:w="490" w:type="pct"/>
            <w:tcBorders>
              <w:right w:val="single" w:sz="4" w:space="0" w:color="auto"/>
            </w:tcBorders>
            <w:noWrap/>
            <w:hideMark/>
          </w:tcPr>
          <w:p w14:paraId="4A19F54E"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88 %</w:t>
            </w:r>
          </w:p>
        </w:tc>
        <w:tc>
          <w:tcPr>
            <w:tcW w:w="462" w:type="pct"/>
            <w:tcBorders>
              <w:left w:val="single" w:sz="4" w:space="0" w:color="auto"/>
            </w:tcBorders>
            <w:noWrap/>
            <w:hideMark/>
          </w:tcPr>
          <w:p w14:paraId="60E4973D"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3</w:t>
            </w:r>
          </w:p>
        </w:tc>
        <w:tc>
          <w:tcPr>
            <w:tcW w:w="491" w:type="pct"/>
            <w:tcBorders>
              <w:right w:val="single" w:sz="4" w:space="0" w:color="auto"/>
            </w:tcBorders>
            <w:noWrap/>
            <w:hideMark/>
          </w:tcPr>
          <w:p w14:paraId="3C8ADA33"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12 %</w:t>
            </w:r>
          </w:p>
        </w:tc>
        <w:tc>
          <w:tcPr>
            <w:tcW w:w="462" w:type="pct"/>
            <w:tcBorders>
              <w:left w:val="single" w:sz="4" w:space="0" w:color="auto"/>
            </w:tcBorders>
            <w:noWrap/>
          </w:tcPr>
          <w:p w14:paraId="35E1A49B"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p>
        </w:tc>
        <w:tc>
          <w:tcPr>
            <w:tcW w:w="491" w:type="pct"/>
            <w:tcBorders>
              <w:right w:val="single" w:sz="4" w:space="0" w:color="auto"/>
            </w:tcBorders>
            <w:noWrap/>
          </w:tcPr>
          <w:p w14:paraId="2C748C20"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p>
        </w:tc>
        <w:tc>
          <w:tcPr>
            <w:tcW w:w="462" w:type="pct"/>
            <w:tcBorders>
              <w:left w:val="single" w:sz="4" w:space="0" w:color="auto"/>
            </w:tcBorders>
            <w:noWrap/>
          </w:tcPr>
          <w:p w14:paraId="0E307BD9"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p>
        </w:tc>
        <w:tc>
          <w:tcPr>
            <w:tcW w:w="491" w:type="pct"/>
            <w:tcBorders>
              <w:right w:val="single" w:sz="4" w:space="0" w:color="auto"/>
            </w:tcBorders>
            <w:noWrap/>
          </w:tcPr>
          <w:p w14:paraId="750BED99"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p>
        </w:tc>
      </w:tr>
      <w:tr w:rsidR="006C4665" w:rsidRPr="00CE176A" w14:paraId="1D42765F" w14:textId="77777777" w:rsidTr="00385F02">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191" w:type="pct"/>
            <w:tcBorders>
              <w:left w:val="single" w:sz="4" w:space="0" w:color="auto"/>
              <w:right w:val="single" w:sz="4" w:space="0" w:color="auto"/>
            </w:tcBorders>
            <w:noWrap/>
            <w:hideMark/>
          </w:tcPr>
          <w:p w14:paraId="53FE3BDE" w14:textId="77777777" w:rsidR="006C4665" w:rsidRPr="00385F02" w:rsidRDefault="006C4665" w:rsidP="00385F02">
            <w:pPr>
              <w:rPr>
                <w:rFonts w:asciiTheme="minorHAnsi" w:hAnsiTheme="minorHAnsi"/>
                <w:color w:val="000000"/>
                <w:sz w:val="22"/>
              </w:rPr>
            </w:pPr>
            <w:r w:rsidRPr="00385F02">
              <w:rPr>
                <w:rFonts w:asciiTheme="minorHAnsi" w:hAnsiTheme="minorHAnsi"/>
                <w:color w:val="000000"/>
                <w:sz w:val="22"/>
              </w:rPr>
              <w:t>ČSSD</w:t>
            </w:r>
          </w:p>
        </w:tc>
        <w:tc>
          <w:tcPr>
            <w:tcW w:w="461" w:type="pct"/>
            <w:tcBorders>
              <w:left w:val="single" w:sz="4" w:space="0" w:color="auto"/>
            </w:tcBorders>
            <w:noWrap/>
            <w:hideMark/>
          </w:tcPr>
          <w:p w14:paraId="5B4B88EA"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31</w:t>
            </w:r>
          </w:p>
        </w:tc>
        <w:tc>
          <w:tcPr>
            <w:tcW w:w="490" w:type="pct"/>
            <w:tcBorders>
              <w:right w:val="single" w:sz="4" w:space="0" w:color="auto"/>
            </w:tcBorders>
            <w:noWrap/>
            <w:hideMark/>
          </w:tcPr>
          <w:p w14:paraId="7BD06DF8"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74 %</w:t>
            </w:r>
          </w:p>
        </w:tc>
        <w:tc>
          <w:tcPr>
            <w:tcW w:w="462" w:type="pct"/>
            <w:tcBorders>
              <w:left w:val="single" w:sz="4" w:space="0" w:color="auto"/>
            </w:tcBorders>
            <w:noWrap/>
            <w:hideMark/>
          </w:tcPr>
          <w:p w14:paraId="0617B1B1"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11</w:t>
            </w:r>
          </w:p>
        </w:tc>
        <w:tc>
          <w:tcPr>
            <w:tcW w:w="491" w:type="pct"/>
            <w:tcBorders>
              <w:right w:val="single" w:sz="4" w:space="0" w:color="auto"/>
            </w:tcBorders>
            <w:noWrap/>
            <w:hideMark/>
          </w:tcPr>
          <w:p w14:paraId="56088AAC"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26 %</w:t>
            </w:r>
          </w:p>
        </w:tc>
        <w:tc>
          <w:tcPr>
            <w:tcW w:w="462" w:type="pct"/>
            <w:tcBorders>
              <w:left w:val="single" w:sz="4" w:space="0" w:color="auto"/>
            </w:tcBorders>
            <w:noWrap/>
          </w:tcPr>
          <w:p w14:paraId="20BCCB3E"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p>
        </w:tc>
        <w:tc>
          <w:tcPr>
            <w:tcW w:w="491" w:type="pct"/>
            <w:tcBorders>
              <w:right w:val="single" w:sz="4" w:space="0" w:color="auto"/>
            </w:tcBorders>
            <w:noWrap/>
          </w:tcPr>
          <w:p w14:paraId="05CDCC70"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p>
        </w:tc>
        <w:tc>
          <w:tcPr>
            <w:tcW w:w="462" w:type="pct"/>
            <w:tcBorders>
              <w:left w:val="single" w:sz="4" w:space="0" w:color="auto"/>
            </w:tcBorders>
            <w:noWrap/>
          </w:tcPr>
          <w:p w14:paraId="4328A008"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p>
        </w:tc>
        <w:tc>
          <w:tcPr>
            <w:tcW w:w="491" w:type="pct"/>
            <w:tcBorders>
              <w:right w:val="single" w:sz="4" w:space="0" w:color="auto"/>
            </w:tcBorders>
            <w:noWrap/>
          </w:tcPr>
          <w:p w14:paraId="0890275B"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p>
        </w:tc>
      </w:tr>
      <w:tr w:rsidR="006C4665" w:rsidRPr="00CE176A" w14:paraId="0554A91E" w14:textId="77777777" w:rsidTr="00385F02">
        <w:trPr>
          <w:trHeight w:val="222"/>
        </w:trPr>
        <w:tc>
          <w:tcPr>
            <w:cnfStyle w:val="001000000000" w:firstRow="0" w:lastRow="0" w:firstColumn="1" w:lastColumn="0" w:oddVBand="0" w:evenVBand="0" w:oddHBand="0" w:evenHBand="0" w:firstRowFirstColumn="0" w:firstRowLastColumn="0" w:lastRowFirstColumn="0" w:lastRowLastColumn="0"/>
            <w:tcW w:w="1191" w:type="pct"/>
            <w:tcBorders>
              <w:left w:val="single" w:sz="4" w:space="0" w:color="auto"/>
              <w:right w:val="single" w:sz="4" w:space="0" w:color="auto"/>
            </w:tcBorders>
            <w:noWrap/>
            <w:hideMark/>
          </w:tcPr>
          <w:p w14:paraId="19C3E9B7" w14:textId="77777777" w:rsidR="006C4665" w:rsidRPr="00385F02" w:rsidRDefault="006C4665" w:rsidP="00385F02">
            <w:pPr>
              <w:rPr>
                <w:rFonts w:asciiTheme="minorHAnsi" w:hAnsiTheme="minorHAnsi"/>
                <w:color w:val="000000"/>
                <w:sz w:val="22"/>
              </w:rPr>
            </w:pPr>
            <w:r w:rsidRPr="00385F02">
              <w:rPr>
                <w:rFonts w:asciiTheme="minorHAnsi" w:hAnsiTheme="minorHAnsi"/>
                <w:color w:val="000000"/>
                <w:sz w:val="22"/>
              </w:rPr>
              <w:t>KDU-ČSL</w:t>
            </w:r>
          </w:p>
        </w:tc>
        <w:tc>
          <w:tcPr>
            <w:tcW w:w="461" w:type="pct"/>
            <w:tcBorders>
              <w:left w:val="single" w:sz="4" w:space="0" w:color="auto"/>
            </w:tcBorders>
            <w:noWrap/>
            <w:hideMark/>
          </w:tcPr>
          <w:p w14:paraId="0BE9C4BC"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28</w:t>
            </w:r>
          </w:p>
        </w:tc>
        <w:tc>
          <w:tcPr>
            <w:tcW w:w="490" w:type="pct"/>
            <w:tcBorders>
              <w:right w:val="single" w:sz="4" w:space="0" w:color="auto"/>
            </w:tcBorders>
            <w:noWrap/>
            <w:hideMark/>
          </w:tcPr>
          <w:p w14:paraId="222D1D11"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85 %</w:t>
            </w:r>
          </w:p>
        </w:tc>
        <w:tc>
          <w:tcPr>
            <w:tcW w:w="462" w:type="pct"/>
            <w:tcBorders>
              <w:left w:val="single" w:sz="4" w:space="0" w:color="auto"/>
            </w:tcBorders>
            <w:noWrap/>
            <w:hideMark/>
          </w:tcPr>
          <w:p w14:paraId="37C0D491"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5</w:t>
            </w:r>
          </w:p>
        </w:tc>
        <w:tc>
          <w:tcPr>
            <w:tcW w:w="491" w:type="pct"/>
            <w:tcBorders>
              <w:right w:val="single" w:sz="4" w:space="0" w:color="auto"/>
            </w:tcBorders>
            <w:noWrap/>
            <w:hideMark/>
          </w:tcPr>
          <w:p w14:paraId="7BA78BC6"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15 %</w:t>
            </w:r>
          </w:p>
        </w:tc>
        <w:tc>
          <w:tcPr>
            <w:tcW w:w="462" w:type="pct"/>
            <w:tcBorders>
              <w:left w:val="single" w:sz="4" w:space="0" w:color="auto"/>
            </w:tcBorders>
            <w:noWrap/>
            <w:hideMark/>
          </w:tcPr>
          <w:p w14:paraId="65AA279C"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65</w:t>
            </w:r>
          </w:p>
        </w:tc>
        <w:tc>
          <w:tcPr>
            <w:tcW w:w="491" w:type="pct"/>
            <w:tcBorders>
              <w:right w:val="single" w:sz="4" w:space="0" w:color="auto"/>
            </w:tcBorders>
            <w:noWrap/>
            <w:hideMark/>
          </w:tcPr>
          <w:p w14:paraId="4BBE6F1A"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75 %</w:t>
            </w:r>
          </w:p>
        </w:tc>
        <w:tc>
          <w:tcPr>
            <w:tcW w:w="462" w:type="pct"/>
            <w:tcBorders>
              <w:left w:val="single" w:sz="4" w:space="0" w:color="auto"/>
            </w:tcBorders>
            <w:noWrap/>
            <w:hideMark/>
          </w:tcPr>
          <w:p w14:paraId="63B913B5"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22</w:t>
            </w:r>
          </w:p>
        </w:tc>
        <w:tc>
          <w:tcPr>
            <w:tcW w:w="491" w:type="pct"/>
            <w:tcBorders>
              <w:right w:val="single" w:sz="4" w:space="0" w:color="auto"/>
            </w:tcBorders>
            <w:noWrap/>
            <w:hideMark/>
          </w:tcPr>
          <w:p w14:paraId="4E35E9BC"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25 %</w:t>
            </w:r>
          </w:p>
        </w:tc>
      </w:tr>
      <w:tr w:rsidR="006C4665" w:rsidRPr="00CE176A" w14:paraId="6A2D5206" w14:textId="77777777" w:rsidTr="00385F02">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191" w:type="pct"/>
            <w:tcBorders>
              <w:left w:val="single" w:sz="4" w:space="0" w:color="auto"/>
              <w:right w:val="single" w:sz="4" w:space="0" w:color="auto"/>
            </w:tcBorders>
            <w:noWrap/>
            <w:hideMark/>
          </w:tcPr>
          <w:p w14:paraId="1BE892E2" w14:textId="77777777" w:rsidR="006C4665" w:rsidRPr="00385F02" w:rsidRDefault="006C4665" w:rsidP="00385F02">
            <w:pPr>
              <w:rPr>
                <w:rFonts w:asciiTheme="minorHAnsi" w:hAnsiTheme="minorHAnsi"/>
                <w:color w:val="000000"/>
                <w:sz w:val="22"/>
              </w:rPr>
            </w:pPr>
            <w:r w:rsidRPr="00385F02">
              <w:rPr>
                <w:rFonts w:asciiTheme="minorHAnsi" w:hAnsiTheme="minorHAnsi"/>
                <w:color w:val="000000"/>
                <w:sz w:val="22"/>
              </w:rPr>
              <w:t>TOP-09</w:t>
            </w:r>
          </w:p>
        </w:tc>
        <w:tc>
          <w:tcPr>
            <w:tcW w:w="461" w:type="pct"/>
            <w:tcBorders>
              <w:left w:val="single" w:sz="4" w:space="0" w:color="auto"/>
            </w:tcBorders>
            <w:noWrap/>
            <w:hideMark/>
          </w:tcPr>
          <w:p w14:paraId="4457974E"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20</w:t>
            </w:r>
          </w:p>
        </w:tc>
        <w:tc>
          <w:tcPr>
            <w:tcW w:w="490" w:type="pct"/>
            <w:tcBorders>
              <w:right w:val="single" w:sz="4" w:space="0" w:color="auto"/>
            </w:tcBorders>
            <w:noWrap/>
            <w:hideMark/>
          </w:tcPr>
          <w:p w14:paraId="6F5475CE"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83 %</w:t>
            </w:r>
          </w:p>
        </w:tc>
        <w:tc>
          <w:tcPr>
            <w:tcW w:w="462" w:type="pct"/>
            <w:tcBorders>
              <w:left w:val="single" w:sz="4" w:space="0" w:color="auto"/>
            </w:tcBorders>
            <w:noWrap/>
            <w:hideMark/>
          </w:tcPr>
          <w:p w14:paraId="16386450"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4</w:t>
            </w:r>
          </w:p>
        </w:tc>
        <w:tc>
          <w:tcPr>
            <w:tcW w:w="491" w:type="pct"/>
            <w:tcBorders>
              <w:right w:val="single" w:sz="4" w:space="0" w:color="auto"/>
            </w:tcBorders>
            <w:noWrap/>
            <w:hideMark/>
          </w:tcPr>
          <w:p w14:paraId="0C6D09F0"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17 %</w:t>
            </w:r>
          </w:p>
        </w:tc>
        <w:tc>
          <w:tcPr>
            <w:tcW w:w="462" w:type="pct"/>
            <w:tcBorders>
              <w:left w:val="single" w:sz="4" w:space="0" w:color="auto"/>
            </w:tcBorders>
            <w:noWrap/>
            <w:hideMark/>
          </w:tcPr>
          <w:p w14:paraId="4E22EA7E"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27</w:t>
            </w:r>
          </w:p>
        </w:tc>
        <w:tc>
          <w:tcPr>
            <w:tcW w:w="491" w:type="pct"/>
            <w:tcBorders>
              <w:right w:val="single" w:sz="4" w:space="0" w:color="auto"/>
            </w:tcBorders>
            <w:noWrap/>
            <w:hideMark/>
          </w:tcPr>
          <w:p w14:paraId="2C8AC75B"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77 %</w:t>
            </w:r>
          </w:p>
        </w:tc>
        <w:tc>
          <w:tcPr>
            <w:tcW w:w="462" w:type="pct"/>
            <w:tcBorders>
              <w:left w:val="single" w:sz="4" w:space="0" w:color="auto"/>
            </w:tcBorders>
            <w:noWrap/>
            <w:hideMark/>
          </w:tcPr>
          <w:p w14:paraId="630EB0E5"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8</w:t>
            </w:r>
          </w:p>
        </w:tc>
        <w:tc>
          <w:tcPr>
            <w:tcW w:w="491" w:type="pct"/>
            <w:tcBorders>
              <w:right w:val="single" w:sz="4" w:space="0" w:color="auto"/>
            </w:tcBorders>
            <w:noWrap/>
            <w:hideMark/>
          </w:tcPr>
          <w:p w14:paraId="45A51BEE"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23 %</w:t>
            </w:r>
          </w:p>
        </w:tc>
      </w:tr>
      <w:tr w:rsidR="006C4665" w:rsidRPr="00CE176A" w14:paraId="50B06378" w14:textId="77777777" w:rsidTr="00385F02">
        <w:trPr>
          <w:trHeight w:val="233"/>
        </w:trPr>
        <w:tc>
          <w:tcPr>
            <w:cnfStyle w:val="001000000000" w:firstRow="0" w:lastRow="0" w:firstColumn="1" w:lastColumn="0" w:oddVBand="0" w:evenVBand="0" w:oddHBand="0" w:evenHBand="0" w:firstRowFirstColumn="0" w:firstRowLastColumn="0" w:lastRowFirstColumn="0" w:lastRowLastColumn="0"/>
            <w:tcW w:w="1191" w:type="pct"/>
            <w:tcBorders>
              <w:left w:val="single" w:sz="4" w:space="0" w:color="auto"/>
              <w:right w:val="single" w:sz="4" w:space="0" w:color="auto"/>
            </w:tcBorders>
            <w:noWrap/>
            <w:hideMark/>
          </w:tcPr>
          <w:p w14:paraId="67B0A4D7" w14:textId="77777777" w:rsidR="006C4665" w:rsidRPr="00385F02" w:rsidRDefault="006C4665" w:rsidP="00385F02">
            <w:pPr>
              <w:rPr>
                <w:rFonts w:asciiTheme="minorHAnsi" w:hAnsiTheme="minorHAnsi"/>
                <w:color w:val="000000"/>
                <w:sz w:val="22"/>
              </w:rPr>
            </w:pPr>
            <w:r w:rsidRPr="00385F02">
              <w:rPr>
                <w:rFonts w:asciiTheme="minorHAnsi" w:hAnsiTheme="minorHAnsi"/>
                <w:color w:val="000000"/>
                <w:sz w:val="22"/>
              </w:rPr>
              <w:t>STAN</w:t>
            </w:r>
          </w:p>
        </w:tc>
        <w:tc>
          <w:tcPr>
            <w:tcW w:w="461" w:type="pct"/>
            <w:tcBorders>
              <w:left w:val="single" w:sz="4" w:space="0" w:color="auto"/>
            </w:tcBorders>
            <w:noWrap/>
            <w:hideMark/>
          </w:tcPr>
          <w:p w14:paraId="7EB0C530"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9</w:t>
            </w:r>
          </w:p>
        </w:tc>
        <w:tc>
          <w:tcPr>
            <w:tcW w:w="490" w:type="pct"/>
            <w:tcBorders>
              <w:right w:val="single" w:sz="4" w:space="0" w:color="auto"/>
            </w:tcBorders>
            <w:noWrap/>
            <w:hideMark/>
          </w:tcPr>
          <w:p w14:paraId="5E89B0A8"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75 %</w:t>
            </w:r>
          </w:p>
        </w:tc>
        <w:tc>
          <w:tcPr>
            <w:tcW w:w="462" w:type="pct"/>
            <w:tcBorders>
              <w:left w:val="single" w:sz="4" w:space="0" w:color="auto"/>
            </w:tcBorders>
            <w:noWrap/>
            <w:hideMark/>
          </w:tcPr>
          <w:p w14:paraId="634AFE5C"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3</w:t>
            </w:r>
          </w:p>
        </w:tc>
        <w:tc>
          <w:tcPr>
            <w:tcW w:w="491" w:type="pct"/>
            <w:tcBorders>
              <w:right w:val="single" w:sz="4" w:space="0" w:color="auto"/>
            </w:tcBorders>
            <w:noWrap/>
            <w:hideMark/>
          </w:tcPr>
          <w:p w14:paraId="4F0D0DC0"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25 %</w:t>
            </w:r>
          </w:p>
        </w:tc>
        <w:tc>
          <w:tcPr>
            <w:tcW w:w="462" w:type="pct"/>
            <w:tcBorders>
              <w:left w:val="single" w:sz="4" w:space="0" w:color="auto"/>
            </w:tcBorders>
            <w:noWrap/>
            <w:hideMark/>
          </w:tcPr>
          <w:p w14:paraId="42D56208"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28</w:t>
            </w:r>
          </w:p>
        </w:tc>
        <w:tc>
          <w:tcPr>
            <w:tcW w:w="491" w:type="pct"/>
            <w:tcBorders>
              <w:right w:val="single" w:sz="4" w:space="0" w:color="auto"/>
            </w:tcBorders>
            <w:noWrap/>
            <w:hideMark/>
          </w:tcPr>
          <w:p w14:paraId="0F1E9A3C"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78 %</w:t>
            </w:r>
          </w:p>
        </w:tc>
        <w:tc>
          <w:tcPr>
            <w:tcW w:w="462" w:type="pct"/>
            <w:tcBorders>
              <w:left w:val="single" w:sz="4" w:space="0" w:color="auto"/>
            </w:tcBorders>
            <w:noWrap/>
            <w:hideMark/>
          </w:tcPr>
          <w:p w14:paraId="240FB4A8"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8</w:t>
            </w:r>
          </w:p>
        </w:tc>
        <w:tc>
          <w:tcPr>
            <w:tcW w:w="491" w:type="pct"/>
            <w:tcBorders>
              <w:right w:val="single" w:sz="4" w:space="0" w:color="auto"/>
            </w:tcBorders>
            <w:noWrap/>
            <w:hideMark/>
          </w:tcPr>
          <w:p w14:paraId="0992681A" w14:textId="77777777" w:rsidR="006C4665" w:rsidRPr="00385F02" w:rsidRDefault="006C4665" w:rsidP="00385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rPr>
            </w:pPr>
            <w:r w:rsidRPr="00385F02">
              <w:rPr>
                <w:rFonts w:asciiTheme="minorHAnsi" w:hAnsiTheme="minorHAnsi"/>
                <w:color w:val="000000"/>
                <w:sz w:val="22"/>
              </w:rPr>
              <w:t>22 %</w:t>
            </w:r>
          </w:p>
        </w:tc>
      </w:tr>
      <w:tr w:rsidR="00385F02" w:rsidRPr="00CE176A" w14:paraId="78CDC879" w14:textId="77777777" w:rsidTr="00385F02">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191" w:type="pct"/>
            <w:tcBorders>
              <w:left w:val="single" w:sz="4" w:space="0" w:color="auto"/>
              <w:bottom w:val="single" w:sz="4" w:space="0" w:color="auto"/>
              <w:right w:val="single" w:sz="4" w:space="0" w:color="auto"/>
            </w:tcBorders>
            <w:noWrap/>
            <w:hideMark/>
          </w:tcPr>
          <w:p w14:paraId="19E4CB03" w14:textId="77777777" w:rsidR="006C4665" w:rsidRPr="00385F02" w:rsidRDefault="006C4665" w:rsidP="00385F02">
            <w:pPr>
              <w:rPr>
                <w:rFonts w:asciiTheme="minorHAnsi" w:hAnsiTheme="minorHAnsi"/>
                <w:color w:val="000000"/>
                <w:sz w:val="22"/>
              </w:rPr>
            </w:pPr>
            <w:r w:rsidRPr="00385F02">
              <w:rPr>
                <w:rFonts w:asciiTheme="minorHAnsi" w:hAnsiTheme="minorHAnsi"/>
                <w:color w:val="000000"/>
                <w:sz w:val="22"/>
              </w:rPr>
              <w:t>CELKEM/AVE</w:t>
            </w:r>
          </w:p>
        </w:tc>
        <w:tc>
          <w:tcPr>
            <w:tcW w:w="461" w:type="pct"/>
            <w:tcBorders>
              <w:left w:val="single" w:sz="4" w:space="0" w:color="auto"/>
              <w:bottom w:val="single" w:sz="4" w:space="0" w:color="auto"/>
            </w:tcBorders>
            <w:noWrap/>
            <w:hideMark/>
          </w:tcPr>
          <w:p w14:paraId="794CF273"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sz w:val="22"/>
              </w:rPr>
            </w:pPr>
            <w:r w:rsidRPr="00385F02">
              <w:rPr>
                <w:rFonts w:asciiTheme="minorHAnsi" w:hAnsiTheme="minorHAnsi"/>
                <w:b/>
                <w:bCs/>
                <w:color w:val="000000"/>
                <w:sz w:val="22"/>
              </w:rPr>
              <w:t>182</w:t>
            </w:r>
          </w:p>
        </w:tc>
        <w:tc>
          <w:tcPr>
            <w:tcW w:w="490" w:type="pct"/>
            <w:tcBorders>
              <w:bottom w:val="single" w:sz="4" w:space="0" w:color="auto"/>
              <w:right w:val="single" w:sz="4" w:space="0" w:color="auto"/>
            </w:tcBorders>
            <w:noWrap/>
            <w:hideMark/>
          </w:tcPr>
          <w:p w14:paraId="17FE271B"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sz w:val="22"/>
              </w:rPr>
            </w:pPr>
            <w:r w:rsidRPr="00385F02">
              <w:rPr>
                <w:rFonts w:asciiTheme="minorHAnsi" w:hAnsiTheme="minorHAnsi"/>
                <w:b/>
                <w:bCs/>
                <w:color w:val="000000"/>
                <w:sz w:val="22"/>
              </w:rPr>
              <w:t>76 %</w:t>
            </w:r>
          </w:p>
        </w:tc>
        <w:tc>
          <w:tcPr>
            <w:tcW w:w="462" w:type="pct"/>
            <w:tcBorders>
              <w:left w:val="single" w:sz="4" w:space="0" w:color="auto"/>
              <w:bottom w:val="single" w:sz="4" w:space="0" w:color="auto"/>
            </w:tcBorders>
            <w:noWrap/>
            <w:hideMark/>
          </w:tcPr>
          <w:p w14:paraId="0C2EFE12"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sz w:val="22"/>
              </w:rPr>
            </w:pPr>
            <w:r w:rsidRPr="00385F02">
              <w:rPr>
                <w:rFonts w:asciiTheme="minorHAnsi" w:hAnsiTheme="minorHAnsi"/>
                <w:b/>
                <w:bCs/>
                <w:color w:val="000000"/>
                <w:sz w:val="22"/>
              </w:rPr>
              <w:t>63</w:t>
            </w:r>
          </w:p>
        </w:tc>
        <w:tc>
          <w:tcPr>
            <w:tcW w:w="491" w:type="pct"/>
            <w:tcBorders>
              <w:bottom w:val="single" w:sz="4" w:space="0" w:color="auto"/>
              <w:right w:val="single" w:sz="4" w:space="0" w:color="auto"/>
            </w:tcBorders>
            <w:noWrap/>
            <w:hideMark/>
          </w:tcPr>
          <w:p w14:paraId="01D5A20E"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sz w:val="22"/>
              </w:rPr>
            </w:pPr>
            <w:r w:rsidRPr="00385F02">
              <w:rPr>
                <w:rFonts w:asciiTheme="minorHAnsi" w:hAnsiTheme="minorHAnsi"/>
                <w:b/>
                <w:bCs/>
                <w:color w:val="000000"/>
                <w:sz w:val="22"/>
              </w:rPr>
              <w:t>24 %</w:t>
            </w:r>
          </w:p>
        </w:tc>
        <w:tc>
          <w:tcPr>
            <w:tcW w:w="462" w:type="pct"/>
            <w:tcBorders>
              <w:left w:val="single" w:sz="4" w:space="0" w:color="auto"/>
              <w:bottom w:val="single" w:sz="4" w:space="0" w:color="auto"/>
            </w:tcBorders>
            <w:noWrap/>
            <w:hideMark/>
          </w:tcPr>
          <w:p w14:paraId="7BB69852"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sz w:val="22"/>
              </w:rPr>
            </w:pPr>
            <w:r w:rsidRPr="00385F02">
              <w:rPr>
                <w:rFonts w:asciiTheme="minorHAnsi" w:hAnsiTheme="minorHAnsi"/>
                <w:b/>
                <w:bCs/>
                <w:color w:val="000000"/>
                <w:sz w:val="22"/>
              </w:rPr>
              <w:t>307</w:t>
            </w:r>
          </w:p>
        </w:tc>
        <w:tc>
          <w:tcPr>
            <w:tcW w:w="491" w:type="pct"/>
            <w:tcBorders>
              <w:bottom w:val="single" w:sz="4" w:space="0" w:color="auto"/>
              <w:right w:val="single" w:sz="4" w:space="0" w:color="auto"/>
            </w:tcBorders>
            <w:noWrap/>
            <w:hideMark/>
          </w:tcPr>
          <w:p w14:paraId="26FE8C8F"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sz w:val="22"/>
              </w:rPr>
            </w:pPr>
            <w:r w:rsidRPr="00385F02">
              <w:rPr>
                <w:rFonts w:asciiTheme="minorHAnsi" w:hAnsiTheme="minorHAnsi"/>
                <w:b/>
                <w:bCs/>
                <w:color w:val="000000"/>
                <w:sz w:val="22"/>
              </w:rPr>
              <w:t>76 %</w:t>
            </w:r>
          </w:p>
        </w:tc>
        <w:tc>
          <w:tcPr>
            <w:tcW w:w="462" w:type="pct"/>
            <w:tcBorders>
              <w:left w:val="single" w:sz="4" w:space="0" w:color="auto"/>
              <w:bottom w:val="single" w:sz="4" w:space="0" w:color="auto"/>
            </w:tcBorders>
            <w:noWrap/>
            <w:hideMark/>
          </w:tcPr>
          <w:p w14:paraId="0E6323CB"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sz w:val="22"/>
              </w:rPr>
            </w:pPr>
            <w:r w:rsidRPr="00385F02">
              <w:rPr>
                <w:rFonts w:asciiTheme="minorHAnsi" w:hAnsiTheme="minorHAnsi"/>
                <w:b/>
                <w:bCs/>
                <w:color w:val="000000"/>
                <w:sz w:val="22"/>
              </w:rPr>
              <w:t>101</w:t>
            </w:r>
          </w:p>
        </w:tc>
        <w:tc>
          <w:tcPr>
            <w:tcW w:w="491" w:type="pct"/>
            <w:tcBorders>
              <w:bottom w:val="single" w:sz="4" w:space="0" w:color="auto"/>
              <w:right w:val="single" w:sz="4" w:space="0" w:color="auto"/>
            </w:tcBorders>
            <w:noWrap/>
            <w:hideMark/>
          </w:tcPr>
          <w:p w14:paraId="0C60CE0F" w14:textId="77777777" w:rsidR="006C4665" w:rsidRPr="00385F02" w:rsidRDefault="006C4665" w:rsidP="00385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000000"/>
                <w:sz w:val="22"/>
              </w:rPr>
            </w:pPr>
            <w:r w:rsidRPr="00385F02">
              <w:rPr>
                <w:rFonts w:asciiTheme="minorHAnsi" w:hAnsiTheme="minorHAnsi"/>
                <w:b/>
                <w:bCs/>
                <w:color w:val="000000"/>
                <w:sz w:val="22"/>
              </w:rPr>
              <w:t>24 %</w:t>
            </w:r>
          </w:p>
        </w:tc>
      </w:tr>
    </w:tbl>
    <w:p w14:paraId="6CF4BE4E" w14:textId="068D40E5" w:rsidR="006C4665" w:rsidRDefault="006C4665" w:rsidP="006C4665">
      <w:pPr>
        <w:spacing w:line="360" w:lineRule="auto"/>
        <w:jc w:val="both"/>
        <w:rPr>
          <w:rFonts w:asciiTheme="minorHAnsi" w:hAnsiTheme="minorHAnsi"/>
        </w:rPr>
      </w:pPr>
      <w:r>
        <w:rPr>
          <w:rFonts w:asciiTheme="minorHAnsi" w:hAnsiTheme="minorHAnsi"/>
        </w:rPr>
        <w:t>Zdroj: vlastní zpracování.</w:t>
      </w:r>
    </w:p>
    <w:p w14:paraId="0435B6B1" w14:textId="77777777" w:rsidR="006C4665" w:rsidRDefault="006C4665" w:rsidP="006C4665">
      <w:pPr>
        <w:pStyle w:val="Nadpis2"/>
      </w:pPr>
      <w:bookmarkStart w:id="23" w:name="_Toc8123574"/>
      <w:r>
        <w:t>Analýza rámců</w:t>
      </w:r>
      <w:bookmarkEnd w:id="23"/>
    </w:p>
    <w:p w14:paraId="1BAE5DA0" w14:textId="7FCA638F" w:rsidR="006C4665" w:rsidRDefault="006C4665" w:rsidP="006C4665">
      <w:pPr>
        <w:spacing w:line="360" w:lineRule="auto"/>
        <w:ind w:firstLine="709"/>
        <w:jc w:val="both"/>
      </w:pPr>
      <w:r w:rsidRPr="007E1623">
        <w:t xml:space="preserve">V této části proběhne identifikace a interpretace rámců jednotlivých opozičních stran. Jednotlivé rámce vychází z kódovaných kategorií, k nimž byly výroky přiřazovány. Pro sestavení rámce je však nutné, aby bylo v dané kategorii u jednotlivých opozičních stran dostatek výroků, není možné sestavit rámec na základě pouze několika málo </w:t>
      </w:r>
      <w:r>
        <w:t>výroků</w:t>
      </w:r>
      <w:r w:rsidRPr="007E1623">
        <w:t xml:space="preserve">. </w:t>
      </w:r>
      <w:r>
        <w:t>Zjednodušeně řečeno, že víme, jaká tém</w:t>
      </w:r>
      <w:r w:rsidR="00BA1174">
        <w:t>ata opoziční strany kritizovaly</w:t>
      </w:r>
      <w:r>
        <w:t xml:space="preserve"> neznamená, že je také nějakým způsobem rámovaly. </w:t>
      </w:r>
      <w:r w:rsidRPr="007E1623">
        <w:t xml:space="preserve">Rámec zároveň nemusí splňovat </w:t>
      </w:r>
      <w:r>
        <w:t>všechny čtyři Entmanovy funkce. P</w:t>
      </w:r>
      <w:r w:rsidRPr="007E1623">
        <w:t>ro</w:t>
      </w:r>
      <w:r>
        <w:t xml:space="preserve"> </w:t>
      </w:r>
      <w:r w:rsidRPr="007E1623">
        <w:t>to</w:t>
      </w:r>
      <w:r>
        <w:t>,</w:t>
      </w:r>
      <w:r w:rsidRPr="007E1623">
        <w:t xml:space="preserve"> aby</w:t>
      </w:r>
      <w:r>
        <w:t xml:space="preserve"> mohl vzniknout a</w:t>
      </w:r>
      <w:r w:rsidRPr="007E1623">
        <w:t xml:space="preserve"> byl v tomto výzkumu relevantn</w:t>
      </w:r>
      <w:r w:rsidR="00561732">
        <w:t>í však musí splňovat alespoň dvě</w:t>
      </w:r>
      <w:r w:rsidRPr="007E1623">
        <w:t>.</w:t>
      </w:r>
      <w:r>
        <w:t xml:space="preserve"> Cílem sestavení rámců je zodpovědět výzkumné otázky</w:t>
      </w:r>
      <w:r w:rsidR="00561732">
        <w:t>:</w:t>
      </w:r>
      <w:r>
        <w:t xml:space="preserve"> j</w:t>
      </w:r>
      <w:r w:rsidRPr="007E1623">
        <w:t>aké argumenty opoziční strany ve vztahu ke kr</w:t>
      </w:r>
      <w:r>
        <w:t>itice vlád nejčastěji používají, zda strany ve své argumentaci i</w:t>
      </w:r>
      <w:r w:rsidRPr="007E1623">
        <w:t xml:space="preserve">dentifikují jednotlivé </w:t>
      </w:r>
      <w:r>
        <w:t>stejné problematické body a j</w:t>
      </w:r>
      <w:r w:rsidRPr="007E1623">
        <w:t>ak je vykreslován vin</w:t>
      </w:r>
      <w:r>
        <w:t xml:space="preserve">ík/zdroj kritizovaného problému. Rámce budou pojmenovány na základě toho, co je hlavním sdělením dané opoziční strany a analyzovány dle Entmanových funkcí rámů. </w:t>
      </w:r>
    </w:p>
    <w:p w14:paraId="0B4A74E2" w14:textId="77777777" w:rsidR="006C4665" w:rsidRDefault="006C4665" w:rsidP="006C4665">
      <w:pPr>
        <w:spacing w:line="360" w:lineRule="auto"/>
        <w:ind w:firstLine="709"/>
        <w:jc w:val="both"/>
      </w:pPr>
    </w:p>
    <w:p w14:paraId="4272A698" w14:textId="77777777" w:rsidR="006C4665" w:rsidRDefault="006C4665" w:rsidP="006C4665">
      <w:pPr>
        <w:pStyle w:val="Nadpis3"/>
      </w:pPr>
      <w:r w:rsidRPr="00385F02">
        <w:t xml:space="preserve">Identifikované </w:t>
      </w:r>
      <w:r w:rsidRPr="006C4665">
        <w:t>rámce v kritice opozičních stran v období vzniku první vlády Andreje Babiše</w:t>
      </w:r>
    </w:p>
    <w:p w14:paraId="4D00A5D0" w14:textId="77777777" w:rsidR="00973BF7" w:rsidRDefault="00973BF7" w:rsidP="00385F02">
      <w:pPr>
        <w:pStyle w:val="nadpis40"/>
        <w:rPr>
          <w:color w:val="0000DC"/>
        </w:rPr>
      </w:pPr>
    </w:p>
    <w:p w14:paraId="436DDA4E" w14:textId="288337CE" w:rsidR="006C4665" w:rsidRPr="00973BF7" w:rsidRDefault="0009622E" w:rsidP="00973BF7">
      <w:pPr>
        <w:pStyle w:val="nadpis40"/>
        <w:ind w:left="0"/>
        <w:rPr>
          <w:color w:val="0000DC"/>
          <w:sz w:val="22"/>
        </w:rPr>
      </w:pPr>
      <w:r w:rsidRPr="00973BF7">
        <w:rPr>
          <w:color w:val="0000DC"/>
          <w:sz w:val="22"/>
        </w:rPr>
        <w:t>5.2.1.1</w:t>
      </w:r>
      <w:r w:rsidR="006C4665" w:rsidRPr="00973BF7">
        <w:rPr>
          <w:color w:val="0000DC"/>
          <w:sz w:val="22"/>
        </w:rPr>
        <w:t xml:space="preserve"> ODS</w:t>
      </w:r>
    </w:p>
    <w:p w14:paraId="45A3BEF0" w14:textId="426C32EF" w:rsidR="006C4665" w:rsidRPr="006C4665" w:rsidRDefault="006C4665" w:rsidP="006C4665">
      <w:pPr>
        <w:pStyle w:val="Odstavec1"/>
      </w:pPr>
    </w:p>
    <w:p w14:paraId="35E0D6BA" w14:textId="77777777" w:rsidR="0009622E" w:rsidRPr="0009622E" w:rsidRDefault="0009622E" w:rsidP="0009622E">
      <w:pPr>
        <w:spacing w:line="360" w:lineRule="auto"/>
        <w:jc w:val="both"/>
        <w:rPr>
          <w:rFonts w:asciiTheme="minorHAnsi" w:hAnsiTheme="minorHAnsi"/>
          <w:u w:val="single"/>
        </w:rPr>
      </w:pPr>
      <w:r w:rsidRPr="0009622E">
        <w:rPr>
          <w:rFonts w:asciiTheme="minorHAnsi" w:hAnsiTheme="minorHAnsi"/>
          <w:u w:val="single"/>
        </w:rPr>
        <w:t>Rámec 1: Vláda neusilovala o většinu ve Sněmovně</w:t>
      </w:r>
    </w:p>
    <w:p w14:paraId="0D9A79BC" w14:textId="2D4F3B6B" w:rsidR="0009622E" w:rsidRDefault="0009622E" w:rsidP="0009622E">
      <w:pPr>
        <w:spacing w:line="360" w:lineRule="auto"/>
        <w:ind w:firstLine="709"/>
        <w:jc w:val="both"/>
        <w:rPr>
          <w:rFonts w:asciiTheme="minorHAnsi" w:hAnsiTheme="minorHAnsi"/>
        </w:rPr>
      </w:pPr>
      <w:r w:rsidRPr="0009622E">
        <w:rPr>
          <w:rFonts w:asciiTheme="minorHAnsi" w:hAnsiTheme="minorHAnsi"/>
        </w:rPr>
        <w:t>V této kategorii bylo nalezeno 9 výroků sdělujících konkrétní kritiku směrem k vládě. Komunikátorem byla ODS, především pak předseda strany Petr Fiala a poslanci Zbyněk Stanjura a Jan Bauer. Identifikovatelnými přijímateli jsou vláda, Poslanecká sněmovna a veřejnost. Podíváme-li se na rámec optikou Entmana a jeho definovanými čtyřmi funkcemi, je aplikace možná ve třech funkcích ze čtyř. Problém, který zde ODS definuje</w:t>
      </w:r>
      <w:r w:rsidR="00C4406E">
        <w:rPr>
          <w:rFonts w:asciiTheme="minorHAnsi" w:hAnsiTheme="minorHAnsi"/>
        </w:rPr>
        <w:t>,</w:t>
      </w:r>
      <w:r w:rsidRPr="0009622E">
        <w:rPr>
          <w:rFonts w:asciiTheme="minorHAnsi" w:hAnsiTheme="minorHAnsi"/>
        </w:rPr>
        <w:t xml:space="preserve"> je pokus sestavit menšinovou vládu bez jednání vítěze voleb s ostatními stranami. Jako příklad sdělení tohoto problému dobře poslouží výrok Petra Fialy: „</w:t>
      </w:r>
      <w:r w:rsidRPr="0009622E">
        <w:rPr>
          <w:rFonts w:asciiTheme="minorHAnsi" w:hAnsiTheme="minorHAnsi"/>
          <w:i/>
        </w:rPr>
        <w:t>na základě rozhodnutí pana prezidenta a s jeho vědomím a požehnáním předseda vlády sestavil a prezident jmenoval tuto jednobarevnou vládu hnutí ANO, vládu, o které nebylo a není známo, že by disponovala nebo usilovala o transparentní politickou většinu v Poslanecké sněmovně.“</w:t>
      </w:r>
      <w:r w:rsidRPr="0009622E">
        <w:rPr>
          <w:rFonts w:asciiTheme="minorHAnsi" w:hAnsiTheme="minorHAnsi"/>
        </w:rPr>
        <w:t xml:space="preserve"> (Poslanecká sněmovna 2018, 39)</w:t>
      </w:r>
      <w:r w:rsidR="00C4406E">
        <w:rPr>
          <w:rFonts w:asciiTheme="minorHAnsi" w:hAnsiTheme="minorHAnsi"/>
        </w:rPr>
        <w:t>.</w:t>
      </w:r>
      <w:r w:rsidRPr="0009622E">
        <w:rPr>
          <w:rFonts w:asciiTheme="minorHAnsi" w:hAnsiTheme="minorHAnsi"/>
        </w:rPr>
        <w:t xml:space="preserve"> Za viníka problému je označovaný předseda vlády Andrej Babiš a prezident Miloš Zeman. Jako zjevnou příčinu tohoto problému poslanci ODS uvádí to, že </w:t>
      </w:r>
      <w:r w:rsidRPr="0009622E">
        <w:rPr>
          <w:rFonts w:asciiTheme="minorHAnsi" w:hAnsiTheme="minorHAnsi"/>
          <w:i/>
        </w:rPr>
        <w:t xml:space="preserve">„Andrej Babiš je připraven a chce vládnout sám a je mu úplně jedno s kým“ </w:t>
      </w:r>
      <w:r w:rsidRPr="0009622E">
        <w:rPr>
          <w:rFonts w:asciiTheme="minorHAnsi" w:hAnsiTheme="minorHAnsi"/>
        </w:rPr>
        <w:t xml:space="preserve">(Poslanecká sněmovna 2018, 55). Za morální úsudek je možné považovat výroky Petra Fialy </w:t>
      </w:r>
      <w:r w:rsidRPr="0009622E">
        <w:rPr>
          <w:rFonts w:asciiTheme="minorHAnsi" w:hAnsiTheme="minorHAnsi"/>
          <w:i/>
        </w:rPr>
        <w:t>„naši voliči nám nedali mandát, abychom zaštítili jednobarevnou, a dokonce menšinovou vládu hnutí ANO“</w:t>
      </w:r>
      <w:r w:rsidRPr="0009622E">
        <w:rPr>
          <w:rFonts w:asciiTheme="minorHAnsi" w:hAnsiTheme="minorHAnsi"/>
        </w:rPr>
        <w:t xml:space="preserve"> a výrok, v němž tvrdí, že hlasování o důvěře je ve skutečnosti </w:t>
      </w:r>
      <w:r w:rsidRPr="0009622E">
        <w:rPr>
          <w:rFonts w:asciiTheme="minorHAnsi" w:hAnsiTheme="minorHAnsi"/>
          <w:i/>
        </w:rPr>
        <w:t xml:space="preserve">„hlasováním o ochraně pravidel parlamentní demokracie a o naplňování ducha Ústavy“. </w:t>
      </w:r>
      <w:r w:rsidRPr="0009622E">
        <w:rPr>
          <w:rFonts w:asciiTheme="minorHAnsi" w:hAnsiTheme="minorHAnsi"/>
        </w:rPr>
        <w:t>Co v tomto rámci nenalezneme</w:t>
      </w:r>
      <w:r w:rsidR="00C4406E">
        <w:rPr>
          <w:rFonts w:asciiTheme="minorHAnsi" w:hAnsiTheme="minorHAnsi"/>
        </w:rPr>
        <w:t>,</w:t>
      </w:r>
      <w:r w:rsidRPr="0009622E">
        <w:rPr>
          <w:rFonts w:asciiTheme="minorHAnsi" w:hAnsiTheme="minorHAnsi"/>
        </w:rPr>
        <w:t xml:space="preserve"> je návrh řešení poslanců ODS. Jan Bauer na závěr použil expresivní výraz směrem k předsedovi vlády: </w:t>
      </w:r>
      <w:r w:rsidRPr="0009622E">
        <w:rPr>
          <w:rFonts w:asciiTheme="minorHAnsi" w:hAnsiTheme="minorHAnsi"/>
          <w:i/>
        </w:rPr>
        <w:t xml:space="preserve">„je to pro mě ostudnější, než samotný vznik vlády, která je produktem osobní dohody vás a prezidenta Zemana.“ </w:t>
      </w:r>
      <w:r w:rsidRPr="0009622E">
        <w:rPr>
          <w:rFonts w:asciiTheme="minorHAnsi" w:hAnsiTheme="minorHAnsi"/>
        </w:rPr>
        <w:t>(Poslanecká sněmovna 2018, 93)</w:t>
      </w:r>
      <w:r w:rsidRPr="0009622E">
        <w:rPr>
          <w:rFonts w:asciiTheme="minorHAnsi" w:hAnsiTheme="minorHAnsi" w:cs="Calibri"/>
        </w:rPr>
        <w:t xml:space="preserve">, </w:t>
      </w:r>
      <w:r w:rsidRPr="0009622E">
        <w:rPr>
          <w:rFonts w:asciiTheme="minorHAnsi" w:hAnsiTheme="minorHAnsi"/>
        </w:rPr>
        <w:t xml:space="preserve">kde odkazoval na výše zmíněný problém, že vláda neusilovala o získání většiny během koaličního jednání. </w:t>
      </w:r>
    </w:p>
    <w:p w14:paraId="7A3CE4CE" w14:textId="77777777" w:rsidR="0009622E" w:rsidRDefault="0009622E" w:rsidP="0009622E">
      <w:pPr>
        <w:spacing w:line="360" w:lineRule="auto"/>
        <w:ind w:firstLine="709"/>
        <w:jc w:val="both"/>
        <w:rPr>
          <w:rFonts w:asciiTheme="minorHAnsi" w:hAnsiTheme="minorHAnsi"/>
        </w:rPr>
      </w:pPr>
    </w:p>
    <w:p w14:paraId="0D22A5EE" w14:textId="77777777" w:rsidR="0009622E" w:rsidRPr="0009622E" w:rsidRDefault="0009622E" w:rsidP="0009622E">
      <w:pPr>
        <w:spacing w:line="360" w:lineRule="auto"/>
        <w:jc w:val="both"/>
        <w:rPr>
          <w:rFonts w:asciiTheme="minorHAnsi" w:hAnsiTheme="minorHAnsi"/>
          <w:u w:val="single"/>
        </w:rPr>
      </w:pPr>
      <w:r w:rsidRPr="0009622E">
        <w:rPr>
          <w:rFonts w:asciiTheme="minorHAnsi" w:hAnsiTheme="minorHAnsi"/>
          <w:u w:val="single"/>
        </w:rPr>
        <w:t>Rámec 2: Program vykrádá programy ostatních stran a jen slibuje</w:t>
      </w:r>
    </w:p>
    <w:p w14:paraId="05444EF1" w14:textId="77777777" w:rsidR="0009622E" w:rsidRPr="0009622E" w:rsidRDefault="0009622E" w:rsidP="0009622E">
      <w:pPr>
        <w:spacing w:line="360" w:lineRule="auto"/>
        <w:ind w:firstLine="708"/>
        <w:jc w:val="both"/>
        <w:rPr>
          <w:rFonts w:asciiTheme="minorHAnsi" w:hAnsiTheme="minorHAnsi"/>
        </w:rPr>
      </w:pPr>
      <w:r w:rsidRPr="0009622E">
        <w:rPr>
          <w:rFonts w:asciiTheme="minorHAnsi" w:hAnsiTheme="minorHAnsi"/>
        </w:rPr>
        <w:t xml:space="preserve">V této kategorii bylo nalezeno celkem 21 výroků. Slovy poslanců ODS bylo programové prohlášení vlády na jednu stranu vágní, na stranu druhou v řadě oblastí málo ambiciózní. Komunikátor a příjemci jsou totožní jako v předešlém rámci. Jako problém poslanci ODS vidí to, že program neobsahuje realistické návrhy, nýbrž pouhé sliby a fráze a zároveň to, že jsou pasáže z programového prohlášení kopírovány od ostatních stran. Slovy Zbyňka Stanjury: </w:t>
      </w:r>
      <w:r w:rsidRPr="0009622E">
        <w:rPr>
          <w:rFonts w:asciiTheme="minorHAnsi" w:hAnsiTheme="minorHAnsi"/>
          <w:i/>
        </w:rPr>
        <w:t xml:space="preserve">„něco je tam pro komunisty, něco pro sociální demokraty, něco pro SPD, digitalizace–napíšeme to, určitě to osloví Piráty, něco málo o daních, to určitě uspokojí ODS, a tak bych mohl pokračovat“ </w:t>
      </w:r>
      <w:r w:rsidRPr="0009622E">
        <w:rPr>
          <w:rFonts w:asciiTheme="minorHAnsi" w:hAnsiTheme="minorHAnsi"/>
        </w:rPr>
        <w:t xml:space="preserve">(Poslanecká sněmovna 2018, 55). Za viníka problému je vláda, která programové prohlášení poslancům předložila. Příčinou problému je, že vláda se svým programem snaží uspokojit všechny relevantní strany. V programu podle poslanců ODS chybí řešení například pro zjednodušování daňového systému, zároveň však tento slib zjednodušení daňového systému považují za prázdný, protože vláda podle nich hodlá byrokracii spíše navyšovat. Jako navrhované řešení je pak samozřejmě prosazení vlastního programu, které strana považuje za adekvátnější. Použity byly také explicitní výrazy, například, že program </w:t>
      </w:r>
      <w:r w:rsidRPr="0009622E">
        <w:rPr>
          <w:rFonts w:asciiTheme="minorHAnsi" w:hAnsiTheme="minorHAnsi"/>
          <w:i/>
        </w:rPr>
        <w:t xml:space="preserve">„připomíná pestrobarevný alkoholický koktejl se šlehačkou a třešinkou navrchu“ </w:t>
      </w:r>
      <w:r w:rsidRPr="0009622E">
        <w:rPr>
          <w:rFonts w:asciiTheme="minorHAnsi" w:hAnsiTheme="minorHAnsi"/>
        </w:rPr>
        <w:t xml:space="preserve">(Poslanecká sněmovna 2018, 91), nebo, že programové prohlášení </w:t>
      </w:r>
      <w:r w:rsidRPr="0009622E">
        <w:rPr>
          <w:rFonts w:asciiTheme="minorHAnsi" w:hAnsiTheme="minorHAnsi"/>
          <w:i/>
        </w:rPr>
        <w:t>„ve skutečnosti klame tělem. Žádným uceleným programovým prohlášením není. Je to jen nesourodý koktejl nejrůznějších bodů, slibů a frází“</w:t>
      </w:r>
      <w:r w:rsidRPr="0009622E">
        <w:rPr>
          <w:rFonts w:asciiTheme="minorHAnsi" w:hAnsiTheme="minorHAnsi"/>
        </w:rPr>
        <w:t xml:space="preserve"> (Poslanecká sněmovna 2018, 92).</w:t>
      </w:r>
    </w:p>
    <w:p w14:paraId="28951EDC" w14:textId="77777777" w:rsidR="0009622E" w:rsidRPr="0009622E" w:rsidRDefault="0009622E" w:rsidP="0009622E">
      <w:pPr>
        <w:spacing w:line="360" w:lineRule="auto"/>
        <w:ind w:firstLine="709"/>
        <w:jc w:val="both"/>
        <w:rPr>
          <w:rFonts w:asciiTheme="minorHAnsi" w:hAnsiTheme="minorHAnsi"/>
        </w:rPr>
      </w:pPr>
    </w:p>
    <w:p w14:paraId="7BCDB74F" w14:textId="77777777" w:rsidR="0009622E" w:rsidRPr="00973BF7" w:rsidRDefault="0009622E" w:rsidP="00973BF7">
      <w:pPr>
        <w:pStyle w:val="nadpis40"/>
        <w:ind w:left="0"/>
        <w:rPr>
          <w:color w:val="0000DC"/>
          <w:sz w:val="22"/>
        </w:rPr>
      </w:pPr>
      <w:r w:rsidRPr="00973BF7">
        <w:rPr>
          <w:color w:val="0000DC"/>
          <w:sz w:val="22"/>
        </w:rPr>
        <w:t>5.2.1.2 KSČM</w:t>
      </w:r>
    </w:p>
    <w:p w14:paraId="1DFE464A" w14:textId="77777777" w:rsidR="0009622E" w:rsidRPr="0009622E" w:rsidRDefault="0009622E" w:rsidP="0009622E">
      <w:pPr>
        <w:pStyle w:val="Dalodstavce"/>
      </w:pPr>
    </w:p>
    <w:p w14:paraId="3EDB50A3" w14:textId="77777777" w:rsidR="0009622E" w:rsidRPr="001B6878" w:rsidRDefault="0009622E" w:rsidP="0009622E">
      <w:pPr>
        <w:spacing w:line="360" w:lineRule="auto"/>
        <w:jc w:val="both"/>
        <w:rPr>
          <w:u w:val="single"/>
        </w:rPr>
      </w:pPr>
      <w:r w:rsidRPr="001B6878">
        <w:rPr>
          <w:u w:val="single"/>
        </w:rPr>
        <w:t xml:space="preserve">Rámec 1: Program a sociální politika </w:t>
      </w:r>
      <w:r>
        <w:rPr>
          <w:u w:val="single"/>
        </w:rPr>
        <w:t xml:space="preserve">vlády </w:t>
      </w:r>
      <w:r w:rsidRPr="001B6878">
        <w:rPr>
          <w:u w:val="single"/>
        </w:rPr>
        <w:t>jsou nedostatečné</w:t>
      </w:r>
    </w:p>
    <w:p w14:paraId="7EB14930" w14:textId="77777777" w:rsidR="0009622E" w:rsidRPr="0009622E" w:rsidRDefault="0009622E" w:rsidP="0009622E">
      <w:pPr>
        <w:spacing w:line="360" w:lineRule="auto"/>
        <w:ind w:firstLine="709"/>
        <w:jc w:val="both"/>
        <w:rPr>
          <w:rFonts w:asciiTheme="minorHAnsi" w:hAnsiTheme="minorHAnsi"/>
        </w:rPr>
      </w:pPr>
      <w:r w:rsidRPr="0009622E">
        <w:rPr>
          <w:rFonts w:asciiTheme="minorHAnsi" w:hAnsiTheme="minorHAnsi"/>
        </w:rPr>
        <w:t xml:space="preserve">Tento rámec zahrnuje konkrétní výroky poslanců KSČM za obě kategorie programové prohlášení vlády a její vize a sociální politika, jelikož jsou spolu v tomto případě úzce spjaty. Deklarovaným problémem jsou nedostatky a chybějící body v programu a v oblasti sociální politiky. Viníkem je menšinová vláda ANO, která program předložila. </w:t>
      </w:r>
    </w:p>
    <w:p w14:paraId="7251BDAE" w14:textId="77777777" w:rsidR="0009622E" w:rsidRPr="0009622E" w:rsidRDefault="0009622E" w:rsidP="0009622E">
      <w:pPr>
        <w:spacing w:line="360" w:lineRule="auto"/>
        <w:jc w:val="both"/>
        <w:rPr>
          <w:rFonts w:asciiTheme="minorHAnsi" w:hAnsiTheme="minorHAnsi"/>
        </w:rPr>
      </w:pPr>
      <w:r w:rsidRPr="0009622E">
        <w:rPr>
          <w:rFonts w:asciiTheme="minorHAnsi" w:hAnsiTheme="minorHAnsi"/>
        </w:rPr>
        <w:t xml:space="preserve">Komunistům v programovém prohlášení chyběly body týkající se obecného referenda, revize církevních restitucí, program navyšování minimální mzdy, závazek k maximálnímu dočerpání zdrojů a investic z Evropské unie, zavedení eura, problému chudoby, současného stavu eGovernmentu a digitálního Česka, reformy důchodového systému, adekvátnějšího vzdělávání a kompetencí Ministerstev zdravotnictví, práce a sociálních věcí a dalších. Pro způsob argumentace komunistů byl typický například takovýto výrok z úst Vojtěcha Filipa: </w:t>
      </w:r>
      <w:r w:rsidRPr="0009622E">
        <w:rPr>
          <w:rFonts w:asciiTheme="minorHAnsi" w:hAnsiTheme="minorHAnsi"/>
          <w:i/>
        </w:rPr>
        <w:t xml:space="preserve"> „Co mi chybí u programového bodu obecného referenda? Termín a závazek, že to bude prioritou vlády a že ho do určité doby také předloží. Jinak budeme muset postupovat tak, jako jsme postupovali ve chvíli, kdy se ve vládním prohlášení neobjevila žádná zmínka o revizi tzv. církevních restitucí, tedy tohoto daru státu jednotlivým církvím.“ </w:t>
      </w:r>
      <w:r w:rsidRPr="0009622E">
        <w:rPr>
          <w:rFonts w:asciiTheme="minorHAnsi" w:hAnsiTheme="minorHAnsi"/>
        </w:rPr>
        <w:t>(Poslanecká sněmovna 2018, 42).</w:t>
      </w:r>
    </w:p>
    <w:p w14:paraId="44E6B72B" w14:textId="77777777" w:rsidR="0009622E" w:rsidRPr="0009622E" w:rsidRDefault="0009622E" w:rsidP="00EC6733">
      <w:pPr>
        <w:spacing w:line="360" w:lineRule="auto"/>
        <w:ind w:firstLine="709"/>
        <w:jc w:val="both"/>
        <w:rPr>
          <w:rFonts w:asciiTheme="minorHAnsi" w:hAnsiTheme="minorHAnsi"/>
        </w:rPr>
      </w:pPr>
      <w:r w:rsidRPr="0009622E">
        <w:rPr>
          <w:rFonts w:asciiTheme="minorHAnsi" w:hAnsiTheme="minorHAnsi"/>
        </w:rPr>
        <w:t>Morální úsudky u komunistů nalezeny nebyly. Předloženo však bylo několik řešení na konkrétní problémy týkající se nedostatků programu. Příkladem je řešení trvalého navyšování mzdy předsedou strany: „</w:t>
      </w:r>
      <w:r w:rsidRPr="0009622E">
        <w:rPr>
          <w:rFonts w:asciiTheme="minorHAnsi" w:hAnsiTheme="minorHAnsi"/>
          <w:i/>
        </w:rPr>
        <w:t xml:space="preserve">My jsme požadovali při jednání skutečný program trvalého navyšování minimální mzdy. Aby tady existoval čtyřletý program pro celé působení této vlády, vlády České republiky v tomto volebním období, který by vedl k tomu, že jako jediný nástroj, který může i u soukromého sektoru vést k tomu, abychom vyrovnávali nižší mzdovou úroveň českých občanů při vysoké, nebo stejně vysoké, nebo dokonce vyšší cenové úrovni zboží v České republice proti okolním sousedům, abychom tedy dosáhli toho, že při srovnání naší ekonomiky s ekonomikami sousedními bychom přiblížili mzdy u nás. Ta obecná jedna věta, která je ve vládním prohlášení, nám nedává záruku na to, že takový skutečný program navyšování minimální mzdy jako jednoho z nástrojů vyrovnávání sociální, mzdové a příjmové úrovně českých občanů tam bude.“ </w:t>
      </w:r>
      <w:r w:rsidRPr="0009622E">
        <w:rPr>
          <w:rFonts w:asciiTheme="minorHAnsi" w:hAnsiTheme="minorHAnsi"/>
        </w:rPr>
        <w:t>(Poslanecká sněmovna 2018: 43-44).</w:t>
      </w:r>
    </w:p>
    <w:p w14:paraId="620DC94E" w14:textId="77777777" w:rsidR="006C4665" w:rsidRPr="0009622E" w:rsidRDefault="006C4665" w:rsidP="006C4665">
      <w:pPr>
        <w:spacing w:line="360" w:lineRule="auto"/>
        <w:jc w:val="both"/>
        <w:rPr>
          <w:rFonts w:asciiTheme="minorHAnsi" w:hAnsiTheme="minorHAnsi"/>
          <w:b/>
        </w:rPr>
      </w:pPr>
    </w:p>
    <w:p w14:paraId="45F0A9A0" w14:textId="77777777" w:rsidR="0009622E" w:rsidRPr="00973BF7" w:rsidRDefault="0009622E" w:rsidP="00973BF7">
      <w:pPr>
        <w:pStyle w:val="nadpis40"/>
        <w:ind w:left="0"/>
        <w:rPr>
          <w:color w:val="0000DC"/>
          <w:sz w:val="22"/>
        </w:rPr>
      </w:pPr>
      <w:r w:rsidRPr="00973BF7">
        <w:rPr>
          <w:color w:val="0000DC"/>
          <w:sz w:val="22"/>
        </w:rPr>
        <w:t>5.2.1.3 ČSSD</w:t>
      </w:r>
    </w:p>
    <w:p w14:paraId="3CA8355E" w14:textId="77777777" w:rsidR="0009622E" w:rsidRPr="0009622E" w:rsidRDefault="0009622E" w:rsidP="0009622E">
      <w:pPr>
        <w:pStyle w:val="Dalodstavce"/>
      </w:pPr>
    </w:p>
    <w:p w14:paraId="1C14339D" w14:textId="77777777" w:rsidR="0009622E" w:rsidRPr="0009622E" w:rsidRDefault="0009622E" w:rsidP="0009622E">
      <w:pPr>
        <w:spacing w:line="360" w:lineRule="auto"/>
        <w:jc w:val="both"/>
        <w:rPr>
          <w:rFonts w:asciiTheme="minorHAnsi" w:hAnsiTheme="minorHAnsi"/>
          <w:u w:val="single"/>
        </w:rPr>
      </w:pPr>
      <w:r w:rsidRPr="0009622E">
        <w:rPr>
          <w:rFonts w:asciiTheme="minorHAnsi" w:hAnsiTheme="minorHAnsi"/>
          <w:u w:val="single"/>
        </w:rPr>
        <w:t>Rámec 1: Volební program pro všechny, který nemá priority</w:t>
      </w:r>
    </w:p>
    <w:p w14:paraId="4E0CC70E" w14:textId="77777777" w:rsidR="0009622E" w:rsidRDefault="0009622E" w:rsidP="0009622E">
      <w:pPr>
        <w:spacing w:line="360" w:lineRule="auto"/>
        <w:ind w:firstLine="709"/>
        <w:jc w:val="both"/>
        <w:rPr>
          <w:rFonts w:asciiTheme="minorHAnsi" w:hAnsiTheme="minorHAnsi"/>
        </w:rPr>
      </w:pPr>
      <w:r w:rsidRPr="0009622E">
        <w:rPr>
          <w:rFonts w:asciiTheme="minorHAnsi" w:hAnsiTheme="minorHAnsi"/>
        </w:rPr>
        <w:t xml:space="preserve">Hlavním tématem zastřešujícím kritiku ČSSD vůči programovému prohlášení bylo, že prohlášení vlády je kompilátem programů ostatních politických stran, čímž se ANO snaží získat jejich důvěru. Poslanec Jan Chvojka toto přirovnával takto: </w:t>
      </w:r>
      <w:r w:rsidRPr="0009622E">
        <w:rPr>
          <w:rFonts w:asciiTheme="minorHAnsi" w:hAnsiTheme="minorHAnsi"/>
          <w:i/>
        </w:rPr>
        <w:t>„To je ale asi tak přibližně úspěšná strategie, jako když student opíše do své diplomové práce články a knížky svého profesora s nadějí, že mu udělá radost a dostane za jedna.“</w:t>
      </w:r>
      <w:r w:rsidRPr="0009622E">
        <w:rPr>
          <w:rFonts w:asciiTheme="minorHAnsi" w:hAnsiTheme="minorHAnsi"/>
        </w:rPr>
        <w:t xml:space="preserve"> (Poslanecká sněmovna 2018: 46). Jako problém však zároveň viděli i to, že takový program nemá jasně stanovené priority, přičemž Jan Hamáček argumentoval, že ČSSD své priority zná a zodpovídají se za ně svým voličům. V argumentaci strany se vyskytovaly lexikální prostředky jako je například přirovnání: </w:t>
      </w:r>
      <w:r w:rsidRPr="0009622E">
        <w:rPr>
          <w:rFonts w:asciiTheme="minorHAnsi" w:hAnsiTheme="minorHAnsi"/>
          <w:i/>
        </w:rPr>
        <w:t xml:space="preserve">„Ono se mluví taky o vypuštění bílého pejska. Co to je? Vypustím bílého psíčka, abych odvedla pozornost a mohla si dělat, co chtěla. Samozřejmě – také mohu použít jiné přirovnání, vidím, že jsem možná nebyla úplně pochopena, co jsem chtěla říct, hodíme ohlodanou kost a poperte se oni.“ </w:t>
      </w:r>
      <w:r w:rsidRPr="0009622E">
        <w:rPr>
          <w:rFonts w:asciiTheme="minorHAnsi" w:hAnsiTheme="minorHAnsi"/>
        </w:rPr>
        <w:t>(Poslanecká sněmovna 2018, 77). Objevily se také morální úsudky ohledně programu jako například tvrzení Aleny Gajdůškové, která argumentovala, že „</w:t>
      </w:r>
      <w:r w:rsidRPr="0009622E">
        <w:rPr>
          <w:rFonts w:asciiTheme="minorHAnsi" w:hAnsiTheme="minorHAnsi"/>
          <w:i/>
        </w:rPr>
        <w:t>pan premiér a tato vláda s námi hraje hru na program.“</w:t>
      </w:r>
      <w:r w:rsidRPr="0009622E">
        <w:rPr>
          <w:rFonts w:asciiTheme="minorHAnsi" w:hAnsiTheme="minorHAnsi"/>
        </w:rPr>
        <w:t xml:space="preserve"> (Poslanecká sněmovna 2018, 77).</w:t>
      </w:r>
    </w:p>
    <w:p w14:paraId="5B3D46B1" w14:textId="77777777" w:rsidR="0009622E" w:rsidRDefault="0009622E" w:rsidP="0009622E">
      <w:pPr>
        <w:spacing w:line="360" w:lineRule="auto"/>
        <w:ind w:firstLine="709"/>
        <w:jc w:val="both"/>
        <w:rPr>
          <w:rFonts w:asciiTheme="minorHAnsi" w:hAnsiTheme="minorHAnsi"/>
        </w:rPr>
      </w:pPr>
    </w:p>
    <w:p w14:paraId="58CDCFA3" w14:textId="5EBA52C3" w:rsidR="0009622E" w:rsidRDefault="00973BF7" w:rsidP="00973BF7">
      <w:pPr>
        <w:pStyle w:val="nadpis40"/>
        <w:ind w:left="0"/>
        <w:rPr>
          <w:color w:val="0000DC"/>
          <w:sz w:val="22"/>
        </w:rPr>
      </w:pPr>
      <w:r>
        <w:rPr>
          <w:color w:val="0000DC"/>
          <w:sz w:val="22"/>
        </w:rPr>
        <w:t>5.2.1.4</w:t>
      </w:r>
      <w:r w:rsidR="0009622E" w:rsidRPr="00973BF7">
        <w:rPr>
          <w:color w:val="0000DC"/>
          <w:sz w:val="22"/>
        </w:rPr>
        <w:t xml:space="preserve"> TOP 09</w:t>
      </w:r>
    </w:p>
    <w:p w14:paraId="2D05E9F1" w14:textId="77777777" w:rsidR="00973BF7" w:rsidRPr="00973BF7" w:rsidRDefault="00973BF7" w:rsidP="00973BF7">
      <w:pPr>
        <w:pStyle w:val="nadpis40"/>
        <w:ind w:left="0"/>
        <w:rPr>
          <w:color w:val="0000DC"/>
          <w:sz w:val="22"/>
        </w:rPr>
      </w:pPr>
    </w:p>
    <w:p w14:paraId="6AA38A29" w14:textId="77777777" w:rsidR="0009622E" w:rsidRPr="0009622E" w:rsidRDefault="0009622E" w:rsidP="0009622E">
      <w:pPr>
        <w:spacing w:line="360" w:lineRule="auto"/>
        <w:jc w:val="both"/>
        <w:rPr>
          <w:rFonts w:asciiTheme="minorHAnsi" w:hAnsiTheme="minorHAnsi"/>
          <w:u w:val="single"/>
        </w:rPr>
      </w:pPr>
      <w:r w:rsidRPr="0009622E">
        <w:rPr>
          <w:rFonts w:asciiTheme="minorHAnsi" w:hAnsiTheme="minorHAnsi"/>
          <w:u w:val="single"/>
        </w:rPr>
        <w:t>Rámec 1: Proč bychom měli věřit trestně stíhanému premiérovi, který lže?</w:t>
      </w:r>
    </w:p>
    <w:p w14:paraId="1EF840F4" w14:textId="3D9CA9E1" w:rsidR="0009622E" w:rsidRPr="0009622E" w:rsidRDefault="0009622E" w:rsidP="00EC6733">
      <w:pPr>
        <w:spacing w:line="360" w:lineRule="auto"/>
        <w:ind w:firstLine="709"/>
        <w:jc w:val="both"/>
        <w:rPr>
          <w:rFonts w:asciiTheme="minorHAnsi" w:hAnsiTheme="minorHAnsi"/>
        </w:rPr>
      </w:pPr>
      <w:r w:rsidRPr="0009622E">
        <w:rPr>
          <w:rFonts w:asciiTheme="minorHAnsi" w:hAnsiTheme="minorHAnsi"/>
        </w:rPr>
        <w:t xml:space="preserve">Do tohoto rámce byly zahrnuty kategorie důvěryhodnosti vlády a trestního stíhání Andreje Babiše, jež spolu v případě argumentace TOP 09 souvisely. Právě trestně stíhaný člověk v roli premiéra považovala TOP 09 za nejpalčivější problém. Straníci TOP 09 zároveň argumentovali, že premiérovi se nedá věřit, protože opakovaně veřejně lhal a to například v případě dotačního podvodu, ze kterého je podezírán, či v případě zásahu do práce redaktorů Mladě fronty DNES. Typická argumentace TOP 09 zněla takto: </w:t>
      </w:r>
      <w:r w:rsidRPr="0009622E">
        <w:rPr>
          <w:rFonts w:asciiTheme="minorHAnsi" w:hAnsiTheme="minorHAnsi"/>
          <w:i/>
        </w:rPr>
        <w:t>„Buď někomu věřím na základě zkušeností, které s</w:t>
      </w:r>
      <w:r w:rsidR="00614F8E">
        <w:rPr>
          <w:rFonts w:asciiTheme="minorHAnsi" w:hAnsiTheme="minorHAnsi"/>
          <w:i/>
        </w:rPr>
        <w:t xml:space="preserve"> </w:t>
      </w:r>
      <w:r w:rsidRPr="0009622E">
        <w:rPr>
          <w:rFonts w:asciiTheme="minorHAnsi" w:hAnsiTheme="minorHAnsi"/>
          <w:i/>
        </w:rPr>
        <w:t xml:space="preserve">ním mám, s tím, že je čestný, nelže a nekrade, anebo mu nevěřím. Lidé, kteří lžou, a pan premiér nám zejména v případě svého dotačního podvodu, z kterého je podezírán, lhal mnohokrát prokazatelně, nejenom nám jako Poslanecké sněmovně, ale celé veřejnosti, tak lidem, o kterých víme, že lžou, většinou nejsme náchylní příliš věřit, protože máme tuhle zkušenost.“ </w:t>
      </w:r>
      <w:r w:rsidRPr="0009622E">
        <w:rPr>
          <w:rFonts w:asciiTheme="minorHAnsi" w:hAnsiTheme="minorHAnsi"/>
        </w:rPr>
        <w:t>(Poslanecká sněmovna 2018: 34). Příčinou tohoto problému je tedy trestní stíhání premiéra. Jako viník je charakterizován pr</w:t>
      </w:r>
      <w:r>
        <w:rPr>
          <w:rFonts w:asciiTheme="minorHAnsi" w:hAnsiTheme="minorHAnsi"/>
        </w:rPr>
        <w:t>emiér vlády Andrej Babiš. Nebyla</w:t>
      </w:r>
      <w:r w:rsidRPr="0009622E">
        <w:rPr>
          <w:rFonts w:asciiTheme="minorHAnsi" w:hAnsiTheme="minorHAnsi"/>
        </w:rPr>
        <w:t xml:space="preserve"> zde nalezena jiná řešení problému, než nevyslovení důvěry vládě.</w:t>
      </w:r>
    </w:p>
    <w:p w14:paraId="34E0A65C" w14:textId="77777777" w:rsidR="0009622E" w:rsidRPr="0009622E" w:rsidRDefault="0009622E" w:rsidP="0009622E">
      <w:pPr>
        <w:spacing w:line="360" w:lineRule="auto"/>
        <w:ind w:firstLine="709"/>
        <w:jc w:val="both"/>
        <w:rPr>
          <w:rFonts w:asciiTheme="minorHAnsi" w:hAnsiTheme="minorHAnsi"/>
        </w:rPr>
      </w:pPr>
    </w:p>
    <w:p w14:paraId="295AE978" w14:textId="77777777" w:rsidR="0009622E" w:rsidRPr="0009622E" w:rsidRDefault="0009622E" w:rsidP="0009622E">
      <w:pPr>
        <w:pStyle w:val="Dalodstavce"/>
      </w:pPr>
    </w:p>
    <w:p w14:paraId="1FBB7677" w14:textId="77777777" w:rsidR="0009622E" w:rsidRDefault="002A08DF" w:rsidP="002A08DF">
      <w:pPr>
        <w:pStyle w:val="Nadpis3"/>
      </w:pPr>
      <w:r w:rsidRPr="002A08DF">
        <w:t>Identifikované rámce v kritice opozičních stran v období vzniku druhé vlády Andreje Babiše</w:t>
      </w:r>
    </w:p>
    <w:p w14:paraId="75BC6CD9" w14:textId="77777777" w:rsidR="00480489" w:rsidRPr="00480489" w:rsidRDefault="00480489" w:rsidP="00480489">
      <w:pPr>
        <w:pStyle w:val="Odstavec1"/>
      </w:pPr>
    </w:p>
    <w:p w14:paraId="58A8B4D2" w14:textId="77777777" w:rsidR="004C3A23" w:rsidRPr="00973BF7" w:rsidRDefault="00480489" w:rsidP="00973BF7">
      <w:pPr>
        <w:pStyle w:val="nadpis40"/>
        <w:ind w:left="0"/>
        <w:rPr>
          <w:color w:val="0000DC"/>
          <w:sz w:val="22"/>
        </w:rPr>
      </w:pPr>
      <w:r w:rsidRPr="00973BF7">
        <w:rPr>
          <w:color w:val="0000DC"/>
          <w:sz w:val="22"/>
        </w:rPr>
        <w:t>5.2.2.1 ODS</w:t>
      </w:r>
    </w:p>
    <w:p w14:paraId="04B955C4" w14:textId="26A80A5F" w:rsidR="00480489" w:rsidRPr="008C42EE" w:rsidRDefault="00480489" w:rsidP="00480489"/>
    <w:p w14:paraId="551BF7B9" w14:textId="77777777" w:rsidR="00480489" w:rsidRPr="00480489" w:rsidRDefault="00480489" w:rsidP="00480489">
      <w:pPr>
        <w:spacing w:line="360" w:lineRule="auto"/>
        <w:jc w:val="both"/>
        <w:rPr>
          <w:rFonts w:asciiTheme="minorHAnsi" w:hAnsiTheme="minorHAnsi"/>
          <w:u w:val="single"/>
        </w:rPr>
      </w:pPr>
      <w:r w:rsidRPr="00480489">
        <w:rPr>
          <w:rFonts w:asciiTheme="minorHAnsi" w:hAnsiTheme="minorHAnsi"/>
          <w:u w:val="single"/>
        </w:rPr>
        <w:t>Rámec 1: O důvěru žádá nekompletní vláda prezidenta Zemana a premiéra Babiše podporovaná komunisty</w:t>
      </w:r>
    </w:p>
    <w:p w14:paraId="2D8CB178" w14:textId="77777777" w:rsidR="00EC6733" w:rsidRDefault="00480489" w:rsidP="00480489">
      <w:pPr>
        <w:spacing w:line="360" w:lineRule="auto"/>
        <w:ind w:firstLine="709"/>
        <w:jc w:val="both"/>
        <w:rPr>
          <w:rFonts w:asciiTheme="minorHAnsi" w:hAnsiTheme="minorHAnsi"/>
        </w:rPr>
      </w:pPr>
      <w:r w:rsidRPr="00480489">
        <w:rPr>
          <w:rFonts w:asciiTheme="minorHAnsi" w:hAnsiTheme="minorHAnsi"/>
        </w:rPr>
        <w:t>Tento rámec byl nalezený v kategorii koaličního jednání a podoby vlády, kdy bylo nalezeno celkem 20 výroků, které rámec zastřešuje. Problém charakterizovaný poslanci ODS je možné popsat jako vládu vytvořenou na základě tajné dohody s komunisty, vládu, která není kompletní (nemá plnohodnotného ministra zahraničí a ministra vnitra), a přesto ji prezident uznává. Příčinou problému je neúplná vláda, za jejíž vznik je zodpovědný Andrej Babiš a Miloš Zeman a každý poslanec, je</w:t>
      </w:r>
      <w:r w:rsidR="00C4406E">
        <w:rPr>
          <w:rFonts w:asciiTheme="minorHAnsi" w:hAnsiTheme="minorHAnsi"/>
        </w:rPr>
        <w:t>n</w:t>
      </w:r>
      <w:r w:rsidRPr="00480489">
        <w:rPr>
          <w:rFonts w:asciiTheme="minorHAnsi" w:hAnsiTheme="minorHAnsi"/>
        </w:rPr>
        <w:t xml:space="preserve">ž tuto vládu podpořil. Morálních hodnocení rámec obsahuje hned několik, u některých jsou patrná také explicitní vyjádření poslanců. Jako příklad je možné uvést výrok poslance Jana Skopečka: </w:t>
      </w:r>
      <w:r w:rsidRPr="00480489">
        <w:rPr>
          <w:rFonts w:asciiTheme="minorHAnsi" w:hAnsiTheme="minorHAnsi"/>
          <w:i/>
        </w:rPr>
        <w:t xml:space="preserve">„Já si vůbec nedovedu představit, a je to podle mě poprvé vůbec v historii, že vláda přišla žádat o důvěru ve chvíli, kdy není kompletní. Ve chvíli, kdy prostě nemáme plnohodnotného ministra zahraničí, což já považuji spolu s ministrem vnitra a ministrem financí za nejklíčovější ministerské resorty, které rozhodují o bezpečnosti vnitřní i vnější, o našem ukotvení na mezinárodním poli, tak skutečně nemůžu uvěřit tomu, že premiér a vláda má tu drzost předstoupit před poslance ve chvíli, kdy je nekompletní“ </w:t>
      </w:r>
      <w:r w:rsidRPr="00480489">
        <w:rPr>
          <w:rFonts w:asciiTheme="minorHAnsi" w:hAnsiTheme="minorHAnsi"/>
        </w:rPr>
        <w:t xml:space="preserve">(Poslanecká sněmovna 2018, 143). </w:t>
      </w:r>
    </w:p>
    <w:p w14:paraId="2CFB64E7" w14:textId="21DCC560" w:rsidR="00480489" w:rsidRPr="00480489" w:rsidRDefault="00480489" w:rsidP="00480489">
      <w:pPr>
        <w:spacing w:line="360" w:lineRule="auto"/>
        <w:ind w:firstLine="709"/>
        <w:jc w:val="both"/>
        <w:rPr>
          <w:rFonts w:asciiTheme="minorHAnsi" w:hAnsiTheme="minorHAnsi"/>
        </w:rPr>
      </w:pPr>
      <w:r w:rsidRPr="00480489">
        <w:rPr>
          <w:rFonts w:asciiTheme="minorHAnsi" w:hAnsiTheme="minorHAnsi"/>
        </w:rPr>
        <w:t xml:space="preserve">Morální hodnocení je znatelné také ve výroku předsedy ODS Petra Fialy, který říká, že </w:t>
      </w:r>
      <w:r w:rsidRPr="00480489">
        <w:rPr>
          <w:rFonts w:asciiTheme="minorHAnsi" w:hAnsiTheme="minorHAnsi"/>
          <w:i/>
        </w:rPr>
        <w:t xml:space="preserve">„takto začínat, to je přeci neuvěřitelná blamáž. A je to taky neúcta. Neúcta k povinnostem, ústavním funkcím, k výzvám, k republice. Od všech! Od prezidenta, že netrval na kompletní vládě. Od premiéra, že sem přišel požádat o důvěru pro takovouto nekompletní vládu“ </w:t>
      </w:r>
      <w:r w:rsidRPr="00480489">
        <w:rPr>
          <w:rFonts w:asciiTheme="minorHAnsi" w:hAnsiTheme="minorHAnsi"/>
        </w:rPr>
        <w:t xml:space="preserve">(Poslanecká sněmovna 2018, 38). Strana však nepředložila žádné řešení problému, kromě toho, že by podle nich taková vláda neměla získat důvěru. </w:t>
      </w:r>
    </w:p>
    <w:p w14:paraId="435AAC96" w14:textId="77777777" w:rsidR="00D63E35" w:rsidRDefault="00D63E35" w:rsidP="00D63E35">
      <w:pPr>
        <w:pStyle w:val="Dalodstavce"/>
      </w:pPr>
    </w:p>
    <w:p w14:paraId="089BD8F4" w14:textId="77777777" w:rsidR="00480489" w:rsidRDefault="00480489" w:rsidP="00D63E35">
      <w:pPr>
        <w:pStyle w:val="Dalodstavce"/>
      </w:pPr>
    </w:p>
    <w:p w14:paraId="5DDEAFAD" w14:textId="77777777" w:rsidR="00480489" w:rsidRPr="00480489" w:rsidRDefault="00480489" w:rsidP="00480489">
      <w:pPr>
        <w:spacing w:line="360" w:lineRule="auto"/>
        <w:jc w:val="both"/>
        <w:rPr>
          <w:rFonts w:asciiTheme="minorHAnsi" w:hAnsiTheme="minorHAnsi"/>
          <w:u w:val="single"/>
        </w:rPr>
      </w:pPr>
      <w:r w:rsidRPr="00480489">
        <w:rPr>
          <w:rFonts w:asciiTheme="minorHAnsi" w:hAnsiTheme="minorHAnsi"/>
          <w:u w:val="single"/>
        </w:rPr>
        <w:t>Rámec 2: Programové prohlášení je vágní, lže a neodpovídá dosavadním krokům vládních aktérů</w:t>
      </w:r>
    </w:p>
    <w:p w14:paraId="257D68F9" w14:textId="77777777" w:rsidR="00EC6733" w:rsidRDefault="00480489" w:rsidP="00480489">
      <w:pPr>
        <w:spacing w:line="360" w:lineRule="auto"/>
        <w:ind w:firstLine="709"/>
        <w:jc w:val="both"/>
        <w:rPr>
          <w:rFonts w:asciiTheme="minorHAnsi" w:hAnsiTheme="minorHAnsi"/>
        </w:rPr>
      </w:pPr>
      <w:r w:rsidRPr="00480489">
        <w:rPr>
          <w:rFonts w:asciiTheme="minorHAnsi" w:hAnsiTheme="minorHAnsi"/>
        </w:rPr>
        <w:t>Je patrné, že ODS se soustředila zejména na kritiku programového prohlášení. Tento rámec charakterizovalo celkem 50 výroků. Jako problém zde poslanci ODS uvádí, že předložený program je nedostatečný a nesplňuje to, jak vládní strany ve skutečnosti konají. Často používanou frází bylo „jak máme věřit tomu, že…“ Jako příčina problému je identifikována skutečnost, že předložený program neodpovídá tomu, co vládní strany reálně prosazují a jak konají. Konkrétně byla kritizován vize vlády pro boj s byrokracií, zrychlení stavby dálnic, energetiku, církevní restituce, zahraniční politiku, rozpočet, snížení daní, digitalizaci Česka, zvýšení investic, snížení provozních nákladů státu a korupci. Strana zde předkládala mnoho konkrétních řešení jednotlivých bodů programu, jež kritizovala. Jako příklad může být uveden výrok Petra Fialy, který kritizoval návrh vlády pro boj s byrokracií takto: „</w:t>
      </w:r>
      <w:r w:rsidRPr="00480489">
        <w:rPr>
          <w:rFonts w:asciiTheme="minorHAnsi" w:hAnsiTheme="minorHAnsi"/>
          <w:i/>
        </w:rPr>
        <w:t>To je téma, je to objednávka českých občanů, kterou jsme my vnesli do politické diskuse a se kterou se vy následně snažíte nějak vypořádat. Jenže vy v programovém prohlášení slibujete, že byrokratické procedury převedete do digitální podoby. A my říkáme: Boj s byrokracií neznamená dělat totéž co dnes, pouze digitálně, ale to znamená podstatně zmenšit počet byrokratických povinností a procedur. Vaše cesta nás mimo jiné dovede do bludiště digitální byrokracie a totální kontroly nad občany v práci i soukromí. Naše cesta dovede Českou republiku mezi deset nejpříjemnějších a nejsvobodnějších zemí pro život a podnikání.“</w:t>
      </w:r>
      <w:r w:rsidRPr="00480489">
        <w:rPr>
          <w:rFonts w:asciiTheme="minorHAnsi" w:hAnsiTheme="minorHAnsi"/>
        </w:rPr>
        <w:t xml:space="preserve"> (Poslanecká sněmovna 2018: 39-40). </w:t>
      </w:r>
    </w:p>
    <w:p w14:paraId="4306720A" w14:textId="52230B82" w:rsidR="00480489" w:rsidRPr="00480489" w:rsidRDefault="00480489" w:rsidP="00480489">
      <w:pPr>
        <w:spacing w:line="360" w:lineRule="auto"/>
        <w:ind w:firstLine="709"/>
        <w:jc w:val="both"/>
        <w:rPr>
          <w:rFonts w:asciiTheme="minorHAnsi" w:hAnsiTheme="minorHAnsi"/>
        </w:rPr>
      </w:pPr>
      <w:r w:rsidRPr="00480489">
        <w:rPr>
          <w:rFonts w:asciiTheme="minorHAnsi" w:hAnsiTheme="minorHAnsi"/>
        </w:rPr>
        <w:t xml:space="preserve">Nalezeno bylo množství morálních soudů, typicky odkazujících na rozdíl mezi předloženou vizí vlády s tím, co ve skutečnosti prosazuje. Podrobně to vystihuje výrok poslance Jana Skopečka: </w:t>
      </w:r>
      <w:r w:rsidRPr="00480489">
        <w:rPr>
          <w:rFonts w:asciiTheme="minorHAnsi" w:hAnsiTheme="minorHAnsi"/>
          <w:i/>
        </w:rPr>
        <w:t xml:space="preserve">„Nenechme se opít rohlíkem, když Andrej Babiš říká, a dneska to říkal rovněž, že snižujeme a chce snižovat daně, není tomu tak. Pamatujeme si přece, jak hnutí ANO odmítalo naše návrhy na zrušení silniční daně, na zrušení daně z nabytí nemovitosti a jak se postavili proti našemu požadavku na snížení DPH na původní úroveň po zrušení penzijní reformy, kvůli které byla tato daň navýšena. Zkrátka Andrej Babiš a hnutí ANO miluje státní přerozdělování, proto miluje vysoké a složité daně, a proto se také od nich žádného snížení nebo zjednodušení daňového systému nedočkáme. Je iluze myslet si něco jiného. Máme s nimi zkušenost čtyřletou a víme, jak to dopadlo.“ </w:t>
      </w:r>
      <w:r w:rsidRPr="00480489">
        <w:rPr>
          <w:rFonts w:asciiTheme="minorHAnsi" w:hAnsiTheme="minorHAnsi"/>
        </w:rPr>
        <w:t>(Poslanecká sněmovna 2018: 146).</w:t>
      </w:r>
    </w:p>
    <w:p w14:paraId="6951BC94" w14:textId="77777777" w:rsidR="00480489" w:rsidRDefault="00480489" w:rsidP="00D63E35">
      <w:pPr>
        <w:pStyle w:val="Dalodstavce"/>
      </w:pPr>
    </w:p>
    <w:p w14:paraId="7FBC5686" w14:textId="77777777" w:rsidR="00480489" w:rsidRDefault="00480489" w:rsidP="00D63E35">
      <w:pPr>
        <w:pStyle w:val="Dalodstavce"/>
      </w:pPr>
    </w:p>
    <w:p w14:paraId="77504DEF" w14:textId="77777777" w:rsidR="00480489" w:rsidRPr="00480489" w:rsidRDefault="00480489" w:rsidP="00480489">
      <w:pPr>
        <w:spacing w:line="360" w:lineRule="auto"/>
        <w:jc w:val="both"/>
        <w:rPr>
          <w:rFonts w:asciiTheme="minorHAnsi" w:hAnsiTheme="minorHAnsi"/>
          <w:u w:val="single"/>
        </w:rPr>
      </w:pPr>
      <w:r w:rsidRPr="00480489">
        <w:rPr>
          <w:rFonts w:asciiTheme="minorHAnsi" w:hAnsiTheme="minorHAnsi"/>
          <w:u w:val="single"/>
        </w:rPr>
        <w:t>Rámec 3: Hnutí ANO vpustilo do vlády komunisty – hrobaře Masarykovy prvorepublikové demokracie</w:t>
      </w:r>
    </w:p>
    <w:p w14:paraId="5ECAC262" w14:textId="77777777" w:rsidR="00480489" w:rsidRPr="00480489" w:rsidRDefault="00480489" w:rsidP="00973BF7">
      <w:pPr>
        <w:spacing w:line="360" w:lineRule="auto"/>
        <w:ind w:firstLine="709"/>
        <w:jc w:val="both"/>
        <w:rPr>
          <w:rFonts w:asciiTheme="minorHAnsi" w:hAnsiTheme="minorHAnsi"/>
        </w:rPr>
      </w:pPr>
      <w:r w:rsidRPr="00480489">
        <w:rPr>
          <w:rFonts w:asciiTheme="minorHAnsi" w:hAnsiTheme="minorHAnsi"/>
        </w:rPr>
        <w:t xml:space="preserve">Rámec věnující se účasti KSČM na vládě zahrnuje 27 nalezených výroků. Jako problém je popisována spjatost hnutí ANO s KSČM a rehabilitace a účast na moci komunistů. Zdrojem, či viníkem problému je hnutí ANO, které s KSČM uzavřelo tichou dohodu o podpoře vlády. Často zmiňovaným argumentem je, že se komunisté od své krvavé minulosti nikdy nedistancovali. Minulost spjatou s komunisty kritizoval například Pavel Žáček: </w:t>
      </w:r>
      <w:r w:rsidRPr="00480489">
        <w:rPr>
          <w:rFonts w:asciiTheme="minorHAnsi" w:hAnsiTheme="minorHAnsi"/>
          <w:i/>
        </w:rPr>
        <w:t>„Rehabilitaci komunistů, jejich legitimizaci, účast na moci vnímám jako určitou formu revanše za listopad 1989. To vše se děje v letošním osmičkovém roce. Začali jsme v únoru letošního roku změnami v prvním bezpečnostním sboru, s jistou paralelou s únorem 1948. Je nutné v souvislosti s rokem 1948 ještě zmínit násilné sloučení sociálních demokratů s komunisty. Další připomenutí se blíží, v srpnu budeme mít kulaté výročí okupace, tj. situace, kam nás vehnali komunisté, a okupace pěti armádami Varšavského paktu. A současná KSČM jsou následovníky těch kolaborantů, kteří vítali, těch vítačů sovětských tanků, protože ti ostatní z komunistické strany po roce 1968 odešli či byli vyloučeni.“</w:t>
      </w:r>
      <w:r w:rsidRPr="00480489">
        <w:rPr>
          <w:rFonts w:asciiTheme="minorHAnsi" w:hAnsiTheme="minorHAnsi"/>
        </w:rPr>
        <w:t xml:space="preserve"> (Poslanecká sněmovna 2018, 140).</w:t>
      </w:r>
    </w:p>
    <w:p w14:paraId="23900D7C" w14:textId="77777777" w:rsidR="00480489" w:rsidRPr="00480489" w:rsidRDefault="00480489" w:rsidP="00973BF7">
      <w:pPr>
        <w:spacing w:line="360" w:lineRule="auto"/>
        <w:ind w:firstLine="709"/>
        <w:jc w:val="both"/>
        <w:rPr>
          <w:rFonts w:asciiTheme="minorHAnsi" w:hAnsiTheme="minorHAnsi"/>
        </w:rPr>
      </w:pPr>
      <w:r w:rsidRPr="00480489">
        <w:rPr>
          <w:rFonts w:asciiTheme="minorHAnsi" w:hAnsiTheme="minorHAnsi"/>
        </w:rPr>
        <w:t xml:space="preserve">Poslanci argumentovali i tím, že se komunisté často odkazovali na Masarykovu republiku, přestože oni sami ji v únoru roku 1945 pohřbili. Zároveň poslanci ODS odkazují na to, že komunisté chtěli mluvit do obsazení ministerstev, ačkoliv Poslanecké sněmovně nebyla předložena žádná konkrétní dohoda mezi ANO a KSČM a předseda vlády tvrdil, že komunisté nemají na vládu žádný vliv. Slovy Pavla Žáčka </w:t>
      </w:r>
      <w:r w:rsidRPr="00480489">
        <w:rPr>
          <w:rFonts w:asciiTheme="minorHAnsi" w:hAnsiTheme="minorHAnsi"/>
          <w:i/>
        </w:rPr>
        <w:t xml:space="preserve">„nebyla zodpovězena otázka, zda a jaké jsou součásti nepsané části dohody mezi Andrejem Babišem a Komunistickou stranou Čech a Moravy, zda to není otevření bezpečnostních složek, což souvisí právě s lustracemi, bývalým členům komunistické strany, neřkuli bývalým členům komunistických bezpečnostních složek. Protože pokud by tomu tak bylo, pak teprve by to byla situace, která by byla velmi závažná a které bychom se měli obávat.“ </w:t>
      </w:r>
      <w:r w:rsidRPr="00480489">
        <w:rPr>
          <w:rFonts w:asciiTheme="minorHAnsi" w:hAnsiTheme="minorHAnsi"/>
        </w:rPr>
        <w:t>(Poslanecká sněmovna 2018, 141).</w:t>
      </w:r>
    </w:p>
    <w:p w14:paraId="68620664" w14:textId="77777777" w:rsidR="00480489" w:rsidRPr="00480489" w:rsidRDefault="00480489" w:rsidP="00973BF7">
      <w:pPr>
        <w:spacing w:line="360" w:lineRule="auto"/>
        <w:ind w:firstLine="709"/>
        <w:jc w:val="both"/>
        <w:rPr>
          <w:rFonts w:asciiTheme="minorHAnsi" w:hAnsiTheme="minorHAnsi"/>
        </w:rPr>
      </w:pPr>
      <w:r w:rsidRPr="00480489">
        <w:rPr>
          <w:rFonts w:asciiTheme="minorHAnsi" w:hAnsiTheme="minorHAnsi"/>
        </w:rPr>
        <w:t>Morální soudy byly spjaty především s minulostí, jež se s komunistickou stranou pojí:</w:t>
      </w:r>
      <w:r w:rsidRPr="00480489">
        <w:rPr>
          <w:rFonts w:asciiTheme="minorHAnsi" w:hAnsiTheme="minorHAnsi" w:cs="Calibri"/>
          <w:color w:val="000000"/>
        </w:rPr>
        <w:t xml:space="preserve"> </w:t>
      </w:r>
      <w:r w:rsidRPr="00480489">
        <w:rPr>
          <w:rFonts w:asciiTheme="minorHAnsi" w:hAnsiTheme="minorHAnsi"/>
          <w:i/>
        </w:rPr>
        <w:t>„…pan nastupující předseda vlády, který žádá o důvěru Poslanecké sněmovny a opírá se o blahovůli Komunistické strany Čech a Moravy, tak zapomíná dodat, když se vyznává z potřeby odkazu Desatera, že 229 kněží a 101 řeholnic komunisté uvěznili, 28 kněží a 2 řeholnice umučili, 1 440 kněží a 2 750 řeholnic internovali. Tak to je k tomu výkladu Desatera, k tomu, jak máme mít v úctě bližního svého, k tomu, jak nemáme krást, lhát a podvádět.</w:t>
      </w:r>
      <w:r w:rsidRPr="00480489">
        <w:rPr>
          <w:rFonts w:asciiTheme="minorHAnsi" w:hAnsiTheme="minorHAnsi"/>
        </w:rPr>
        <w:t xml:space="preserve"> ODS nepředkládá žádná jiná řešení problému, než nevyslovit vládě důvěru.</w:t>
      </w:r>
    </w:p>
    <w:p w14:paraId="139C1AF3" w14:textId="77777777" w:rsidR="00480489" w:rsidRDefault="00480489" w:rsidP="00D63E35">
      <w:pPr>
        <w:pStyle w:val="Dalodstavce"/>
      </w:pPr>
    </w:p>
    <w:p w14:paraId="66C28FFA" w14:textId="05BF7AD1" w:rsidR="00480489" w:rsidRDefault="00480489" w:rsidP="00973BF7">
      <w:pPr>
        <w:pStyle w:val="nadpis40"/>
        <w:ind w:left="0"/>
        <w:rPr>
          <w:color w:val="0000DC"/>
          <w:sz w:val="22"/>
        </w:rPr>
      </w:pPr>
      <w:r w:rsidRPr="00973BF7">
        <w:rPr>
          <w:color w:val="0000DC"/>
          <w:sz w:val="22"/>
        </w:rPr>
        <w:t>5.2.2.2 Piráti</w:t>
      </w:r>
    </w:p>
    <w:p w14:paraId="1DD75C68" w14:textId="77777777" w:rsidR="00973BF7" w:rsidRPr="00973BF7" w:rsidRDefault="00973BF7" w:rsidP="00973BF7">
      <w:pPr>
        <w:pStyle w:val="nadpis40"/>
        <w:ind w:left="0"/>
        <w:rPr>
          <w:color w:val="0000DC"/>
          <w:sz w:val="22"/>
        </w:rPr>
      </w:pPr>
    </w:p>
    <w:p w14:paraId="511A5065" w14:textId="77777777" w:rsidR="00480489" w:rsidRPr="00480489" w:rsidRDefault="00480489" w:rsidP="00480489">
      <w:pPr>
        <w:spacing w:line="360" w:lineRule="auto"/>
        <w:jc w:val="both"/>
        <w:rPr>
          <w:rFonts w:asciiTheme="minorHAnsi" w:hAnsiTheme="minorHAnsi"/>
          <w:u w:val="single"/>
        </w:rPr>
      </w:pPr>
      <w:r w:rsidRPr="00480489">
        <w:rPr>
          <w:rFonts w:asciiTheme="minorHAnsi" w:hAnsiTheme="minorHAnsi"/>
          <w:u w:val="single"/>
        </w:rPr>
        <w:t>Rámec 1:  Vláda by měla přejít od obecných deklarací k činům</w:t>
      </w:r>
    </w:p>
    <w:p w14:paraId="798B2614" w14:textId="6B32AAD2" w:rsidR="00480489" w:rsidRPr="00480489" w:rsidRDefault="00614F8E" w:rsidP="00973BF7">
      <w:pPr>
        <w:spacing w:line="360" w:lineRule="auto"/>
        <w:ind w:firstLine="709"/>
        <w:jc w:val="both"/>
        <w:rPr>
          <w:rFonts w:asciiTheme="minorHAnsi" w:hAnsiTheme="minorHAnsi"/>
        </w:rPr>
      </w:pPr>
      <w:r>
        <w:rPr>
          <w:rFonts w:asciiTheme="minorHAnsi" w:hAnsiTheme="minorHAnsi"/>
        </w:rPr>
        <w:t>Piráti svou kritiku obraceli</w:t>
      </w:r>
      <w:r w:rsidR="00480489" w:rsidRPr="00480489">
        <w:rPr>
          <w:rFonts w:asciiTheme="minorHAnsi" w:hAnsiTheme="minorHAnsi"/>
        </w:rPr>
        <w:t xml:space="preserve"> především směrem k vládnímu programu. Jako problém viděli zejména to, že realita a praxe se liší od toho, co vláda v programu ve skutečnosti deklarovala. Jako příklad uvedeme výrok Jakuba Michálka: „</w:t>
      </w:r>
      <w:r w:rsidR="00480489" w:rsidRPr="00480489">
        <w:rPr>
          <w:rFonts w:asciiTheme="minorHAnsi" w:hAnsiTheme="minorHAnsi"/>
          <w:i/>
        </w:rPr>
        <w:t xml:space="preserve">Myslím si, že vláda by především měla přejít od slov k činům. Když se podíváme na ten seznam, jak se měla vláda dosud možnost projevit v protikorupčních opatřeních, tak tu máme za prvé nominační zákon. Nominační zákon hnutí ANO potopilo. Následně se nám částečně podařilo ho donutit, aby aspoň předložil jeho verzi, kterou ovšem vykastrovali, takže z něho smazali část, která se týkala nominací do dozorčích rad.“ </w:t>
      </w:r>
      <w:r w:rsidR="00480489" w:rsidRPr="00480489">
        <w:rPr>
          <w:rFonts w:asciiTheme="minorHAnsi" w:hAnsiTheme="minorHAnsi"/>
        </w:rPr>
        <w:t>(Poslanecká sněmovna 2018, 107). Viníkem situace je zde vláda, která se o důvěru Poslanecké sněmovny ucházela. Příčinou problému je, že vláda nedodržuje to, co v programovém prohlášení deklaruje.</w:t>
      </w:r>
    </w:p>
    <w:p w14:paraId="6A40C2FA" w14:textId="77777777" w:rsidR="00480489" w:rsidRPr="00480489" w:rsidRDefault="00480489" w:rsidP="00EC6733">
      <w:pPr>
        <w:spacing w:line="360" w:lineRule="auto"/>
        <w:ind w:firstLine="709"/>
        <w:jc w:val="both"/>
        <w:rPr>
          <w:rFonts w:asciiTheme="minorHAnsi" w:hAnsiTheme="minorHAnsi"/>
        </w:rPr>
      </w:pPr>
      <w:r w:rsidRPr="00480489">
        <w:rPr>
          <w:rFonts w:asciiTheme="minorHAnsi" w:hAnsiTheme="minorHAnsi"/>
        </w:rPr>
        <w:t xml:space="preserve">Za morální hodnocení může být považován výše zmíněný výrok, že vláda by měla přejít od slov k činům, či tvrzení, že hnutí ANO „potopilo“ nominační zákon. Další morální úsudek ze strany Pirátů k vládě se týká návrhu o zastavení růstu platů ústavních činitelů: </w:t>
      </w:r>
      <w:r w:rsidRPr="00480489">
        <w:rPr>
          <w:rFonts w:asciiTheme="minorHAnsi" w:hAnsiTheme="minorHAnsi"/>
          <w:i/>
        </w:rPr>
        <w:t>„Předložili jste ho samozřejmě jako praví populisté s cílem, abyste ukázali, že tady je hodná vláda a zlá Poslanecká sněmovna, která ten návrh odmítne.“</w:t>
      </w:r>
      <w:r w:rsidRPr="00480489">
        <w:rPr>
          <w:rFonts w:asciiTheme="minorHAnsi" w:hAnsiTheme="minorHAnsi"/>
        </w:rPr>
        <w:t xml:space="preserve"> (Poslanecká sněmovna 2018: 108). Vytýkán byl i postoj k zahraniční politice, kdy poslanci tvrdili, že </w:t>
      </w:r>
      <w:r w:rsidRPr="00480489">
        <w:rPr>
          <w:rFonts w:asciiTheme="minorHAnsi" w:hAnsiTheme="minorHAnsi"/>
          <w:i/>
        </w:rPr>
        <w:t>„česká pozice v zahraničí tak vlivem Babišova sobectví a neschopnosti půl roku sestavit vládu s důvěrou oslabily naši pozici v Evropě. V očích partnerů tak vypadáme v lepším případě nestabilně, v horším směšně.“</w:t>
      </w:r>
      <w:r w:rsidRPr="00480489">
        <w:rPr>
          <w:rFonts w:asciiTheme="minorHAnsi" w:hAnsiTheme="minorHAnsi"/>
        </w:rPr>
        <w:t xml:space="preserve">  Jako navrhované řešení této situace by mohl být považován požadavek změny kritizovaných bodů, či prosazení programu Pirátů. V rámci byly nalezeny také expresivní a lexikální prostředky, jako například přirovnání v argumentaci poslance Jana Lipavského, který říkal, že </w:t>
      </w:r>
      <w:r w:rsidRPr="00480489">
        <w:rPr>
          <w:rFonts w:asciiTheme="minorHAnsi" w:hAnsiTheme="minorHAnsi"/>
          <w:i/>
        </w:rPr>
        <w:t>„bezpečnost není hodnota, na kterou lze přilepit cenovku a vyobchodovat ji za kostku másla nebo za kamion jablek.“</w:t>
      </w:r>
      <w:r w:rsidRPr="00480489">
        <w:rPr>
          <w:rFonts w:asciiTheme="minorHAnsi" w:hAnsiTheme="minorHAnsi"/>
        </w:rPr>
        <w:t xml:space="preserve"> (Poslanecká sněmovna 2018: 175).</w:t>
      </w:r>
    </w:p>
    <w:p w14:paraId="5184D872" w14:textId="58FA9B04" w:rsidR="00480489" w:rsidRDefault="00480489" w:rsidP="00973BF7">
      <w:pPr>
        <w:pStyle w:val="nadpis40"/>
        <w:ind w:left="0"/>
        <w:rPr>
          <w:rFonts w:asciiTheme="minorHAnsi" w:hAnsiTheme="minorHAnsi"/>
        </w:rPr>
      </w:pPr>
    </w:p>
    <w:p w14:paraId="2119C90A" w14:textId="5A44F195" w:rsidR="00973BF7" w:rsidRDefault="00973BF7" w:rsidP="00973BF7">
      <w:pPr>
        <w:pStyle w:val="nadpis40"/>
        <w:ind w:left="0"/>
        <w:rPr>
          <w:rFonts w:asciiTheme="minorHAnsi" w:hAnsiTheme="minorHAnsi"/>
        </w:rPr>
      </w:pPr>
    </w:p>
    <w:p w14:paraId="3791B8D6" w14:textId="79DC08AC" w:rsidR="00973BF7" w:rsidRDefault="00973BF7" w:rsidP="00973BF7">
      <w:pPr>
        <w:pStyle w:val="nadpis40"/>
        <w:ind w:left="0"/>
        <w:rPr>
          <w:rFonts w:asciiTheme="minorHAnsi" w:hAnsiTheme="minorHAnsi"/>
        </w:rPr>
      </w:pPr>
    </w:p>
    <w:p w14:paraId="70706F45" w14:textId="77777777" w:rsidR="00480489" w:rsidRPr="00973BF7" w:rsidRDefault="00480489" w:rsidP="00973BF7">
      <w:pPr>
        <w:pStyle w:val="nadpis40"/>
        <w:ind w:left="0"/>
        <w:rPr>
          <w:color w:val="0000DC"/>
          <w:sz w:val="22"/>
        </w:rPr>
      </w:pPr>
      <w:r w:rsidRPr="00973BF7">
        <w:rPr>
          <w:color w:val="0000DC"/>
          <w:sz w:val="22"/>
        </w:rPr>
        <w:t>5.2.2.3 KDU-ČSL</w:t>
      </w:r>
    </w:p>
    <w:p w14:paraId="24698C73" w14:textId="77777777" w:rsidR="00480489" w:rsidRPr="0027095D" w:rsidRDefault="00480489" w:rsidP="00480489"/>
    <w:p w14:paraId="003DDE4A" w14:textId="77777777" w:rsidR="00480489" w:rsidRPr="00480489" w:rsidRDefault="00480489" w:rsidP="00480489">
      <w:pPr>
        <w:spacing w:line="360" w:lineRule="auto"/>
        <w:jc w:val="both"/>
        <w:rPr>
          <w:rFonts w:asciiTheme="minorHAnsi" w:hAnsiTheme="minorHAnsi"/>
          <w:u w:val="single"/>
        </w:rPr>
      </w:pPr>
      <w:r w:rsidRPr="00480489">
        <w:rPr>
          <w:rFonts w:asciiTheme="minorHAnsi" w:hAnsiTheme="minorHAnsi"/>
          <w:u w:val="single"/>
        </w:rPr>
        <w:t>Rámec 1: Vláda na mnoho problémů rezignovala a její sliby vzbuzují pochybnosti</w:t>
      </w:r>
    </w:p>
    <w:p w14:paraId="60856D6F" w14:textId="429BB161" w:rsidR="00480489" w:rsidRPr="00480489" w:rsidRDefault="00480489" w:rsidP="00973BF7">
      <w:pPr>
        <w:spacing w:line="360" w:lineRule="auto"/>
        <w:ind w:firstLine="709"/>
        <w:jc w:val="both"/>
        <w:rPr>
          <w:rFonts w:asciiTheme="minorHAnsi" w:hAnsiTheme="minorHAnsi"/>
        </w:rPr>
      </w:pPr>
      <w:r w:rsidRPr="00480489">
        <w:rPr>
          <w:rFonts w:asciiTheme="minorHAnsi" w:hAnsiTheme="minorHAnsi"/>
        </w:rPr>
        <w:t xml:space="preserve">Kritika lidovců se týkala opět zejména programového prohlášení, kde argumentovali tím, že předložená řešení vlády nejsou konkrétní, nebo nejsou v programu vůbec uvedena a text reálně neodpovídá tomu, jak vláda postupuje. Za viníka situace je považováno především hnutí ANO, jehož předchozí vládní kroky jsou argumentačně dávány do kontrastu v programovým prohlášením. Příčinou zmíněného problému je pak to, že hnutí ANO nedodržuje to, co v prohlášení slibuje a vzbuzuje tak pochybnosti. Typickou argumentaci lidovců a zároveň morální hodnocení směrem k hnutí ANO a KSČM představuje výrok Jana Čižinského: </w:t>
      </w:r>
      <w:r w:rsidRPr="00480489">
        <w:rPr>
          <w:rFonts w:asciiTheme="minorHAnsi" w:hAnsiTheme="minorHAnsi"/>
          <w:i/>
        </w:rPr>
        <w:t>„</w:t>
      </w:r>
      <w:r w:rsidR="00614F8E">
        <w:rPr>
          <w:rFonts w:asciiTheme="minorHAnsi" w:hAnsiTheme="minorHAnsi"/>
          <w:i/>
        </w:rPr>
        <w:t>…</w:t>
      </w:r>
      <w:r w:rsidRPr="00480489">
        <w:rPr>
          <w:rFonts w:asciiTheme="minorHAnsi" w:hAnsiTheme="minorHAnsi"/>
          <w:i/>
        </w:rPr>
        <w:t>rád bych se zeptal na něco, co je pro mě extrémně důležité a o čem v tom programovém prohlášení není ani slovo, a to je vztah k veřejnoprávním médiím, tedy k České televizi a Českému rozhlasu, protože jak pro komunisty, tak pro hnutí ANO musí být lákavé nějakým způsobem veřejnoprávní média ovlivnit, příp. zkrotit.“</w:t>
      </w:r>
      <w:r w:rsidRPr="00480489">
        <w:rPr>
          <w:rFonts w:asciiTheme="minorHAnsi" w:hAnsiTheme="minorHAnsi"/>
        </w:rPr>
        <w:t xml:space="preserve"> (Poslanecká sněmovna 2018: 158). Kritika kontrastu jednání hnutí ANO s předloženým programem z pohledu lidovců zněla takto: „</w:t>
      </w:r>
      <w:r w:rsidRPr="00480489">
        <w:rPr>
          <w:rFonts w:asciiTheme="minorHAnsi" w:hAnsiTheme="minorHAnsi"/>
          <w:i/>
        </w:rPr>
        <w:t xml:space="preserve">Pokud si člověk programové prohlášení podrobně pročte a dá jej do korelace s tím, co vláda ANO zde udělala za skoro osm měsíců samovlády, tak mnoho optimismu v člověku nezůstává. V jednom ale za pravdu panu premiérovi přece jen dávám – vládní prohlášení je ambiciózní. Bohužel je však vládní prohlášení ambiciózní směrem k výdajům.“ (Poslanecká sněmovna 2018: 135). </w:t>
      </w:r>
      <w:r w:rsidRPr="00480489">
        <w:rPr>
          <w:rFonts w:asciiTheme="minorHAnsi" w:hAnsiTheme="minorHAnsi"/>
        </w:rPr>
        <w:t>Za návrh řešení lidovci opět považují nevyslovení důvěry vládě.</w:t>
      </w:r>
    </w:p>
    <w:p w14:paraId="79C43023" w14:textId="58F302D6" w:rsidR="00480489" w:rsidRDefault="00480489" w:rsidP="00480489">
      <w:pPr>
        <w:rPr>
          <w:rFonts w:asciiTheme="minorHAnsi" w:hAnsiTheme="minorHAnsi"/>
        </w:rPr>
      </w:pPr>
    </w:p>
    <w:p w14:paraId="7DC0B503" w14:textId="77777777" w:rsidR="00973BF7" w:rsidRPr="00480489" w:rsidRDefault="00973BF7" w:rsidP="00480489">
      <w:pPr>
        <w:rPr>
          <w:rFonts w:asciiTheme="minorHAnsi" w:hAnsiTheme="minorHAnsi"/>
        </w:rPr>
      </w:pPr>
    </w:p>
    <w:p w14:paraId="76779DC1" w14:textId="77777777" w:rsidR="00480489" w:rsidRPr="00480489" w:rsidRDefault="00480489" w:rsidP="00480489">
      <w:pPr>
        <w:spacing w:line="360" w:lineRule="auto"/>
        <w:jc w:val="both"/>
        <w:rPr>
          <w:rFonts w:asciiTheme="minorHAnsi" w:hAnsiTheme="minorHAnsi"/>
          <w:u w:val="single"/>
        </w:rPr>
      </w:pPr>
      <w:r w:rsidRPr="00480489">
        <w:rPr>
          <w:rFonts w:asciiTheme="minorHAnsi" w:hAnsiTheme="minorHAnsi"/>
          <w:u w:val="single"/>
        </w:rPr>
        <w:t>Rámec 2: Pro koaliční vládu podporovanou nereformovatelnými komunisty ruku nezvedneme</w:t>
      </w:r>
    </w:p>
    <w:p w14:paraId="65EBFCCE" w14:textId="0C3FE216" w:rsidR="00480489" w:rsidRPr="00480489" w:rsidRDefault="00480489" w:rsidP="00973BF7">
      <w:pPr>
        <w:spacing w:line="360" w:lineRule="auto"/>
        <w:ind w:firstLine="709"/>
        <w:jc w:val="both"/>
        <w:rPr>
          <w:rFonts w:asciiTheme="minorHAnsi" w:hAnsiTheme="minorHAnsi"/>
        </w:rPr>
      </w:pPr>
      <w:r w:rsidRPr="00480489">
        <w:rPr>
          <w:rFonts w:asciiTheme="minorHAnsi" w:hAnsiTheme="minorHAnsi"/>
        </w:rPr>
        <w:t xml:space="preserve">Do tohoto rámce byly zařazeny výroky konkrétní kritiky lidovců v kategoriích koaliční jednání a podoba vlády a účast KSČM na vládě. </w:t>
      </w:r>
      <w:r w:rsidRPr="00480489">
        <w:rPr>
          <w:rFonts w:asciiTheme="minorHAnsi" w:hAnsiTheme="minorHAnsi"/>
          <w:i/>
        </w:rPr>
        <w:t>„Tato vláda se bude opírat o hlasy komunistů. Svět kolem se vyvíjí a jde dopředu, ale v naší zemi naopak jdeme dopředu zpět upevňováním starých pořádků. Téměř po 30 letech si komunisté v této zemi opět začali diktovat podmínky.“</w:t>
      </w:r>
      <w:r w:rsidRPr="00480489">
        <w:rPr>
          <w:rFonts w:asciiTheme="minorHAnsi" w:hAnsiTheme="minorHAnsi"/>
        </w:rPr>
        <w:t>(Poslanecká sněmovna 2018, 61). Tak zní výrok Jana Bartoška, který odkazuje k účasti komunistů na vládě. Problém pro lidovce tvoří především historie spjatá s komunistickou stranou, to</w:t>
      </w:r>
      <w:r w:rsidR="00C4406E">
        <w:rPr>
          <w:rFonts w:asciiTheme="minorHAnsi" w:hAnsiTheme="minorHAnsi"/>
        </w:rPr>
        <w:t>,</w:t>
      </w:r>
      <w:r w:rsidRPr="00480489">
        <w:rPr>
          <w:rFonts w:asciiTheme="minorHAnsi" w:hAnsiTheme="minorHAnsi"/>
        </w:rPr>
        <w:t xml:space="preserve"> že se za své činy nikdy neomluvili. Příčinou problému je spolu</w:t>
      </w:r>
      <w:r w:rsidR="00C4406E">
        <w:rPr>
          <w:rFonts w:asciiTheme="minorHAnsi" w:hAnsiTheme="minorHAnsi"/>
        </w:rPr>
        <w:t>práce vládních stran s komunisty</w:t>
      </w:r>
      <w:r w:rsidRPr="00480489">
        <w:rPr>
          <w:rFonts w:asciiTheme="minorHAnsi" w:hAnsiTheme="minorHAnsi"/>
        </w:rPr>
        <w:t xml:space="preserve">. V tomto rámci bylo nalezeno množství morálních úsudků a expresivních vyjádření, příkladem je argumentace Jana Bartoška, který hovořil o tom, že se </w:t>
      </w:r>
      <w:r w:rsidRPr="00480489">
        <w:rPr>
          <w:rFonts w:asciiTheme="minorHAnsi" w:hAnsiTheme="minorHAnsi"/>
          <w:i/>
        </w:rPr>
        <w:t>„komunistům skutečně podařil husarský kousek. Ač s nejhorším výsledkem od roku 1990 a s obrovským propadem preferencí, diktují si podmínky při sestavování vlády“</w:t>
      </w:r>
      <w:r w:rsidRPr="00480489">
        <w:rPr>
          <w:rFonts w:asciiTheme="minorHAnsi" w:hAnsiTheme="minorHAnsi"/>
        </w:rPr>
        <w:t xml:space="preserve"> (Poslanecká sněmovna 2018: 62), nebo Víta Kaňkovského, který mluvil o tom, že </w:t>
      </w:r>
      <w:r w:rsidRPr="00480489">
        <w:rPr>
          <w:rFonts w:asciiTheme="minorHAnsi" w:hAnsiTheme="minorHAnsi"/>
          <w:i/>
        </w:rPr>
        <w:t>„stalinista zůstane stalinistou“</w:t>
      </w:r>
      <w:r w:rsidRPr="00480489">
        <w:rPr>
          <w:rFonts w:asciiTheme="minorHAnsi" w:hAnsiTheme="minorHAnsi"/>
        </w:rPr>
        <w:t xml:space="preserve"> (Poslanecká sněmovna 2018, 138). Řešení je v tomto případě jediné</w:t>
      </w:r>
      <w:r w:rsidR="00C4406E">
        <w:rPr>
          <w:rFonts w:asciiTheme="minorHAnsi" w:hAnsiTheme="minorHAnsi"/>
        </w:rPr>
        <w:t>,</w:t>
      </w:r>
      <w:r w:rsidRPr="00480489">
        <w:rPr>
          <w:rFonts w:asciiTheme="minorHAnsi" w:hAnsiTheme="minorHAnsi"/>
        </w:rPr>
        <w:t xml:space="preserve"> a to nehlasovat pro vyslovení důvěry této vládě.</w:t>
      </w:r>
    </w:p>
    <w:p w14:paraId="294E693E" w14:textId="77777777" w:rsidR="00480489" w:rsidRDefault="00480489" w:rsidP="00480489">
      <w:pPr>
        <w:spacing w:line="360" w:lineRule="auto"/>
        <w:jc w:val="both"/>
        <w:rPr>
          <w:rFonts w:asciiTheme="minorHAnsi" w:hAnsiTheme="minorHAnsi"/>
        </w:rPr>
      </w:pPr>
    </w:p>
    <w:p w14:paraId="40283369" w14:textId="77777777" w:rsidR="00480489" w:rsidRPr="00F51FE2" w:rsidRDefault="00480489" w:rsidP="00480489"/>
    <w:p w14:paraId="61490C59" w14:textId="77777777" w:rsidR="00480489" w:rsidRPr="00973BF7" w:rsidRDefault="00480489" w:rsidP="00973BF7">
      <w:pPr>
        <w:pStyle w:val="nadpis40"/>
        <w:ind w:left="0"/>
        <w:rPr>
          <w:color w:val="0000DC"/>
          <w:sz w:val="22"/>
        </w:rPr>
      </w:pPr>
      <w:r w:rsidRPr="00973BF7">
        <w:rPr>
          <w:color w:val="0000DC"/>
          <w:sz w:val="22"/>
        </w:rPr>
        <w:t>5.2.2.4 STAN</w:t>
      </w:r>
    </w:p>
    <w:p w14:paraId="4A6B9DEE" w14:textId="77777777" w:rsidR="00480489" w:rsidRPr="005E2D23" w:rsidRDefault="00480489" w:rsidP="00480489"/>
    <w:p w14:paraId="1D968702" w14:textId="77777777" w:rsidR="00480489" w:rsidRPr="00480489" w:rsidRDefault="00480489" w:rsidP="00480489">
      <w:pPr>
        <w:spacing w:line="360" w:lineRule="auto"/>
        <w:jc w:val="both"/>
        <w:rPr>
          <w:rFonts w:asciiTheme="minorHAnsi" w:hAnsiTheme="minorHAnsi"/>
          <w:u w:val="single"/>
        </w:rPr>
      </w:pPr>
      <w:r w:rsidRPr="00480489">
        <w:rPr>
          <w:rFonts w:asciiTheme="minorHAnsi" w:hAnsiTheme="minorHAnsi"/>
          <w:u w:val="single"/>
        </w:rPr>
        <w:t>Rámec 1: Vládní prohlášení v mnoha bodech nemá jasnou strategii</w:t>
      </w:r>
    </w:p>
    <w:p w14:paraId="32C61F82" w14:textId="77777777" w:rsidR="00480489" w:rsidRPr="00480489" w:rsidRDefault="00480489" w:rsidP="00973BF7">
      <w:pPr>
        <w:spacing w:line="360" w:lineRule="auto"/>
        <w:ind w:firstLine="709"/>
        <w:jc w:val="both"/>
        <w:rPr>
          <w:rFonts w:asciiTheme="minorHAnsi" w:hAnsiTheme="minorHAnsi"/>
          <w:b/>
        </w:rPr>
      </w:pPr>
      <w:r w:rsidRPr="00480489">
        <w:rPr>
          <w:rFonts w:asciiTheme="minorHAnsi" w:hAnsiTheme="minorHAnsi"/>
        </w:rPr>
        <w:t xml:space="preserve">Poslední rámec opět odkazuje na problematiku programového prohlášení vlády. Z pozice STAN je problém především v tom, že vláda něco chce prosadit, ale v programu již neuvádí, jakým způsobem. Zmíněny jsou jmenovitě oblasti jako opatření proti suchu, ochrany zemědělského půdního fondu, rekonstrukce památek, dobudování vysokorychlostního internetu, či řešení železniční infrastruktury. Poslanci STAN kritizovali také nedostatky v programu, kde jim scházela mezi vládními prioritami podpora vzdělanosti, komunikační infrastruktura, snižování byrokracie a další body, které jsou dle Starostů v rozporu s reálnými skutky vládních aktérů. Jan Farský argumentoval: </w:t>
      </w:r>
      <w:r w:rsidRPr="00480489">
        <w:rPr>
          <w:rFonts w:asciiTheme="minorHAnsi" w:hAnsiTheme="minorHAnsi"/>
          <w:i/>
        </w:rPr>
        <w:t xml:space="preserve">„takovou vládu, která má na prvním místě podporu vzdělanosti, která podporuje výstavbu komunikační infrastruktury, která podporuje snížení byrokracie, silné instituce, dostupnou spravedlnost a pomoc potřebným, takovou chceme podpořit. Taková vláda ale před nás s žádostí o důvěru dnes nepřichází.“ </w:t>
      </w:r>
      <w:r w:rsidRPr="00480489">
        <w:rPr>
          <w:rFonts w:asciiTheme="minorHAnsi" w:hAnsiTheme="minorHAnsi"/>
        </w:rPr>
        <w:t xml:space="preserve">(Poslanecká sněmovna 2018: 51). Příčinou zmíněného problému je zde možno identifikovat jako nedostatečnost programového prohlášení, které nenabízí jasné vize a strategie pro řešení problematických bodů. V kritice poslanců STAN nebyly nalezeny žádné morální úsudky ani expresivní výrazy. Nabízeným řešením problému je dle nich opět nepodpoření programu a nevyslovení důvěry vládě, která dokument předložila. </w:t>
      </w:r>
    </w:p>
    <w:p w14:paraId="75B39883" w14:textId="77777777" w:rsidR="00480489" w:rsidRDefault="00480489" w:rsidP="00480489">
      <w:pPr>
        <w:spacing w:line="360" w:lineRule="auto"/>
        <w:jc w:val="both"/>
        <w:rPr>
          <w:rFonts w:asciiTheme="minorHAnsi" w:hAnsiTheme="minorHAnsi"/>
        </w:rPr>
      </w:pPr>
    </w:p>
    <w:p w14:paraId="05EED513" w14:textId="77777777" w:rsidR="00480489" w:rsidRDefault="00480489" w:rsidP="00480489">
      <w:pPr>
        <w:pStyle w:val="Dalodstavce"/>
        <w:ind w:firstLine="0"/>
      </w:pPr>
    </w:p>
    <w:p w14:paraId="3670FA91" w14:textId="77777777" w:rsidR="00480489" w:rsidRPr="00080AEB" w:rsidRDefault="00480489" w:rsidP="00973BF7">
      <w:pPr>
        <w:pStyle w:val="nadpis40"/>
        <w:ind w:left="0"/>
        <w:rPr>
          <w:b/>
          <w:i w:val="0"/>
          <w:sz w:val="28"/>
        </w:rPr>
      </w:pPr>
      <w:r w:rsidRPr="00080AEB">
        <w:rPr>
          <w:b/>
          <w:i w:val="0"/>
          <w:color w:val="0000DC"/>
        </w:rPr>
        <w:t>Shrnutí</w:t>
      </w:r>
      <w:r w:rsidRPr="00080AEB">
        <w:rPr>
          <w:b/>
          <w:i w:val="0"/>
          <w:sz w:val="28"/>
        </w:rPr>
        <w:t xml:space="preserve"> </w:t>
      </w:r>
    </w:p>
    <w:p w14:paraId="27495D27" w14:textId="77777777" w:rsidR="00480489" w:rsidRDefault="00480489" w:rsidP="00480489">
      <w:pPr>
        <w:pStyle w:val="Dalodstavce"/>
      </w:pPr>
    </w:p>
    <w:p w14:paraId="448757CA" w14:textId="29127448" w:rsidR="00480489" w:rsidRDefault="00480489" w:rsidP="005B1991">
      <w:pPr>
        <w:pStyle w:val="Dalodstavce"/>
        <w:spacing w:line="360" w:lineRule="auto"/>
      </w:pPr>
      <w:r>
        <w:t xml:space="preserve">V rámci analýzy rámců bylo sestaveno celkem dvanáct rámců, přičemž pět </w:t>
      </w:r>
      <w:r w:rsidR="000C340F">
        <w:t>z nich</w:t>
      </w:r>
      <w:r>
        <w:t xml:space="preserve"> bylo nalezeno v období vzniku první vlády Andreje Babiše a </w:t>
      </w:r>
      <w:r w:rsidR="000C340F">
        <w:t xml:space="preserve">dalších </w:t>
      </w:r>
      <w:r>
        <w:t>sedm v období vzniku Babišovy druhé vlády. Cílem zde bylo zodpovědět poslední tři výzkumné otázky, tj. jaké argumenty opoziční strany používaly, jak vykreslovaly viníka, či zdroj problému, pokud tak učinily, a zda identifikovaly totožné problematické body. Většina rámců se týkala kritiky programového prohlášení a vize vlády. V rámci prvního období byly odhaleny celkem tři rámce zahrnující kritiku vládního programu. Podobně argumentovaly strany ODS a ČSSD, které odkazovaly na to, že programové prohlášení vlády bylo kompilátem prohlášení ostatních relevantních stran, čímž si menšinová vláda hnutí ANO chtěla získat jejich přízeň při hlasování o důvěře. Co se týče druhého období, bylo nalezeno nejvíce rámců týkajících se programového prohlášení a účasti komunistů na vládě. Rámce v</w:t>
      </w:r>
      <w:r w:rsidR="00C4406E">
        <w:t>ěnující se kritice programu byly</w:t>
      </w:r>
      <w:r>
        <w:t xml:space="preserve"> sestaveny v argumentaci poslanců ODS, Pirátů, KDU-ČSL a STAN. V kritice ODS, Pirátů, lidovců a STAN je možné vidět, že strany považovaly za stejný problematický bod vágnost, či jakousi nejasnost programového prohlášení a dále také, že vize a plá</w:t>
      </w:r>
      <w:r w:rsidR="00F36692">
        <w:t>nované kroky vlády neodpovídaly</w:t>
      </w:r>
      <w:r>
        <w:t xml:space="preserve"> tomu, co vláda doposud prosazovala</w:t>
      </w:r>
      <w:r w:rsidR="00F36692">
        <w:t>,</w:t>
      </w:r>
      <w:r>
        <w:t xml:space="preserve"> a jak ve sněmovně její aktéři hlasovali. Piráti a ODS argumentovali podobně  </w:t>
      </w:r>
      <w:r w:rsidR="00C4406E">
        <w:t>ohledně</w:t>
      </w:r>
      <w:r>
        <w:t xml:space="preserve"> problému účasti komunistů na vládě, kde reflektovali především minulost strany, od které se doposud</w:t>
      </w:r>
      <w:r w:rsidR="00043379">
        <w:t xml:space="preserve"> strana </w:t>
      </w:r>
      <w:r>
        <w:t>nedistanco</w:t>
      </w:r>
      <w:r w:rsidR="00043379">
        <w:t>vala,</w:t>
      </w:r>
      <w:r>
        <w:t xml:space="preserve"> a její nereformovatelnost.</w:t>
      </w:r>
    </w:p>
    <w:p w14:paraId="173FCA2F" w14:textId="16B5D56D" w:rsidR="00480489" w:rsidRDefault="00480489" w:rsidP="005B1991">
      <w:pPr>
        <w:pStyle w:val="Dalodstavce"/>
        <w:spacing w:line="360" w:lineRule="auto"/>
      </w:pPr>
      <w:r>
        <w:t>Celkově bylo nalezeno nejvíce rámců u ODS, která zároveň vládu kritizovala nejvíce. Ačkoliv byla kritika zaznamenána u všech opozičních stran, některé vládu kritizovaly, aniž by problémy nějakým způsobem rámovaly, či naplňovaly al</w:t>
      </w:r>
      <w:r w:rsidR="00043379">
        <w:t>espoň dvě Entmanovy funkce rámů a</w:t>
      </w:r>
      <w:r>
        <w:t xml:space="preserve"> z toho důvodu u nich nebylo možné rámce sestavit. Jednalo se v prvním období o Piráty, SPD, KDU-ČSL a STAN, v druhém zkoumaném období pak o SPD a TOP 09.</w:t>
      </w:r>
    </w:p>
    <w:p w14:paraId="053C32D6" w14:textId="77777777" w:rsidR="00480489" w:rsidRDefault="00480489" w:rsidP="00D63E35">
      <w:pPr>
        <w:pStyle w:val="Dalodstavce"/>
      </w:pPr>
    </w:p>
    <w:p w14:paraId="7176F356" w14:textId="77777777" w:rsidR="00677AA8" w:rsidRDefault="00677AA8" w:rsidP="00677AA8">
      <w:pPr>
        <w:pStyle w:val="Nadpis1"/>
      </w:pPr>
      <w:bookmarkStart w:id="24" w:name="_Toc8123575"/>
      <w:r>
        <w:t>Závěr</w:t>
      </w:r>
      <w:bookmarkEnd w:id="24"/>
    </w:p>
    <w:p w14:paraId="1CAB154D" w14:textId="77777777" w:rsidR="00973BF7" w:rsidRDefault="00677AA8" w:rsidP="00DD3107">
      <w:pPr>
        <w:pStyle w:val="Odstavec1"/>
        <w:spacing w:line="360" w:lineRule="auto"/>
        <w:ind w:firstLine="360"/>
      </w:pPr>
      <w:r>
        <w:t xml:space="preserve">Tato bakalářská práce měla za cíl zjistit, jaké rámce používaly opoziční strany pro argumentaci kritiky vlád Andreje Babiše. Nejdříve byly popsány teoretické koncepty politické opozice a rámování. V metodologické části byly následně definovány </w:t>
      </w:r>
      <w:r w:rsidR="00F079E4">
        <w:t xml:space="preserve">výzkumné otázky a </w:t>
      </w:r>
      <w:r>
        <w:t xml:space="preserve">použité metody, jimiž byly obsahová analýza a analýza rámců. </w:t>
      </w:r>
      <w:r w:rsidR="00057884">
        <w:t>Obsahová analýza spočívala v zakódování jednotlivých výroků kritiky (kvazi-vět) do definovaných kategorií. Zároveň byly výroky kritiky kódovány dle toho, zda se jednalo o kritiku abstraktní, či konkrétní. Z analýzy dat vyplynulo, že první i druhá vláda Andreje Babiše byly při svém vzniku nejvíce kritizovány poslanci ODS. Největší počet výroků</w:t>
      </w:r>
      <w:r w:rsidR="00F079E4">
        <w:t xml:space="preserve"> kritiky</w:t>
      </w:r>
      <w:r w:rsidR="00057884">
        <w:t xml:space="preserve"> se v obou zkoumaných obdobích týkal programového prohlášení a vizí vlády. </w:t>
      </w:r>
      <w:r w:rsidR="00F079E4" w:rsidRPr="00F079E4">
        <w:t xml:space="preserve">S výroky argumentující konkrétní kritiku bylo dále pracováno v rámcové analýze. Aby mohl být rámec sestaven, musel splňovat alespoň dvě ze čtyř Entmanových funkcí rámu, mezi které patří definice problému, jeho příčina, </w:t>
      </w:r>
      <w:r w:rsidR="00966166">
        <w:t>morální úsudek a návrh řešení problému.</w:t>
      </w:r>
      <w:r w:rsidR="00F079E4" w:rsidRPr="00F079E4">
        <w:t xml:space="preserve"> </w:t>
      </w:r>
    </w:p>
    <w:p w14:paraId="7B6221E6" w14:textId="4F44C7A0" w:rsidR="00677AA8" w:rsidRDefault="00F079E4" w:rsidP="00DD3107">
      <w:pPr>
        <w:pStyle w:val="Odstavec1"/>
        <w:spacing w:line="360" w:lineRule="auto"/>
        <w:ind w:firstLine="360"/>
      </w:pPr>
      <w:r w:rsidRPr="00F079E4">
        <w:t>Celkem bylo</w:t>
      </w:r>
      <w:r w:rsidR="00966166">
        <w:t xml:space="preserve"> za obě zkoumaná období</w:t>
      </w:r>
      <w:r w:rsidRPr="00F079E4">
        <w:t xml:space="preserve"> zrekonstruováno 12 rámců, přičemž 5 z nich patřilo ODS.</w:t>
      </w:r>
      <w:r w:rsidR="00966166">
        <w:t xml:space="preserve">  Sdělovatelem kritiky byly ve všech případech opoziční strany, příjemcem informací pak byla vláda, členové Poslanecké sněmovny a široká veřejnost. Rámce se týkaly zejména nedostatečnosti, či vágnosti programového prohlášení vlády, slibům, které neodpovídají skutečným vládním krokům, nebo participace komunistů na vládě, kde byla často reflektována komunistická minulost. Uvedeny byly</w:t>
      </w:r>
      <w:r w:rsidR="001B6ED8">
        <w:t xml:space="preserve"> vždy</w:t>
      </w:r>
      <w:r w:rsidR="00966166">
        <w:t xml:space="preserve"> konkrétní příklady argumentace opozičních poslanců. Práce tak přináší ucelený, avšak v mnohých ohledech limitovaný pohled na to</w:t>
      </w:r>
      <w:r w:rsidR="00DD3107">
        <w:t>,</w:t>
      </w:r>
      <w:r w:rsidR="00966166">
        <w:t xml:space="preserve"> jakým</w:t>
      </w:r>
      <w:r w:rsidR="00DD3107">
        <w:t xml:space="preserve"> způsobem opoziční strany rámovaly a argumentovaly</w:t>
      </w:r>
      <w:r w:rsidR="00966166">
        <w:t xml:space="preserve"> kritiku </w:t>
      </w:r>
      <w:r w:rsidR="00DD3107">
        <w:t>vlád Andreje Babiše.</w:t>
      </w:r>
    </w:p>
    <w:p w14:paraId="7EBB77E7" w14:textId="77777777" w:rsidR="00677AA8" w:rsidRDefault="00677AA8" w:rsidP="00DD3107">
      <w:pPr>
        <w:pStyle w:val="Dalodstavce"/>
        <w:spacing w:line="360" w:lineRule="auto"/>
      </w:pPr>
    </w:p>
    <w:p w14:paraId="78F3C2CA" w14:textId="415E4183" w:rsidR="00677AA8" w:rsidRDefault="00677AA8" w:rsidP="00DD3107">
      <w:pPr>
        <w:pStyle w:val="Dalodstavce"/>
        <w:spacing w:line="360" w:lineRule="auto"/>
      </w:pPr>
      <w:r>
        <w:t>Tato práce by mohla sloužit jak</w:t>
      </w:r>
      <w:r w:rsidR="007679B3">
        <w:t xml:space="preserve">o jeden ze zdrojů pro komplexnější výzkum </w:t>
      </w:r>
      <w:r w:rsidR="00DD3107">
        <w:t>rámování a agenda settingu. Bylo by zajímavé podívat</w:t>
      </w:r>
      <w:r w:rsidR="00BA249E">
        <w:t xml:space="preserve"> se</w:t>
      </w:r>
      <w:r w:rsidR="00DD3107">
        <w:t xml:space="preserve"> také na možnosti jiného rámování, například jakým způsobem rámované události následně zpracovávají a rámují masová média, protože právě ta jsou vlivnými aktéry společenského dění a významně se podílejí na nastolování veřejné agendy. Média často události a sdělení změní a </w:t>
      </w:r>
      <w:r w:rsidR="003B07E1">
        <w:t>za</w:t>
      </w:r>
      <w:r w:rsidR="00DD3107">
        <w:t xml:space="preserve">rámují odlišně, než jak byla rámována původními sdělovateli. Práve rozdíl mezi těmito rámci </w:t>
      </w:r>
      <w:r w:rsidR="00F313A5">
        <w:t xml:space="preserve">by </w:t>
      </w:r>
      <w:r w:rsidR="00DD3107">
        <w:t xml:space="preserve">jistě nebylo na škodu </w:t>
      </w:r>
      <w:r w:rsidR="00040FF4">
        <w:t>porovnat</w:t>
      </w:r>
      <w:r w:rsidR="00DD3107">
        <w:t xml:space="preserve">. Následně </w:t>
      </w:r>
      <w:r w:rsidR="00F313A5">
        <w:t>by bylo také</w:t>
      </w:r>
      <w:r w:rsidR="00DD3107">
        <w:t xml:space="preserve"> možné zkoumat </w:t>
      </w:r>
      <w:r w:rsidR="00015C48">
        <w:t xml:space="preserve">jaký </w:t>
      </w:r>
      <w:r w:rsidR="00DD3107">
        <w:t>vliv</w:t>
      </w:r>
      <w:r w:rsidR="00015C48">
        <w:t xml:space="preserve"> má</w:t>
      </w:r>
      <w:r w:rsidR="00DD3107">
        <w:t xml:space="preserve"> rámování kritiky jak opozičními stranami, tak následně </w:t>
      </w:r>
      <w:r w:rsidR="00A451D3">
        <w:t xml:space="preserve">informace a rámce přebrané </w:t>
      </w:r>
      <w:r w:rsidR="00DD3107">
        <w:t>médii, na přijímatele sdělení.</w:t>
      </w:r>
    </w:p>
    <w:p w14:paraId="3A84B28C" w14:textId="77777777" w:rsidR="00966166" w:rsidRDefault="00966166" w:rsidP="00677AA8">
      <w:pPr>
        <w:pStyle w:val="Dalodstavce"/>
      </w:pPr>
    </w:p>
    <w:p w14:paraId="39F8DAE5" w14:textId="250E84E3" w:rsidR="00080AEB" w:rsidRPr="00080AEB" w:rsidRDefault="00D80A2A" w:rsidP="00EC6733">
      <w:pPr>
        <w:pStyle w:val="Nadpis1"/>
      </w:pPr>
      <w:bookmarkStart w:id="25" w:name="_Toc257117031"/>
      <w:bookmarkStart w:id="26" w:name="_Toc381564283"/>
      <w:bookmarkStart w:id="27" w:name="_Toc8123576"/>
      <w:r w:rsidRPr="00FB7AC5">
        <w:t>Použité zdroje</w:t>
      </w:r>
      <w:bookmarkEnd w:id="25"/>
      <w:bookmarkEnd w:id="26"/>
      <w:bookmarkEnd w:id="27"/>
      <w:r w:rsidR="00522017">
        <w:fldChar w:fldCharType="begin"/>
      </w:r>
      <w:r w:rsidR="00522017">
        <w:instrText xml:space="preserve"> BIBLIOGRAPHY  \l 1029 </w:instrText>
      </w:r>
      <w:r w:rsidR="00522017">
        <w:fldChar w:fldCharType="separate"/>
      </w:r>
    </w:p>
    <w:p w14:paraId="1AF24B33" w14:textId="77777777" w:rsidR="00080AEB" w:rsidRPr="0031470F" w:rsidRDefault="00080AEB" w:rsidP="009643D1">
      <w:pPr>
        <w:spacing w:line="360" w:lineRule="auto"/>
        <w:jc w:val="both"/>
        <w:rPr>
          <w:szCs w:val="28"/>
        </w:rPr>
      </w:pPr>
    </w:p>
    <w:p w14:paraId="5C3BAC5B" w14:textId="77777777" w:rsidR="00080AEB" w:rsidRPr="009643D1" w:rsidRDefault="00080AEB" w:rsidP="009643D1">
      <w:pPr>
        <w:pStyle w:val="Odstavecseseznamem"/>
        <w:numPr>
          <w:ilvl w:val="0"/>
          <w:numId w:val="25"/>
        </w:numPr>
        <w:shd w:val="clear" w:color="auto" w:fill="FFFFFF"/>
        <w:spacing w:before="30" w:line="360" w:lineRule="auto"/>
        <w:jc w:val="both"/>
        <w:rPr>
          <w:rFonts w:asciiTheme="minorHAnsi" w:hAnsiTheme="minorHAnsi"/>
          <w:szCs w:val="28"/>
        </w:rPr>
      </w:pPr>
      <w:r w:rsidRPr="009643D1">
        <w:rPr>
          <w:rFonts w:asciiTheme="minorHAnsi" w:hAnsiTheme="minorHAnsi"/>
          <w:szCs w:val="28"/>
          <w:shd w:val="clear" w:color="auto" w:fill="FFFFFF"/>
        </w:rPr>
        <w:t>ARON, Raymond. </w:t>
      </w:r>
      <w:r w:rsidRPr="009643D1">
        <w:rPr>
          <w:rFonts w:asciiTheme="minorHAnsi" w:hAnsiTheme="minorHAnsi"/>
          <w:i/>
          <w:iCs/>
          <w:szCs w:val="28"/>
          <w:shd w:val="clear" w:color="auto" w:fill="FFFFFF"/>
        </w:rPr>
        <w:t>Demokracie a totalitarismus</w:t>
      </w:r>
      <w:r w:rsidRPr="009643D1">
        <w:rPr>
          <w:rFonts w:asciiTheme="minorHAnsi" w:hAnsiTheme="minorHAnsi"/>
          <w:szCs w:val="28"/>
          <w:shd w:val="clear" w:color="auto" w:fill="FFFFFF"/>
        </w:rPr>
        <w:t>. 2. vyd. Brno: Atlantis, 1993. ISBN 80-7108-064-0.</w:t>
      </w:r>
    </w:p>
    <w:p w14:paraId="78500E2D" w14:textId="77777777" w:rsidR="00080AEB" w:rsidRPr="009643D1" w:rsidRDefault="00080AEB" w:rsidP="009643D1">
      <w:pPr>
        <w:pStyle w:val="Odstavecseseznamem"/>
        <w:numPr>
          <w:ilvl w:val="0"/>
          <w:numId w:val="25"/>
        </w:numPr>
        <w:spacing w:after="160" w:line="360" w:lineRule="auto"/>
        <w:jc w:val="both"/>
        <w:rPr>
          <w:rFonts w:asciiTheme="minorHAnsi" w:hAnsiTheme="minorHAnsi"/>
          <w:szCs w:val="28"/>
        </w:rPr>
      </w:pPr>
      <w:r w:rsidRPr="009643D1">
        <w:rPr>
          <w:rFonts w:asciiTheme="minorHAnsi" w:hAnsiTheme="minorHAnsi"/>
          <w:szCs w:val="28"/>
        </w:rPr>
        <w:t xml:space="preserve">BARTLETT, F. C. 1932. </w:t>
      </w:r>
      <w:r w:rsidRPr="009643D1">
        <w:rPr>
          <w:rFonts w:asciiTheme="minorHAnsi" w:hAnsiTheme="minorHAnsi"/>
          <w:i/>
          <w:szCs w:val="28"/>
        </w:rPr>
        <w:t>Remembering: A study in experimental and social psychology</w:t>
      </w:r>
      <w:r w:rsidRPr="009643D1">
        <w:rPr>
          <w:rFonts w:asciiTheme="minorHAnsi" w:hAnsiTheme="minorHAnsi"/>
          <w:szCs w:val="28"/>
        </w:rPr>
        <w:t>. Cambridge, UK: Cambridge University Press.</w:t>
      </w:r>
    </w:p>
    <w:p w14:paraId="323CBC80" w14:textId="77777777" w:rsidR="00080AEB" w:rsidRPr="009643D1" w:rsidRDefault="00080AEB" w:rsidP="009643D1">
      <w:pPr>
        <w:pStyle w:val="Odstavecseseznamem"/>
        <w:numPr>
          <w:ilvl w:val="0"/>
          <w:numId w:val="25"/>
        </w:numPr>
        <w:spacing w:after="160" w:line="360" w:lineRule="auto"/>
        <w:jc w:val="both"/>
        <w:rPr>
          <w:rFonts w:asciiTheme="minorHAnsi" w:hAnsiTheme="minorHAnsi"/>
          <w:szCs w:val="28"/>
        </w:rPr>
      </w:pPr>
      <w:r w:rsidRPr="009643D1">
        <w:rPr>
          <w:rFonts w:asciiTheme="minorHAnsi" w:hAnsiTheme="minorHAnsi"/>
          <w:szCs w:val="28"/>
        </w:rPr>
        <w:t>BATESON, Gregory. 1972. “A theory of play and fantasy.“ In: The Game design Reader: A rules of play anthology. Ed. Salen Katie, Zimmerman Eric. 2006. Massachusetts: The MITPress 314- 328.</w:t>
      </w:r>
    </w:p>
    <w:p w14:paraId="5F18408E" w14:textId="77777777" w:rsidR="00080AEB" w:rsidRPr="009643D1" w:rsidRDefault="00080AEB" w:rsidP="009643D1">
      <w:pPr>
        <w:pStyle w:val="Odstavecseseznamem"/>
        <w:numPr>
          <w:ilvl w:val="0"/>
          <w:numId w:val="25"/>
        </w:numPr>
        <w:spacing w:after="160" w:line="360" w:lineRule="auto"/>
        <w:jc w:val="both"/>
        <w:rPr>
          <w:rFonts w:asciiTheme="minorHAnsi" w:hAnsiTheme="minorHAnsi"/>
          <w:szCs w:val="28"/>
          <w:shd w:val="clear" w:color="auto" w:fill="FFFFFF"/>
        </w:rPr>
      </w:pPr>
      <w:r w:rsidRPr="009643D1">
        <w:rPr>
          <w:rFonts w:asciiTheme="minorHAnsi" w:hAnsiTheme="minorHAnsi"/>
          <w:szCs w:val="28"/>
          <w:shd w:val="clear" w:color="auto" w:fill="FFFFFF"/>
        </w:rPr>
        <w:t>DISMAN, Miroslav. </w:t>
      </w:r>
      <w:r w:rsidRPr="009643D1">
        <w:rPr>
          <w:rFonts w:asciiTheme="minorHAnsi" w:hAnsiTheme="minorHAnsi"/>
          <w:i/>
          <w:iCs/>
          <w:szCs w:val="28"/>
          <w:shd w:val="clear" w:color="auto" w:fill="FFFFFF"/>
        </w:rPr>
        <w:t>Jak se vyrábí sociologická znalost: příručka pro uživatele</w:t>
      </w:r>
      <w:r w:rsidRPr="009643D1">
        <w:rPr>
          <w:rFonts w:asciiTheme="minorHAnsi" w:hAnsiTheme="minorHAnsi"/>
          <w:szCs w:val="28"/>
          <w:shd w:val="clear" w:color="auto" w:fill="FFFFFF"/>
        </w:rPr>
        <w:t>. Praha: Karolinum, 1993. ISBN 80-7066-822-9.</w:t>
      </w:r>
    </w:p>
    <w:p w14:paraId="4071816B" w14:textId="77777777" w:rsidR="00080AEB" w:rsidRPr="009643D1" w:rsidRDefault="00080AEB" w:rsidP="009643D1">
      <w:pPr>
        <w:pStyle w:val="Odstavecseseznamem"/>
        <w:numPr>
          <w:ilvl w:val="0"/>
          <w:numId w:val="25"/>
        </w:numPr>
        <w:shd w:val="clear" w:color="auto" w:fill="FFFFFF"/>
        <w:spacing w:before="30" w:line="360" w:lineRule="auto"/>
        <w:jc w:val="both"/>
        <w:rPr>
          <w:rFonts w:asciiTheme="minorHAnsi" w:hAnsiTheme="minorHAnsi"/>
          <w:szCs w:val="28"/>
        </w:rPr>
      </w:pPr>
      <w:r w:rsidRPr="009643D1">
        <w:rPr>
          <w:rFonts w:asciiTheme="minorHAnsi" w:hAnsiTheme="minorHAnsi"/>
          <w:szCs w:val="28"/>
        </w:rPr>
        <w:t xml:space="preserve">ENTMAN, Robert F. 1993. </w:t>
      </w:r>
      <w:r w:rsidRPr="009643D1">
        <w:rPr>
          <w:rFonts w:asciiTheme="minorHAnsi" w:hAnsiTheme="minorHAnsi"/>
          <w:i/>
          <w:szCs w:val="28"/>
        </w:rPr>
        <w:t>Framing: Toward Clarification of a Fractuated Paradigma.</w:t>
      </w:r>
      <w:r w:rsidRPr="009643D1">
        <w:rPr>
          <w:rFonts w:asciiTheme="minorHAnsi" w:hAnsiTheme="minorHAnsi"/>
          <w:szCs w:val="28"/>
        </w:rPr>
        <w:t xml:space="preserve"> Journal of Communication 43 no. 4, 51–58.</w:t>
      </w:r>
    </w:p>
    <w:p w14:paraId="5D7ECD0C" w14:textId="77777777" w:rsidR="00080AEB" w:rsidRPr="009643D1" w:rsidRDefault="00080AEB" w:rsidP="009643D1">
      <w:pPr>
        <w:pStyle w:val="Odstavecseseznamem"/>
        <w:numPr>
          <w:ilvl w:val="0"/>
          <w:numId w:val="25"/>
        </w:numPr>
        <w:shd w:val="clear" w:color="auto" w:fill="FFFFFF"/>
        <w:spacing w:before="30" w:line="360" w:lineRule="auto"/>
        <w:jc w:val="both"/>
        <w:rPr>
          <w:rFonts w:asciiTheme="minorHAnsi" w:hAnsiTheme="minorHAnsi"/>
          <w:szCs w:val="28"/>
          <w:shd w:val="clear" w:color="auto" w:fill="FDFDFE"/>
        </w:rPr>
      </w:pPr>
      <w:r w:rsidRPr="009643D1">
        <w:rPr>
          <w:rFonts w:asciiTheme="minorHAnsi" w:hAnsiTheme="minorHAnsi"/>
          <w:szCs w:val="28"/>
          <w:shd w:val="clear" w:color="auto" w:fill="FDFDFE"/>
        </w:rPr>
        <w:t>FIALA, Petr, STRMISKA, Maxmilián. </w:t>
      </w:r>
      <w:r w:rsidRPr="009643D1">
        <w:rPr>
          <w:rFonts w:asciiTheme="minorHAnsi" w:hAnsiTheme="minorHAnsi"/>
          <w:i/>
          <w:iCs/>
          <w:szCs w:val="28"/>
          <w:shd w:val="clear" w:color="auto" w:fill="FDFDFE"/>
        </w:rPr>
        <w:t>Teorie politických stran</w:t>
      </w:r>
      <w:r w:rsidRPr="009643D1">
        <w:rPr>
          <w:rFonts w:asciiTheme="minorHAnsi" w:hAnsiTheme="minorHAnsi"/>
          <w:szCs w:val="28"/>
          <w:shd w:val="clear" w:color="auto" w:fill="FDFDFE"/>
        </w:rPr>
        <w:t>. Brno: Barrister&amp;Principal, 1998. 260 s. Monografie, 1. ISBN 80-85947-31-5.</w:t>
      </w:r>
    </w:p>
    <w:p w14:paraId="648D23C4" w14:textId="77777777" w:rsidR="00080AEB" w:rsidRPr="009643D1" w:rsidRDefault="00080AEB" w:rsidP="009643D1">
      <w:pPr>
        <w:pStyle w:val="Odstavecseseznamem"/>
        <w:numPr>
          <w:ilvl w:val="0"/>
          <w:numId w:val="25"/>
        </w:numPr>
        <w:spacing w:after="160" w:line="360" w:lineRule="auto"/>
        <w:jc w:val="both"/>
        <w:rPr>
          <w:rFonts w:asciiTheme="minorHAnsi" w:hAnsiTheme="minorHAnsi"/>
          <w:szCs w:val="28"/>
          <w:shd w:val="clear" w:color="auto" w:fill="FFFFFF"/>
        </w:rPr>
      </w:pPr>
      <w:r w:rsidRPr="009643D1">
        <w:rPr>
          <w:rFonts w:asciiTheme="minorHAnsi" w:hAnsiTheme="minorHAnsi"/>
          <w:szCs w:val="28"/>
          <w:shd w:val="clear" w:color="auto" w:fill="FFFFFF"/>
        </w:rPr>
        <w:t xml:space="preserve">GOFFMAN, E. 1974. </w:t>
      </w:r>
      <w:r w:rsidRPr="009643D1">
        <w:rPr>
          <w:rFonts w:asciiTheme="minorHAnsi" w:hAnsiTheme="minorHAnsi"/>
          <w:i/>
          <w:szCs w:val="28"/>
          <w:shd w:val="clear" w:color="auto" w:fill="FFFFFF"/>
        </w:rPr>
        <w:t>Frame analysis: An essay on the organization of experience</w:t>
      </w:r>
      <w:r w:rsidRPr="009643D1">
        <w:rPr>
          <w:rFonts w:asciiTheme="minorHAnsi" w:hAnsiTheme="minorHAnsi"/>
          <w:szCs w:val="28"/>
          <w:shd w:val="clear" w:color="auto" w:fill="FFFFFF"/>
        </w:rPr>
        <w:t>. Cambridge, MA, US: Harvard University Press.</w:t>
      </w:r>
    </w:p>
    <w:p w14:paraId="15A21150" w14:textId="77777777" w:rsidR="00080AEB" w:rsidRPr="009643D1" w:rsidRDefault="00080AEB" w:rsidP="009643D1">
      <w:pPr>
        <w:pStyle w:val="Odstavecseseznamem"/>
        <w:numPr>
          <w:ilvl w:val="0"/>
          <w:numId w:val="25"/>
        </w:numPr>
        <w:shd w:val="clear" w:color="auto" w:fill="FFFFFF"/>
        <w:spacing w:before="30" w:line="360" w:lineRule="auto"/>
        <w:jc w:val="both"/>
        <w:rPr>
          <w:rFonts w:asciiTheme="minorHAnsi" w:hAnsiTheme="minorHAnsi"/>
          <w:szCs w:val="28"/>
        </w:rPr>
      </w:pPr>
      <w:r w:rsidRPr="009643D1">
        <w:rPr>
          <w:rFonts w:asciiTheme="minorHAnsi" w:hAnsiTheme="minorHAnsi"/>
          <w:szCs w:val="28"/>
        </w:rPr>
        <w:t xml:space="preserve">IYENGAR, Shanto. 1991. </w:t>
      </w:r>
      <w:r w:rsidRPr="009643D1">
        <w:rPr>
          <w:rFonts w:asciiTheme="minorHAnsi" w:hAnsiTheme="minorHAnsi"/>
          <w:i/>
          <w:szCs w:val="28"/>
        </w:rPr>
        <w:t xml:space="preserve">Is Anyone Responsible? How Television Frames Political Issues? </w:t>
      </w:r>
      <w:r w:rsidRPr="009643D1">
        <w:rPr>
          <w:rFonts w:asciiTheme="minorHAnsi" w:hAnsiTheme="minorHAnsi"/>
          <w:szCs w:val="28"/>
        </w:rPr>
        <w:t>Chicago, Londýn: The University of Chicago Press.</w:t>
      </w:r>
    </w:p>
    <w:p w14:paraId="057EEE40" w14:textId="77777777" w:rsidR="00080AEB" w:rsidRPr="009643D1" w:rsidRDefault="00080AEB" w:rsidP="009643D1">
      <w:pPr>
        <w:pStyle w:val="Odstavecseseznamem"/>
        <w:numPr>
          <w:ilvl w:val="0"/>
          <w:numId w:val="25"/>
        </w:numPr>
        <w:shd w:val="clear" w:color="auto" w:fill="FFFFFF"/>
        <w:spacing w:before="30" w:line="360" w:lineRule="auto"/>
        <w:jc w:val="both"/>
        <w:rPr>
          <w:rFonts w:asciiTheme="minorHAnsi" w:hAnsiTheme="minorHAnsi"/>
          <w:szCs w:val="28"/>
        </w:rPr>
      </w:pPr>
      <w:r w:rsidRPr="009643D1">
        <w:rPr>
          <w:rFonts w:asciiTheme="minorHAnsi" w:hAnsiTheme="minorHAnsi"/>
          <w:szCs w:val="28"/>
        </w:rPr>
        <w:t>KRAUS, Jiří. </w:t>
      </w:r>
      <w:r w:rsidRPr="009643D1">
        <w:rPr>
          <w:rFonts w:asciiTheme="minorHAnsi" w:hAnsiTheme="minorHAnsi"/>
          <w:i/>
          <w:iCs/>
          <w:szCs w:val="28"/>
        </w:rPr>
        <w:t>Nový akademický slovník cizích slov A-Ž</w:t>
      </w:r>
      <w:r w:rsidRPr="009643D1">
        <w:rPr>
          <w:rFonts w:asciiTheme="minorHAnsi" w:hAnsiTheme="minorHAnsi"/>
          <w:szCs w:val="28"/>
        </w:rPr>
        <w:t>. Praha: Academia, 2005. ISBN 80-200-1351-2.</w:t>
      </w:r>
    </w:p>
    <w:p w14:paraId="7186CBF6" w14:textId="77777777" w:rsidR="00080AEB" w:rsidRPr="009643D1" w:rsidRDefault="00080AEB" w:rsidP="009643D1">
      <w:pPr>
        <w:pStyle w:val="Odstavecseseznamem"/>
        <w:numPr>
          <w:ilvl w:val="0"/>
          <w:numId w:val="25"/>
        </w:numPr>
        <w:spacing w:after="160" w:line="360" w:lineRule="auto"/>
        <w:jc w:val="both"/>
        <w:rPr>
          <w:rFonts w:asciiTheme="minorHAnsi" w:hAnsiTheme="minorHAnsi"/>
          <w:szCs w:val="28"/>
        </w:rPr>
      </w:pPr>
      <w:r w:rsidRPr="009643D1">
        <w:rPr>
          <w:rFonts w:asciiTheme="minorHAnsi" w:hAnsiTheme="minorHAnsi"/>
          <w:szCs w:val="28"/>
        </w:rPr>
        <w:t xml:space="preserve">KRIPPENDORFF, Klaus. </w:t>
      </w:r>
      <w:r w:rsidRPr="009643D1">
        <w:rPr>
          <w:rFonts w:asciiTheme="minorHAnsi" w:hAnsiTheme="minorHAnsi"/>
          <w:i/>
          <w:szCs w:val="28"/>
        </w:rPr>
        <w:t>Content Analysis: An Introduction to Its Methodology</w:t>
      </w:r>
      <w:r w:rsidRPr="009643D1">
        <w:rPr>
          <w:rFonts w:asciiTheme="minorHAnsi" w:hAnsiTheme="minorHAnsi"/>
          <w:szCs w:val="28"/>
        </w:rPr>
        <w:t>. 3. vyd. Los Angeles a London: SAGE Publications, 2013. ISBN 978-1-4129-8315-0.</w:t>
      </w:r>
    </w:p>
    <w:p w14:paraId="5B4B9DD8" w14:textId="77777777" w:rsidR="00080AEB" w:rsidRPr="009643D1" w:rsidRDefault="00080AEB" w:rsidP="009643D1">
      <w:pPr>
        <w:pStyle w:val="Odstavecseseznamem"/>
        <w:numPr>
          <w:ilvl w:val="0"/>
          <w:numId w:val="25"/>
        </w:numPr>
        <w:shd w:val="clear" w:color="auto" w:fill="FFFFFF"/>
        <w:spacing w:before="30" w:line="360" w:lineRule="auto"/>
        <w:jc w:val="both"/>
        <w:rPr>
          <w:rFonts w:asciiTheme="minorHAnsi" w:hAnsiTheme="minorHAnsi"/>
          <w:szCs w:val="28"/>
        </w:rPr>
      </w:pPr>
      <w:r w:rsidRPr="009643D1">
        <w:rPr>
          <w:rFonts w:asciiTheme="minorHAnsi" w:hAnsiTheme="minorHAnsi"/>
          <w:szCs w:val="28"/>
        </w:rPr>
        <w:t>KUBÁT, Michal. </w:t>
      </w:r>
      <w:r w:rsidRPr="009643D1">
        <w:rPr>
          <w:rFonts w:asciiTheme="minorHAnsi" w:hAnsiTheme="minorHAnsi"/>
          <w:i/>
          <w:iCs/>
          <w:szCs w:val="28"/>
        </w:rPr>
        <w:t>Politická opozice v teorii a středoevropské praxi: (vybrané otázky)</w:t>
      </w:r>
      <w:r w:rsidRPr="009643D1">
        <w:rPr>
          <w:rFonts w:asciiTheme="minorHAnsi" w:hAnsiTheme="minorHAnsi"/>
          <w:szCs w:val="28"/>
        </w:rPr>
        <w:t>. Praha: Dokořán, 2010. Bod (Dokořán). ISBN 978-80-7363-285-4.</w:t>
      </w:r>
    </w:p>
    <w:p w14:paraId="7EF33C82" w14:textId="77777777" w:rsidR="00080AEB" w:rsidRPr="009643D1" w:rsidRDefault="00080AEB" w:rsidP="009643D1">
      <w:pPr>
        <w:pStyle w:val="Odstavecseseznamem"/>
        <w:numPr>
          <w:ilvl w:val="0"/>
          <w:numId w:val="25"/>
        </w:numPr>
        <w:shd w:val="clear" w:color="auto" w:fill="FFFFFF"/>
        <w:spacing w:before="30" w:line="360" w:lineRule="auto"/>
        <w:jc w:val="both"/>
        <w:rPr>
          <w:rFonts w:asciiTheme="minorHAnsi" w:hAnsiTheme="minorHAnsi"/>
          <w:szCs w:val="28"/>
        </w:rPr>
      </w:pPr>
      <w:r w:rsidRPr="009643D1">
        <w:rPr>
          <w:rFonts w:asciiTheme="minorHAnsi" w:hAnsiTheme="minorHAnsi"/>
          <w:szCs w:val="28"/>
        </w:rPr>
        <w:t>NOVÁK, Miroslav. </w:t>
      </w:r>
      <w:r w:rsidRPr="009643D1">
        <w:rPr>
          <w:rFonts w:asciiTheme="minorHAnsi" w:hAnsiTheme="minorHAnsi"/>
          <w:i/>
          <w:iCs/>
          <w:szCs w:val="28"/>
        </w:rPr>
        <w:t>Systémy politických stran: úvod do jejich srovnávacího studia</w:t>
      </w:r>
      <w:r w:rsidRPr="009643D1">
        <w:rPr>
          <w:rFonts w:asciiTheme="minorHAnsi" w:hAnsiTheme="minorHAnsi"/>
          <w:szCs w:val="28"/>
        </w:rPr>
        <w:t>. Praha: Sociologické nakladatelství, 1997. Studijní texty (Sociologické nakladatelství). ISBN 80-85850-22-2.</w:t>
      </w:r>
    </w:p>
    <w:p w14:paraId="4A54CBAC" w14:textId="4137B998" w:rsidR="009643D1" w:rsidRPr="009643D1" w:rsidRDefault="009643D1" w:rsidP="009643D1">
      <w:pPr>
        <w:pStyle w:val="Odstavecseseznamem"/>
        <w:numPr>
          <w:ilvl w:val="0"/>
          <w:numId w:val="25"/>
        </w:numPr>
        <w:spacing w:after="160" w:line="360" w:lineRule="auto"/>
        <w:jc w:val="both"/>
        <w:rPr>
          <w:rFonts w:asciiTheme="minorHAnsi" w:hAnsiTheme="minorHAnsi"/>
          <w:szCs w:val="28"/>
          <w:shd w:val="clear" w:color="auto" w:fill="FFFFFF"/>
        </w:rPr>
      </w:pPr>
      <w:r w:rsidRPr="009643D1">
        <w:rPr>
          <w:rFonts w:asciiTheme="minorHAnsi" w:hAnsiTheme="minorHAnsi"/>
          <w:szCs w:val="28"/>
          <w:shd w:val="clear" w:color="auto" w:fill="FFFFFF"/>
        </w:rPr>
        <w:t>REIFOVÁ, Irena, SCHULZ, Winfried. </w:t>
      </w:r>
      <w:r w:rsidRPr="009643D1">
        <w:rPr>
          <w:rFonts w:asciiTheme="minorHAnsi" w:hAnsiTheme="minorHAnsi"/>
          <w:i/>
          <w:iCs/>
          <w:szCs w:val="28"/>
          <w:shd w:val="clear" w:color="auto" w:fill="FFFFFF"/>
        </w:rPr>
        <w:t>Analýza obsahu mediálních sdělení</w:t>
      </w:r>
      <w:r w:rsidRPr="009643D1">
        <w:rPr>
          <w:rFonts w:asciiTheme="minorHAnsi" w:hAnsiTheme="minorHAnsi"/>
          <w:szCs w:val="28"/>
          <w:shd w:val="clear" w:color="auto" w:fill="FFFFFF"/>
        </w:rPr>
        <w:t>. 3., nezměn. vyd. Přeložil Barbara KÖPPLOVÁ. Praha: Karolinum, 2011. ISBN 978-80-246-1980-4.</w:t>
      </w:r>
    </w:p>
    <w:p w14:paraId="54654DA6" w14:textId="7BDCB27A" w:rsidR="00080AEB" w:rsidRPr="009643D1" w:rsidRDefault="00080AEB" w:rsidP="009643D1">
      <w:pPr>
        <w:pStyle w:val="Odstavecseseznamem"/>
        <w:numPr>
          <w:ilvl w:val="0"/>
          <w:numId w:val="25"/>
        </w:numPr>
        <w:spacing w:after="160" w:line="360" w:lineRule="auto"/>
        <w:jc w:val="both"/>
        <w:rPr>
          <w:rFonts w:asciiTheme="minorHAnsi" w:hAnsiTheme="minorHAnsi"/>
          <w:szCs w:val="28"/>
          <w:shd w:val="clear" w:color="auto" w:fill="FFFFFF"/>
        </w:rPr>
      </w:pPr>
      <w:r w:rsidRPr="009643D1">
        <w:rPr>
          <w:rFonts w:asciiTheme="minorHAnsi" w:hAnsiTheme="minorHAnsi"/>
          <w:szCs w:val="28"/>
          <w:shd w:val="clear" w:color="auto" w:fill="FFFFFF"/>
        </w:rPr>
        <w:t>ŘÍCHOVÁ, Blanka. </w:t>
      </w:r>
      <w:r w:rsidRPr="009643D1">
        <w:rPr>
          <w:rFonts w:asciiTheme="minorHAnsi" w:hAnsiTheme="minorHAnsi"/>
          <w:i/>
          <w:iCs/>
          <w:szCs w:val="28"/>
          <w:shd w:val="clear" w:color="auto" w:fill="FFFFFF"/>
        </w:rPr>
        <w:t>Přehled moderních politologických teorií</w:t>
      </w:r>
      <w:r w:rsidRPr="009643D1">
        <w:rPr>
          <w:rFonts w:asciiTheme="minorHAnsi" w:hAnsiTheme="minorHAnsi"/>
          <w:szCs w:val="28"/>
          <w:shd w:val="clear" w:color="auto" w:fill="FFFFFF"/>
        </w:rPr>
        <w:t>. Vyd. 2. Praha: Portál, 2006. ISBN 80-7367-177-8.</w:t>
      </w:r>
    </w:p>
    <w:p w14:paraId="5CB7EB1A" w14:textId="4958E6B7" w:rsidR="009643D1" w:rsidRPr="009643D1" w:rsidRDefault="009643D1" w:rsidP="009643D1">
      <w:pPr>
        <w:pStyle w:val="Odstavecseseznamem"/>
        <w:numPr>
          <w:ilvl w:val="0"/>
          <w:numId w:val="25"/>
        </w:numPr>
        <w:spacing w:after="160" w:line="360" w:lineRule="auto"/>
        <w:jc w:val="both"/>
        <w:rPr>
          <w:rFonts w:asciiTheme="minorHAnsi" w:hAnsiTheme="minorHAnsi"/>
          <w:i/>
          <w:szCs w:val="28"/>
          <w:shd w:val="clear" w:color="auto" w:fill="FFFFFF"/>
        </w:rPr>
      </w:pPr>
      <w:r w:rsidRPr="009643D1">
        <w:rPr>
          <w:rFonts w:asciiTheme="minorHAnsi" w:hAnsiTheme="minorHAnsi"/>
          <w:szCs w:val="28"/>
          <w:shd w:val="clear" w:color="auto" w:fill="FFFFFF"/>
        </w:rPr>
        <w:t xml:space="preserve">SCHÖN, D. A. 1993. </w:t>
      </w:r>
      <w:r w:rsidRPr="009643D1">
        <w:rPr>
          <w:rFonts w:asciiTheme="minorHAnsi" w:hAnsiTheme="minorHAnsi"/>
          <w:i/>
          <w:szCs w:val="28"/>
          <w:shd w:val="clear" w:color="auto" w:fill="FFFFFF"/>
        </w:rPr>
        <w:t>Generative metaphor: A perspective on problem-setting in social policy.</w:t>
      </w:r>
    </w:p>
    <w:p w14:paraId="11EA655D" w14:textId="77777777" w:rsidR="00080AEB" w:rsidRPr="009643D1" w:rsidRDefault="00080AEB" w:rsidP="009643D1">
      <w:pPr>
        <w:pStyle w:val="Odstavecseseznamem"/>
        <w:numPr>
          <w:ilvl w:val="0"/>
          <w:numId w:val="25"/>
        </w:numPr>
        <w:shd w:val="clear" w:color="auto" w:fill="FFFFFF"/>
        <w:spacing w:line="360" w:lineRule="auto"/>
        <w:jc w:val="both"/>
        <w:rPr>
          <w:rFonts w:asciiTheme="minorHAnsi" w:hAnsiTheme="minorHAnsi"/>
          <w:szCs w:val="28"/>
        </w:rPr>
      </w:pPr>
      <w:r w:rsidRPr="009643D1">
        <w:rPr>
          <w:rFonts w:asciiTheme="minorHAnsi" w:hAnsiTheme="minorHAnsi"/>
          <w:szCs w:val="28"/>
          <w:shd w:val="clear" w:color="auto" w:fill="FFFFFF"/>
        </w:rPr>
        <w:t>TANNEN, Deborah. </w:t>
      </w:r>
      <w:r w:rsidRPr="009643D1">
        <w:rPr>
          <w:rFonts w:asciiTheme="minorHAnsi" w:hAnsiTheme="minorHAnsi"/>
          <w:i/>
          <w:iCs/>
          <w:szCs w:val="28"/>
          <w:shd w:val="clear" w:color="auto" w:fill="FFFFFF"/>
        </w:rPr>
        <w:t>Framing in discourse</w:t>
      </w:r>
      <w:r w:rsidRPr="009643D1">
        <w:rPr>
          <w:rFonts w:asciiTheme="minorHAnsi" w:hAnsiTheme="minorHAnsi"/>
          <w:szCs w:val="28"/>
          <w:shd w:val="clear" w:color="auto" w:fill="FFFFFF"/>
        </w:rPr>
        <w:t>. New York: Oxford University Press, 1993. ISBN 978-0195079968.</w:t>
      </w:r>
    </w:p>
    <w:p w14:paraId="683F5588" w14:textId="77777777" w:rsidR="00080AEB" w:rsidRPr="009643D1" w:rsidRDefault="00080AEB" w:rsidP="009643D1">
      <w:pPr>
        <w:pStyle w:val="Odstavecseseznamem"/>
        <w:numPr>
          <w:ilvl w:val="0"/>
          <w:numId w:val="25"/>
        </w:numPr>
        <w:shd w:val="clear" w:color="auto" w:fill="FFFFFF"/>
        <w:spacing w:line="360" w:lineRule="auto"/>
        <w:jc w:val="both"/>
        <w:rPr>
          <w:rFonts w:asciiTheme="minorHAnsi" w:hAnsiTheme="minorHAnsi"/>
          <w:szCs w:val="28"/>
        </w:rPr>
      </w:pPr>
      <w:r w:rsidRPr="009643D1">
        <w:rPr>
          <w:rFonts w:asciiTheme="minorHAnsi" w:hAnsiTheme="minorHAnsi"/>
          <w:szCs w:val="28"/>
        </w:rPr>
        <w:t>TÓTH, Rastislav. </w:t>
      </w:r>
      <w:r w:rsidRPr="009643D1">
        <w:rPr>
          <w:rFonts w:asciiTheme="minorHAnsi" w:hAnsiTheme="minorHAnsi"/>
          <w:i/>
          <w:iCs/>
          <w:szCs w:val="28"/>
        </w:rPr>
        <w:t>Politologický slovník</w:t>
      </w:r>
      <w:r w:rsidRPr="009643D1">
        <w:rPr>
          <w:rFonts w:asciiTheme="minorHAnsi" w:hAnsiTheme="minorHAnsi"/>
          <w:szCs w:val="28"/>
        </w:rPr>
        <w:t>. Praha: Portál, 2015. ISBN 978-80-262-0807-5.</w:t>
      </w:r>
    </w:p>
    <w:p w14:paraId="60C13DD0" w14:textId="77777777" w:rsidR="00080AEB" w:rsidRPr="009643D1" w:rsidRDefault="00080AEB" w:rsidP="009643D1">
      <w:pPr>
        <w:pStyle w:val="Odstavecseseznamem"/>
        <w:numPr>
          <w:ilvl w:val="0"/>
          <w:numId w:val="25"/>
        </w:numPr>
        <w:spacing w:after="160" w:line="360" w:lineRule="auto"/>
        <w:jc w:val="both"/>
        <w:rPr>
          <w:rFonts w:asciiTheme="minorHAnsi" w:hAnsiTheme="minorHAnsi"/>
          <w:szCs w:val="28"/>
          <w:shd w:val="clear" w:color="auto" w:fill="FFFFFF"/>
        </w:rPr>
      </w:pPr>
      <w:r w:rsidRPr="009643D1">
        <w:rPr>
          <w:rFonts w:asciiTheme="minorHAnsi" w:hAnsiTheme="minorHAnsi"/>
          <w:szCs w:val="28"/>
          <w:shd w:val="clear" w:color="auto" w:fill="FFFFFF"/>
        </w:rPr>
        <w:t xml:space="preserve">WERNER, Anika, LACEWELL, Onawa, VOLKENS Andrea. </w:t>
      </w:r>
      <w:r w:rsidRPr="009643D1">
        <w:rPr>
          <w:rFonts w:asciiTheme="minorHAnsi" w:hAnsiTheme="minorHAnsi"/>
          <w:i/>
          <w:szCs w:val="28"/>
          <w:shd w:val="clear" w:color="auto" w:fill="FFFFFF"/>
        </w:rPr>
        <w:t>Manifesto Coding Instructions</w:t>
      </w:r>
      <w:r w:rsidRPr="009643D1">
        <w:rPr>
          <w:rFonts w:asciiTheme="minorHAnsi" w:hAnsiTheme="minorHAnsi"/>
          <w:szCs w:val="28"/>
          <w:shd w:val="clear" w:color="auto" w:fill="FFFFFF"/>
        </w:rPr>
        <w:t>. 5th edition. 2015. Wissenschaftszentrum Berlin für Sozialforschung (WZB)</w:t>
      </w:r>
    </w:p>
    <w:p w14:paraId="28888C5C" w14:textId="0C8D098A" w:rsidR="00080AEB" w:rsidRPr="009643D1" w:rsidRDefault="00080AEB" w:rsidP="009643D1">
      <w:pPr>
        <w:spacing w:line="360" w:lineRule="auto"/>
        <w:jc w:val="both"/>
        <w:rPr>
          <w:rFonts w:asciiTheme="minorHAnsi" w:hAnsiTheme="minorHAnsi"/>
          <w:szCs w:val="28"/>
        </w:rPr>
      </w:pPr>
    </w:p>
    <w:p w14:paraId="197D5BBF" w14:textId="0EF3A933" w:rsidR="00080AEB" w:rsidRPr="009643D1" w:rsidRDefault="00080AEB" w:rsidP="009643D1">
      <w:pPr>
        <w:pStyle w:val="nadpis40"/>
        <w:spacing w:line="360" w:lineRule="auto"/>
        <w:ind w:left="0"/>
        <w:rPr>
          <w:rFonts w:asciiTheme="minorHAnsi" w:hAnsiTheme="minorHAnsi"/>
          <w:b/>
          <w:i w:val="0"/>
          <w:color w:val="0000DC"/>
        </w:rPr>
      </w:pPr>
      <w:r w:rsidRPr="009643D1">
        <w:rPr>
          <w:rFonts w:asciiTheme="minorHAnsi" w:hAnsiTheme="minorHAnsi"/>
          <w:b/>
          <w:i w:val="0"/>
          <w:color w:val="0000DC"/>
        </w:rPr>
        <w:t>Internetové zdroje</w:t>
      </w:r>
    </w:p>
    <w:p w14:paraId="34AEB583" w14:textId="77777777" w:rsidR="00080AEB" w:rsidRPr="009643D1" w:rsidRDefault="00080AEB" w:rsidP="009643D1">
      <w:pPr>
        <w:pStyle w:val="nadpis40"/>
        <w:spacing w:line="360" w:lineRule="auto"/>
        <w:ind w:left="0"/>
        <w:rPr>
          <w:rFonts w:asciiTheme="minorHAnsi" w:hAnsiTheme="minorHAnsi"/>
          <w:b/>
          <w:i w:val="0"/>
          <w:color w:val="0000DC"/>
        </w:rPr>
      </w:pPr>
    </w:p>
    <w:p w14:paraId="79357C4F" w14:textId="77777777" w:rsidR="00080AEB" w:rsidRPr="009643D1" w:rsidRDefault="00080AEB" w:rsidP="009643D1">
      <w:pPr>
        <w:pStyle w:val="Odstavecseseznamem"/>
        <w:numPr>
          <w:ilvl w:val="0"/>
          <w:numId w:val="26"/>
        </w:numPr>
        <w:spacing w:after="160" w:line="360" w:lineRule="auto"/>
        <w:jc w:val="both"/>
        <w:rPr>
          <w:rFonts w:asciiTheme="minorHAnsi" w:hAnsiTheme="minorHAnsi"/>
          <w:szCs w:val="28"/>
        </w:rPr>
      </w:pPr>
      <w:r w:rsidRPr="009643D1">
        <w:rPr>
          <w:rFonts w:asciiTheme="minorHAnsi" w:hAnsiTheme="minorHAnsi"/>
          <w:i/>
          <w:iCs/>
          <w:szCs w:val="28"/>
        </w:rPr>
        <w:t xml:space="preserve">17. schůze, 7. hlasování, 12. července 2018, 00:47 Žádost vlády České republiky o vyslovení důvěry </w:t>
      </w:r>
      <w:r w:rsidRPr="009643D1">
        <w:rPr>
          <w:rFonts w:asciiTheme="minorHAnsi" w:hAnsiTheme="minorHAnsi"/>
          <w:szCs w:val="28"/>
          <w:shd w:val="clear" w:color="auto" w:fill="FFFFFF"/>
        </w:rPr>
        <w:t xml:space="preserve">[online], 2018. Praha: Poslanecká sněmovna Parlamentu České republiky [cit. 2019-04-16]. Dostupné z: </w:t>
      </w:r>
      <w:hyperlink r:id="rId28" w:history="1">
        <w:r w:rsidRPr="009643D1">
          <w:rPr>
            <w:rStyle w:val="Hypertextovodkaz"/>
            <w:rFonts w:asciiTheme="minorHAnsi" w:hAnsiTheme="minorHAnsi"/>
            <w:shd w:val="clear" w:color="auto" w:fill="FFFFFF"/>
          </w:rPr>
          <w:t>http://www.psp.cz/sqw/hlasy.sqw?g=68040&amp;l=cz¨</w:t>
        </w:r>
      </w:hyperlink>
    </w:p>
    <w:p w14:paraId="13EEDF4F" w14:textId="77777777" w:rsidR="00080AEB" w:rsidRPr="009643D1" w:rsidRDefault="00080AEB" w:rsidP="009643D1">
      <w:pPr>
        <w:pStyle w:val="Odstavecseseznamem"/>
        <w:numPr>
          <w:ilvl w:val="0"/>
          <w:numId w:val="26"/>
        </w:numPr>
        <w:shd w:val="clear" w:color="auto" w:fill="FFFFFF"/>
        <w:spacing w:line="360" w:lineRule="auto"/>
        <w:jc w:val="both"/>
        <w:rPr>
          <w:rFonts w:asciiTheme="minorHAnsi" w:hAnsiTheme="minorHAnsi"/>
          <w:szCs w:val="28"/>
        </w:rPr>
      </w:pPr>
      <w:r w:rsidRPr="009643D1">
        <w:rPr>
          <w:rFonts w:asciiTheme="minorHAnsi" w:hAnsiTheme="minorHAnsi"/>
          <w:szCs w:val="28"/>
        </w:rPr>
        <w:t>CARBON, Claus-Christian a Sabine ALBRECHT, </w:t>
      </w:r>
      <w:r w:rsidRPr="009643D1">
        <w:rPr>
          <w:rFonts w:asciiTheme="minorHAnsi" w:hAnsiTheme="minorHAnsi"/>
          <w:i/>
          <w:iCs/>
          <w:szCs w:val="28"/>
        </w:rPr>
        <w:t>Bartlett's schema theory: The unreplicated “portrait d'homme” series from 1932</w:t>
      </w:r>
      <w:r w:rsidRPr="009643D1">
        <w:rPr>
          <w:rFonts w:asciiTheme="minorHAnsi" w:hAnsiTheme="minorHAnsi"/>
          <w:szCs w:val="28"/>
        </w:rPr>
        <w:t>[online]. 2258-2270 [cit. 2019-04-16]. DOI: 10.1080/17470218.2012.696121. Dostupné z: http://journals.sagepub.com/doi/10.1080/17470218.2012.696121</w:t>
      </w:r>
    </w:p>
    <w:p w14:paraId="4DF98FDF" w14:textId="77777777" w:rsidR="00080AEB" w:rsidRPr="009643D1" w:rsidRDefault="00080AEB" w:rsidP="009643D1">
      <w:pPr>
        <w:pStyle w:val="Odstavecseseznamem"/>
        <w:numPr>
          <w:ilvl w:val="0"/>
          <w:numId w:val="26"/>
        </w:numPr>
        <w:spacing w:after="160" w:line="360" w:lineRule="auto"/>
        <w:jc w:val="both"/>
        <w:rPr>
          <w:rFonts w:asciiTheme="minorHAnsi" w:hAnsiTheme="minorHAnsi"/>
          <w:szCs w:val="28"/>
        </w:rPr>
      </w:pPr>
      <w:r w:rsidRPr="009643D1">
        <w:rPr>
          <w:rFonts w:asciiTheme="minorHAnsi" w:hAnsiTheme="minorHAnsi"/>
          <w:szCs w:val="28"/>
        </w:rPr>
        <w:t xml:space="preserve">DE VREESE, Claes H. 2005. </w:t>
      </w:r>
      <w:r w:rsidRPr="009643D1">
        <w:rPr>
          <w:rFonts w:asciiTheme="minorHAnsi" w:hAnsiTheme="minorHAnsi"/>
          <w:i/>
          <w:szCs w:val="28"/>
        </w:rPr>
        <w:t>News framing: Theory and typology.</w:t>
      </w:r>
      <w:r w:rsidRPr="009643D1">
        <w:rPr>
          <w:rFonts w:asciiTheme="minorHAnsi" w:hAnsiTheme="minorHAnsi"/>
          <w:szCs w:val="28"/>
        </w:rPr>
        <w:t xml:space="preserve"> [online], 51-62 [cit. 2019-04-16]. DOI: 10.1075/idjdd.13.1.06vre. ISSN 0142-5471. Dostupné z: http://www.jbe-platform.com/content/journals/10.1075/idjdd.13.1.06vre </w:t>
      </w:r>
    </w:p>
    <w:p w14:paraId="7A11445C" w14:textId="77777777" w:rsidR="00080AEB" w:rsidRPr="009643D1" w:rsidRDefault="00080AEB" w:rsidP="009643D1">
      <w:pPr>
        <w:pStyle w:val="Odstavecseseznamem"/>
        <w:numPr>
          <w:ilvl w:val="0"/>
          <w:numId w:val="26"/>
        </w:numPr>
        <w:shd w:val="clear" w:color="auto" w:fill="FFFFFF"/>
        <w:spacing w:before="30" w:line="360" w:lineRule="auto"/>
        <w:jc w:val="both"/>
        <w:rPr>
          <w:rFonts w:asciiTheme="minorHAnsi" w:hAnsiTheme="minorHAnsi"/>
          <w:szCs w:val="28"/>
        </w:rPr>
      </w:pPr>
      <w:r w:rsidRPr="009643D1">
        <w:rPr>
          <w:rFonts w:asciiTheme="minorHAnsi" w:hAnsiTheme="minorHAnsi"/>
          <w:szCs w:val="28"/>
        </w:rPr>
        <w:t xml:space="preserve">DEKKER, Rianne, </w:t>
      </w:r>
      <w:r w:rsidRPr="009643D1">
        <w:rPr>
          <w:rFonts w:asciiTheme="minorHAnsi" w:hAnsiTheme="minorHAnsi"/>
          <w:i/>
          <w:szCs w:val="28"/>
        </w:rPr>
        <w:t>Frame ambiguity in policy controversies: critical frame analysis of migrant integration policies in Antwerp and Rotterdam</w:t>
      </w:r>
      <w:r w:rsidRPr="009643D1">
        <w:rPr>
          <w:rFonts w:asciiTheme="minorHAnsi" w:hAnsiTheme="minorHAnsi"/>
          <w:szCs w:val="28"/>
        </w:rPr>
        <w:t>. </w:t>
      </w:r>
      <w:r w:rsidRPr="009643D1">
        <w:rPr>
          <w:rFonts w:asciiTheme="minorHAnsi" w:hAnsiTheme="minorHAnsi"/>
          <w:iCs/>
          <w:szCs w:val="28"/>
        </w:rPr>
        <w:t>Critical Policy</w:t>
      </w:r>
      <w:r w:rsidRPr="009643D1">
        <w:rPr>
          <w:rFonts w:asciiTheme="minorHAnsi" w:hAnsiTheme="minorHAnsi"/>
          <w:i/>
          <w:iCs/>
          <w:szCs w:val="28"/>
        </w:rPr>
        <w:t xml:space="preserve"> </w:t>
      </w:r>
      <w:r w:rsidRPr="009643D1">
        <w:rPr>
          <w:rFonts w:asciiTheme="minorHAnsi" w:hAnsiTheme="minorHAnsi"/>
          <w:iCs/>
          <w:szCs w:val="28"/>
        </w:rPr>
        <w:t>Studies</w:t>
      </w:r>
      <w:r w:rsidRPr="009643D1">
        <w:rPr>
          <w:rFonts w:asciiTheme="minorHAnsi" w:hAnsiTheme="minorHAnsi"/>
          <w:szCs w:val="28"/>
        </w:rPr>
        <w:t> [online]. 127-145 [cit. 2019-04-16]. DOI: 10.1080/19460171.2016.1147365. ISSN 1946-0171. Dostupné z: https://www.tandfonline.com/doi/full/10.1080/19460171.2016.1147365</w:t>
      </w:r>
    </w:p>
    <w:p w14:paraId="03788246" w14:textId="77777777" w:rsidR="00080AEB" w:rsidRPr="009643D1" w:rsidRDefault="00080AEB" w:rsidP="009643D1">
      <w:pPr>
        <w:pStyle w:val="Odstavecseseznamem"/>
        <w:numPr>
          <w:ilvl w:val="0"/>
          <w:numId w:val="26"/>
        </w:numPr>
        <w:spacing w:after="160" w:line="360" w:lineRule="auto"/>
        <w:jc w:val="both"/>
        <w:rPr>
          <w:rStyle w:val="Hypertextovodkaz"/>
          <w:rFonts w:asciiTheme="minorHAnsi" w:hAnsiTheme="minorHAnsi"/>
        </w:rPr>
      </w:pPr>
      <w:r w:rsidRPr="009643D1">
        <w:rPr>
          <w:rFonts w:asciiTheme="minorHAnsi" w:hAnsiTheme="minorHAnsi"/>
          <w:szCs w:val="28"/>
        </w:rPr>
        <w:t xml:space="preserve">DVOŘÁKOVÁ, Ilona. </w:t>
      </w:r>
      <w:r w:rsidRPr="009643D1">
        <w:rPr>
          <w:rFonts w:asciiTheme="minorHAnsi" w:hAnsiTheme="minorHAnsi"/>
          <w:i/>
          <w:szCs w:val="28"/>
        </w:rPr>
        <w:t xml:space="preserve">Obsahová analýza / formální obsahová analýza / kvantitativní obsahová analýza. </w:t>
      </w:r>
      <w:r w:rsidRPr="009643D1">
        <w:rPr>
          <w:rFonts w:asciiTheme="minorHAnsi" w:hAnsiTheme="minorHAnsi"/>
          <w:szCs w:val="28"/>
        </w:rPr>
        <w:t xml:space="preserve">[online]. Plzeň, 2010 [cit. 2019-04-16] Dostupné z: </w:t>
      </w:r>
      <w:hyperlink r:id="rId29" w:history="1">
        <w:r w:rsidRPr="009643D1">
          <w:rPr>
            <w:rStyle w:val="Hypertextovodkaz"/>
            <w:rFonts w:asciiTheme="minorHAnsi" w:hAnsiTheme="minorHAnsi"/>
          </w:rPr>
          <w:t>http://www.antropoweb.cz/webzin/index.php/webzin/article/view/97</w:t>
        </w:r>
      </w:hyperlink>
    </w:p>
    <w:p w14:paraId="412A6CDB" w14:textId="77777777" w:rsidR="00080AEB" w:rsidRPr="009643D1" w:rsidRDefault="00080AEB" w:rsidP="009643D1">
      <w:pPr>
        <w:pStyle w:val="Odstavecseseznamem"/>
        <w:numPr>
          <w:ilvl w:val="0"/>
          <w:numId w:val="26"/>
        </w:numPr>
        <w:shd w:val="clear" w:color="auto" w:fill="FFFFFF"/>
        <w:spacing w:line="360" w:lineRule="auto"/>
        <w:jc w:val="both"/>
        <w:rPr>
          <w:rFonts w:asciiTheme="minorHAnsi" w:hAnsiTheme="minorHAnsi"/>
          <w:szCs w:val="28"/>
        </w:rPr>
      </w:pPr>
      <w:r w:rsidRPr="009643D1">
        <w:rPr>
          <w:rFonts w:asciiTheme="minorHAnsi" w:hAnsiTheme="minorHAnsi"/>
          <w:szCs w:val="28"/>
        </w:rPr>
        <w:t xml:space="preserve">KAHNEMAN, Daniel, TVERSZKY, Amos. 1994. </w:t>
      </w:r>
      <w:r w:rsidRPr="009643D1">
        <w:rPr>
          <w:rFonts w:asciiTheme="minorHAnsi" w:hAnsiTheme="minorHAnsi"/>
          <w:i/>
          <w:szCs w:val="28"/>
        </w:rPr>
        <w:t xml:space="preserve">Choices, Values, and Frames. </w:t>
      </w:r>
      <w:r w:rsidRPr="009643D1">
        <w:rPr>
          <w:rFonts w:asciiTheme="minorHAnsi" w:hAnsiTheme="minorHAnsi"/>
          <w:szCs w:val="28"/>
        </w:rPr>
        <w:t>[online]. [cit. 2019-04-16] Dostupné z: http://web.missouri.edu/~segerti/capstone/choicesvalues.pdf</w:t>
      </w:r>
    </w:p>
    <w:p w14:paraId="139ED498" w14:textId="77777777" w:rsidR="00080AEB" w:rsidRPr="009643D1" w:rsidRDefault="00080AEB" w:rsidP="009643D1">
      <w:pPr>
        <w:pStyle w:val="Odstavecseseznamem"/>
        <w:numPr>
          <w:ilvl w:val="0"/>
          <w:numId w:val="26"/>
        </w:numPr>
        <w:spacing w:after="160" w:line="360" w:lineRule="auto"/>
        <w:jc w:val="both"/>
        <w:rPr>
          <w:rStyle w:val="Hypertextovodkaz"/>
          <w:rFonts w:asciiTheme="minorHAnsi" w:hAnsiTheme="minorHAnsi"/>
        </w:rPr>
      </w:pPr>
      <w:r w:rsidRPr="009643D1">
        <w:rPr>
          <w:rFonts w:asciiTheme="minorHAnsi" w:hAnsiTheme="minorHAnsi"/>
          <w:szCs w:val="28"/>
        </w:rPr>
        <w:t xml:space="preserve">KRIPPENDORFF, K. 1989. </w:t>
      </w:r>
      <w:r w:rsidRPr="009643D1">
        <w:rPr>
          <w:rFonts w:asciiTheme="minorHAnsi" w:hAnsiTheme="minorHAnsi"/>
          <w:i/>
          <w:szCs w:val="28"/>
        </w:rPr>
        <w:t>Content analysis</w:t>
      </w:r>
      <w:r w:rsidRPr="009643D1">
        <w:rPr>
          <w:rFonts w:asciiTheme="minorHAnsi" w:hAnsiTheme="minorHAnsi"/>
          <w:szCs w:val="28"/>
        </w:rPr>
        <w:t xml:space="preserve">. In E. Barnouw, G. Gerbner, W. Schramm, T. L. Worth, &amp; L. Gross (Eds.), </w:t>
      </w:r>
      <w:r w:rsidRPr="009643D1">
        <w:rPr>
          <w:rStyle w:val="Zdraznn"/>
          <w:rFonts w:asciiTheme="minorHAnsi" w:hAnsiTheme="minorHAnsi"/>
          <w:szCs w:val="28"/>
          <w:bdr w:val="none" w:sz="0" w:space="0" w:color="auto" w:frame="1"/>
        </w:rPr>
        <w:t>International encyclopedia of communication.</w:t>
      </w:r>
      <w:r w:rsidRPr="009643D1">
        <w:rPr>
          <w:rFonts w:asciiTheme="minorHAnsi" w:hAnsiTheme="minorHAnsi"/>
          <w:szCs w:val="28"/>
        </w:rPr>
        <w:t xml:space="preserve"> Vol. 1, pp. 403-407. New York, NY: Oxford University Press. [online]. [cit. 2019-05-07].  Dostupné z: </w:t>
      </w:r>
      <w:hyperlink r:id="rId30" w:history="1">
        <w:r w:rsidRPr="009643D1">
          <w:rPr>
            <w:rStyle w:val="Hypertextovodkaz"/>
            <w:rFonts w:asciiTheme="minorHAnsi" w:hAnsiTheme="minorHAnsi"/>
          </w:rPr>
          <w:t>http://repository.upenn.edu/asc_papers/226</w:t>
        </w:r>
      </w:hyperlink>
    </w:p>
    <w:p w14:paraId="4F4E8630" w14:textId="77777777" w:rsidR="00080AEB" w:rsidRPr="009643D1" w:rsidRDefault="00080AEB" w:rsidP="009643D1">
      <w:pPr>
        <w:pStyle w:val="Odstavecseseznamem"/>
        <w:numPr>
          <w:ilvl w:val="0"/>
          <w:numId w:val="26"/>
        </w:numPr>
        <w:shd w:val="clear" w:color="auto" w:fill="FFFFFF"/>
        <w:spacing w:line="360" w:lineRule="auto"/>
        <w:jc w:val="both"/>
        <w:rPr>
          <w:rFonts w:asciiTheme="minorHAnsi" w:hAnsiTheme="minorHAnsi"/>
          <w:szCs w:val="28"/>
        </w:rPr>
      </w:pPr>
      <w:r w:rsidRPr="009643D1">
        <w:rPr>
          <w:rFonts w:asciiTheme="minorHAnsi" w:hAnsiTheme="minorHAnsi"/>
          <w:szCs w:val="28"/>
        </w:rPr>
        <w:t xml:space="preserve">SHULMAN, Hillary C. 2018. </w:t>
      </w:r>
      <w:r w:rsidRPr="009643D1">
        <w:rPr>
          <w:rFonts w:asciiTheme="minorHAnsi" w:hAnsiTheme="minorHAnsi"/>
          <w:i/>
          <w:szCs w:val="28"/>
        </w:rPr>
        <w:t>Advancing Framing Theory: Designing an Equivalency Frame to Improve Political Information Processing</w:t>
      </w:r>
      <w:r w:rsidRPr="009643D1">
        <w:rPr>
          <w:rFonts w:asciiTheme="minorHAnsi" w:hAnsiTheme="minorHAnsi"/>
          <w:szCs w:val="28"/>
        </w:rPr>
        <w:t xml:space="preserve"> [online]. [cit. 2019-05-07]. DOI: 10.1093/hcr/hqx006. ISSN 0360-3989. Dostupné z: </w:t>
      </w:r>
      <w:hyperlink r:id="rId31" w:history="1">
        <w:r w:rsidRPr="009643D1">
          <w:rPr>
            <w:rStyle w:val="Hypertextovodkaz"/>
            <w:rFonts w:asciiTheme="minorHAnsi" w:hAnsiTheme="minorHAnsi"/>
          </w:rPr>
          <w:t>https://academic.oup.com/hcr/article/44/2/155/4841749</w:t>
        </w:r>
      </w:hyperlink>
    </w:p>
    <w:p w14:paraId="127EB768" w14:textId="77777777" w:rsidR="00080AEB" w:rsidRPr="009643D1" w:rsidRDefault="00080AEB" w:rsidP="009643D1">
      <w:pPr>
        <w:pStyle w:val="Odstavecseseznamem"/>
        <w:numPr>
          <w:ilvl w:val="0"/>
          <w:numId w:val="26"/>
        </w:numPr>
        <w:shd w:val="clear" w:color="auto" w:fill="FFFFFF"/>
        <w:spacing w:before="30" w:line="360" w:lineRule="auto"/>
        <w:jc w:val="both"/>
        <w:rPr>
          <w:rFonts w:asciiTheme="minorHAnsi" w:hAnsiTheme="minorHAnsi"/>
          <w:szCs w:val="28"/>
        </w:rPr>
      </w:pPr>
      <w:r w:rsidRPr="009643D1">
        <w:rPr>
          <w:rFonts w:asciiTheme="minorHAnsi" w:hAnsiTheme="minorHAnsi"/>
          <w:szCs w:val="28"/>
        </w:rPr>
        <w:t>SCHEUFELE, Dietram A. a David TEWKSBURY, </w:t>
      </w:r>
      <w:r w:rsidRPr="009643D1">
        <w:rPr>
          <w:rFonts w:asciiTheme="minorHAnsi" w:hAnsiTheme="minorHAnsi"/>
          <w:i/>
          <w:iCs/>
          <w:szCs w:val="28"/>
        </w:rPr>
        <w:t>Framing, Agenda Setting, and Priming: The Evolution of Three Media Effects Models</w:t>
      </w:r>
      <w:r w:rsidRPr="009643D1">
        <w:rPr>
          <w:rFonts w:asciiTheme="minorHAnsi" w:hAnsiTheme="minorHAnsi"/>
          <w:szCs w:val="28"/>
        </w:rPr>
        <w:t> [online]. 9-20 [cit. 2019-04-16]. DOI: 10.1111/j.0021-9916.2007.00326.x. Dostupné z: https://academic.oup.com/joc/article/57/1/9-20/4102624</w:t>
      </w:r>
    </w:p>
    <w:p w14:paraId="224ECDB3" w14:textId="77777777" w:rsidR="00080AEB" w:rsidRPr="009643D1" w:rsidRDefault="00080AEB" w:rsidP="009643D1">
      <w:pPr>
        <w:pStyle w:val="Odstavecseseznamem"/>
        <w:numPr>
          <w:ilvl w:val="0"/>
          <w:numId w:val="26"/>
        </w:numPr>
        <w:spacing w:after="160" w:line="360" w:lineRule="auto"/>
        <w:jc w:val="both"/>
        <w:rPr>
          <w:rFonts w:asciiTheme="minorHAnsi" w:hAnsiTheme="minorHAnsi"/>
          <w:szCs w:val="28"/>
        </w:rPr>
      </w:pPr>
      <w:r w:rsidRPr="009643D1">
        <w:rPr>
          <w:rFonts w:asciiTheme="minorHAnsi" w:hAnsiTheme="minorHAnsi"/>
          <w:szCs w:val="28"/>
        </w:rPr>
        <w:t xml:space="preserve">TĚSNOPISECKÁ ZPRÁVA o 5. schůzi Poslanecké sněmovny Parlamentu konané ve dnech 10. až 16. ledna 2018. </w:t>
      </w:r>
      <w:r w:rsidRPr="009643D1">
        <w:rPr>
          <w:rFonts w:asciiTheme="minorHAnsi" w:hAnsiTheme="minorHAnsi"/>
          <w:i/>
          <w:szCs w:val="28"/>
        </w:rPr>
        <w:t>Žádost vlády České republiky o vyslovení důvěry</w:t>
      </w:r>
      <w:r w:rsidRPr="009643D1">
        <w:rPr>
          <w:rFonts w:asciiTheme="minorHAnsi" w:hAnsiTheme="minorHAnsi"/>
          <w:szCs w:val="28"/>
        </w:rPr>
        <w:t xml:space="preserve">. 2018. Praha: Poslanecká sněmovna Parlamentu České republiky </w:t>
      </w:r>
      <w:r w:rsidRPr="009643D1">
        <w:rPr>
          <w:rFonts w:asciiTheme="minorHAnsi" w:hAnsiTheme="minorHAnsi"/>
          <w:szCs w:val="28"/>
          <w:shd w:val="clear" w:color="auto" w:fill="FFFFFF"/>
        </w:rPr>
        <w:t xml:space="preserve">[cit. 2019-05-07]. Dostupné z: </w:t>
      </w:r>
      <w:r w:rsidRPr="009643D1">
        <w:rPr>
          <w:rFonts w:asciiTheme="minorHAnsi" w:hAnsiTheme="minorHAnsi"/>
          <w:szCs w:val="28"/>
        </w:rPr>
        <w:t xml:space="preserve"> </w:t>
      </w:r>
      <w:hyperlink r:id="rId32" w:history="1">
        <w:r w:rsidRPr="009643D1">
          <w:rPr>
            <w:rStyle w:val="Hypertextovodkaz"/>
            <w:rFonts w:asciiTheme="minorHAnsi" w:hAnsiTheme="minorHAnsi"/>
          </w:rPr>
          <w:t>http://www.psp.cz/eknih/2017ps/tesnopis/tz005.pdf</w:t>
        </w:r>
      </w:hyperlink>
    </w:p>
    <w:p w14:paraId="4436195A" w14:textId="77777777" w:rsidR="00080AEB" w:rsidRPr="009643D1" w:rsidRDefault="00080AEB" w:rsidP="009643D1">
      <w:pPr>
        <w:pStyle w:val="Odstavecseseznamem"/>
        <w:numPr>
          <w:ilvl w:val="0"/>
          <w:numId w:val="26"/>
        </w:numPr>
        <w:shd w:val="clear" w:color="auto" w:fill="FFFFFF"/>
        <w:spacing w:line="360" w:lineRule="auto"/>
        <w:jc w:val="both"/>
        <w:rPr>
          <w:rFonts w:asciiTheme="minorHAnsi" w:hAnsiTheme="minorHAnsi"/>
          <w:szCs w:val="28"/>
        </w:rPr>
      </w:pPr>
      <w:r w:rsidRPr="009643D1">
        <w:rPr>
          <w:rFonts w:asciiTheme="minorHAnsi" w:hAnsiTheme="minorHAnsi"/>
          <w:szCs w:val="28"/>
        </w:rPr>
        <w:t xml:space="preserve">Ústava České republiky. 2013. [online]. </w:t>
      </w:r>
      <w:r w:rsidRPr="009643D1">
        <w:rPr>
          <w:rFonts w:asciiTheme="minorHAnsi" w:hAnsiTheme="minorHAnsi"/>
          <w:i/>
          <w:iCs/>
          <w:szCs w:val="28"/>
        </w:rPr>
        <w:t>Poslanecká sněmovna Parlamentu České republiky</w:t>
      </w:r>
      <w:r w:rsidRPr="009643D1">
        <w:rPr>
          <w:rFonts w:asciiTheme="minorHAnsi" w:hAnsiTheme="minorHAnsi"/>
          <w:szCs w:val="28"/>
        </w:rPr>
        <w:t>. [cit. 2019-07-05].</w:t>
      </w:r>
      <w:r w:rsidRPr="009643D1">
        <w:rPr>
          <w:rFonts w:asciiTheme="minorHAnsi" w:hAnsiTheme="minorHAnsi"/>
          <w:szCs w:val="28"/>
          <w:shd w:val="clear" w:color="auto" w:fill="FFFFFF"/>
        </w:rPr>
        <w:t> </w:t>
      </w:r>
      <w:r w:rsidRPr="009643D1">
        <w:rPr>
          <w:rFonts w:asciiTheme="minorHAnsi" w:hAnsiTheme="minorHAnsi"/>
          <w:szCs w:val="28"/>
        </w:rPr>
        <w:t xml:space="preserve">Dostupné z: https://www.psp.cz/docs/laws/constitution.html </w:t>
      </w:r>
    </w:p>
    <w:p w14:paraId="6A777CEA" w14:textId="77777777" w:rsidR="00080AEB" w:rsidRPr="009643D1" w:rsidRDefault="00080AEB" w:rsidP="009643D1">
      <w:pPr>
        <w:pStyle w:val="Odstavecseseznamem"/>
        <w:numPr>
          <w:ilvl w:val="0"/>
          <w:numId w:val="26"/>
        </w:numPr>
        <w:shd w:val="clear" w:color="auto" w:fill="FFFFFF"/>
        <w:spacing w:line="360" w:lineRule="auto"/>
        <w:jc w:val="both"/>
        <w:rPr>
          <w:rFonts w:asciiTheme="minorHAnsi" w:hAnsiTheme="minorHAnsi"/>
          <w:szCs w:val="28"/>
        </w:rPr>
      </w:pPr>
      <w:r w:rsidRPr="009643D1">
        <w:rPr>
          <w:rFonts w:asciiTheme="minorHAnsi" w:hAnsiTheme="minorHAnsi"/>
          <w:szCs w:val="28"/>
        </w:rPr>
        <w:t xml:space="preserve">VAN HULST, Merlijn, YANOW, Dvora. </w:t>
      </w:r>
      <w:r w:rsidRPr="009643D1">
        <w:rPr>
          <w:rFonts w:asciiTheme="minorHAnsi" w:hAnsiTheme="minorHAnsi"/>
          <w:i/>
          <w:iCs/>
          <w:szCs w:val="28"/>
        </w:rPr>
        <w:t>From Policy “Frames” to “Framing”</w:t>
      </w:r>
      <w:r w:rsidRPr="009643D1">
        <w:rPr>
          <w:rFonts w:asciiTheme="minorHAnsi" w:hAnsiTheme="minorHAnsi"/>
          <w:szCs w:val="28"/>
        </w:rPr>
        <w:t xml:space="preserve"> [online]. 92-112 [cit. 2019-04-16]. DOI: 10.1177/0275074014533142. ISSN 0275-0740. Dostupné z: </w:t>
      </w:r>
      <w:hyperlink r:id="rId33" w:history="1">
        <w:r w:rsidRPr="009643D1">
          <w:rPr>
            <w:rStyle w:val="Hypertextovodkaz"/>
            <w:rFonts w:asciiTheme="minorHAnsi" w:hAnsiTheme="minorHAnsi"/>
          </w:rPr>
          <w:t>http://journals.sagepub.com/doi/10.1177/0275074014533142</w:t>
        </w:r>
      </w:hyperlink>
    </w:p>
    <w:p w14:paraId="05001A71" w14:textId="77777777" w:rsidR="00080AEB" w:rsidRPr="009643D1" w:rsidRDefault="00080AEB" w:rsidP="009643D1">
      <w:pPr>
        <w:pStyle w:val="Odstavecseseznamem"/>
        <w:numPr>
          <w:ilvl w:val="0"/>
          <w:numId w:val="26"/>
        </w:numPr>
        <w:spacing w:after="160" w:line="360" w:lineRule="auto"/>
        <w:jc w:val="both"/>
        <w:rPr>
          <w:rFonts w:asciiTheme="minorHAnsi" w:hAnsiTheme="minorHAnsi"/>
          <w:szCs w:val="28"/>
        </w:rPr>
      </w:pPr>
      <w:r w:rsidRPr="009643D1">
        <w:rPr>
          <w:rFonts w:asciiTheme="minorHAnsi" w:hAnsiTheme="minorHAnsi"/>
          <w:i/>
          <w:szCs w:val="28"/>
        </w:rPr>
        <w:t>Volby do Poslanecké sněmovny Parlamentu České republiky konané ve dnech 20.10. – 21.10.2017</w:t>
      </w:r>
      <w:r w:rsidRPr="009643D1">
        <w:rPr>
          <w:rFonts w:asciiTheme="minorHAnsi" w:hAnsiTheme="minorHAnsi"/>
          <w:szCs w:val="28"/>
        </w:rPr>
        <w:t>. Celkové výsledky hlasování. [online]. Český statistický úřad [cit. 2019-07-05].</w:t>
      </w:r>
      <w:r w:rsidRPr="009643D1">
        <w:rPr>
          <w:rFonts w:asciiTheme="minorHAnsi" w:hAnsiTheme="minorHAnsi"/>
          <w:szCs w:val="28"/>
          <w:shd w:val="clear" w:color="auto" w:fill="FFFFFF"/>
        </w:rPr>
        <w:t> </w:t>
      </w:r>
      <w:hyperlink r:id="rId34" w:history="1">
        <w:r w:rsidRPr="009643D1">
          <w:rPr>
            <w:rStyle w:val="Hypertextovodkaz"/>
            <w:rFonts w:asciiTheme="minorHAnsi" w:hAnsiTheme="minorHAnsi"/>
          </w:rPr>
          <w:t>Dostupné z:</w:t>
        </w:r>
      </w:hyperlink>
      <w:r w:rsidRPr="009643D1">
        <w:rPr>
          <w:rFonts w:asciiTheme="minorHAnsi" w:hAnsiTheme="minorHAnsi"/>
          <w:szCs w:val="28"/>
        </w:rPr>
        <w:t xml:space="preserve"> </w:t>
      </w:r>
      <w:hyperlink r:id="rId35" w:history="1">
        <w:r w:rsidRPr="009643D1">
          <w:rPr>
            <w:rStyle w:val="Hypertextovodkaz"/>
            <w:rFonts w:asciiTheme="minorHAnsi" w:hAnsiTheme="minorHAnsi"/>
          </w:rPr>
          <w:t>https://www.volby.cz/pls/ps2017/ps2?xjazyk=CZ</w:t>
        </w:r>
      </w:hyperlink>
    </w:p>
    <w:p w14:paraId="70031712" w14:textId="77777777" w:rsidR="00080AEB" w:rsidRPr="009643D1" w:rsidRDefault="00080AEB" w:rsidP="009643D1">
      <w:pPr>
        <w:pStyle w:val="Odstavecseseznamem"/>
        <w:spacing w:line="360" w:lineRule="auto"/>
        <w:jc w:val="both"/>
        <w:rPr>
          <w:rFonts w:asciiTheme="minorHAnsi" w:hAnsiTheme="minorHAnsi"/>
          <w:szCs w:val="28"/>
        </w:rPr>
      </w:pPr>
    </w:p>
    <w:p w14:paraId="41990C51" w14:textId="77777777" w:rsidR="00080AEB" w:rsidRPr="009643D1" w:rsidRDefault="00080AEB" w:rsidP="009643D1">
      <w:pPr>
        <w:spacing w:line="360" w:lineRule="auto"/>
        <w:jc w:val="both"/>
        <w:rPr>
          <w:rFonts w:asciiTheme="minorHAnsi" w:hAnsiTheme="minorHAnsi"/>
        </w:rPr>
      </w:pPr>
    </w:p>
    <w:p w14:paraId="277A6627" w14:textId="77777777" w:rsidR="00080AEB" w:rsidRPr="009643D1" w:rsidRDefault="00080AEB" w:rsidP="009643D1">
      <w:pPr>
        <w:spacing w:line="360" w:lineRule="auto"/>
        <w:rPr>
          <w:rFonts w:asciiTheme="minorHAnsi" w:hAnsiTheme="minorHAnsi"/>
        </w:rPr>
      </w:pPr>
    </w:p>
    <w:p w14:paraId="6560663E" w14:textId="2F7B0283" w:rsidR="005C665F" w:rsidRPr="00FB7AC5" w:rsidRDefault="00522017" w:rsidP="00080AEB">
      <w:pPr>
        <w:pStyle w:val="ZPLiteratura"/>
        <w:numPr>
          <w:ilvl w:val="0"/>
          <w:numId w:val="0"/>
        </w:numPr>
        <w:ind w:left="720" w:hanging="360"/>
        <w:sectPr w:rsidR="005C665F" w:rsidRPr="00FB7AC5" w:rsidSect="0052762D">
          <w:headerReference w:type="even" r:id="rId36"/>
          <w:headerReference w:type="default" r:id="rId37"/>
          <w:type w:val="oddPage"/>
          <w:pgSz w:w="11906" w:h="16838" w:code="9"/>
          <w:pgMar w:top="2614" w:right="2019" w:bottom="2381" w:left="505" w:header="2019" w:footer="1276" w:gutter="2019"/>
          <w:cols w:space="708"/>
          <w:docGrid w:linePitch="360"/>
        </w:sectPr>
      </w:pPr>
      <w:r>
        <w:fldChar w:fldCharType="end"/>
      </w:r>
    </w:p>
    <w:p w14:paraId="1D9DBBDE" w14:textId="3D3CACE2" w:rsidR="007C0619" w:rsidRDefault="007C0619" w:rsidP="00080AEB">
      <w:pPr>
        <w:pStyle w:val="Nadpis10"/>
        <w:rPr>
          <w:b w:val="0"/>
          <w:bCs w:val="0"/>
        </w:rPr>
      </w:pPr>
    </w:p>
    <w:sectPr w:rsidR="007C0619" w:rsidSect="0052762D">
      <w:headerReference w:type="default" r:id="rId38"/>
      <w:type w:val="oddPage"/>
      <w:pgSz w:w="11906" w:h="16838" w:code="9"/>
      <w:pgMar w:top="2614" w:right="2019" w:bottom="2381" w:left="505" w:header="2019" w:footer="1276" w:gutter="20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CEB4F" w14:textId="77777777" w:rsidR="00385F02" w:rsidRDefault="00385F02">
      <w:r>
        <w:separator/>
      </w:r>
    </w:p>
    <w:p w14:paraId="4FFC16CE" w14:textId="77777777" w:rsidR="00385F02" w:rsidRDefault="00385F02"/>
    <w:p w14:paraId="1503C643" w14:textId="77777777" w:rsidR="00385F02" w:rsidRDefault="00385F02"/>
    <w:p w14:paraId="4CD9C19F" w14:textId="77777777" w:rsidR="00385F02" w:rsidRDefault="00385F02"/>
    <w:p w14:paraId="58E5BCF6" w14:textId="77777777" w:rsidR="00385F02" w:rsidRDefault="00385F02"/>
    <w:p w14:paraId="008F1F29" w14:textId="77777777" w:rsidR="00385F02" w:rsidRDefault="00385F02"/>
  </w:endnote>
  <w:endnote w:type="continuationSeparator" w:id="0">
    <w:p w14:paraId="759F7BB4" w14:textId="77777777" w:rsidR="00385F02" w:rsidRDefault="00385F02">
      <w:r>
        <w:continuationSeparator/>
      </w:r>
    </w:p>
    <w:p w14:paraId="02599AC6" w14:textId="77777777" w:rsidR="00385F02" w:rsidRDefault="00385F02"/>
    <w:p w14:paraId="429348DD" w14:textId="77777777" w:rsidR="00385F02" w:rsidRDefault="00385F02"/>
    <w:p w14:paraId="275F2333" w14:textId="77777777" w:rsidR="00385F02" w:rsidRDefault="00385F02"/>
    <w:p w14:paraId="07D62F00" w14:textId="77777777" w:rsidR="00385F02" w:rsidRDefault="00385F02"/>
    <w:p w14:paraId="3ED5D3D0" w14:textId="77777777" w:rsidR="00385F02" w:rsidRDefault="00385F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E00006FF" w:usb1="400004FF"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C2DFC" w14:textId="2AE9D719" w:rsidR="00385F02" w:rsidRDefault="00385F02" w:rsidP="0095124B">
    <w:pPr>
      <w:pStyle w:val="ZPZaptsud"/>
    </w:pPr>
    <w:r>
      <w:fldChar w:fldCharType="begin"/>
    </w:r>
    <w:r>
      <w:instrText xml:space="preserve"> PAGE  \* Arabic  \* MERGEFORMAT </w:instrText>
    </w:r>
    <w:r>
      <w:fldChar w:fldCharType="separate"/>
    </w:r>
    <w:r w:rsidR="000C2FD4">
      <w:rPr>
        <w:noProof/>
      </w:rPr>
      <w:t>14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625A7" w14:textId="7D2927D8" w:rsidR="00385F02" w:rsidRDefault="00385F02" w:rsidP="0095124B">
    <w:pPr>
      <w:pStyle w:val="ZPZapatlich"/>
    </w:pPr>
    <w:r>
      <w:fldChar w:fldCharType="begin"/>
    </w:r>
    <w:r>
      <w:instrText>PAGE   \* MERGEFORMAT</w:instrText>
    </w:r>
    <w:r>
      <w:fldChar w:fldCharType="separate"/>
    </w:r>
    <w:r w:rsidR="000C2FD4">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5E3CA" w14:textId="77777777" w:rsidR="00385F02" w:rsidRPr="00920AB6" w:rsidRDefault="00385F02" w:rsidP="00920AB6">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DB36D" w14:textId="77777777" w:rsidR="00385F02" w:rsidRPr="0089154B" w:rsidRDefault="00385F02" w:rsidP="00F02FCC">
    <w:pPr>
      <w:pStyle w:val="Zpat"/>
      <w:rPr>
        <w:color w:val="BFBFBF" w:themeColor="background1" w:themeShade="BF"/>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CE252" w14:textId="77777777" w:rsidR="00385F02" w:rsidRPr="0089154B" w:rsidRDefault="00385F02" w:rsidP="00920AB6">
    <w:pPr>
      <w:pStyle w:val="Zpat"/>
      <w:rPr>
        <w:color w:val="BFBFBF" w:themeColor="background1" w:themeShade="BF"/>
        <w:sz w:val="16"/>
        <w:szCs w:val="16"/>
      </w:rPr>
    </w:pPr>
    <w:r w:rsidRPr="0089154B">
      <w:rPr>
        <w:color w:val="BFBFBF" w:themeColor="background1" w:themeShade="BF"/>
        <w:sz w:val="16"/>
        <w:szCs w:val="16"/>
      </w:rPr>
      <w:t>Š</w:t>
    </w:r>
    <w:r>
      <w:rPr>
        <w:color w:val="BFBFBF" w:themeColor="background1" w:themeShade="BF"/>
        <w:sz w:val="16"/>
        <w:szCs w:val="16"/>
      </w:rPr>
      <w:t>ablona DP 2.0.1 (9</w:t>
    </w:r>
    <w:r w:rsidRPr="0089154B">
      <w:rPr>
        <w:color w:val="BFBFBF" w:themeColor="background1" w:themeShade="BF"/>
        <w:sz w:val="16"/>
        <w:szCs w:val="16"/>
      </w:rPr>
      <w:t xml:space="preserve">. </w:t>
    </w:r>
    <w:r>
      <w:rPr>
        <w:color w:val="BFBFBF" w:themeColor="background1" w:themeShade="BF"/>
        <w:sz w:val="16"/>
        <w:szCs w:val="16"/>
      </w:rPr>
      <w:t>ledna 2018</w:t>
    </w:r>
    <w:r w:rsidRPr="0089154B">
      <w:rPr>
        <w:color w:val="BFBFBF" w:themeColor="background1" w:themeShade="BF"/>
        <w:sz w:val="16"/>
        <w:szCs w:val="16"/>
      </w:rPr>
      <w:t>) © 2014, 2016</w:t>
    </w:r>
    <w:r>
      <w:rPr>
        <w:color w:val="BFBFBF" w:themeColor="background1" w:themeShade="BF"/>
        <w:sz w:val="16"/>
        <w:szCs w:val="16"/>
      </w:rPr>
      <w:t>, 2018</w:t>
    </w:r>
    <w:r w:rsidRPr="0089154B">
      <w:rPr>
        <w:color w:val="BFBFBF" w:themeColor="background1" w:themeShade="BF"/>
        <w:sz w:val="16"/>
        <w:szCs w:val="16"/>
      </w:rPr>
      <w:t xml:space="preserve"> Právnická fakulta Masarykovy univerzity</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73185" w14:textId="60E391AC" w:rsidR="00385F02" w:rsidRDefault="00385F02" w:rsidP="0095124B">
    <w:pPr>
      <w:pStyle w:val="ZPZapatlich"/>
    </w:pPr>
    <w:r>
      <w:fldChar w:fldCharType="begin"/>
    </w:r>
    <w:r>
      <w:instrText xml:space="preserve"> PAGE  \* Arabic  \* MERGEFORMAT </w:instrText>
    </w:r>
    <w:r>
      <w:fldChar w:fldCharType="separate"/>
    </w:r>
    <w:r w:rsidR="000C2FD4">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46F65" w14:textId="77777777" w:rsidR="00385F02" w:rsidRDefault="00385F02">
      <w:r>
        <w:separator/>
      </w:r>
    </w:p>
  </w:footnote>
  <w:footnote w:type="continuationSeparator" w:id="0">
    <w:p w14:paraId="1D847B3C" w14:textId="77777777" w:rsidR="00385F02" w:rsidRDefault="00385F02">
      <w:r>
        <w:continuationSeparator/>
      </w:r>
    </w:p>
  </w:footnote>
  <w:footnote w:type="continuationNotice" w:id="1">
    <w:p w14:paraId="6BDE45EB" w14:textId="77777777" w:rsidR="00385F02" w:rsidRDefault="00385F02"/>
  </w:footnote>
  <w:footnote w:id="2">
    <w:p w14:paraId="2A83D7B4" w14:textId="77777777" w:rsidR="00385F02" w:rsidRPr="001E64CE" w:rsidRDefault="00385F02" w:rsidP="00563E66">
      <w:pPr>
        <w:pStyle w:val="Textpoznpodarou"/>
        <w:spacing w:line="240" w:lineRule="auto"/>
        <w:jc w:val="both"/>
        <w:rPr>
          <w:rFonts w:asciiTheme="minorHAnsi" w:hAnsiTheme="minorHAnsi"/>
          <w:sz w:val="22"/>
        </w:rPr>
      </w:pPr>
      <w:r w:rsidRPr="001E64CE">
        <w:rPr>
          <w:rStyle w:val="Znakapoznpodarou"/>
          <w:rFonts w:asciiTheme="minorHAnsi" w:hAnsiTheme="minorHAnsi"/>
          <w:sz w:val="22"/>
        </w:rPr>
        <w:footnoteRef/>
      </w:r>
      <w:r w:rsidRPr="001E64CE">
        <w:rPr>
          <w:rFonts w:asciiTheme="minorHAnsi" w:hAnsiTheme="minorHAnsi"/>
          <w:sz w:val="22"/>
        </w:rPr>
        <w:t xml:space="preserve"> Zahrnujeme zde také politická hnutí, ačkoliv se tak nutně neprofilují.</w:t>
      </w:r>
    </w:p>
  </w:footnote>
  <w:footnote w:id="3">
    <w:p w14:paraId="1EF6DC19" w14:textId="77777777" w:rsidR="00385F02" w:rsidRPr="00563E66" w:rsidRDefault="00385F02" w:rsidP="00563E66">
      <w:pPr>
        <w:pStyle w:val="Textpoznpodarou"/>
        <w:spacing w:line="240" w:lineRule="auto"/>
        <w:jc w:val="both"/>
        <w:rPr>
          <w:rFonts w:ascii="Times New Roman" w:hAnsi="Times New Roman"/>
        </w:rPr>
      </w:pPr>
      <w:r w:rsidRPr="001E64CE">
        <w:rPr>
          <w:rStyle w:val="Znakapoznpodarou"/>
          <w:rFonts w:asciiTheme="minorHAnsi" w:hAnsiTheme="minorHAnsi"/>
          <w:sz w:val="22"/>
        </w:rPr>
        <w:footnoteRef/>
      </w:r>
      <w:r w:rsidRPr="001E64CE">
        <w:rPr>
          <w:rFonts w:asciiTheme="minorHAnsi" w:hAnsiTheme="minorHAnsi"/>
          <w:sz w:val="22"/>
        </w:rPr>
        <w:t xml:space="preserve"> Příkladem je například sovětský režim, kde existovaly případy opozice nelegaliz vané, či v československém kontextu opoziční skupina Charta 77, jež naopak nebyla opozicí uznanou (</w:t>
      </w:r>
      <w:r w:rsidRPr="001E64CE">
        <w:rPr>
          <w:rStyle w:val="spellingerror"/>
          <w:rFonts w:asciiTheme="minorHAnsi" w:hAnsiTheme="minorHAnsi"/>
          <w:sz w:val="22"/>
        </w:rPr>
        <w:t>Novák 1995: 307</w:t>
      </w:r>
      <w:r w:rsidRPr="001E64CE">
        <w:rPr>
          <w:rFonts w:asciiTheme="minorHAnsi" w:hAnsiTheme="minorHAnsi"/>
          <w:sz w:val="22"/>
        </w:rPr>
        <w:t>).</w:t>
      </w:r>
    </w:p>
  </w:footnote>
  <w:footnote w:id="4">
    <w:p w14:paraId="7F667E66" w14:textId="77777777" w:rsidR="00385F02" w:rsidRPr="001E64CE" w:rsidRDefault="00385F02" w:rsidP="00563E66">
      <w:pPr>
        <w:pStyle w:val="Textpoznpodarou"/>
        <w:spacing w:line="240" w:lineRule="auto"/>
        <w:jc w:val="both"/>
        <w:rPr>
          <w:rFonts w:asciiTheme="minorHAnsi" w:hAnsiTheme="minorHAnsi"/>
        </w:rPr>
      </w:pPr>
      <w:r w:rsidRPr="001E64CE">
        <w:rPr>
          <w:rStyle w:val="Znakapoznpodarou"/>
          <w:rFonts w:asciiTheme="minorHAnsi" w:hAnsiTheme="minorHAnsi"/>
          <w:sz w:val="22"/>
        </w:rPr>
        <w:footnoteRef/>
      </w:r>
      <w:r w:rsidRPr="001E64CE">
        <w:rPr>
          <w:rFonts w:asciiTheme="minorHAnsi" w:hAnsiTheme="minorHAnsi"/>
          <w:sz w:val="22"/>
        </w:rPr>
        <w:t xml:space="preserve"> Typickým příkladem je britský bipartismus, v němž existuje funkce nazvaná „the Leader of the Opposition“, který je šéfem nejsilnější parlamentní opoziční strany, zákonem přiznaný vůdce opozice, který za tuto činnost pobírá plat z prostředků státního rozpočtu (Kubát 2010: 52).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11534" w14:textId="77777777" w:rsidR="00385F02" w:rsidRDefault="00385F02" w:rsidP="00013C69">
    <w:pPr>
      <w:pStyle w:val="ZPZhlavvlevo"/>
    </w:pPr>
    <w:sdt>
      <w:sdtPr>
        <w:alias w:val="Název"/>
        <w:tag w:val=""/>
        <w:id w:val="-1020700601"/>
        <w:placeholder>
          <w:docPart w:val="B4A4244278E645C88F745E1DFA0CE9D4"/>
        </w:placeholder>
        <w:dataBinding w:prefixMappings="xmlns:ns0='http://purl.org/dc/elements/1.1/' xmlns:ns1='http://schemas.openxmlformats.org/package/2006/metadata/core-properties' " w:xpath="/ns1:coreProperties[1]/ns0:title[1]" w:storeItemID="{6C3C8BC8-F283-45AE-878A-BAB7291924A1}"/>
        <w:text/>
      </w:sdtPr>
      <w:sdtContent>
        <w:r>
          <w:t>Rámování kritiky vlád Andreje Babiše vybranými opozičními stranami</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54F2B" w14:textId="77777777" w:rsidR="00385F02" w:rsidRPr="00CE1A04" w:rsidRDefault="00385F02" w:rsidP="00CE1A0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E43D7" w14:textId="77777777" w:rsidR="00385F02" w:rsidRPr="00825B26" w:rsidRDefault="00385F02" w:rsidP="00825B26">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44EAC" w14:textId="77777777" w:rsidR="00385F02" w:rsidRDefault="00385F02" w:rsidP="00685DD9">
    <w:pPr>
      <w:pStyle w:val="ZPZhlavvpravo"/>
    </w:pPr>
    <w:sdt>
      <w:sdtPr>
        <w:alias w:val="Název"/>
        <w:tag w:val=""/>
        <w:id w:val="1744531052"/>
        <w:placeholder>
          <w:docPart w:val="ED641D3B5D5548EF899192DE4850EBFD"/>
        </w:placeholder>
        <w:dataBinding w:prefixMappings="xmlns:ns0='http://purl.org/dc/elements/1.1/' xmlns:ns1='http://schemas.openxmlformats.org/package/2006/metadata/core-properties' " w:xpath="/ns1:coreProperties[1]/ns0:title[1]" w:storeItemID="{6C3C8BC8-F283-45AE-878A-BAB7291924A1}"/>
        <w:text/>
      </w:sdtPr>
      <w:sdtContent>
        <w:r>
          <w:t>Rámování kritiky vlád Andreje Babiše vybranými opozičními stranami</w:t>
        </w:r>
      </w:sdtContent>
    </w:sdt>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EAC2C" w14:textId="02F9735F" w:rsidR="00385F02" w:rsidRPr="009951BF" w:rsidRDefault="00385F02" w:rsidP="00C612F9">
    <w:pPr>
      <w:pStyle w:val="ZPZhlavvlevo"/>
    </w:pPr>
    <w:r>
      <w:fldChar w:fldCharType="begin"/>
    </w:r>
    <w:r>
      <w:instrText xml:space="preserve"> PAGE   \* MERGEFORMAT </w:instrText>
    </w:r>
    <w:r>
      <w:fldChar w:fldCharType="separate"/>
    </w:r>
    <w:r w:rsidR="000C2FD4">
      <w:rPr>
        <w:noProof/>
      </w:rPr>
      <w:t>4</w:t>
    </w:r>
    <w:r>
      <w:fldChar w:fldCharType="end"/>
    </w:r>
    <w:r>
      <w:tab/>
      <w:t>Obsah</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B7AE6" w14:textId="39968766" w:rsidR="00385F02" w:rsidRPr="009951BF" w:rsidRDefault="00385F02" w:rsidP="00C612F9">
    <w:pPr>
      <w:pStyle w:val="ZPZhlavvpravo"/>
    </w:pPr>
    <w:r>
      <w:t>Obsah</w:t>
    </w:r>
    <w:r>
      <w:tab/>
    </w:r>
    <w:r>
      <w:fldChar w:fldCharType="begin"/>
    </w:r>
    <w:r>
      <w:instrText xml:space="preserve"> PAGE  \* Arabic  \* MERGEFORMAT </w:instrText>
    </w:r>
    <w:r>
      <w:fldChar w:fldCharType="separate"/>
    </w:r>
    <w:r w:rsidR="000C2FD4">
      <w:rPr>
        <w:noProof/>
      </w:rPr>
      <w:t>5</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C739D" w14:textId="79056A87" w:rsidR="00385F02" w:rsidRPr="009951BF" w:rsidRDefault="00EC6733" w:rsidP="00BD0360">
    <w:pPr>
      <w:pStyle w:val="ZPZhlavvlevo"/>
    </w:pPr>
    <w:r>
      <w:rPr>
        <w:noProof/>
      </w:rPr>
      <w:fldChar w:fldCharType="begin"/>
    </w:r>
    <w:r>
      <w:rPr>
        <w:noProof/>
      </w:rPr>
      <w:instrText xml:space="preserve"> STYLEREF  "Nadpis 1"  \* MERGEFORMAT </w:instrText>
    </w:r>
    <w:r w:rsidR="009643D1">
      <w:rPr>
        <w:noProof/>
      </w:rPr>
      <w:fldChar w:fldCharType="separate"/>
    </w:r>
    <w:r w:rsidR="000C2FD4">
      <w:rPr>
        <w:noProof/>
      </w:rPr>
      <w:t>Politická opozice</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8BFC4" w14:textId="024279B1" w:rsidR="00385F02" w:rsidRPr="009951BF" w:rsidRDefault="00EC6733" w:rsidP="00C612F9">
    <w:pPr>
      <w:pStyle w:val="ZPZhlavvpravo"/>
    </w:pPr>
    <w:r>
      <w:rPr>
        <w:noProof/>
      </w:rPr>
      <w:fldChar w:fldCharType="begin"/>
    </w:r>
    <w:r>
      <w:rPr>
        <w:noProof/>
      </w:rPr>
      <w:instrText xml:space="preserve"> STYLEREF  "Nadpis 1"  \* MERGEFORMAT </w:instrText>
    </w:r>
    <w:r w:rsidR="009643D1">
      <w:rPr>
        <w:noProof/>
      </w:rPr>
      <w:fldChar w:fldCharType="separate"/>
    </w:r>
    <w:r w:rsidR="000C2FD4">
      <w:rPr>
        <w:noProof/>
      </w:rPr>
      <w:t>Politická opozice</w:t>
    </w:r>
    <w:r>
      <w:rPr>
        <w:noProof/>
      </w:rPr>
      <w:fldChar w:fldCharType="end"/>
    </w:r>
    <w:r w:rsidR="00385F02" w:rsidRPr="009951BF">
      <w:t xml:space="preserve">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A1731" w14:textId="04AAB484" w:rsidR="00385F02" w:rsidRPr="009951BF" w:rsidRDefault="00385F02" w:rsidP="00C612F9">
    <w:pPr>
      <w:pStyle w:val="ZPZhlavvpravo"/>
    </w:pPr>
    <w:r>
      <w:rPr>
        <w:noProof/>
      </w:rPr>
      <w:fldChar w:fldCharType="begin"/>
    </w:r>
    <w:r>
      <w:rPr>
        <w:noProof/>
      </w:rPr>
      <w:instrText xml:space="preserve"> STYLEREF  "Nadpis 1*"  \* MERGEFORMAT </w:instrTex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9207D44"/>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C5EC9D8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037A9D64"/>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FF1803D0"/>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0180E6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122E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8C75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0F8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2F4998E"/>
    <w:lvl w:ilvl="0">
      <w:start w:val="1"/>
      <w:numFmt w:val="decimal"/>
      <w:pStyle w:val="slovanseznam"/>
      <w:lvlText w:val="%1."/>
      <w:lvlJc w:val="right"/>
      <w:pPr>
        <w:ind w:left="540" w:hanging="60"/>
      </w:pPr>
      <w:rPr>
        <w:rFonts w:hint="default"/>
      </w:rPr>
    </w:lvl>
  </w:abstractNum>
  <w:abstractNum w:abstractNumId="9" w15:restartNumberingAfterBreak="0">
    <w:nsid w:val="FFFFFF89"/>
    <w:multiLevelType w:val="singleLevel"/>
    <w:tmpl w:val="2F4CF4A0"/>
    <w:lvl w:ilvl="0">
      <w:start w:val="1"/>
      <w:numFmt w:val="bullet"/>
      <w:pStyle w:val="Seznamsodrkami"/>
      <w:lvlText w:val=""/>
      <w:lvlJc w:val="left"/>
      <w:pPr>
        <w:tabs>
          <w:tab w:val="num" w:pos="539"/>
        </w:tabs>
        <w:ind w:left="540" w:hanging="60"/>
      </w:pPr>
      <w:rPr>
        <w:rFonts w:ascii="Symbol" w:hAnsi="Symbol" w:hint="default"/>
      </w:rPr>
    </w:lvl>
  </w:abstractNum>
  <w:abstractNum w:abstractNumId="10" w15:restartNumberingAfterBreak="0">
    <w:nsid w:val="06616E0E"/>
    <w:multiLevelType w:val="multilevel"/>
    <w:tmpl w:val="26CA57A6"/>
    <w:styleLink w:val="slovnkapitol"/>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720" w:hanging="720"/>
      </w:pPr>
      <w:rPr>
        <w:rFonts w:hint="default"/>
      </w:rPr>
    </w:lvl>
    <w:lvl w:ilvl="2">
      <w:start w:val="1"/>
      <w:numFmt w:val="decimal"/>
      <w:pStyle w:val="Nadpis3"/>
      <w:lvlText w:val="%1.%2.%3"/>
      <w:lvlJc w:val="left"/>
      <w:pPr>
        <w:ind w:left="1080" w:hanging="10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66447FB"/>
    <w:multiLevelType w:val="hybridMultilevel"/>
    <w:tmpl w:val="EDB6F4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BD34F65"/>
    <w:multiLevelType w:val="multilevel"/>
    <w:tmpl w:val="90C4190A"/>
    <w:numStyleLink w:val="Vcerovovseznam"/>
  </w:abstractNum>
  <w:abstractNum w:abstractNumId="13" w15:restartNumberingAfterBreak="0">
    <w:nsid w:val="10170636"/>
    <w:multiLevelType w:val="hybridMultilevel"/>
    <w:tmpl w:val="EDB6F4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F151D4A"/>
    <w:multiLevelType w:val="multilevel"/>
    <w:tmpl w:val="EEB07E02"/>
    <w:lvl w:ilvl="0">
      <w:start w:val="1"/>
      <w:numFmt w:val="decimal"/>
      <w:lvlText w:val="%1"/>
      <w:lvlJc w:val="left"/>
      <w:pPr>
        <w:tabs>
          <w:tab w:val="num" w:pos="432"/>
        </w:tabs>
        <w:ind w:left="432" w:hanging="432"/>
      </w:pPr>
      <w:rPr>
        <w:rFonts w:hint="default"/>
      </w:rPr>
    </w:lvl>
    <w:lvl w:ilvl="1">
      <w:start w:val="1"/>
      <w:numFmt w:val="decimal"/>
      <w:pStyle w:val="podnadpis"/>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FB8747E"/>
    <w:multiLevelType w:val="hybridMultilevel"/>
    <w:tmpl w:val="AC70D3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2A734D"/>
    <w:multiLevelType w:val="multilevel"/>
    <w:tmpl w:val="90C4190A"/>
    <w:numStyleLink w:val="Vcerovovseznam"/>
  </w:abstractNum>
  <w:abstractNum w:abstractNumId="17" w15:restartNumberingAfterBreak="0">
    <w:nsid w:val="39B226F9"/>
    <w:multiLevelType w:val="hybridMultilevel"/>
    <w:tmpl w:val="410260D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D8E3D15"/>
    <w:multiLevelType w:val="multilevel"/>
    <w:tmpl w:val="C84A64D6"/>
    <w:styleLink w:val="ZPVetsodrkami"/>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00A11CE"/>
    <w:multiLevelType w:val="multilevel"/>
    <w:tmpl w:val="02F24DAC"/>
    <w:styleLink w:val="slovnploh"/>
    <w:lvl w:ilvl="0">
      <w:start w:val="1"/>
      <w:numFmt w:val="upperLetter"/>
      <w:pStyle w:val="Ploha1"/>
      <w:lvlText w:val="Příloha %1"/>
      <w:lvlJc w:val="left"/>
      <w:pPr>
        <w:ind w:left="928" w:hanging="360"/>
      </w:pPr>
      <w:rPr>
        <w:rFonts w:hint="default"/>
      </w:rPr>
    </w:lvl>
    <w:lvl w:ilvl="1">
      <w:start w:val="1"/>
      <w:numFmt w:val="decimal"/>
      <w:pStyle w:val="Ploha2"/>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EB24B54"/>
    <w:multiLevelType w:val="hybridMultilevel"/>
    <w:tmpl w:val="9AE022BE"/>
    <w:lvl w:ilvl="0" w:tplc="56F427F8">
      <w:start w:val="1"/>
      <w:numFmt w:val="decimal"/>
      <w:pStyle w:val="ZPLiteratura"/>
      <w:lvlText w:val="%1. "/>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0B30588"/>
    <w:multiLevelType w:val="hybridMultilevel"/>
    <w:tmpl w:val="0CBCF1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4AD1D4C"/>
    <w:multiLevelType w:val="multilevel"/>
    <w:tmpl w:val="90C4190A"/>
    <w:styleLink w:val="Vcerovovseznam"/>
    <w:lvl w:ilvl="0">
      <w:start w:val="1"/>
      <w:numFmt w:val="decimal"/>
      <w:lvlText w:val="%1."/>
      <w:lvlJc w:val="right"/>
      <w:pPr>
        <w:ind w:left="540" w:hanging="60"/>
      </w:pPr>
      <w:rPr>
        <w:rFonts w:hint="default"/>
      </w:rPr>
    </w:lvl>
    <w:lvl w:ilvl="1">
      <w:start w:val="1"/>
      <w:numFmt w:val="lowerLetter"/>
      <w:lvlText w:val="%2)"/>
      <w:lvlJc w:val="right"/>
      <w:pPr>
        <w:ind w:left="1021" w:hanging="57"/>
      </w:pPr>
      <w:rPr>
        <w:rFonts w:hint="default"/>
      </w:rPr>
    </w:lvl>
    <w:lvl w:ilvl="2">
      <w:start w:val="1"/>
      <w:numFmt w:val="lowerRoman"/>
      <w:lvlText w:val="%3."/>
      <w:lvlJc w:val="right"/>
      <w:pPr>
        <w:ind w:left="1503"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E4A6E4A"/>
    <w:multiLevelType w:val="multilevel"/>
    <w:tmpl w:val="90DE18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2C00B05"/>
    <w:multiLevelType w:val="multilevel"/>
    <w:tmpl w:val="A6D47DB6"/>
    <w:lvl w:ilvl="0">
      <w:start w:val="1"/>
      <w:numFmt w:val="upperLetter"/>
      <w:pStyle w:val="ZPHlavnnadpis--plohy"/>
      <w:lvlText w:val="%1"/>
      <w:lvlJc w:val="left"/>
      <w:pPr>
        <w:tabs>
          <w:tab w:val="num" w:pos="567"/>
        </w:tabs>
        <w:ind w:left="567" w:hanging="567"/>
      </w:pPr>
      <w:rPr>
        <w:rFonts w:hint="default"/>
      </w:rPr>
    </w:lvl>
    <w:lvl w:ilvl="1">
      <w:start w:val="1"/>
      <w:numFmt w:val="decimal"/>
      <w:lvlText w:val="%1.%2."/>
      <w:lvlJc w:val="left"/>
      <w:pPr>
        <w:tabs>
          <w:tab w:val="num" w:pos="764"/>
        </w:tabs>
        <w:ind w:left="764" w:hanging="482"/>
      </w:pPr>
      <w:rPr>
        <w:rFonts w:hint="default"/>
      </w:rPr>
    </w:lvl>
    <w:lvl w:ilvl="2">
      <w:start w:val="1"/>
      <w:numFmt w:val="decimal"/>
      <w:lvlText w:val="%1.%2.%3."/>
      <w:lvlJc w:val="left"/>
      <w:pPr>
        <w:tabs>
          <w:tab w:val="num" w:pos="1501"/>
        </w:tabs>
        <w:ind w:left="1501" w:hanging="737"/>
      </w:pPr>
      <w:rPr>
        <w:rFonts w:hint="default"/>
      </w:rPr>
    </w:lvl>
    <w:lvl w:ilvl="3">
      <w:start w:val="1"/>
      <w:numFmt w:val="decimal"/>
      <w:lvlText w:val="%1.%2.%3.%4"/>
      <w:lvlJc w:val="left"/>
      <w:pPr>
        <w:tabs>
          <w:tab w:val="num" w:pos="904"/>
        </w:tabs>
        <w:ind w:left="904" w:hanging="864"/>
      </w:pPr>
      <w:rPr>
        <w:rFonts w:hint="default"/>
      </w:rPr>
    </w:lvl>
    <w:lvl w:ilvl="4">
      <w:start w:val="1"/>
      <w:numFmt w:val="decimal"/>
      <w:lvlText w:val="%1.%2.%3.%4.%5"/>
      <w:lvlJc w:val="left"/>
      <w:pPr>
        <w:tabs>
          <w:tab w:val="num" w:pos="1048"/>
        </w:tabs>
        <w:ind w:left="1048" w:hanging="1008"/>
      </w:pPr>
      <w:rPr>
        <w:rFonts w:hint="default"/>
      </w:rPr>
    </w:lvl>
    <w:lvl w:ilvl="5">
      <w:start w:val="1"/>
      <w:numFmt w:val="decimal"/>
      <w:lvlText w:val="%1.%2.%3.%4.%5.%6"/>
      <w:lvlJc w:val="left"/>
      <w:pPr>
        <w:tabs>
          <w:tab w:val="num" w:pos="1192"/>
        </w:tabs>
        <w:ind w:left="1192" w:hanging="1152"/>
      </w:pPr>
      <w:rPr>
        <w:rFonts w:hint="default"/>
      </w:rPr>
    </w:lvl>
    <w:lvl w:ilvl="6">
      <w:start w:val="1"/>
      <w:numFmt w:val="decimal"/>
      <w:lvlText w:val="%1.%2.%3.%4.%5.%6.%7"/>
      <w:lvlJc w:val="left"/>
      <w:pPr>
        <w:tabs>
          <w:tab w:val="num" w:pos="1336"/>
        </w:tabs>
        <w:ind w:left="1336" w:hanging="1296"/>
      </w:pPr>
      <w:rPr>
        <w:rFonts w:hint="default"/>
      </w:rPr>
    </w:lvl>
    <w:lvl w:ilvl="7">
      <w:start w:val="1"/>
      <w:numFmt w:val="decimal"/>
      <w:lvlText w:val="%1.%2.%3.%4.%5.%6.%7.%8"/>
      <w:lvlJc w:val="left"/>
      <w:pPr>
        <w:tabs>
          <w:tab w:val="num" w:pos="1480"/>
        </w:tabs>
        <w:ind w:left="1480" w:hanging="1440"/>
      </w:pPr>
      <w:rPr>
        <w:rFonts w:hint="default"/>
      </w:rPr>
    </w:lvl>
    <w:lvl w:ilvl="8">
      <w:start w:val="1"/>
      <w:numFmt w:val="decimal"/>
      <w:lvlText w:val="%1.%2.%3.%4.%5.%6.%7.%8.%9"/>
      <w:lvlJc w:val="left"/>
      <w:pPr>
        <w:tabs>
          <w:tab w:val="num" w:pos="1624"/>
        </w:tabs>
        <w:ind w:left="1624" w:hanging="1584"/>
      </w:pPr>
      <w:rPr>
        <w:rFonts w:hint="default"/>
      </w:rPr>
    </w:lvl>
  </w:abstractNum>
  <w:abstractNum w:abstractNumId="25" w15:restartNumberingAfterBreak="0">
    <w:nsid w:val="75AB6741"/>
    <w:multiLevelType w:val="multilevel"/>
    <w:tmpl w:val="26CA57A6"/>
    <w:numStyleLink w:val="slovnkapitol"/>
  </w:abstractNum>
  <w:num w:numId="1">
    <w:abstractNumId w:val="14"/>
  </w:num>
  <w:num w:numId="2">
    <w:abstractNumId w:val="24"/>
  </w:num>
  <w:num w:numId="3">
    <w:abstractNumId w:val="20"/>
  </w:num>
  <w:num w:numId="4">
    <w:abstractNumId w:val="18"/>
  </w:num>
  <w:num w:numId="5">
    <w:abstractNumId w:val="10"/>
  </w:num>
  <w:num w:numId="6">
    <w:abstractNumId w:val="19"/>
  </w:num>
  <w:num w:numId="7">
    <w:abstractNumId w:val="8"/>
  </w:num>
  <w:num w:numId="8">
    <w:abstractNumId w:val="3"/>
  </w:num>
  <w:num w:numId="9">
    <w:abstractNumId w:val="2"/>
  </w:num>
  <w:num w:numId="10">
    <w:abstractNumId w:val="1"/>
  </w:num>
  <w:num w:numId="11">
    <w:abstractNumId w:val="0"/>
  </w:num>
  <w:num w:numId="12">
    <w:abstractNumId w:val="9"/>
  </w:num>
  <w:num w:numId="13">
    <w:abstractNumId w:val="25"/>
    <w:lvlOverride w:ilvl="0">
      <w:lvl w:ilvl="0">
        <w:start w:val="1"/>
        <w:numFmt w:val="decimal"/>
        <w:pStyle w:val="Nadpis1"/>
        <w:lvlText w:val="%1"/>
        <w:lvlJc w:val="left"/>
        <w:pPr>
          <w:ind w:left="360" w:hanging="360"/>
        </w:pPr>
        <w:rPr>
          <w:rFonts w:hint="default"/>
        </w:rPr>
      </w:lvl>
    </w:lvlOverride>
  </w:num>
  <w:num w:numId="14">
    <w:abstractNumId w:val="22"/>
  </w:num>
  <w:num w:numId="15">
    <w:abstractNumId w:val="12"/>
  </w:num>
  <w:num w:numId="16">
    <w:abstractNumId w:val="16"/>
    <w:lvlOverride w:ilvl="0">
      <w:lvl w:ilvl="0">
        <w:start w:val="1"/>
        <w:numFmt w:val="decimal"/>
        <w:lvlText w:val="%1."/>
        <w:lvlJc w:val="right"/>
        <w:pPr>
          <w:ind w:left="540" w:hanging="60"/>
        </w:pPr>
        <w:rPr>
          <w:rFonts w:hint="default"/>
        </w:rPr>
      </w:lvl>
    </w:lvlOverride>
  </w:num>
  <w:num w:numId="17">
    <w:abstractNumId w:val="7"/>
  </w:num>
  <w:num w:numId="18">
    <w:abstractNumId w:val="6"/>
  </w:num>
  <w:num w:numId="19">
    <w:abstractNumId w:val="5"/>
  </w:num>
  <w:num w:numId="20">
    <w:abstractNumId w:val="4"/>
  </w:num>
  <w:num w:numId="21">
    <w:abstractNumId w:val="15"/>
  </w:num>
  <w:num w:numId="22">
    <w:abstractNumId w:val="21"/>
  </w:num>
  <w:num w:numId="23">
    <w:abstractNumId w:val="23"/>
  </w:num>
  <w:num w:numId="24">
    <w:abstractNumId w:val="17"/>
  </w:num>
  <w:num w:numId="25">
    <w:abstractNumId w:val="13"/>
  </w:num>
  <w:num w:numId="2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stylePaneFormatFilter w:val="3824" w:allStyles="0" w:customStyles="0" w:latentStyles="1"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styleLockTheme/>
  <w:styleLockQFSet/>
  <w:defaultTabStop w:val="709"/>
  <w:autoHyphenation/>
  <w:hyphenationZone w:val="425"/>
  <w:evenAndOddHeaders/>
  <w:noPunctuationKerning/>
  <w:characterSpacingControl w:val="doNotCompress"/>
  <w:hdrShapeDefaults>
    <o:shapedefaults v:ext="edit" spidmax="614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ACB"/>
    <w:rsid w:val="000046C4"/>
    <w:rsid w:val="00006358"/>
    <w:rsid w:val="00006A66"/>
    <w:rsid w:val="0001265C"/>
    <w:rsid w:val="00013C69"/>
    <w:rsid w:val="00015C48"/>
    <w:rsid w:val="00021CED"/>
    <w:rsid w:val="00027256"/>
    <w:rsid w:val="00027983"/>
    <w:rsid w:val="0003139D"/>
    <w:rsid w:val="0003276D"/>
    <w:rsid w:val="00033887"/>
    <w:rsid w:val="00033D24"/>
    <w:rsid w:val="00040FF4"/>
    <w:rsid w:val="0004183D"/>
    <w:rsid w:val="00042887"/>
    <w:rsid w:val="00043379"/>
    <w:rsid w:val="00045288"/>
    <w:rsid w:val="00051964"/>
    <w:rsid w:val="000541EB"/>
    <w:rsid w:val="0005583E"/>
    <w:rsid w:val="00056287"/>
    <w:rsid w:val="00057884"/>
    <w:rsid w:val="00062206"/>
    <w:rsid w:val="00062E26"/>
    <w:rsid w:val="0006632C"/>
    <w:rsid w:val="0007427B"/>
    <w:rsid w:val="00080AEB"/>
    <w:rsid w:val="00091FDC"/>
    <w:rsid w:val="00095544"/>
    <w:rsid w:val="00095EBD"/>
    <w:rsid w:val="0009622E"/>
    <w:rsid w:val="0009751B"/>
    <w:rsid w:val="00097C46"/>
    <w:rsid w:val="000A0556"/>
    <w:rsid w:val="000A60CE"/>
    <w:rsid w:val="000B06E2"/>
    <w:rsid w:val="000B073E"/>
    <w:rsid w:val="000B1384"/>
    <w:rsid w:val="000B2873"/>
    <w:rsid w:val="000B2FE1"/>
    <w:rsid w:val="000B35CE"/>
    <w:rsid w:val="000B3CD4"/>
    <w:rsid w:val="000B5697"/>
    <w:rsid w:val="000B5A44"/>
    <w:rsid w:val="000B7594"/>
    <w:rsid w:val="000C172B"/>
    <w:rsid w:val="000C2FD4"/>
    <w:rsid w:val="000C340F"/>
    <w:rsid w:val="000D7A70"/>
    <w:rsid w:val="000E0DD5"/>
    <w:rsid w:val="000E17C7"/>
    <w:rsid w:val="000E1807"/>
    <w:rsid w:val="000E2574"/>
    <w:rsid w:val="000E751F"/>
    <w:rsid w:val="000F1248"/>
    <w:rsid w:val="000F183A"/>
    <w:rsid w:val="000F1C94"/>
    <w:rsid w:val="00100381"/>
    <w:rsid w:val="001061C1"/>
    <w:rsid w:val="00106540"/>
    <w:rsid w:val="0010714E"/>
    <w:rsid w:val="00107AE7"/>
    <w:rsid w:val="00107E23"/>
    <w:rsid w:val="00115804"/>
    <w:rsid w:val="001165B2"/>
    <w:rsid w:val="00117357"/>
    <w:rsid w:val="00120459"/>
    <w:rsid w:val="00121296"/>
    <w:rsid w:val="00122F2B"/>
    <w:rsid w:val="00123134"/>
    <w:rsid w:val="001231B9"/>
    <w:rsid w:val="001259DA"/>
    <w:rsid w:val="00127018"/>
    <w:rsid w:val="00130CDD"/>
    <w:rsid w:val="001334BD"/>
    <w:rsid w:val="00141984"/>
    <w:rsid w:val="00144D48"/>
    <w:rsid w:val="00150827"/>
    <w:rsid w:val="001517F5"/>
    <w:rsid w:val="00154884"/>
    <w:rsid w:val="00157BBE"/>
    <w:rsid w:val="00161E5E"/>
    <w:rsid w:val="0016330D"/>
    <w:rsid w:val="00165AB0"/>
    <w:rsid w:val="00166437"/>
    <w:rsid w:val="0017653E"/>
    <w:rsid w:val="00176D79"/>
    <w:rsid w:val="00177036"/>
    <w:rsid w:val="00177293"/>
    <w:rsid w:val="00181534"/>
    <w:rsid w:val="001815E4"/>
    <w:rsid w:val="00181CDB"/>
    <w:rsid w:val="00181E7E"/>
    <w:rsid w:val="00182BE7"/>
    <w:rsid w:val="00182F90"/>
    <w:rsid w:val="00184F20"/>
    <w:rsid w:val="00186DF6"/>
    <w:rsid w:val="00191A87"/>
    <w:rsid w:val="00193D5F"/>
    <w:rsid w:val="00196CE0"/>
    <w:rsid w:val="001A0806"/>
    <w:rsid w:val="001A2784"/>
    <w:rsid w:val="001A5AA3"/>
    <w:rsid w:val="001B0FAF"/>
    <w:rsid w:val="001B2C5B"/>
    <w:rsid w:val="001B43CD"/>
    <w:rsid w:val="001B6ED8"/>
    <w:rsid w:val="001B7C33"/>
    <w:rsid w:val="001C3731"/>
    <w:rsid w:val="001C3CD2"/>
    <w:rsid w:val="001C7095"/>
    <w:rsid w:val="001D0120"/>
    <w:rsid w:val="001D743F"/>
    <w:rsid w:val="001E07A1"/>
    <w:rsid w:val="001E1714"/>
    <w:rsid w:val="001E176F"/>
    <w:rsid w:val="001E483F"/>
    <w:rsid w:val="001E5F5A"/>
    <w:rsid w:val="001E64CE"/>
    <w:rsid w:val="001F5586"/>
    <w:rsid w:val="00201946"/>
    <w:rsid w:val="002041D3"/>
    <w:rsid w:val="00206160"/>
    <w:rsid w:val="00210BCE"/>
    <w:rsid w:val="00210C1C"/>
    <w:rsid w:val="002125CA"/>
    <w:rsid w:val="00215921"/>
    <w:rsid w:val="00221FDA"/>
    <w:rsid w:val="0022788C"/>
    <w:rsid w:val="0023175A"/>
    <w:rsid w:val="0023579F"/>
    <w:rsid w:val="00235F32"/>
    <w:rsid w:val="00236A4F"/>
    <w:rsid w:val="00244547"/>
    <w:rsid w:val="0024799F"/>
    <w:rsid w:val="00252CD4"/>
    <w:rsid w:val="00260BE0"/>
    <w:rsid w:val="00261245"/>
    <w:rsid w:val="00273605"/>
    <w:rsid w:val="00273F12"/>
    <w:rsid w:val="002752AB"/>
    <w:rsid w:val="00276546"/>
    <w:rsid w:val="002767C1"/>
    <w:rsid w:val="00280F8B"/>
    <w:rsid w:val="0028267F"/>
    <w:rsid w:val="0028333C"/>
    <w:rsid w:val="00283847"/>
    <w:rsid w:val="0028594B"/>
    <w:rsid w:val="00287D5D"/>
    <w:rsid w:val="002A08DF"/>
    <w:rsid w:val="002A2330"/>
    <w:rsid w:val="002B31E7"/>
    <w:rsid w:val="002C0686"/>
    <w:rsid w:val="002C168E"/>
    <w:rsid w:val="002C1AA6"/>
    <w:rsid w:val="002C6A3C"/>
    <w:rsid w:val="002C6AE0"/>
    <w:rsid w:val="002D3E40"/>
    <w:rsid w:val="002D5F86"/>
    <w:rsid w:val="002D7200"/>
    <w:rsid w:val="002D7929"/>
    <w:rsid w:val="002E37EF"/>
    <w:rsid w:val="002E640F"/>
    <w:rsid w:val="002F109A"/>
    <w:rsid w:val="002F1CAB"/>
    <w:rsid w:val="002F4F73"/>
    <w:rsid w:val="002F69B5"/>
    <w:rsid w:val="00300D63"/>
    <w:rsid w:val="0030249F"/>
    <w:rsid w:val="003026FA"/>
    <w:rsid w:val="00302D98"/>
    <w:rsid w:val="003033E5"/>
    <w:rsid w:val="0030413B"/>
    <w:rsid w:val="00304E54"/>
    <w:rsid w:val="00310428"/>
    <w:rsid w:val="00311E99"/>
    <w:rsid w:val="00312767"/>
    <w:rsid w:val="00312B94"/>
    <w:rsid w:val="003241F4"/>
    <w:rsid w:val="00325AA1"/>
    <w:rsid w:val="00342068"/>
    <w:rsid w:val="003451DC"/>
    <w:rsid w:val="00345341"/>
    <w:rsid w:val="0034553C"/>
    <w:rsid w:val="00345C9D"/>
    <w:rsid w:val="003515E0"/>
    <w:rsid w:val="00354ECD"/>
    <w:rsid w:val="00360B94"/>
    <w:rsid w:val="00364EA5"/>
    <w:rsid w:val="0036613B"/>
    <w:rsid w:val="0036732B"/>
    <w:rsid w:val="003733CC"/>
    <w:rsid w:val="00373624"/>
    <w:rsid w:val="00385F02"/>
    <w:rsid w:val="00386FD6"/>
    <w:rsid w:val="00387B07"/>
    <w:rsid w:val="00387CB9"/>
    <w:rsid w:val="00393AF8"/>
    <w:rsid w:val="00394B1E"/>
    <w:rsid w:val="00394D30"/>
    <w:rsid w:val="003A4108"/>
    <w:rsid w:val="003A54DD"/>
    <w:rsid w:val="003A5B77"/>
    <w:rsid w:val="003B07E1"/>
    <w:rsid w:val="003B12CF"/>
    <w:rsid w:val="003B2FD8"/>
    <w:rsid w:val="003B498F"/>
    <w:rsid w:val="003B6227"/>
    <w:rsid w:val="003B7C9B"/>
    <w:rsid w:val="003C3FD7"/>
    <w:rsid w:val="003C505A"/>
    <w:rsid w:val="003C52CA"/>
    <w:rsid w:val="003C56AA"/>
    <w:rsid w:val="003D12A0"/>
    <w:rsid w:val="003D2A99"/>
    <w:rsid w:val="003D2D22"/>
    <w:rsid w:val="003D3882"/>
    <w:rsid w:val="003D4729"/>
    <w:rsid w:val="003D4936"/>
    <w:rsid w:val="003D674A"/>
    <w:rsid w:val="003E3A5B"/>
    <w:rsid w:val="003E3DE1"/>
    <w:rsid w:val="003E6F4C"/>
    <w:rsid w:val="003F3E9D"/>
    <w:rsid w:val="003F6398"/>
    <w:rsid w:val="003F666A"/>
    <w:rsid w:val="004001C3"/>
    <w:rsid w:val="00402B80"/>
    <w:rsid w:val="00402FB9"/>
    <w:rsid w:val="00405DD9"/>
    <w:rsid w:val="0041159F"/>
    <w:rsid w:val="00414BEB"/>
    <w:rsid w:val="0041503D"/>
    <w:rsid w:val="00415B11"/>
    <w:rsid w:val="00417009"/>
    <w:rsid w:val="00417CCE"/>
    <w:rsid w:val="00420CBD"/>
    <w:rsid w:val="00432739"/>
    <w:rsid w:val="00434473"/>
    <w:rsid w:val="00434981"/>
    <w:rsid w:val="004432E2"/>
    <w:rsid w:val="004433C7"/>
    <w:rsid w:val="004437E0"/>
    <w:rsid w:val="0045066B"/>
    <w:rsid w:val="00454387"/>
    <w:rsid w:val="00455C27"/>
    <w:rsid w:val="0045673C"/>
    <w:rsid w:val="00456D17"/>
    <w:rsid w:val="00457A74"/>
    <w:rsid w:val="004622BA"/>
    <w:rsid w:val="00464CF0"/>
    <w:rsid w:val="00465207"/>
    <w:rsid w:val="004668F5"/>
    <w:rsid w:val="004674B1"/>
    <w:rsid w:val="004677AD"/>
    <w:rsid w:val="0047106E"/>
    <w:rsid w:val="0047272D"/>
    <w:rsid w:val="004743C2"/>
    <w:rsid w:val="00476EB7"/>
    <w:rsid w:val="00480489"/>
    <w:rsid w:val="00482CE5"/>
    <w:rsid w:val="0048704E"/>
    <w:rsid w:val="004922F1"/>
    <w:rsid w:val="0049372C"/>
    <w:rsid w:val="00493755"/>
    <w:rsid w:val="0049769F"/>
    <w:rsid w:val="004A14C7"/>
    <w:rsid w:val="004A15F7"/>
    <w:rsid w:val="004A4934"/>
    <w:rsid w:val="004A56A2"/>
    <w:rsid w:val="004A7B07"/>
    <w:rsid w:val="004C3A23"/>
    <w:rsid w:val="004C4987"/>
    <w:rsid w:val="004E148E"/>
    <w:rsid w:val="004E4B9D"/>
    <w:rsid w:val="004F036E"/>
    <w:rsid w:val="00502231"/>
    <w:rsid w:val="00506DC5"/>
    <w:rsid w:val="00511543"/>
    <w:rsid w:val="00512363"/>
    <w:rsid w:val="00515F92"/>
    <w:rsid w:val="00521AA8"/>
    <w:rsid w:val="00522017"/>
    <w:rsid w:val="00522BE0"/>
    <w:rsid w:val="00524A8C"/>
    <w:rsid w:val="005253A0"/>
    <w:rsid w:val="0052762D"/>
    <w:rsid w:val="005362AF"/>
    <w:rsid w:val="00537BCE"/>
    <w:rsid w:val="0054310E"/>
    <w:rsid w:val="0054338A"/>
    <w:rsid w:val="005446D8"/>
    <w:rsid w:val="00544969"/>
    <w:rsid w:val="005563F5"/>
    <w:rsid w:val="005566DB"/>
    <w:rsid w:val="0055672C"/>
    <w:rsid w:val="005573A5"/>
    <w:rsid w:val="00561732"/>
    <w:rsid w:val="00563E66"/>
    <w:rsid w:val="00564575"/>
    <w:rsid w:val="00567CEB"/>
    <w:rsid w:val="00575E7E"/>
    <w:rsid w:val="00576992"/>
    <w:rsid w:val="00576A89"/>
    <w:rsid w:val="00576E43"/>
    <w:rsid w:val="0057725C"/>
    <w:rsid w:val="00580F99"/>
    <w:rsid w:val="0058175D"/>
    <w:rsid w:val="00581933"/>
    <w:rsid w:val="005843DF"/>
    <w:rsid w:val="005925FB"/>
    <w:rsid w:val="0059422D"/>
    <w:rsid w:val="005A20B0"/>
    <w:rsid w:val="005A30A7"/>
    <w:rsid w:val="005A40A7"/>
    <w:rsid w:val="005B1991"/>
    <w:rsid w:val="005B2DB8"/>
    <w:rsid w:val="005B452E"/>
    <w:rsid w:val="005C1ED4"/>
    <w:rsid w:val="005C3259"/>
    <w:rsid w:val="005C665F"/>
    <w:rsid w:val="005D16B0"/>
    <w:rsid w:val="005D346A"/>
    <w:rsid w:val="005D625E"/>
    <w:rsid w:val="005D6619"/>
    <w:rsid w:val="005E0A20"/>
    <w:rsid w:val="005F224B"/>
    <w:rsid w:val="005F5ED2"/>
    <w:rsid w:val="005F66CA"/>
    <w:rsid w:val="005F7BA3"/>
    <w:rsid w:val="00600188"/>
    <w:rsid w:val="006071A1"/>
    <w:rsid w:val="00607AE2"/>
    <w:rsid w:val="00611A02"/>
    <w:rsid w:val="00612ED3"/>
    <w:rsid w:val="00614F8E"/>
    <w:rsid w:val="0061507C"/>
    <w:rsid w:val="0061792B"/>
    <w:rsid w:val="006219B5"/>
    <w:rsid w:val="006276B9"/>
    <w:rsid w:val="00631EEE"/>
    <w:rsid w:val="006400F5"/>
    <w:rsid w:val="006469CB"/>
    <w:rsid w:val="00647C19"/>
    <w:rsid w:val="00650BB8"/>
    <w:rsid w:val="00651381"/>
    <w:rsid w:val="00654702"/>
    <w:rsid w:val="00656C84"/>
    <w:rsid w:val="00657A0F"/>
    <w:rsid w:val="006608C9"/>
    <w:rsid w:val="006613D4"/>
    <w:rsid w:val="00663599"/>
    <w:rsid w:val="00663B54"/>
    <w:rsid w:val="0066684D"/>
    <w:rsid w:val="006668A0"/>
    <w:rsid w:val="00666909"/>
    <w:rsid w:val="006675DE"/>
    <w:rsid w:val="006748F7"/>
    <w:rsid w:val="006753EC"/>
    <w:rsid w:val="006767CE"/>
    <w:rsid w:val="00677AA8"/>
    <w:rsid w:val="006803AE"/>
    <w:rsid w:val="00682B4D"/>
    <w:rsid w:val="00685852"/>
    <w:rsid w:val="00685DD9"/>
    <w:rsid w:val="00686598"/>
    <w:rsid w:val="006921C6"/>
    <w:rsid w:val="00692D32"/>
    <w:rsid w:val="00692D68"/>
    <w:rsid w:val="00693FCD"/>
    <w:rsid w:val="006A0353"/>
    <w:rsid w:val="006A1389"/>
    <w:rsid w:val="006A6A13"/>
    <w:rsid w:val="006A7D16"/>
    <w:rsid w:val="006B0A96"/>
    <w:rsid w:val="006B15F8"/>
    <w:rsid w:val="006B4A0B"/>
    <w:rsid w:val="006B59B1"/>
    <w:rsid w:val="006C0CC8"/>
    <w:rsid w:val="006C4665"/>
    <w:rsid w:val="006D7EE1"/>
    <w:rsid w:val="006E2F26"/>
    <w:rsid w:val="006E36ED"/>
    <w:rsid w:val="006E3D06"/>
    <w:rsid w:val="006E770E"/>
    <w:rsid w:val="006F2973"/>
    <w:rsid w:val="006F378B"/>
    <w:rsid w:val="006F5171"/>
    <w:rsid w:val="006F6265"/>
    <w:rsid w:val="006F7134"/>
    <w:rsid w:val="007032F3"/>
    <w:rsid w:val="00704143"/>
    <w:rsid w:val="00705DB6"/>
    <w:rsid w:val="007066FD"/>
    <w:rsid w:val="00710C27"/>
    <w:rsid w:val="007128B1"/>
    <w:rsid w:val="00713C76"/>
    <w:rsid w:val="007142B1"/>
    <w:rsid w:val="00720955"/>
    <w:rsid w:val="007229E6"/>
    <w:rsid w:val="00723CCF"/>
    <w:rsid w:val="00727972"/>
    <w:rsid w:val="0074241C"/>
    <w:rsid w:val="00742C2C"/>
    <w:rsid w:val="00743F57"/>
    <w:rsid w:val="00746392"/>
    <w:rsid w:val="007468F6"/>
    <w:rsid w:val="00747CDE"/>
    <w:rsid w:val="0075091C"/>
    <w:rsid w:val="007520B4"/>
    <w:rsid w:val="00754690"/>
    <w:rsid w:val="0076407F"/>
    <w:rsid w:val="007677DD"/>
    <w:rsid w:val="007679B3"/>
    <w:rsid w:val="00767FEB"/>
    <w:rsid w:val="00770F7B"/>
    <w:rsid w:val="0077393E"/>
    <w:rsid w:val="0077567B"/>
    <w:rsid w:val="007863E4"/>
    <w:rsid w:val="007933A9"/>
    <w:rsid w:val="00793F90"/>
    <w:rsid w:val="00796B68"/>
    <w:rsid w:val="007A00EC"/>
    <w:rsid w:val="007A1F2E"/>
    <w:rsid w:val="007A26A7"/>
    <w:rsid w:val="007A31FF"/>
    <w:rsid w:val="007A5BA1"/>
    <w:rsid w:val="007A70C1"/>
    <w:rsid w:val="007B2EEC"/>
    <w:rsid w:val="007B4235"/>
    <w:rsid w:val="007B46C3"/>
    <w:rsid w:val="007B63D5"/>
    <w:rsid w:val="007C050F"/>
    <w:rsid w:val="007C0619"/>
    <w:rsid w:val="007C0D94"/>
    <w:rsid w:val="007C294D"/>
    <w:rsid w:val="007D15C2"/>
    <w:rsid w:val="007D341B"/>
    <w:rsid w:val="007D50D0"/>
    <w:rsid w:val="007E1ADE"/>
    <w:rsid w:val="007E3C3E"/>
    <w:rsid w:val="007E6199"/>
    <w:rsid w:val="007E7F97"/>
    <w:rsid w:val="007F013D"/>
    <w:rsid w:val="007F0A70"/>
    <w:rsid w:val="007F12C7"/>
    <w:rsid w:val="007F7A82"/>
    <w:rsid w:val="00802CD0"/>
    <w:rsid w:val="00807D5C"/>
    <w:rsid w:val="00812EBD"/>
    <w:rsid w:val="00813987"/>
    <w:rsid w:val="00816D41"/>
    <w:rsid w:val="008178C6"/>
    <w:rsid w:val="00824749"/>
    <w:rsid w:val="00825A03"/>
    <w:rsid w:val="00825B26"/>
    <w:rsid w:val="00830CE4"/>
    <w:rsid w:val="0083198F"/>
    <w:rsid w:val="008324B9"/>
    <w:rsid w:val="00832CB3"/>
    <w:rsid w:val="00833621"/>
    <w:rsid w:val="00837662"/>
    <w:rsid w:val="008377FD"/>
    <w:rsid w:val="00843594"/>
    <w:rsid w:val="0084461E"/>
    <w:rsid w:val="008448B3"/>
    <w:rsid w:val="00845927"/>
    <w:rsid w:val="00852F37"/>
    <w:rsid w:val="008537C0"/>
    <w:rsid w:val="00853C55"/>
    <w:rsid w:val="00854D7D"/>
    <w:rsid w:val="00854E09"/>
    <w:rsid w:val="00857228"/>
    <w:rsid w:val="0085725D"/>
    <w:rsid w:val="00857D84"/>
    <w:rsid w:val="00860635"/>
    <w:rsid w:val="0086068B"/>
    <w:rsid w:val="00864E60"/>
    <w:rsid w:val="00871910"/>
    <w:rsid w:val="00877707"/>
    <w:rsid w:val="008813AE"/>
    <w:rsid w:val="008814CE"/>
    <w:rsid w:val="008824F2"/>
    <w:rsid w:val="00882E07"/>
    <w:rsid w:val="00885B92"/>
    <w:rsid w:val="0089154B"/>
    <w:rsid w:val="0089226F"/>
    <w:rsid w:val="00893C1B"/>
    <w:rsid w:val="00895D0C"/>
    <w:rsid w:val="008A0030"/>
    <w:rsid w:val="008A32E3"/>
    <w:rsid w:val="008A3FFD"/>
    <w:rsid w:val="008A41F0"/>
    <w:rsid w:val="008A7F29"/>
    <w:rsid w:val="008B08EA"/>
    <w:rsid w:val="008B1399"/>
    <w:rsid w:val="008B1BE6"/>
    <w:rsid w:val="008B3AED"/>
    <w:rsid w:val="008B5E98"/>
    <w:rsid w:val="008B78FE"/>
    <w:rsid w:val="008B7CA4"/>
    <w:rsid w:val="008C0E28"/>
    <w:rsid w:val="008C140F"/>
    <w:rsid w:val="008C227D"/>
    <w:rsid w:val="008C2F0D"/>
    <w:rsid w:val="008C5E34"/>
    <w:rsid w:val="008C7A93"/>
    <w:rsid w:val="008D0988"/>
    <w:rsid w:val="008D1ABC"/>
    <w:rsid w:val="008D5E0A"/>
    <w:rsid w:val="008D69A1"/>
    <w:rsid w:val="008E22AE"/>
    <w:rsid w:val="008E36E9"/>
    <w:rsid w:val="008E4942"/>
    <w:rsid w:val="008E4977"/>
    <w:rsid w:val="008E4B7A"/>
    <w:rsid w:val="008E67FF"/>
    <w:rsid w:val="008F0E87"/>
    <w:rsid w:val="008F290B"/>
    <w:rsid w:val="008F3091"/>
    <w:rsid w:val="00906BB7"/>
    <w:rsid w:val="0091617E"/>
    <w:rsid w:val="0091711B"/>
    <w:rsid w:val="00917945"/>
    <w:rsid w:val="0092000F"/>
    <w:rsid w:val="00920AB6"/>
    <w:rsid w:val="00920C93"/>
    <w:rsid w:val="00933110"/>
    <w:rsid w:val="00936835"/>
    <w:rsid w:val="00940EE8"/>
    <w:rsid w:val="009435D6"/>
    <w:rsid w:val="00943E95"/>
    <w:rsid w:val="0094461B"/>
    <w:rsid w:val="009449D3"/>
    <w:rsid w:val="00944A50"/>
    <w:rsid w:val="0095002C"/>
    <w:rsid w:val="0095124B"/>
    <w:rsid w:val="00951A7E"/>
    <w:rsid w:val="009555C8"/>
    <w:rsid w:val="00956852"/>
    <w:rsid w:val="00957F17"/>
    <w:rsid w:val="00962B93"/>
    <w:rsid w:val="009643D1"/>
    <w:rsid w:val="00966166"/>
    <w:rsid w:val="00973BF7"/>
    <w:rsid w:val="00974A40"/>
    <w:rsid w:val="00981EA3"/>
    <w:rsid w:val="00982664"/>
    <w:rsid w:val="00984F82"/>
    <w:rsid w:val="0099011C"/>
    <w:rsid w:val="009903DA"/>
    <w:rsid w:val="009927E9"/>
    <w:rsid w:val="0099393C"/>
    <w:rsid w:val="009951BF"/>
    <w:rsid w:val="009A4169"/>
    <w:rsid w:val="009A7A9C"/>
    <w:rsid w:val="009B23FC"/>
    <w:rsid w:val="009B2498"/>
    <w:rsid w:val="009B2E5E"/>
    <w:rsid w:val="009B6D89"/>
    <w:rsid w:val="009B75CC"/>
    <w:rsid w:val="009C0CBA"/>
    <w:rsid w:val="009C10BC"/>
    <w:rsid w:val="009C5159"/>
    <w:rsid w:val="009C6A70"/>
    <w:rsid w:val="009D1A62"/>
    <w:rsid w:val="009D2522"/>
    <w:rsid w:val="009D587D"/>
    <w:rsid w:val="009D77D7"/>
    <w:rsid w:val="009E2412"/>
    <w:rsid w:val="009F057F"/>
    <w:rsid w:val="009F0813"/>
    <w:rsid w:val="009F2264"/>
    <w:rsid w:val="009F2EBA"/>
    <w:rsid w:val="009F2EFC"/>
    <w:rsid w:val="009F5D2C"/>
    <w:rsid w:val="009F6E4F"/>
    <w:rsid w:val="00A00883"/>
    <w:rsid w:val="00A00BBC"/>
    <w:rsid w:val="00A073DF"/>
    <w:rsid w:val="00A07538"/>
    <w:rsid w:val="00A13ECE"/>
    <w:rsid w:val="00A13F1F"/>
    <w:rsid w:val="00A20B41"/>
    <w:rsid w:val="00A21B3C"/>
    <w:rsid w:val="00A221A7"/>
    <w:rsid w:val="00A22A22"/>
    <w:rsid w:val="00A23FB4"/>
    <w:rsid w:val="00A2558D"/>
    <w:rsid w:val="00A32DB9"/>
    <w:rsid w:val="00A33865"/>
    <w:rsid w:val="00A423E5"/>
    <w:rsid w:val="00A42DAC"/>
    <w:rsid w:val="00A451D3"/>
    <w:rsid w:val="00A5072F"/>
    <w:rsid w:val="00A528EC"/>
    <w:rsid w:val="00A551C5"/>
    <w:rsid w:val="00A56C35"/>
    <w:rsid w:val="00A626BF"/>
    <w:rsid w:val="00A639A6"/>
    <w:rsid w:val="00A639E0"/>
    <w:rsid w:val="00A65BB4"/>
    <w:rsid w:val="00A66322"/>
    <w:rsid w:val="00A7060D"/>
    <w:rsid w:val="00A779F8"/>
    <w:rsid w:val="00A83F91"/>
    <w:rsid w:val="00A86718"/>
    <w:rsid w:val="00A8698A"/>
    <w:rsid w:val="00A869D1"/>
    <w:rsid w:val="00A9459E"/>
    <w:rsid w:val="00A94A34"/>
    <w:rsid w:val="00A953F4"/>
    <w:rsid w:val="00A9666B"/>
    <w:rsid w:val="00A96697"/>
    <w:rsid w:val="00A972FF"/>
    <w:rsid w:val="00AA015D"/>
    <w:rsid w:val="00AA0E6C"/>
    <w:rsid w:val="00AA115A"/>
    <w:rsid w:val="00AA4D4E"/>
    <w:rsid w:val="00AA5293"/>
    <w:rsid w:val="00AB68BC"/>
    <w:rsid w:val="00AB6916"/>
    <w:rsid w:val="00AC1ACB"/>
    <w:rsid w:val="00AE065B"/>
    <w:rsid w:val="00AE2D1F"/>
    <w:rsid w:val="00AE5956"/>
    <w:rsid w:val="00AF09BE"/>
    <w:rsid w:val="00AF3A96"/>
    <w:rsid w:val="00AF50CE"/>
    <w:rsid w:val="00AF5B23"/>
    <w:rsid w:val="00B0003C"/>
    <w:rsid w:val="00B00F74"/>
    <w:rsid w:val="00B015E2"/>
    <w:rsid w:val="00B050E1"/>
    <w:rsid w:val="00B06CB3"/>
    <w:rsid w:val="00B121FD"/>
    <w:rsid w:val="00B125B0"/>
    <w:rsid w:val="00B1319B"/>
    <w:rsid w:val="00B21324"/>
    <w:rsid w:val="00B24B0E"/>
    <w:rsid w:val="00B27AC5"/>
    <w:rsid w:val="00B30F34"/>
    <w:rsid w:val="00B312A4"/>
    <w:rsid w:val="00B34773"/>
    <w:rsid w:val="00B4191B"/>
    <w:rsid w:val="00B43D79"/>
    <w:rsid w:val="00B441E0"/>
    <w:rsid w:val="00B47675"/>
    <w:rsid w:val="00B5169A"/>
    <w:rsid w:val="00B51BB1"/>
    <w:rsid w:val="00B54BFE"/>
    <w:rsid w:val="00B55367"/>
    <w:rsid w:val="00B55FCE"/>
    <w:rsid w:val="00B56873"/>
    <w:rsid w:val="00B64DE1"/>
    <w:rsid w:val="00B72F66"/>
    <w:rsid w:val="00B741AA"/>
    <w:rsid w:val="00B75A1B"/>
    <w:rsid w:val="00B8051E"/>
    <w:rsid w:val="00B818CC"/>
    <w:rsid w:val="00B8450C"/>
    <w:rsid w:val="00B87187"/>
    <w:rsid w:val="00B87F3F"/>
    <w:rsid w:val="00B9713F"/>
    <w:rsid w:val="00B97D43"/>
    <w:rsid w:val="00BA1174"/>
    <w:rsid w:val="00BA249E"/>
    <w:rsid w:val="00BA7F8F"/>
    <w:rsid w:val="00BB189E"/>
    <w:rsid w:val="00BB4415"/>
    <w:rsid w:val="00BB5412"/>
    <w:rsid w:val="00BB6FEC"/>
    <w:rsid w:val="00BC29D5"/>
    <w:rsid w:val="00BD0360"/>
    <w:rsid w:val="00BD64A7"/>
    <w:rsid w:val="00BD6AEF"/>
    <w:rsid w:val="00BE0763"/>
    <w:rsid w:val="00BE3DDA"/>
    <w:rsid w:val="00BE410C"/>
    <w:rsid w:val="00BE6946"/>
    <w:rsid w:val="00BF44A2"/>
    <w:rsid w:val="00BF5633"/>
    <w:rsid w:val="00C043B7"/>
    <w:rsid w:val="00C2196C"/>
    <w:rsid w:val="00C24A4C"/>
    <w:rsid w:val="00C30C30"/>
    <w:rsid w:val="00C314EE"/>
    <w:rsid w:val="00C31E11"/>
    <w:rsid w:val="00C333FF"/>
    <w:rsid w:val="00C35CD5"/>
    <w:rsid w:val="00C35E32"/>
    <w:rsid w:val="00C4406E"/>
    <w:rsid w:val="00C44A10"/>
    <w:rsid w:val="00C46E6A"/>
    <w:rsid w:val="00C51C8C"/>
    <w:rsid w:val="00C5564F"/>
    <w:rsid w:val="00C55ACA"/>
    <w:rsid w:val="00C5670D"/>
    <w:rsid w:val="00C579A9"/>
    <w:rsid w:val="00C60F0A"/>
    <w:rsid w:val="00C612F9"/>
    <w:rsid w:val="00C63535"/>
    <w:rsid w:val="00C65354"/>
    <w:rsid w:val="00C656F3"/>
    <w:rsid w:val="00C72D17"/>
    <w:rsid w:val="00C76663"/>
    <w:rsid w:val="00C8003B"/>
    <w:rsid w:val="00C823B0"/>
    <w:rsid w:val="00C83FAD"/>
    <w:rsid w:val="00C93263"/>
    <w:rsid w:val="00C96B30"/>
    <w:rsid w:val="00CA41B8"/>
    <w:rsid w:val="00CA700C"/>
    <w:rsid w:val="00CA723B"/>
    <w:rsid w:val="00CB1D51"/>
    <w:rsid w:val="00CB2C30"/>
    <w:rsid w:val="00CB3929"/>
    <w:rsid w:val="00CC1C93"/>
    <w:rsid w:val="00CC23AB"/>
    <w:rsid w:val="00CC2C52"/>
    <w:rsid w:val="00CC5FAC"/>
    <w:rsid w:val="00CD073C"/>
    <w:rsid w:val="00CD574E"/>
    <w:rsid w:val="00CE11FA"/>
    <w:rsid w:val="00CE1408"/>
    <w:rsid w:val="00CE1A04"/>
    <w:rsid w:val="00CE3A4C"/>
    <w:rsid w:val="00CF3271"/>
    <w:rsid w:val="00CF4F69"/>
    <w:rsid w:val="00CF5CE9"/>
    <w:rsid w:val="00CF5E0F"/>
    <w:rsid w:val="00CF61A0"/>
    <w:rsid w:val="00CF699C"/>
    <w:rsid w:val="00D02C62"/>
    <w:rsid w:val="00D054BC"/>
    <w:rsid w:val="00D063DA"/>
    <w:rsid w:val="00D06678"/>
    <w:rsid w:val="00D10066"/>
    <w:rsid w:val="00D12FD2"/>
    <w:rsid w:val="00D15EC5"/>
    <w:rsid w:val="00D16A0A"/>
    <w:rsid w:val="00D16D6E"/>
    <w:rsid w:val="00D2033F"/>
    <w:rsid w:val="00D21B87"/>
    <w:rsid w:val="00D21BED"/>
    <w:rsid w:val="00D2602C"/>
    <w:rsid w:val="00D30A56"/>
    <w:rsid w:val="00D31ED6"/>
    <w:rsid w:val="00D403FA"/>
    <w:rsid w:val="00D43DAD"/>
    <w:rsid w:val="00D46E0B"/>
    <w:rsid w:val="00D50101"/>
    <w:rsid w:val="00D55EF0"/>
    <w:rsid w:val="00D566F3"/>
    <w:rsid w:val="00D601E7"/>
    <w:rsid w:val="00D63E35"/>
    <w:rsid w:val="00D67409"/>
    <w:rsid w:val="00D766A3"/>
    <w:rsid w:val="00D80A2A"/>
    <w:rsid w:val="00D818FA"/>
    <w:rsid w:val="00D83C5E"/>
    <w:rsid w:val="00D83E7E"/>
    <w:rsid w:val="00D84F24"/>
    <w:rsid w:val="00D86378"/>
    <w:rsid w:val="00D871F8"/>
    <w:rsid w:val="00D96467"/>
    <w:rsid w:val="00D96C54"/>
    <w:rsid w:val="00D96D07"/>
    <w:rsid w:val="00DA2413"/>
    <w:rsid w:val="00DA5D25"/>
    <w:rsid w:val="00DA6D46"/>
    <w:rsid w:val="00DB28AA"/>
    <w:rsid w:val="00DB551C"/>
    <w:rsid w:val="00DC0619"/>
    <w:rsid w:val="00DC2527"/>
    <w:rsid w:val="00DC43F9"/>
    <w:rsid w:val="00DC675D"/>
    <w:rsid w:val="00DC6B73"/>
    <w:rsid w:val="00DD05E5"/>
    <w:rsid w:val="00DD0BAF"/>
    <w:rsid w:val="00DD206E"/>
    <w:rsid w:val="00DD2345"/>
    <w:rsid w:val="00DD3107"/>
    <w:rsid w:val="00DD58B0"/>
    <w:rsid w:val="00DD5A2A"/>
    <w:rsid w:val="00DD5A53"/>
    <w:rsid w:val="00DD5D2A"/>
    <w:rsid w:val="00DD61FA"/>
    <w:rsid w:val="00DE05D3"/>
    <w:rsid w:val="00DE6B05"/>
    <w:rsid w:val="00DE7920"/>
    <w:rsid w:val="00DE7B21"/>
    <w:rsid w:val="00DF505D"/>
    <w:rsid w:val="00DF7EBD"/>
    <w:rsid w:val="00E007F4"/>
    <w:rsid w:val="00E0197E"/>
    <w:rsid w:val="00E023CE"/>
    <w:rsid w:val="00E038BD"/>
    <w:rsid w:val="00E04E7F"/>
    <w:rsid w:val="00E10E39"/>
    <w:rsid w:val="00E12023"/>
    <w:rsid w:val="00E131F6"/>
    <w:rsid w:val="00E1706C"/>
    <w:rsid w:val="00E20CE2"/>
    <w:rsid w:val="00E2128F"/>
    <w:rsid w:val="00E24921"/>
    <w:rsid w:val="00E37130"/>
    <w:rsid w:val="00E41640"/>
    <w:rsid w:val="00E532CF"/>
    <w:rsid w:val="00E53ACB"/>
    <w:rsid w:val="00E541E1"/>
    <w:rsid w:val="00E54463"/>
    <w:rsid w:val="00E5465E"/>
    <w:rsid w:val="00E600C2"/>
    <w:rsid w:val="00E6393D"/>
    <w:rsid w:val="00E64A10"/>
    <w:rsid w:val="00E64F9D"/>
    <w:rsid w:val="00E666DE"/>
    <w:rsid w:val="00E6679D"/>
    <w:rsid w:val="00E70296"/>
    <w:rsid w:val="00E7127F"/>
    <w:rsid w:val="00E723C2"/>
    <w:rsid w:val="00E73194"/>
    <w:rsid w:val="00E73BA7"/>
    <w:rsid w:val="00E75D41"/>
    <w:rsid w:val="00E76694"/>
    <w:rsid w:val="00E77A39"/>
    <w:rsid w:val="00E81E7F"/>
    <w:rsid w:val="00E83FE4"/>
    <w:rsid w:val="00E850D7"/>
    <w:rsid w:val="00E85CD4"/>
    <w:rsid w:val="00E91114"/>
    <w:rsid w:val="00E915F2"/>
    <w:rsid w:val="00E922AD"/>
    <w:rsid w:val="00E92DAA"/>
    <w:rsid w:val="00E95674"/>
    <w:rsid w:val="00E971B6"/>
    <w:rsid w:val="00EA096B"/>
    <w:rsid w:val="00EA1E21"/>
    <w:rsid w:val="00EA28DF"/>
    <w:rsid w:val="00EA61BE"/>
    <w:rsid w:val="00EB15B6"/>
    <w:rsid w:val="00EB3D62"/>
    <w:rsid w:val="00EB61BF"/>
    <w:rsid w:val="00EB6C62"/>
    <w:rsid w:val="00EC090F"/>
    <w:rsid w:val="00EC4D0F"/>
    <w:rsid w:val="00EC4ECD"/>
    <w:rsid w:val="00EC6733"/>
    <w:rsid w:val="00ED0799"/>
    <w:rsid w:val="00ED1B1E"/>
    <w:rsid w:val="00ED1C61"/>
    <w:rsid w:val="00ED6D3A"/>
    <w:rsid w:val="00ED73B7"/>
    <w:rsid w:val="00ED7592"/>
    <w:rsid w:val="00ED76A0"/>
    <w:rsid w:val="00EE14F6"/>
    <w:rsid w:val="00EE1988"/>
    <w:rsid w:val="00EE1ADE"/>
    <w:rsid w:val="00EE1D02"/>
    <w:rsid w:val="00EE1E49"/>
    <w:rsid w:val="00EE22D1"/>
    <w:rsid w:val="00EF0A7E"/>
    <w:rsid w:val="00EF3782"/>
    <w:rsid w:val="00F025CA"/>
    <w:rsid w:val="00F0276F"/>
    <w:rsid w:val="00F02FCC"/>
    <w:rsid w:val="00F079E4"/>
    <w:rsid w:val="00F102E0"/>
    <w:rsid w:val="00F1044A"/>
    <w:rsid w:val="00F114CA"/>
    <w:rsid w:val="00F14ED0"/>
    <w:rsid w:val="00F15ADC"/>
    <w:rsid w:val="00F312EF"/>
    <w:rsid w:val="00F313A5"/>
    <w:rsid w:val="00F331E7"/>
    <w:rsid w:val="00F343E4"/>
    <w:rsid w:val="00F34BC4"/>
    <w:rsid w:val="00F36692"/>
    <w:rsid w:val="00F37393"/>
    <w:rsid w:val="00F40517"/>
    <w:rsid w:val="00F418C1"/>
    <w:rsid w:val="00F44C00"/>
    <w:rsid w:val="00F54426"/>
    <w:rsid w:val="00F603AE"/>
    <w:rsid w:val="00F603BB"/>
    <w:rsid w:val="00F623EB"/>
    <w:rsid w:val="00F70276"/>
    <w:rsid w:val="00F71F85"/>
    <w:rsid w:val="00F7433E"/>
    <w:rsid w:val="00F8100A"/>
    <w:rsid w:val="00F83ACE"/>
    <w:rsid w:val="00F84489"/>
    <w:rsid w:val="00F86787"/>
    <w:rsid w:val="00F868BC"/>
    <w:rsid w:val="00F90BBB"/>
    <w:rsid w:val="00F9536E"/>
    <w:rsid w:val="00FA32E9"/>
    <w:rsid w:val="00FA4293"/>
    <w:rsid w:val="00FA7008"/>
    <w:rsid w:val="00FA7132"/>
    <w:rsid w:val="00FA7FE6"/>
    <w:rsid w:val="00FB18F9"/>
    <w:rsid w:val="00FB7AC5"/>
    <w:rsid w:val="00FC3577"/>
    <w:rsid w:val="00FC5D2F"/>
    <w:rsid w:val="00FC77D7"/>
    <w:rsid w:val="00FD0938"/>
    <w:rsid w:val="00FD5FB7"/>
    <w:rsid w:val="00FD68D8"/>
    <w:rsid w:val="00FE1039"/>
    <w:rsid w:val="00FE2133"/>
    <w:rsid w:val="00FE4CAE"/>
    <w:rsid w:val="00FE5FFA"/>
    <w:rsid w:val="00FF0A55"/>
    <w:rsid w:val="00FF3438"/>
    <w:rsid w:val="00FF5C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E964600"/>
  <w15:chartTrackingRefBased/>
  <w15:docId w15:val="{DA06FF92-1F3E-40B1-A386-DD10F9F3E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lsdException w:name="table of figures" w:uiPriority="99"/>
    <w:lsdException w:name="footnote reference" w:uiPriority="99"/>
    <w:lsdException w:name="annotation reference" w:uiPriority="99"/>
    <w:lsdException w:name="endnote reference" w:uiPriority="99"/>
    <w:lsdException w:name="endnote text" w:uiPriority="99"/>
    <w:lsdException w:name="List Bullet" w:qFormat="1"/>
    <w:lsdException w:name="List Number" w:qFormat="1"/>
    <w:lsdException w:name="Title" w:uiPriority="10"/>
    <w:lsdException w:name="Subtitle" w:uiPriority="11"/>
    <w:lsdException w:name="Hyperlink" w:uiPriority="99"/>
    <w:lsdException w:name="FollowedHyperlink" w:uiPriority="99"/>
    <w:lsdException w:name="Strong" w:uiPriority="22"/>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uiPriority="51"/>
    <w:lsdException w:name="Grid Table 7 Colorful"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uiPriority="51"/>
    <w:lsdException w:name="Grid Table 7 Colorful Accent 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uiPriority="51"/>
    <w:lsdException w:name="Grid Table 7 Colorful Accent 2"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uiPriority="51"/>
    <w:lsdException w:name="Grid Table 7 Colorful Accent 3"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uiPriority="51"/>
    <w:lsdException w:name="Grid Table 7 Colorful Accent 4"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uiPriority="51"/>
    <w:lsdException w:name="Grid Table 7 Colorful Accent 5"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uiPriority="51"/>
    <w:lsdException w:name="Grid Table 7 Colorful Accent 6"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uiPriority="51"/>
    <w:lsdException w:name="List Table 7 Colorful"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uiPriority="51"/>
    <w:lsdException w:name="List Table 7 Colorful Accent 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uiPriority="51"/>
    <w:lsdException w:name="List Table 7 Colorful Accent 2"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uiPriority="51"/>
    <w:lsdException w:name="List Table 7 Colorful Accent 3"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uiPriority="51"/>
    <w:lsdException w:name="List Table 7 Colorful Accent 4"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uiPriority="51"/>
    <w:lsdException w:name="List Table 7 Colorful Accent 5"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uiPriority="51"/>
    <w:lsdException w:name="List Table 7 Colorful Accent 6" w:uiPriority="52"/>
  </w:latentStyles>
  <w:style w:type="paragraph" w:default="1" w:styleId="Normln">
    <w:name w:val="Normal"/>
    <w:rsid w:val="009B2498"/>
    <w:rPr>
      <w:sz w:val="24"/>
      <w:szCs w:val="24"/>
    </w:rPr>
  </w:style>
  <w:style w:type="paragraph" w:styleId="Nadpis1">
    <w:name w:val="heading 1"/>
    <w:basedOn w:val="ZPNadpis1"/>
    <w:next w:val="Odstavec1"/>
    <w:link w:val="Nadpis1Char"/>
    <w:qFormat/>
    <w:rsid w:val="0006632C"/>
    <w:pPr>
      <w:numPr>
        <w:numId w:val="13"/>
      </w:numPr>
    </w:pPr>
  </w:style>
  <w:style w:type="paragraph" w:styleId="Nadpis2">
    <w:name w:val="heading 2"/>
    <w:basedOn w:val="ZPNadpis2"/>
    <w:next w:val="Odstavec1"/>
    <w:link w:val="Nadpis2Char"/>
    <w:uiPriority w:val="1"/>
    <w:qFormat/>
    <w:rsid w:val="0006632C"/>
    <w:pPr>
      <w:numPr>
        <w:ilvl w:val="1"/>
        <w:numId w:val="13"/>
      </w:numPr>
    </w:pPr>
    <w:rPr>
      <w:bCs w:val="0"/>
      <w:iCs/>
    </w:rPr>
  </w:style>
  <w:style w:type="paragraph" w:styleId="Nadpis3">
    <w:name w:val="heading 3"/>
    <w:basedOn w:val="ZPNadpis3"/>
    <w:next w:val="Odstavec1"/>
    <w:link w:val="Nadpis3Char"/>
    <w:uiPriority w:val="9"/>
    <w:qFormat/>
    <w:rsid w:val="0006632C"/>
    <w:pPr>
      <w:numPr>
        <w:ilvl w:val="2"/>
        <w:numId w:val="13"/>
      </w:numPr>
    </w:pPr>
  </w:style>
  <w:style w:type="paragraph" w:styleId="Nadpis4">
    <w:name w:val="heading 4"/>
    <w:basedOn w:val="Normln"/>
    <w:next w:val="Normln"/>
    <w:link w:val="Nadpis4Char"/>
    <w:uiPriority w:val="9"/>
    <w:unhideWhenUsed/>
    <w:rsid w:val="00743F57"/>
    <w:pPr>
      <w:keepNext/>
      <w:spacing w:before="240" w:after="60"/>
      <w:outlineLvl w:val="3"/>
    </w:pPr>
    <w:rPr>
      <w:rFonts w:ascii="Calibri" w:hAnsi="Calibri"/>
      <w:b/>
      <w:bCs/>
      <w:sz w:val="28"/>
      <w:szCs w:val="28"/>
    </w:rPr>
  </w:style>
  <w:style w:type="paragraph" w:styleId="Nadpis5">
    <w:name w:val="heading 5"/>
    <w:basedOn w:val="Nadpis3"/>
    <w:next w:val="Normln"/>
    <w:link w:val="Nadpis5Char"/>
    <w:uiPriority w:val="9"/>
    <w:rsid w:val="00AB6916"/>
    <w:pPr>
      <w:spacing w:before="120" w:after="240" w:line="360" w:lineRule="auto"/>
      <w:ind w:left="1008" w:hanging="1008"/>
      <w:outlineLvl w:val="4"/>
    </w:pPr>
    <w:rPr>
      <w:rFonts w:cs="Times New Roman"/>
      <w:lang w:eastAsia="sk-SK"/>
    </w:rPr>
  </w:style>
  <w:style w:type="paragraph" w:styleId="Nadpis6">
    <w:name w:val="heading 6"/>
    <w:basedOn w:val="Normln"/>
    <w:next w:val="Normln"/>
    <w:link w:val="Nadpis6Char"/>
    <w:uiPriority w:val="9"/>
    <w:unhideWhenUsed/>
    <w:rsid w:val="00743F57"/>
    <w:pPr>
      <w:spacing w:before="240" w:after="60"/>
      <w:outlineLvl w:val="5"/>
    </w:pPr>
    <w:rPr>
      <w:rFonts w:ascii="Calibri" w:hAnsi="Calibri"/>
      <w:b/>
      <w:bCs/>
      <w:sz w:val="22"/>
      <w:szCs w:val="22"/>
    </w:rPr>
  </w:style>
  <w:style w:type="paragraph" w:styleId="Nadpis7">
    <w:name w:val="heading 7"/>
    <w:basedOn w:val="Normln"/>
    <w:next w:val="Normln"/>
    <w:link w:val="Nadpis7Char"/>
    <w:uiPriority w:val="9"/>
    <w:unhideWhenUsed/>
    <w:rsid w:val="00743F57"/>
    <w:pPr>
      <w:spacing w:before="240" w:after="60"/>
      <w:outlineLvl w:val="6"/>
    </w:pPr>
    <w:rPr>
      <w:rFonts w:ascii="Calibri" w:hAnsi="Calibri"/>
    </w:rPr>
  </w:style>
  <w:style w:type="paragraph" w:styleId="Nadpis8">
    <w:name w:val="heading 8"/>
    <w:basedOn w:val="Nadpis3"/>
    <w:next w:val="Normln"/>
    <w:link w:val="Nadpis8Char"/>
    <w:uiPriority w:val="9"/>
    <w:rsid w:val="00AB6916"/>
    <w:pPr>
      <w:spacing w:before="120" w:after="240" w:line="360" w:lineRule="auto"/>
      <w:ind w:left="1440" w:hanging="1440"/>
      <w:outlineLvl w:val="7"/>
    </w:pPr>
    <w:rPr>
      <w:rFonts w:cs="Times New Roman"/>
      <w:bCs w:val="0"/>
      <w:lang w:eastAsia="sk-SK"/>
    </w:rPr>
  </w:style>
  <w:style w:type="paragraph" w:styleId="Nadpis9">
    <w:name w:val="heading 9"/>
    <w:basedOn w:val="Normln"/>
    <w:next w:val="Normln"/>
    <w:link w:val="Nadpis9Char"/>
    <w:uiPriority w:val="9"/>
    <w:unhideWhenUsed/>
    <w:rsid w:val="00743F57"/>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link w:val="Nadpis4"/>
    <w:uiPriority w:val="9"/>
    <w:rsid w:val="00743F57"/>
    <w:rPr>
      <w:rFonts w:ascii="Calibri" w:eastAsia="Times New Roman" w:hAnsi="Calibri" w:cs="Times New Roman"/>
      <w:b/>
      <w:bCs/>
      <w:sz w:val="28"/>
      <w:szCs w:val="28"/>
    </w:rPr>
  </w:style>
  <w:style w:type="character" w:customStyle="1" w:styleId="Nadpis6Char">
    <w:name w:val="Nadpis 6 Char"/>
    <w:link w:val="Nadpis6"/>
    <w:uiPriority w:val="9"/>
    <w:rsid w:val="00743F57"/>
    <w:rPr>
      <w:rFonts w:ascii="Calibri" w:eastAsia="Times New Roman" w:hAnsi="Calibri" w:cs="Times New Roman"/>
      <w:b/>
      <w:bCs/>
      <w:sz w:val="22"/>
      <w:szCs w:val="22"/>
    </w:rPr>
  </w:style>
  <w:style w:type="character" w:customStyle="1" w:styleId="Nadpis7Char">
    <w:name w:val="Nadpis 7 Char"/>
    <w:link w:val="Nadpis7"/>
    <w:uiPriority w:val="9"/>
    <w:rsid w:val="00743F57"/>
    <w:rPr>
      <w:rFonts w:ascii="Calibri" w:eastAsia="Times New Roman" w:hAnsi="Calibri" w:cs="Times New Roman"/>
      <w:sz w:val="24"/>
      <w:szCs w:val="24"/>
    </w:rPr>
  </w:style>
  <w:style w:type="character" w:customStyle="1" w:styleId="Nadpis9Char">
    <w:name w:val="Nadpis 9 Char"/>
    <w:link w:val="Nadpis9"/>
    <w:uiPriority w:val="9"/>
    <w:semiHidden/>
    <w:rsid w:val="00743F57"/>
    <w:rPr>
      <w:rFonts w:ascii="Cambria" w:eastAsia="Times New Roman" w:hAnsi="Cambria" w:cs="Times New Roman"/>
      <w:sz w:val="22"/>
      <w:szCs w:val="22"/>
    </w:rPr>
  </w:style>
  <w:style w:type="paragraph" w:styleId="Obsah1">
    <w:name w:val="toc 1"/>
    <w:basedOn w:val="ZP-Nadpisyzklad"/>
    <w:uiPriority w:val="39"/>
    <w:rsid w:val="008D69A1"/>
    <w:pPr>
      <w:tabs>
        <w:tab w:val="left" w:pos="480"/>
        <w:tab w:val="right" w:pos="8505"/>
      </w:tabs>
      <w:spacing w:before="240" w:after="120" w:line="280" w:lineRule="atLeast"/>
      <w:ind w:left="482" w:right="-2" w:hanging="482"/>
    </w:pPr>
    <w:rPr>
      <w:b/>
      <w:bCs w:val="0"/>
      <w:noProof/>
      <w:color w:val="0000DC"/>
    </w:rPr>
  </w:style>
  <w:style w:type="paragraph" w:customStyle="1" w:styleId="ZPZklad">
    <w:name w:val="ZP: Základ"/>
    <w:link w:val="ZPZkladChar"/>
    <w:rsid w:val="0006632C"/>
    <w:pPr>
      <w:spacing w:line="300" w:lineRule="atLeast"/>
      <w:jc w:val="both"/>
    </w:pPr>
    <w:rPr>
      <w:rFonts w:ascii="Cambria" w:hAnsi="Cambria"/>
      <w:sz w:val="24"/>
      <w:szCs w:val="24"/>
    </w:rPr>
  </w:style>
  <w:style w:type="paragraph" w:customStyle="1" w:styleId="Dalodstavce">
    <w:name w:val="Další odstavce"/>
    <w:basedOn w:val="ZPZklad"/>
    <w:link w:val="DalodstavceChar"/>
    <w:uiPriority w:val="10"/>
    <w:qFormat/>
    <w:rsid w:val="00A2558D"/>
    <w:pPr>
      <w:ind w:firstLine="482"/>
    </w:pPr>
  </w:style>
  <w:style w:type="character" w:customStyle="1" w:styleId="DalodstavceChar">
    <w:name w:val="Další odstavce Char"/>
    <w:basedOn w:val="ZPZkladChar"/>
    <w:link w:val="Dalodstavce"/>
    <w:uiPriority w:val="10"/>
    <w:rsid w:val="000D7A70"/>
    <w:rPr>
      <w:rFonts w:ascii="Cambria" w:hAnsi="Cambria"/>
      <w:sz w:val="24"/>
      <w:szCs w:val="24"/>
    </w:rPr>
  </w:style>
  <w:style w:type="character" w:customStyle="1" w:styleId="ZPZkladChar">
    <w:name w:val="ZP: Základ Char"/>
    <w:link w:val="ZPZklad"/>
    <w:rsid w:val="0006632C"/>
    <w:rPr>
      <w:rFonts w:ascii="Cambria" w:hAnsi="Cambria"/>
      <w:sz w:val="24"/>
      <w:szCs w:val="24"/>
    </w:rPr>
  </w:style>
  <w:style w:type="paragraph" w:customStyle="1" w:styleId="inZPNadpisy">
    <w:name w:val="inZP: Nadpisy"/>
    <w:basedOn w:val="ZPZklad"/>
    <w:link w:val="inZPNadpisyChar"/>
    <w:rsid w:val="00B9713F"/>
    <w:pPr>
      <w:keepNext/>
      <w:keepLines/>
      <w:suppressAutoHyphens/>
      <w:jc w:val="left"/>
    </w:pPr>
    <w:rPr>
      <w:rFonts w:asciiTheme="majorHAnsi" w:hAnsiTheme="majorHAnsi"/>
      <w:b/>
      <w:kern w:val="32"/>
    </w:rPr>
  </w:style>
  <w:style w:type="character" w:customStyle="1" w:styleId="inZPNadpisyChar">
    <w:name w:val="inZP: Nadpisy Char"/>
    <w:link w:val="inZPNadpisy"/>
    <w:rsid w:val="00B9713F"/>
    <w:rPr>
      <w:rFonts w:asciiTheme="majorHAnsi" w:hAnsiTheme="majorHAnsi"/>
      <w:b/>
      <w:kern w:val="32"/>
      <w:sz w:val="24"/>
      <w:szCs w:val="24"/>
      <w:lang w:val="sk-SK"/>
    </w:rPr>
  </w:style>
  <w:style w:type="paragraph" w:customStyle="1" w:styleId="ZPNadpis1vodn">
    <w:name w:val="ZP Nadpis 1 úvodní"/>
    <w:basedOn w:val="ZPNadpisy1"/>
    <w:rsid w:val="00A00BBC"/>
  </w:style>
  <w:style w:type="paragraph" w:customStyle="1" w:styleId="ZPZapatlich">
    <w:name w:val="ZP Zapatí liché"/>
    <w:basedOn w:val="inZPZhlavapaty"/>
    <w:link w:val="ZPZapatlichChar"/>
    <w:rsid w:val="0095124B"/>
    <w:pPr>
      <w:jc w:val="right"/>
    </w:pPr>
  </w:style>
  <w:style w:type="paragraph" w:customStyle="1" w:styleId="podnadpis">
    <w:name w:val="podnadpis"/>
    <w:basedOn w:val="Normln"/>
    <w:semiHidden/>
    <w:rsid w:val="00B8051E"/>
    <w:pPr>
      <w:numPr>
        <w:ilvl w:val="1"/>
        <w:numId w:val="1"/>
      </w:numPr>
    </w:pPr>
  </w:style>
  <w:style w:type="paragraph" w:customStyle="1" w:styleId="mujnadpis2">
    <w:name w:val="muj nadpis 2"/>
    <w:basedOn w:val="Normln"/>
    <w:semiHidden/>
    <w:rsid w:val="008A0030"/>
  </w:style>
  <w:style w:type="paragraph" w:customStyle="1" w:styleId="inZPZhlavstr">
    <w:name w:val="inZP: Záhlaví str."/>
    <w:basedOn w:val="inZPZhlavapaty"/>
    <w:link w:val="inZPZhlavstrChar"/>
    <w:rsid w:val="00A221A7"/>
    <w:pPr>
      <w:pBdr>
        <w:bottom w:val="single" w:sz="4" w:space="1" w:color="auto"/>
      </w:pBdr>
      <w:tabs>
        <w:tab w:val="left" w:pos="0"/>
        <w:tab w:val="right" w:pos="8505"/>
      </w:tabs>
      <w:spacing w:after="360"/>
      <w:contextualSpacing/>
    </w:pPr>
    <w:rPr>
      <w:rFonts w:asciiTheme="majorHAnsi" w:hAnsiTheme="majorHAnsi"/>
    </w:rPr>
  </w:style>
  <w:style w:type="paragraph" w:customStyle="1" w:styleId="inZPZhlavapaty">
    <w:name w:val="inZP: Záhlaví a paty"/>
    <w:basedOn w:val="ZPZklad"/>
    <w:link w:val="inZPZhlavapatyChar"/>
    <w:rsid w:val="00612ED3"/>
    <w:pPr>
      <w:keepNext/>
      <w:keepLines/>
      <w:suppressAutoHyphens/>
      <w:jc w:val="center"/>
    </w:pPr>
    <w:rPr>
      <w:smallCaps/>
    </w:rPr>
  </w:style>
  <w:style w:type="character" w:customStyle="1" w:styleId="inZPZhlavapatyChar">
    <w:name w:val="inZP: Záhlaví a paty Char"/>
    <w:basedOn w:val="ZPZkladChar"/>
    <w:link w:val="inZPZhlavapaty"/>
    <w:rsid w:val="00612ED3"/>
    <w:rPr>
      <w:rFonts w:ascii="Cambria" w:hAnsi="Cambria"/>
      <w:smallCaps/>
      <w:sz w:val="24"/>
      <w:szCs w:val="24"/>
    </w:rPr>
  </w:style>
  <w:style w:type="character" w:customStyle="1" w:styleId="inZPZhlavstrChar">
    <w:name w:val="inZP: Záhlaví str. Char"/>
    <w:basedOn w:val="inZPZhlavapatyChar"/>
    <w:link w:val="inZPZhlavstr"/>
    <w:rsid w:val="00A221A7"/>
    <w:rPr>
      <w:rFonts w:asciiTheme="majorHAnsi" w:hAnsiTheme="majorHAnsi"/>
      <w:smallCaps/>
      <w:sz w:val="24"/>
      <w:szCs w:val="24"/>
      <w:lang w:val="sk-SK"/>
    </w:rPr>
  </w:style>
  <w:style w:type="numbering" w:customStyle="1" w:styleId="ZPVetsodrkami">
    <w:name w:val="ZP: Výčet s odrážkami"/>
    <w:basedOn w:val="Bezseznamu"/>
    <w:rsid w:val="00E73BA7"/>
    <w:pPr>
      <w:numPr>
        <w:numId w:val="4"/>
      </w:numPr>
    </w:pPr>
  </w:style>
  <w:style w:type="character" w:styleId="Zstupntext">
    <w:name w:val="Placeholder Text"/>
    <w:basedOn w:val="Standardnpsmoodstavce"/>
    <w:uiPriority w:val="99"/>
    <w:semiHidden/>
    <w:rsid w:val="00E24921"/>
    <w:rPr>
      <w:color w:val="808080"/>
    </w:rPr>
  </w:style>
  <w:style w:type="paragraph" w:styleId="Zhlav">
    <w:name w:val="header"/>
    <w:basedOn w:val="Normln"/>
    <w:link w:val="ZhlavChar"/>
    <w:uiPriority w:val="99"/>
    <w:rsid w:val="00984F82"/>
    <w:pPr>
      <w:tabs>
        <w:tab w:val="center" w:pos="4536"/>
        <w:tab w:val="right" w:pos="9072"/>
      </w:tabs>
    </w:pPr>
  </w:style>
  <w:style w:type="paragraph" w:styleId="Zpat">
    <w:name w:val="footer"/>
    <w:basedOn w:val="Normln"/>
    <w:link w:val="ZpatChar"/>
    <w:uiPriority w:val="99"/>
    <w:rsid w:val="00984F82"/>
    <w:pPr>
      <w:tabs>
        <w:tab w:val="center" w:pos="4536"/>
        <w:tab w:val="right" w:pos="9072"/>
      </w:tabs>
    </w:pPr>
  </w:style>
  <w:style w:type="paragraph" w:styleId="Textpoznpodarou">
    <w:name w:val="footnote text"/>
    <w:basedOn w:val="ZPZklad"/>
    <w:link w:val="TextpoznpodarouChar"/>
    <w:uiPriority w:val="99"/>
    <w:rsid w:val="00E73194"/>
    <w:pPr>
      <w:ind w:left="300" w:hanging="300"/>
      <w:jc w:val="left"/>
    </w:pPr>
    <w:rPr>
      <w:sz w:val="20"/>
      <w:szCs w:val="20"/>
    </w:rPr>
  </w:style>
  <w:style w:type="character" w:styleId="Znakapoznpodarou">
    <w:name w:val="footnote reference"/>
    <w:uiPriority w:val="99"/>
    <w:rsid w:val="00E73194"/>
    <w:rPr>
      <w:vertAlign w:val="superscript"/>
    </w:rPr>
  </w:style>
  <w:style w:type="paragraph" w:customStyle="1" w:styleId="inZPTypprce">
    <w:name w:val="inZP: Typ práce"/>
    <w:basedOn w:val="inZPNadpisy"/>
    <w:rsid w:val="00283847"/>
    <w:pPr>
      <w:spacing w:before="560" w:after="360" w:line="360" w:lineRule="atLeast"/>
      <w:jc w:val="center"/>
    </w:pPr>
    <w:rPr>
      <w:sz w:val="36"/>
    </w:rPr>
  </w:style>
  <w:style w:type="paragraph" w:customStyle="1" w:styleId="inZPPolovinodsazen">
    <w:name w:val="inZP: Poloviční odsazení"/>
    <w:basedOn w:val="inZPNadpisy"/>
    <w:rsid w:val="00042887"/>
    <w:pPr>
      <w:spacing w:before="2400" w:after="140"/>
    </w:pPr>
  </w:style>
  <w:style w:type="paragraph" w:styleId="Obsah2">
    <w:name w:val="toc 2"/>
    <w:basedOn w:val="Normln"/>
    <w:autoRedefine/>
    <w:uiPriority w:val="39"/>
    <w:rsid w:val="00906BB7"/>
    <w:pPr>
      <w:tabs>
        <w:tab w:val="left" w:pos="851"/>
        <w:tab w:val="right" w:leader="dot" w:pos="8505"/>
      </w:tabs>
      <w:spacing w:before="120"/>
      <w:ind w:left="1089" w:hanging="851"/>
    </w:pPr>
    <w:rPr>
      <w:rFonts w:ascii="Cambria" w:hAnsi="Cambria"/>
      <w:iCs/>
      <w:noProof/>
    </w:rPr>
  </w:style>
  <w:style w:type="paragraph" w:styleId="Obsah3">
    <w:name w:val="toc 3"/>
    <w:basedOn w:val="Normln"/>
    <w:autoRedefine/>
    <w:uiPriority w:val="39"/>
    <w:rsid w:val="00C35CD5"/>
    <w:pPr>
      <w:tabs>
        <w:tab w:val="left" w:pos="1361"/>
        <w:tab w:val="right" w:leader="dot" w:pos="8505"/>
      </w:tabs>
      <w:spacing w:before="120" w:line="280" w:lineRule="atLeast"/>
      <w:ind w:left="482"/>
      <w:jc w:val="both"/>
    </w:pPr>
    <w:rPr>
      <w:rFonts w:ascii="Cambria" w:hAnsi="Cambria"/>
      <w:noProof/>
    </w:rPr>
  </w:style>
  <w:style w:type="paragraph" w:styleId="Obsah4">
    <w:name w:val="toc 4"/>
    <w:basedOn w:val="Normln"/>
    <w:next w:val="Normln"/>
    <w:autoRedefine/>
    <w:uiPriority w:val="39"/>
    <w:rsid w:val="00A86718"/>
    <w:pPr>
      <w:ind w:left="720"/>
    </w:pPr>
    <w:rPr>
      <w:sz w:val="20"/>
      <w:szCs w:val="20"/>
    </w:rPr>
  </w:style>
  <w:style w:type="paragraph" w:styleId="Obsah5">
    <w:name w:val="toc 5"/>
    <w:basedOn w:val="Normln"/>
    <w:next w:val="Normln"/>
    <w:autoRedefine/>
    <w:uiPriority w:val="39"/>
    <w:rsid w:val="00A86718"/>
    <w:pPr>
      <w:ind w:left="960"/>
    </w:pPr>
    <w:rPr>
      <w:sz w:val="20"/>
      <w:szCs w:val="20"/>
    </w:rPr>
  </w:style>
  <w:style w:type="paragraph" w:styleId="Obsah6">
    <w:name w:val="toc 6"/>
    <w:basedOn w:val="Normln"/>
    <w:next w:val="Normln"/>
    <w:autoRedefine/>
    <w:uiPriority w:val="39"/>
    <w:rsid w:val="00A86718"/>
    <w:pPr>
      <w:ind w:left="1200"/>
    </w:pPr>
    <w:rPr>
      <w:sz w:val="20"/>
      <w:szCs w:val="20"/>
    </w:rPr>
  </w:style>
  <w:style w:type="paragraph" w:styleId="Obsah7">
    <w:name w:val="toc 7"/>
    <w:basedOn w:val="Normln"/>
    <w:next w:val="Normln"/>
    <w:autoRedefine/>
    <w:uiPriority w:val="39"/>
    <w:rsid w:val="00A86718"/>
    <w:pPr>
      <w:ind w:left="1440"/>
    </w:pPr>
    <w:rPr>
      <w:sz w:val="20"/>
      <w:szCs w:val="20"/>
    </w:rPr>
  </w:style>
  <w:style w:type="paragraph" w:styleId="Obsah8">
    <w:name w:val="toc 8"/>
    <w:basedOn w:val="Normln"/>
    <w:next w:val="Normln"/>
    <w:autoRedefine/>
    <w:uiPriority w:val="39"/>
    <w:rsid w:val="00A86718"/>
    <w:pPr>
      <w:ind w:left="1680"/>
    </w:pPr>
    <w:rPr>
      <w:sz w:val="20"/>
      <w:szCs w:val="20"/>
    </w:rPr>
  </w:style>
  <w:style w:type="paragraph" w:styleId="Obsah9">
    <w:name w:val="toc 9"/>
    <w:basedOn w:val="Obsah10"/>
    <w:uiPriority w:val="39"/>
    <w:rsid w:val="00D06678"/>
  </w:style>
  <w:style w:type="paragraph" w:customStyle="1" w:styleId="Obsah10">
    <w:name w:val="Obsah 10"/>
    <w:basedOn w:val="Obsah1"/>
    <w:rsid w:val="00D06678"/>
    <w:pPr>
      <w:tabs>
        <w:tab w:val="clear" w:pos="480"/>
        <w:tab w:val="left" w:pos="851"/>
      </w:tabs>
      <w:spacing w:before="120" w:after="0"/>
    </w:pPr>
    <w:rPr>
      <w:b w:val="0"/>
    </w:rPr>
  </w:style>
  <w:style w:type="paragraph" w:customStyle="1" w:styleId="ZPNadpis30">
    <w:name w:val="ZP: Nadpis 3"/>
    <w:basedOn w:val="inZPNadpisy"/>
    <w:next w:val="ZPZklad"/>
    <w:rsid w:val="009F057F"/>
    <w:pPr>
      <w:spacing w:before="280" w:after="140"/>
      <w:outlineLvl w:val="2"/>
    </w:pPr>
  </w:style>
  <w:style w:type="table" w:styleId="Tabulkasprostorovmiefekty1">
    <w:name w:val="Table 3D effects 1"/>
    <w:basedOn w:val="Normlntabulka"/>
    <w:semiHidden/>
    <w:rsid w:val="003451D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3451D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3451D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3451D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3451D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3451DC"/>
    <w:pPr>
      <w:spacing w:after="120"/>
      <w:ind w:left="1440" w:right="1440"/>
    </w:pPr>
  </w:style>
  <w:style w:type="character" w:styleId="UkzkaHTML">
    <w:name w:val="HTML Sample"/>
    <w:semiHidden/>
    <w:rsid w:val="003451DC"/>
    <w:rPr>
      <w:rFonts w:ascii="Courier New" w:hAnsi="Courier New" w:cs="Courier New"/>
    </w:rPr>
  </w:style>
  <w:style w:type="table" w:styleId="Webovtabulka1">
    <w:name w:val="Table Web 1"/>
    <w:basedOn w:val="Normlntabulka"/>
    <w:semiHidden/>
    <w:rsid w:val="003451D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3451D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3451D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semiHidden/>
    <w:rsid w:val="003451D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3451DC"/>
    <w:pPr>
      <w:spacing w:after="120"/>
    </w:pPr>
  </w:style>
  <w:style w:type="paragraph" w:styleId="Zkladntext-prvnodsazen">
    <w:name w:val="Body Text First Indent"/>
    <w:basedOn w:val="Zkladntext"/>
    <w:semiHidden/>
    <w:rsid w:val="003451DC"/>
    <w:pPr>
      <w:ind w:firstLine="210"/>
    </w:pPr>
  </w:style>
  <w:style w:type="paragraph" w:styleId="Zkladntextodsazen">
    <w:name w:val="Body Text Indent"/>
    <w:basedOn w:val="Normln"/>
    <w:semiHidden/>
    <w:rsid w:val="003451DC"/>
    <w:pPr>
      <w:spacing w:after="120"/>
      <w:ind w:left="283"/>
    </w:pPr>
  </w:style>
  <w:style w:type="paragraph" w:styleId="Zkladntext-prvnodsazen2">
    <w:name w:val="Body Text First Indent 2"/>
    <w:basedOn w:val="Zkladntextodsazen"/>
    <w:semiHidden/>
    <w:rsid w:val="003451DC"/>
    <w:pPr>
      <w:ind w:firstLine="210"/>
    </w:pPr>
  </w:style>
  <w:style w:type="paragraph" w:styleId="Zkladntext2">
    <w:name w:val="Body Text 2"/>
    <w:basedOn w:val="Normln"/>
    <w:semiHidden/>
    <w:rsid w:val="003451DC"/>
    <w:pPr>
      <w:spacing w:after="120" w:line="480" w:lineRule="auto"/>
    </w:pPr>
  </w:style>
  <w:style w:type="paragraph" w:styleId="Zkladntext3">
    <w:name w:val="Body Text 3"/>
    <w:basedOn w:val="Normln"/>
    <w:semiHidden/>
    <w:rsid w:val="003451DC"/>
    <w:pPr>
      <w:spacing w:after="120"/>
    </w:pPr>
    <w:rPr>
      <w:sz w:val="16"/>
      <w:szCs w:val="16"/>
    </w:rPr>
  </w:style>
  <w:style w:type="paragraph" w:styleId="Zkladntextodsazen2">
    <w:name w:val="Body Text Indent 2"/>
    <w:basedOn w:val="Normln"/>
    <w:semiHidden/>
    <w:rsid w:val="003451DC"/>
    <w:pPr>
      <w:spacing w:after="120" w:line="480" w:lineRule="auto"/>
      <w:ind w:left="283"/>
    </w:pPr>
  </w:style>
  <w:style w:type="paragraph" w:styleId="Zkladntextodsazen3">
    <w:name w:val="Body Text Indent 3"/>
    <w:basedOn w:val="Normln"/>
    <w:semiHidden/>
    <w:rsid w:val="003451DC"/>
    <w:pPr>
      <w:spacing w:after="120"/>
      <w:ind w:left="283"/>
    </w:pPr>
    <w:rPr>
      <w:sz w:val="16"/>
      <w:szCs w:val="16"/>
    </w:rPr>
  </w:style>
  <w:style w:type="paragraph" w:styleId="Zvr">
    <w:name w:val="Closing"/>
    <w:basedOn w:val="Normln"/>
    <w:semiHidden/>
    <w:rsid w:val="003451DC"/>
    <w:pPr>
      <w:ind w:left="4252"/>
    </w:pPr>
  </w:style>
  <w:style w:type="paragraph" w:styleId="Zptenadresanaoblku">
    <w:name w:val="envelope return"/>
    <w:basedOn w:val="Normln"/>
    <w:semiHidden/>
    <w:rsid w:val="003451DC"/>
    <w:rPr>
      <w:rFonts w:ascii="Arial" w:hAnsi="Arial" w:cs="Arial"/>
      <w:sz w:val="20"/>
      <w:szCs w:val="20"/>
    </w:rPr>
  </w:style>
  <w:style w:type="numbering" w:customStyle="1" w:styleId="slovnkapitol">
    <w:name w:val="Číslování kapitol"/>
    <w:uiPriority w:val="99"/>
    <w:rsid w:val="0006632C"/>
    <w:pPr>
      <w:numPr>
        <w:numId w:val="5"/>
      </w:numPr>
    </w:pPr>
  </w:style>
  <w:style w:type="table" w:styleId="Mkatabulky">
    <w:name w:val="Table Grid"/>
    <w:basedOn w:val="Normlntabulka"/>
    <w:uiPriority w:val="39"/>
    <w:rsid w:val="0083198F"/>
    <w:pPr>
      <w:keepNext/>
      <w:keepLines/>
      <w:suppressAutoHyphens/>
      <w:spacing w:line="280" w:lineRule="atLeast"/>
      <w:jc w:val="center"/>
    </w:pPr>
    <w:rPr>
      <w:rFonts w:ascii="Bookman Old Style" w:hAnsi="Bookman Old Style"/>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rFonts w:ascii="DengXian" w:hAnsi="DengXian"/>
        <w:sz w:val="24"/>
      </w:rPr>
    </w:tblStylePr>
  </w:style>
  <w:style w:type="character" w:customStyle="1" w:styleId="ZPLiteratura-jmnoautora">
    <w:name w:val="ZP: Literatura - jméno autora"/>
    <w:rsid w:val="00B06CB3"/>
    <w:rPr>
      <w:smallCaps/>
    </w:rPr>
  </w:style>
  <w:style w:type="character" w:customStyle="1" w:styleId="ZPLiteratura-nzevdla">
    <w:name w:val="ZP: Literatura - název díla"/>
    <w:rsid w:val="00B06CB3"/>
    <w:rPr>
      <w:i/>
    </w:rPr>
  </w:style>
  <w:style w:type="paragraph" w:customStyle="1" w:styleId="ZPLiteratura">
    <w:name w:val="ZP: Literatura"/>
    <w:basedOn w:val="ZPZklad"/>
    <w:rsid w:val="00DF505D"/>
    <w:pPr>
      <w:numPr>
        <w:numId w:val="3"/>
      </w:numPr>
      <w:spacing w:before="60"/>
      <w:jc w:val="left"/>
    </w:pPr>
  </w:style>
  <w:style w:type="character" w:customStyle="1" w:styleId="ZPVyznaen">
    <w:name w:val="ZP: Vyznačení"/>
    <w:rsid w:val="005253A0"/>
    <w:rPr>
      <w:i/>
    </w:rPr>
  </w:style>
  <w:style w:type="character" w:customStyle="1" w:styleId="ZPSilnvyznaen">
    <w:name w:val="ZP: Silné vyznačení"/>
    <w:rsid w:val="005253A0"/>
    <w:rPr>
      <w:b/>
    </w:rPr>
  </w:style>
  <w:style w:type="paragraph" w:customStyle="1" w:styleId="Styl1">
    <w:name w:val="Styl1"/>
    <w:basedOn w:val="Normln"/>
    <w:semiHidden/>
    <w:rsid w:val="008A0030"/>
    <w:pPr>
      <w:keepNext/>
      <w:keepLines/>
      <w:suppressAutoHyphens/>
    </w:pPr>
  </w:style>
  <w:style w:type="paragraph" w:customStyle="1" w:styleId="inZPPodpisprohlen">
    <w:name w:val="inZP: Podpis prohlášení"/>
    <w:basedOn w:val="ZPZklad"/>
    <w:rsid w:val="00FF3438"/>
    <w:pPr>
      <w:tabs>
        <w:tab w:val="center" w:pos="7088"/>
      </w:tabs>
      <w:spacing w:before="280"/>
    </w:pPr>
  </w:style>
  <w:style w:type="character" w:customStyle="1" w:styleId="ZPAnglicktext">
    <w:name w:val="ZP: Anglický text"/>
    <w:rsid w:val="000F1C94"/>
    <w:rPr>
      <w:lang w:val="en-GB"/>
    </w:rPr>
  </w:style>
  <w:style w:type="paragraph" w:customStyle="1" w:styleId="Rozvrendokumentu">
    <w:name w:val="Rozvržení dokumentu"/>
    <w:basedOn w:val="Normln"/>
    <w:semiHidden/>
    <w:rsid w:val="005253A0"/>
    <w:pPr>
      <w:shd w:val="clear" w:color="auto" w:fill="000080"/>
    </w:pPr>
    <w:rPr>
      <w:rFonts w:ascii="Tahoma" w:hAnsi="Tahoma" w:cs="Tahoma"/>
    </w:rPr>
  </w:style>
  <w:style w:type="paragraph" w:customStyle="1" w:styleId="Ploha1">
    <w:name w:val="Příloha 1"/>
    <w:basedOn w:val="ZPNadpis1"/>
    <w:next w:val="ZPZklad"/>
    <w:link w:val="Ploha1Char"/>
    <w:uiPriority w:val="49"/>
    <w:qFormat/>
    <w:rsid w:val="00F102E0"/>
    <w:pPr>
      <w:numPr>
        <w:numId w:val="6"/>
      </w:numPr>
      <w:ind w:left="360"/>
    </w:pPr>
  </w:style>
  <w:style w:type="paragraph" w:customStyle="1" w:styleId="Ploha2">
    <w:name w:val="Příloha 2"/>
    <w:basedOn w:val="ZPNadpis2"/>
    <w:next w:val="ZPZklad"/>
    <w:link w:val="Ploha2Char"/>
    <w:uiPriority w:val="50"/>
    <w:qFormat/>
    <w:rsid w:val="00845927"/>
    <w:pPr>
      <w:numPr>
        <w:ilvl w:val="1"/>
        <w:numId w:val="6"/>
      </w:numPr>
    </w:pPr>
  </w:style>
  <w:style w:type="paragraph" w:customStyle="1" w:styleId="ZPZhlavvpravo">
    <w:name w:val="ZP: Záhlaví vpravo"/>
    <w:basedOn w:val="inZPZhlavstr"/>
    <w:rsid w:val="00713C76"/>
    <w:pPr>
      <w:jc w:val="right"/>
    </w:pPr>
  </w:style>
  <w:style w:type="paragraph" w:customStyle="1" w:styleId="ZPZhlavvlevo">
    <w:name w:val="ZP: Záhlaví vlevo"/>
    <w:basedOn w:val="inZPZhlavstr"/>
    <w:link w:val="ZPZhlavvlevoChar"/>
    <w:rsid w:val="0074241C"/>
    <w:pPr>
      <w:jc w:val="left"/>
    </w:pPr>
  </w:style>
  <w:style w:type="character" w:customStyle="1" w:styleId="ZPZhlavvlevoChar">
    <w:name w:val="ZP: Záhlaví vlevo Char"/>
    <w:basedOn w:val="inZPZhlavstrChar"/>
    <w:link w:val="ZPZhlavvlevo"/>
    <w:rsid w:val="0074241C"/>
    <w:rPr>
      <w:rFonts w:ascii="Cambria" w:hAnsi="Cambria"/>
      <w:smallCaps/>
      <w:sz w:val="24"/>
      <w:szCs w:val="24"/>
      <w:lang w:val="sk-SK"/>
    </w:rPr>
  </w:style>
  <w:style w:type="paragraph" w:customStyle="1" w:styleId="inZPKlovslova">
    <w:name w:val="inZP: Klíčová slova"/>
    <w:basedOn w:val="ZPZklad"/>
    <w:rsid w:val="00B9713F"/>
    <w:pPr>
      <w:spacing w:before="280" w:after="140"/>
      <w:jc w:val="left"/>
    </w:pPr>
    <w:rPr>
      <w:rFonts w:asciiTheme="majorHAnsi" w:hAnsiTheme="majorHAnsi"/>
      <w:b/>
    </w:rPr>
  </w:style>
  <w:style w:type="paragraph" w:customStyle="1" w:styleId="ZPZhlavtitulnlist">
    <w:name w:val="ZP: Záhlaví titulní list"/>
    <w:basedOn w:val="inZPZhlavstr"/>
    <w:rsid w:val="009951BF"/>
    <w:rPr>
      <w:b/>
      <w:sz w:val="32"/>
    </w:rPr>
  </w:style>
  <w:style w:type="paragraph" w:customStyle="1" w:styleId="ZPHlavnnadpis--plohy">
    <w:name w:val="ZP: Hlavní nadpis -- přílohy"/>
    <w:basedOn w:val="Normln"/>
    <w:next w:val="ZPZklad"/>
    <w:rsid w:val="007F013D"/>
    <w:pPr>
      <w:keepNext/>
      <w:keepLines/>
      <w:pageBreakBefore/>
      <w:numPr>
        <w:numId w:val="2"/>
      </w:numPr>
      <w:suppressAutoHyphens/>
      <w:spacing w:after="280" w:line="480" w:lineRule="atLeast"/>
      <w:outlineLvl w:val="0"/>
    </w:pPr>
    <w:rPr>
      <w:rFonts w:asciiTheme="majorHAnsi" w:hAnsiTheme="majorHAnsi"/>
      <w:b/>
      <w:kern w:val="32"/>
      <w:sz w:val="40"/>
      <w:szCs w:val="40"/>
    </w:rPr>
  </w:style>
  <w:style w:type="paragraph" w:customStyle="1" w:styleId="inZPVertiklnmezerastrnka">
    <w:name w:val="inZP: Vertikální mezera stránka"/>
    <w:basedOn w:val="ZPZklad"/>
    <w:next w:val="inZPKlovslova"/>
    <w:rsid w:val="007C294D"/>
    <w:pPr>
      <w:spacing w:before="10206"/>
    </w:pPr>
  </w:style>
  <w:style w:type="paragraph" w:customStyle="1" w:styleId="ZPOddlovaseznam">
    <w:name w:val="ZP: Oddělovač seznamů"/>
    <w:basedOn w:val="ZPZklad"/>
    <w:uiPriority w:val="32"/>
    <w:qFormat/>
    <w:rsid w:val="007C050F"/>
    <w:pPr>
      <w:spacing w:line="140" w:lineRule="exact"/>
    </w:pPr>
  </w:style>
  <w:style w:type="paragraph" w:customStyle="1" w:styleId="ZPPatatitulnstrnky">
    <w:name w:val="ZP: Pata titulní stránky"/>
    <w:basedOn w:val="inZPZhlavapaty"/>
    <w:rsid w:val="00A221A7"/>
    <w:rPr>
      <w:rFonts w:asciiTheme="majorHAnsi" w:hAnsiTheme="majorHAnsi"/>
      <w:b/>
      <w:sz w:val="32"/>
    </w:rPr>
  </w:style>
  <w:style w:type="paragraph" w:customStyle="1" w:styleId="inZPVertiklnmezerastrnkamen">
    <w:name w:val="inZP: Vertikální mezera stránka menší"/>
    <w:basedOn w:val="inZPVertiklnmezerastrnka"/>
    <w:rsid w:val="00E73BA7"/>
    <w:pPr>
      <w:spacing w:before="9400"/>
    </w:pPr>
    <w:rPr>
      <w:szCs w:val="20"/>
    </w:rPr>
  </w:style>
  <w:style w:type="paragraph" w:customStyle="1" w:styleId="ZPSeznamzkratek">
    <w:name w:val="ZP: Seznam zkratek"/>
    <w:basedOn w:val="ZPZklad"/>
    <w:rsid w:val="00DC0619"/>
    <w:pPr>
      <w:tabs>
        <w:tab w:val="left" w:pos="1985"/>
        <w:tab w:val="left" w:pos="2268"/>
      </w:tabs>
      <w:spacing w:after="140"/>
      <w:ind w:left="2268" w:hanging="2268"/>
    </w:pPr>
  </w:style>
  <w:style w:type="paragraph" w:customStyle="1" w:styleId="ZPTitulkaautor">
    <w:name w:val="ZP Titulka autor"/>
    <w:basedOn w:val="ZP-Nadpisyzklad"/>
    <w:rsid w:val="007066FD"/>
    <w:pPr>
      <w:spacing w:line="420" w:lineRule="exact"/>
      <w:jc w:val="center"/>
    </w:pPr>
    <w:rPr>
      <w:caps/>
      <w:sz w:val="34"/>
    </w:rPr>
  </w:style>
  <w:style w:type="character" w:customStyle="1" w:styleId="Ploha1Char">
    <w:name w:val="Příloha 1 Char"/>
    <w:basedOn w:val="Standardnpsmoodstavce"/>
    <w:link w:val="Ploha1"/>
    <w:uiPriority w:val="49"/>
    <w:rsid w:val="000D7A70"/>
    <w:rPr>
      <w:rFonts w:ascii="Arial" w:hAnsi="Arial" w:cs="Arial"/>
      <w:b/>
      <w:bCs/>
      <w:color w:val="0000DC"/>
      <w:sz w:val="34"/>
      <w:szCs w:val="40"/>
    </w:rPr>
  </w:style>
  <w:style w:type="numbering" w:customStyle="1" w:styleId="slovnploh">
    <w:name w:val="Číslování příloh"/>
    <w:uiPriority w:val="99"/>
    <w:rsid w:val="00F102E0"/>
    <w:pPr>
      <w:numPr>
        <w:numId w:val="6"/>
      </w:numPr>
    </w:pPr>
  </w:style>
  <w:style w:type="character" w:customStyle="1" w:styleId="TextpoznpodarouChar">
    <w:name w:val="Text pozn. pod čarou Char"/>
    <w:link w:val="Textpoznpodarou"/>
    <w:uiPriority w:val="99"/>
    <w:rsid w:val="00E73194"/>
    <w:rPr>
      <w:rFonts w:ascii="Cambria" w:hAnsi="Cambria"/>
      <w:lang w:val="sk-SK"/>
    </w:rPr>
  </w:style>
  <w:style w:type="paragraph" w:customStyle="1" w:styleId="ZPZaptsud">
    <w:name w:val="ZP Zapátí sudé"/>
    <w:basedOn w:val="inZPZhlavapaty"/>
    <w:rsid w:val="0095124B"/>
    <w:pPr>
      <w:jc w:val="left"/>
    </w:pPr>
  </w:style>
  <w:style w:type="character" w:customStyle="1" w:styleId="Nadpis5Char">
    <w:name w:val="Nadpis 5 Char"/>
    <w:link w:val="Nadpis5"/>
    <w:uiPriority w:val="9"/>
    <w:rsid w:val="00AB6916"/>
    <w:rPr>
      <w:rFonts w:ascii="Arial" w:hAnsi="Arial"/>
      <w:b/>
      <w:bCs/>
      <w:color w:val="0000DC"/>
      <w:sz w:val="24"/>
      <w:szCs w:val="24"/>
      <w:lang w:eastAsia="sk-SK"/>
    </w:rPr>
  </w:style>
  <w:style w:type="character" w:customStyle="1" w:styleId="Nadpis8Char">
    <w:name w:val="Nadpis 8 Char"/>
    <w:link w:val="Nadpis8"/>
    <w:uiPriority w:val="9"/>
    <w:rsid w:val="00AB6916"/>
    <w:rPr>
      <w:rFonts w:ascii="Arial" w:hAnsi="Arial"/>
      <w:b/>
      <w:color w:val="0000DC"/>
      <w:sz w:val="24"/>
      <w:szCs w:val="24"/>
      <w:lang w:eastAsia="sk-SK"/>
    </w:rPr>
  </w:style>
  <w:style w:type="character" w:customStyle="1" w:styleId="Ploha2Char">
    <w:name w:val="Příloha 2 Char"/>
    <w:basedOn w:val="Standardnpsmoodstavce"/>
    <w:link w:val="Ploha2"/>
    <w:uiPriority w:val="50"/>
    <w:rsid w:val="000D7A70"/>
    <w:rPr>
      <w:rFonts w:ascii="Arial" w:hAnsi="Arial" w:cs="Arial"/>
      <w:bCs/>
      <w:color w:val="0000DC"/>
      <w:sz w:val="28"/>
      <w:szCs w:val="28"/>
    </w:rPr>
  </w:style>
  <w:style w:type="character" w:customStyle="1" w:styleId="Nadpis1Char">
    <w:name w:val="Nadpis 1 Char"/>
    <w:link w:val="Nadpis1"/>
    <w:rsid w:val="009B2498"/>
    <w:rPr>
      <w:rFonts w:ascii="Arial" w:hAnsi="Arial" w:cs="Arial"/>
      <w:b/>
      <w:bCs/>
      <w:color w:val="0000DC"/>
      <w:sz w:val="34"/>
      <w:szCs w:val="40"/>
    </w:rPr>
  </w:style>
  <w:style w:type="character" w:customStyle="1" w:styleId="Nadpis2Char">
    <w:name w:val="Nadpis 2 Char"/>
    <w:link w:val="Nadpis2"/>
    <w:uiPriority w:val="1"/>
    <w:rsid w:val="000D7A70"/>
    <w:rPr>
      <w:rFonts w:ascii="Arial" w:hAnsi="Arial" w:cs="Arial"/>
      <w:iCs/>
      <w:color w:val="0000DC"/>
      <w:sz w:val="28"/>
      <w:szCs w:val="28"/>
    </w:rPr>
  </w:style>
  <w:style w:type="character" w:customStyle="1" w:styleId="Nadpis3Char">
    <w:name w:val="Nadpis 3 Char"/>
    <w:link w:val="Nadpis3"/>
    <w:uiPriority w:val="9"/>
    <w:rsid w:val="00F114CA"/>
    <w:rPr>
      <w:rFonts w:ascii="Arial" w:hAnsi="Arial" w:cs="Arial"/>
      <w:b/>
      <w:bCs/>
      <w:color w:val="0000DC"/>
      <w:sz w:val="24"/>
      <w:szCs w:val="24"/>
    </w:rPr>
  </w:style>
  <w:style w:type="paragraph" w:styleId="Nadpisobsahu">
    <w:name w:val="TOC Heading"/>
    <w:basedOn w:val="Nadpis1"/>
    <w:next w:val="Normln"/>
    <w:uiPriority w:val="39"/>
    <w:rsid w:val="00AB6916"/>
    <w:pPr>
      <w:spacing w:before="480" w:after="0" w:line="360" w:lineRule="auto"/>
      <w:outlineLvl w:val="9"/>
    </w:pPr>
    <w:rPr>
      <w:rFonts w:cs="Times New Roman"/>
      <w:color w:val="365F91"/>
      <w:spacing w:val="4"/>
      <w:sz w:val="28"/>
      <w:szCs w:val="28"/>
      <w:lang w:eastAsia="en-US"/>
    </w:rPr>
  </w:style>
  <w:style w:type="character" w:customStyle="1" w:styleId="ZhlavChar">
    <w:name w:val="Záhlaví Char"/>
    <w:link w:val="Zhlav"/>
    <w:uiPriority w:val="99"/>
    <w:rsid w:val="00AB6916"/>
    <w:rPr>
      <w:sz w:val="24"/>
      <w:szCs w:val="24"/>
    </w:rPr>
  </w:style>
  <w:style w:type="character" w:customStyle="1" w:styleId="ZpatChar">
    <w:name w:val="Zápatí Char"/>
    <w:link w:val="Zpat"/>
    <w:uiPriority w:val="99"/>
    <w:rsid w:val="00AB6916"/>
    <w:rPr>
      <w:sz w:val="24"/>
      <w:szCs w:val="24"/>
    </w:rPr>
  </w:style>
  <w:style w:type="character" w:styleId="Siln">
    <w:name w:val="Strong"/>
    <w:uiPriority w:val="22"/>
    <w:rsid w:val="00AB6916"/>
    <w:rPr>
      <w:b/>
      <w:bCs/>
    </w:rPr>
  </w:style>
  <w:style w:type="paragraph" w:styleId="Nzev">
    <w:name w:val="Title"/>
    <w:basedOn w:val="Nadpis1"/>
    <w:next w:val="Normln"/>
    <w:link w:val="NzevChar"/>
    <w:uiPriority w:val="10"/>
    <w:rsid w:val="00AB6916"/>
    <w:pPr>
      <w:spacing w:before="120" w:after="240" w:line="360" w:lineRule="auto"/>
    </w:pPr>
    <w:rPr>
      <w:rFonts w:cs="Times New Roman"/>
      <w:bCs w:val="0"/>
      <w:spacing w:val="4"/>
      <w:lang w:eastAsia="sk-SK"/>
    </w:rPr>
  </w:style>
  <w:style w:type="character" w:customStyle="1" w:styleId="NzevChar">
    <w:name w:val="Název Char"/>
    <w:link w:val="Nzev"/>
    <w:uiPriority w:val="10"/>
    <w:rsid w:val="00AB6916"/>
    <w:rPr>
      <w:rFonts w:ascii="Arial" w:hAnsi="Arial"/>
      <w:b/>
      <w:color w:val="0000DC"/>
      <w:spacing w:val="4"/>
      <w:sz w:val="34"/>
      <w:szCs w:val="40"/>
      <w:lang w:eastAsia="sk-SK"/>
    </w:rPr>
  </w:style>
  <w:style w:type="paragraph" w:styleId="Titulek">
    <w:name w:val="caption"/>
    <w:basedOn w:val="ZPZklad"/>
    <w:next w:val="Odstavec1"/>
    <w:uiPriority w:val="35"/>
    <w:rsid w:val="00210BCE"/>
    <w:pPr>
      <w:spacing w:after="200" w:line="276" w:lineRule="auto"/>
      <w:jc w:val="center"/>
    </w:pPr>
    <w:rPr>
      <w:b/>
      <w:bCs/>
      <w:sz w:val="20"/>
      <w:szCs w:val="20"/>
      <w:lang w:eastAsia="sk-SK"/>
    </w:rPr>
  </w:style>
  <w:style w:type="paragraph" w:styleId="Normlnweb">
    <w:name w:val="Normal (Web)"/>
    <w:basedOn w:val="Normln"/>
    <w:uiPriority w:val="99"/>
    <w:unhideWhenUsed/>
    <w:rsid w:val="00AB6916"/>
    <w:pPr>
      <w:spacing w:after="200" w:line="276" w:lineRule="auto"/>
    </w:pPr>
    <w:rPr>
      <w:b/>
      <w:lang w:val="sk-SK" w:eastAsia="sk-SK"/>
    </w:rPr>
  </w:style>
  <w:style w:type="paragraph" w:customStyle="1" w:styleId="Podtitul">
    <w:name w:val="Podtitul"/>
    <w:basedOn w:val="Nzev"/>
    <w:next w:val="Normln"/>
    <w:link w:val="PodtitulChar"/>
    <w:uiPriority w:val="11"/>
    <w:rsid w:val="00AB6916"/>
    <w:pPr>
      <w:spacing w:after="60"/>
      <w:outlineLvl w:val="1"/>
    </w:pPr>
    <w:rPr>
      <w:sz w:val="28"/>
      <w:szCs w:val="24"/>
    </w:rPr>
  </w:style>
  <w:style w:type="character" w:customStyle="1" w:styleId="PodtitulChar">
    <w:name w:val="Podtitul Char"/>
    <w:link w:val="Podtitul"/>
    <w:uiPriority w:val="11"/>
    <w:rsid w:val="00AB6916"/>
    <w:rPr>
      <w:rFonts w:ascii="Arial" w:hAnsi="Arial"/>
      <w:b/>
      <w:color w:val="0000DC"/>
      <w:spacing w:val="4"/>
      <w:sz w:val="28"/>
      <w:szCs w:val="24"/>
      <w:lang w:eastAsia="sk-SK"/>
    </w:rPr>
  </w:style>
  <w:style w:type="paragraph" w:customStyle="1" w:styleId="ZPCitacezkona">
    <w:name w:val="ZP: Citace zákona"/>
    <w:basedOn w:val="ZPZklad"/>
    <w:rsid w:val="00A8698A"/>
    <w:rPr>
      <w:i/>
    </w:rPr>
  </w:style>
  <w:style w:type="paragraph" w:customStyle="1" w:styleId="Nadpis10">
    <w:name w:val="Nadpis 1*"/>
    <w:basedOn w:val="ZPNadpis1"/>
    <w:next w:val="Odstavec1"/>
    <w:uiPriority w:val="39"/>
    <w:qFormat/>
    <w:rsid w:val="008A7F29"/>
  </w:style>
  <w:style w:type="paragraph" w:customStyle="1" w:styleId="Nadpis20">
    <w:name w:val="Nadpis 2*"/>
    <w:basedOn w:val="ZPNadpis2"/>
    <w:next w:val="Odstavec1"/>
    <w:uiPriority w:val="40"/>
    <w:qFormat/>
    <w:rsid w:val="008A7F29"/>
  </w:style>
  <w:style w:type="paragraph" w:customStyle="1" w:styleId="Nadpis30">
    <w:name w:val="Nadpis 3*"/>
    <w:basedOn w:val="ZPNadpis3"/>
    <w:next w:val="Odstavec1"/>
    <w:uiPriority w:val="41"/>
    <w:qFormat/>
    <w:rsid w:val="00F114CA"/>
  </w:style>
  <w:style w:type="paragraph" w:styleId="Rejstk2">
    <w:name w:val="index 2"/>
    <w:basedOn w:val="Normln"/>
    <w:next w:val="Normln"/>
    <w:autoRedefine/>
    <w:rsid w:val="007C0619"/>
    <w:pPr>
      <w:ind w:left="480" w:hanging="240"/>
    </w:pPr>
    <w:rPr>
      <w:rFonts w:asciiTheme="minorHAnsi" w:hAnsiTheme="minorHAnsi" w:cstheme="minorHAnsi"/>
      <w:sz w:val="18"/>
      <w:szCs w:val="18"/>
    </w:rPr>
  </w:style>
  <w:style w:type="paragraph" w:styleId="Rejstk1">
    <w:name w:val="index 1"/>
    <w:basedOn w:val="Normln"/>
    <w:next w:val="Normln"/>
    <w:autoRedefine/>
    <w:rsid w:val="007C0619"/>
    <w:pPr>
      <w:ind w:left="240" w:hanging="240"/>
    </w:pPr>
    <w:rPr>
      <w:rFonts w:asciiTheme="minorHAnsi" w:hAnsiTheme="minorHAnsi" w:cstheme="minorHAnsi"/>
      <w:sz w:val="18"/>
      <w:szCs w:val="18"/>
    </w:rPr>
  </w:style>
  <w:style w:type="paragraph" w:styleId="Rejstk3">
    <w:name w:val="index 3"/>
    <w:basedOn w:val="Normln"/>
    <w:next w:val="Normln"/>
    <w:autoRedefine/>
    <w:rsid w:val="007C0619"/>
    <w:pPr>
      <w:ind w:left="720" w:hanging="240"/>
    </w:pPr>
    <w:rPr>
      <w:rFonts w:asciiTheme="minorHAnsi" w:hAnsiTheme="minorHAnsi" w:cstheme="minorHAnsi"/>
      <w:sz w:val="18"/>
      <w:szCs w:val="18"/>
    </w:rPr>
  </w:style>
  <w:style w:type="paragraph" w:styleId="Rejstk4">
    <w:name w:val="index 4"/>
    <w:basedOn w:val="Normln"/>
    <w:next w:val="Normln"/>
    <w:autoRedefine/>
    <w:rsid w:val="007C0619"/>
    <w:pPr>
      <w:ind w:left="960" w:hanging="240"/>
    </w:pPr>
    <w:rPr>
      <w:rFonts w:asciiTheme="minorHAnsi" w:hAnsiTheme="minorHAnsi" w:cstheme="minorHAnsi"/>
      <w:sz w:val="18"/>
      <w:szCs w:val="18"/>
    </w:rPr>
  </w:style>
  <w:style w:type="paragraph" w:styleId="Rejstk5">
    <w:name w:val="index 5"/>
    <w:basedOn w:val="Normln"/>
    <w:next w:val="Normln"/>
    <w:autoRedefine/>
    <w:rsid w:val="007C0619"/>
    <w:pPr>
      <w:ind w:left="1200" w:hanging="240"/>
    </w:pPr>
    <w:rPr>
      <w:rFonts w:asciiTheme="minorHAnsi" w:hAnsiTheme="minorHAnsi" w:cstheme="minorHAnsi"/>
      <w:sz w:val="18"/>
      <w:szCs w:val="18"/>
    </w:rPr>
  </w:style>
  <w:style w:type="paragraph" w:styleId="Rejstk6">
    <w:name w:val="index 6"/>
    <w:basedOn w:val="Normln"/>
    <w:next w:val="Normln"/>
    <w:autoRedefine/>
    <w:rsid w:val="007C0619"/>
    <w:pPr>
      <w:ind w:left="1440" w:hanging="240"/>
    </w:pPr>
    <w:rPr>
      <w:rFonts w:asciiTheme="minorHAnsi" w:hAnsiTheme="minorHAnsi" w:cstheme="minorHAnsi"/>
      <w:sz w:val="18"/>
      <w:szCs w:val="18"/>
    </w:rPr>
  </w:style>
  <w:style w:type="paragraph" w:styleId="Rejstk7">
    <w:name w:val="index 7"/>
    <w:basedOn w:val="Normln"/>
    <w:next w:val="Normln"/>
    <w:autoRedefine/>
    <w:rsid w:val="007C0619"/>
    <w:pPr>
      <w:ind w:left="1680" w:hanging="240"/>
    </w:pPr>
    <w:rPr>
      <w:rFonts w:asciiTheme="minorHAnsi" w:hAnsiTheme="minorHAnsi" w:cstheme="minorHAnsi"/>
      <w:sz w:val="18"/>
      <w:szCs w:val="18"/>
    </w:rPr>
  </w:style>
  <w:style w:type="paragraph" w:styleId="Rejstk8">
    <w:name w:val="index 8"/>
    <w:basedOn w:val="Normln"/>
    <w:next w:val="Normln"/>
    <w:autoRedefine/>
    <w:rsid w:val="007C0619"/>
    <w:pPr>
      <w:ind w:left="1920" w:hanging="240"/>
    </w:pPr>
    <w:rPr>
      <w:rFonts w:asciiTheme="minorHAnsi" w:hAnsiTheme="minorHAnsi" w:cstheme="minorHAnsi"/>
      <w:sz w:val="18"/>
      <w:szCs w:val="18"/>
    </w:rPr>
  </w:style>
  <w:style w:type="paragraph" w:styleId="Rejstk9">
    <w:name w:val="index 9"/>
    <w:basedOn w:val="Normln"/>
    <w:next w:val="Normln"/>
    <w:autoRedefine/>
    <w:rsid w:val="007C0619"/>
    <w:pPr>
      <w:ind w:left="2160" w:hanging="240"/>
    </w:pPr>
    <w:rPr>
      <w:rFonts w:asciiTheme="minorHAnsi" w:hAnsiTheme="minorHAnsi" w:cstheme="minorHAnsi"/>
      <w:sz w:val="18"/>
      <w:szCs w:val="18"/>
    </w:rPr>
  </w:style>
  <w:style w:type="paragraph" w:styleId="Hlavikarejstku">
    <w:name w:val="index heading"/>
    <w:basedOn w:val="Normln"/>
    <w:next w:val="Rejstk1"/>
    <w:rsid w:val="007C0619"/>
    <w:pPr>
      <w:spacing w:before="240" w:after="120"/>
      <w:jc w:val="center"/>
    </w:pPr>
    <w:rPr>
      <w:rFonts w:asciiTheme="minorHAnsi" w:hAnsiTheme="minorHAnsi" w:cstheme="minorHAnsi"/>
      <w:b/>
      <w:bCs/>
      <w:sz w:val="26"/>
      <w:szCs w:val="26"/>
    </w:rPr>
  </w:style>
  <w:style w:type="paragraph" w:styleId="Seznamobrzk">
    <w:name w:val="table of figures"/>
    <w:basedOn w:val="Normln"/>
    <w:next w:val="Normln"/>
    <w:uiPriority w:val="99"/>
    <w:rsid w:val="008B1BE6"/>
  </w:style>
  <w:style w:type="character" w:styleId="Hypertextovodkaz">
    <w:name w:val="Hyperlink"/>
    <w:basedOn w:val="Standardnpsmoodstavce"/>
    <w:uiPriority w:val="99"/>
    <w:unhideWhenUsed/>
    <w:rsid w:val="008B1BE6"/>
    <w:rPr>
      <w:color w:val="0563C1" w:themeColor="hyperlink"/>
      <w:u w:val="single"/>
    </w:rPr>
  </w:style>
  <w:style w:type="paragraph" w:customStyle="1" w:styleId="Obrzek">
    <w:name w:val="Obrázek"/>
    <w:basedOn w:val="ZPZklad"/>
    <w:rsid w:val="002C6A3C"/>
    <w:pPr>
      <w:keepNext/>
      <w:spacing w:line="281" w:lineRule="auto"/>
      <w:jc w:val="center"/>
    </w:pPr>
  </w:style>
  <w:style w:type="paragraph" w:customStyle="1" w:styleId="Odstavec1">
    <w:name w:val="Odstavec 1"/>
    <w:basedOn w:val="ZPZklad"/>
    <w:next w:val="Dalodstavce"/>
    <w:link w:val="Odstavec1Char"/>
    <w:uiPriority w:val="9"/>
    <w:qFormat/>
    <w:rsid w:val="00A2558D"/>
  </w:style>
  <w:style w:type="paragraph" w:styleId="Podnadpis0">
    <w:name w:val="Subtitle"/>
    <w:basedOn w:val="Normln"/>
    <w:next w:val="Normln"/>
    <w:link w:val="PodnadpisChar"/>
    <w:uiPriority w:val="11"/>
    <w:rsid w:val="00AB68B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0"/>
    <w:uiPriority w:val="11"/>
    <w:rsid w:val="00AB68BC"/>
    <w:rPr>
      <w:rFonts w:asciiTheme="minorHAnsi" w:eastAsiaTheme="minorEastAsia" w:hAnsiTheme="minorHAnsi" w:cstheme="minorBidi"/>
      <w:color w:val="5A5A5A" w:themeColor="text1" w:themeTint="A5"/>
      <w:spacing w:val="15"/>
      <w:sz w:val="22"/>
      <w:szCs w:val="22"/>
    </w:rPr>
  </w:style>
  <w:style w:type="paragraph" w:styleId="Citt">
    <w:name w:val="Quote"/>
    <w:basedOn w:val="ZPZklad"/>
    <w:next w:val="Odstavec1"/>
    <w:link w:val="CittChar"/>
    <w:uiPriority w:val="19"/>
    <w:qFormat/>
    <w:rsid w:val="007D341B"/>
    <w:pPr>
      <w:spacing w:before="240" w:after="240"/>
      <w:ind w:left="960" w:right="960"/>
      <w:contextualSpacing/>
    </w:pPr>
    <w:rPr>
      <w:i/>
    </w:rPr>
  </w:style>
  <w:style w:type="character" w:customStyle="1" w:styleId="CittChar">
    <w:name w:val="Citát Char"/>
    <w:basedOn w:val="Standardnpsmoodstavce"/>
    <w:link w:val="Citt"/>
    <w:uiPriority w:val="19"/>
    <w:rsid w:val="001B43CD"/>
    <w:rPr>
      <w:rFonts w:ascii="Cambria" w:hAnsi="Cambria"/>
      <w:i/>
      <w:sz w:val="24"/>
      <w:szCs w:val="24"/>
    </w:rPr>
  </w:style>
  <w:style w:type="paragraph" w:customStyle="1" w:styleId="Citt-pokraovn">
    <w:name w:val="Citát - pokračování"/>
    <w:basedOn w:val="Citt"/>
    <w:uiPriority w:val="21"/>
    <w:qFormat/>
    <w:rsid w:val="00E64A10"/>
    <w:pPr>
      <w:spacing w:before="0"/>
      <w:ind w:left="958" w:right="958" w:firstLine="482"/>
    </w:pPr>
  </w:style>
  <w:style w:type="table" w:customStyle="1" w:styleId="ZPTabulka">
    <w:name w:val="ZP Tabulka"/>
    <w:basedOn w:val="Normlntabulka"/>
    <w:uiPriority w:val="99"/>
    <w:rsid w:val="00837662"/>
    <w:pPr>
      <w:spacing w:line="300" w:lineRule="atLeast"/>
    </w:pPr>
    <w:rPr>
      <w:rFonts w:ascii="Cambria" w:hAnsi="Cambria"/>
      <w:sz w:val="24"/>
    </w:rPr>
    <w:tblPr>
      <w:tblStyleRowBandSize w:val="1"/>
      <w:tblStyleColBandSize w:val="1"/>
      <w:jc w:val="center"/>
      <w:tblBorders>
        <w:top w:val="single" w:sz="12" w:space="0" w:color="auto"/>
        <w:bottom w:val="single" w:sz="12" w:space="0" w:color="auto"/>
      </w:tblBorders>
    </w:tblPr>
    <w:trPr>
      <w:cantSplit/>
      <w:jc w:val="center"/>
    </w:trPr>
    <w:tblStylePr w:type="firstRow">
      <w:rPr>
        <w:b w:val="0"/>
      </w:rPr>
      <w:tblPr/>
      <w:tcPr>
        <w:tcBorders>
          <w:top w:val="single" w:sz="12" w:space="0" w:color="auto"/>
          <w:left w:val="nil"/>
          <w:bottom w:val="single" w:sz="4" w:space="0" w:color="auto"/>
          <w:right w:val="nil"/>
          <w:insideH w:val="nil"/>
          <w:insideV w:val="nil"/>
          <w:tl2br w:val="nil"/>
          <w:tr2bl w:val="nil"/>
        </w:tcBorders>
      </w:tcPr>
    </w:tblStylePr>
    <w:tblStylePr w:type="lastRow">
      <w:rPr>
        <w:b/>
      </w:rPr>
      <w:tblPr/>
      <w:tcPr>
        <w:tcBorders>
          <w:top w:val="single" w:sz="8"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tblStylePr w:type="band1Horz">
      <w:tblPr/>
      <w:tcPr>
        <w:tcBorders>
          <w:insideH w:val="nil"/>
        </w:tcBorders>
      </w:tcPr>
    </w:tblStylePr>
  </w:style>
  <w:style w:type="table" w:styleId="Svtlmkatabulky">
    <w:name w:val="Grid Table Light"/>
    <w:basedOn w:val="Normlntabulka"/>
    <w:uiPriority w:val="40"/>
    <w:locked/>
    <w:rsid w:val="00095E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sttabulka1">
    <w:name w:val="Plain Table 1"/>
    <w:basedOn w:val="Normlntabulka"/>
    <w:uiPriority w:val="41"/>
    <w:locked/>
    <w:rsid w:val="00095E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2">
    <w:name w:val="Plain Table 2"/>
    <w:basedOn w:val="Normlntabulka"/>
    <w:uiPriority w:val="42"/>
    <w:locked/>
    <w:rsid w:val="00095EB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rosttabulka3">
    <w:name w:val="Plain Table 3"/>
    <w:basedOn w:val="Normlntabulka"/>
    <w:uiPriority w:val="43"/>
    <w:locked/>
    <w:rsid w:val="00095EB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rosttabulka4">
    <w:name w:val="Plain Table 4"/>
    <w:basedOn w:val="Normlntabulka"/>
    <w:uiPriority w:val="44"/>
    <w:locked/>
    <w:rsid w:val="00095EB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t-zatek">
    <w:name w:val="Citát - začátek"/>
    <w:basedOn w:val="Citt"/>
    <w:next w:val="Citt-pokraovn"/>
    <w:link w:val="Citt-zatekChar"/>
    <w:uiPriority w:val="20"/>
    <w:qFormat/>
    <w:rsid w:val="00E64A10"/>
    <w:pPr>
      <w:spacing w:after="0"/>
      <w:ind w:left="958" w:right="958"/>
    </w:pPr>
  </w:style>
  <w:style w:type="character" w:customStyle="1" w:styleId="Citt-zatekChar">
    <w:name w:val="Citát - začátek Char"/>
    <w:basedOn w:val="CittChar"/>
    <w:link w:val="Citt-zatek"/>
    <w:uiPriority w:val="20"/>
    <w:rsid w:val="001B43CD"/>
    <w:rPr>
      <w:rFonts w:ascii="Cambria" w:hAnsi="Cambria"/>
      <w:i/>
      <w:sz w:val="24"/>
      <w:szCs w:val="24"/>
    </w:rPr>
  </w:style>
  <w:style w:type="paragraph" w:styleId="Textbubliny">
    <w:name w:val="Balloon Text"/>
    <w:basedOn w:val="Normln"/>
    <w:link w:val="TextbublinyChar"/>
    <w:uiPriority w:val="99"/>
    <w:rsid w:val="0089154B"/>
    <w:rPr>
      <w:rFonts w:ascii="Segoe UI" w:hAnsi="Segoe UI" w:cs="Segoe UI"/>
      <w:sz w:val="18"/>
      <w:szCs w:val="18"/>
    </w:rPr>
  </w:style>
  <w:style w:type="character" w:customStyle="1" w:styleId="TextbublinyChar">
    <w:name w:val="Text bubliny Char"/>
    <w:basedOn w:val="Standardnpsmoodstavce"/>
    <w:link w:val="Textbubliny"/>
    <w:uiPriority w:val="99"/>
    <w:rsid w:val="0089154B"/>
    <w:rPr>
      <w:rFonts w:ascii="Segoe UI" w:hAnsi="Segoe UI" w:cs="Segoe UI"/>
      <w:sz w:val="18"/>
      <w:szCs w:val="18"/>
    </w:rPr>
  </w:style>
  <w:style w:type="paragraph" w:styleId="Odstavecseseznamem">
    <w:name w:val="List Paragraph"/>
    <w:basedOn w:val="Normln"/>
    <w:uiPriority w:val="34"/>
    <w:qFormat/>
    <w:rsid w:val="00DD5A53"/>
    <w:pPr>
      <w:ind w:left="720"/>
      <w:contextualSpacing/>
    </w:pPr>
  </w:style>
  <w:style w:type="paragraph" w:styleId="slovanseznam">
    <w:name w:val="List Number"/>
    <w:basedOn w:val="ZPZklad"/>
    <w:uiPriority w:val="29"/>
    <w:qFormat/>
    <w:rsid w:val="00033D24"/>
    <w:pPr>
      <w:numPr>
        <w:numId w:val="7"/>
      </w:numPr>
      <w:spacing w:before="120" w:after="120"/>
      <w:ind w:left="544" w:hanging="62"/>
      <w:contextualSpacing/>
    </w:pPr>
  </w:style>
  <w:style w:type="paragraph" w:styleId="slovanseznam2">
    <w:name w:val="List Number 2"/>
    <w:basedOn w:val="Normln"/>
    <w:rsid w:val="00DD5A53"/>
    <w:pPr>
      <w:numPr>
        <w:numId w:val="8"/>
      </w:numPr>
      <w:contextualSpacing/>
    </w:pPr>
  </w:style>
  <w:style w:type="paragraph" w:styleId="slovanseznam3">
    <w:name w:val="List Number 3"/>
    <w:basedOn w:val="Normln"/>
    <w:rsid w:val="00DD5A53"/>
    <w:pPr>
      <w:numPr>
        <w:numId w:val="9"/>
      </w:numPr>
      <w:contextualSpacing/>
    </w:pPr>
  </w:style>
  <w:style w:type="paragraph" w:styleId="slovanseznam4">
    <w:name w:val="List Number 4"/>
    <w:basedOn w:val="Normln"/>
    <w:rsid w:val="00DD5A53"/>
    <w:pPr>
      <w:numPr>
        <w:numId w:val="10"/>
      </w:numPr>
      <w:contextualSpacing/>
    </w:pPr>
  </w:style>
  <w:style w:type="paragraph" w:styleId="slovanseznam5">
    <w:name w:val="List Number 5"/>
    <w:basedOn w:val="Normln"/>
    <w:rsid w:val="00DD5A53"/>
    <w:pPr>
      <w:numPr>
        <w:numId w:val="11"/>
      </w:numPr>
      <w:contextualSpacing/>
    </w:pPr>
  </w:style>
  <w:style w:type="paragraph" w:styleId="Seznamsodrkami">
    <w:name w:val="List Bullet"/>
    <w:basedOn w:val="ZPZklad"/>
    <w:uiPriority w:val="31"/>
    <w:qFormat/>
    <w:rsid w:val="00161E5E"/>
    <w:pPr>
      <w:numPr>
        <w:numId w:val="12"/>
      </w:numPr>
      <w:ind w:hanging="256"/>
      <w:contextualSpacing/>
    </w:pPr>
  </w:style>
  <w:style w:type="paragraph" w:styleId="Seznam">
    <w:name w:val="List"/>
    <w:basedOn w:val="Normln"/>
    <w:rsid w:val="00DD5A53"/>
    <w:pPr>
      <w:ind w:left="283" w:hanging="283"/>
      <w:contextualSpacing/>
    </w:pPr>
  </w:style>
  <w:style w:type="character" w:styleId="Nzevknihy">
    <w:name w:val="Book Title"/>
    <w:basedOn w:val="Standardnpsmoodstavce"/>
    <w:uiPriority w:val="33"/>
    <w:rsid w:val="00824749"/>
    <w:rPr>
      <w:b/>
      <w:bCs/>
      <w:i/>
      <w:iCs/>
      <w:spacing w:val="5"/>
    </w:rPr>
  </w:style>
  <w:style w:type="character" w:styleId="Odkazjemn">
    <w:name w:val="Subtle Reference"/>
    <w:basedOn w:val="Standardnpsmoodstavce"/>
    <w:uiPriority w:val="31"/>
    <w:rsid w:val="00824749"/>
    <w:rPr>
      <w:smallCaps/>
      <w:color w:val="5A5A5A" w:themeColor="text1" w:themeTint="A5"/>
    </w:rPr>
  </w:style>
  <w:style w:type="paragraph" w:styleId="Vrazncitt">
    <w:name w:val="Intense Quote"/>
    <w:basedOn w:val="Normln"/>
    <w:next w:val="Normln"/>
    <w:link w:val="VrazncittChar"/>
    <w:uiPriority w:val="30"/>
    <w:rsid w:val="0082474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824749"/>
    <w:rPr>
      <w:i/>
      <w:iCs/>
      <w:color w:val="5B9BD5" w:themeColor="accent1"/>
      <w:sz w:val="24"/>
      <w:szCs w:val="24"/>
    </w:rPr>
  </w:style>
  <w:style w:type="character" w:styleId="Odkazintenzivn">
    <w:name w:val="Intense Reference"/>
    <w:basedOn w:val="Standardnpsmoodstavce"/>
    <w:uiPriority w:val="32"/>
    <w:rsid w:val="00824749"/>
    <w:rPr>
      <w:b/>
      <w:bCs/>
      <w:smallCaps/>
      <w:color w:val="5B9BD5" w:themeColor="accent1"/>
      <w:spacing w:val="5"/>
    </w:rPr>
  </w:style>
  <w:style w:type="character" w:styleId="Zdraznnjemn">
    <w:name w:val="Subtle Emphasis"/>
    <w:basedOn w:val="Standardnpsmoodstavce"/>
    <w:uiPriority w:val="19"/>
    <w:rsid w:val="00824749"/>
    <w:rPr>
      <w:i/>
      <w:iCs/>
      <w:color w:val="404040" w:themeColor="text1" w:themeTint="BF"/>
    </w:rPr>
  </w:style>
  <w:style w:type="character" w:styleId="Zdraznnintenzivn">
    <w:name w:val="Intense Emphasis"/>
    <w:basedOn w:val="Standardnpsmoodstavce"/>
    <w:uiPriority w:val="21"/>
    <w:rsid w:val="00824749"/>
    <w:rPr>
      <w:i/>
      <w:iCs/>
      <w:color w:val="5B9BD5" w:themeColor="accent1"/>
    </w:rPr>
  </w:style>
  <w:style w:type="paragraph" w:customStyle="1" w:styleId="Pokraovnpoloky">
    <w:name w:val="Pokračování položky"/>
    <w:basedOn w:val="ZPZklad"/>
    <w:uiPriority w:val="30"/>
    <w:qFormat/>
    <w:rsid w:val="007677DD"/>
    <w:pPr>
      <w:ind w:left="540" w:firstLine="480"/>
    </w:pPr>
  </w:style>
  <w:style w:type="paragraph" w:styleId="Pokraovnseznamu">
    <w:name w:val="List Continue"/>
    <w:basedOn w:val="Normln"/>
    <w:rsid w:val="007677DD"/>
    <w:pPr>
      <w:spacing w:after="120"/>
      <w:ind w:left="283"/>
      <w:contextualSpacing/>
    </w:pPr>
  </w:style>
  <w:style w:type="paragraph" w:styleId="Pokraovnseznamu2">
    <w:name w:val="List Continue 2"/>
    <w:basedOn w:val="Normln"/>
    <w:rsid w:val="00AA4D4E"/>
    <w:pPr>
      <w:spacing w:after="120"/>
      <w:ind w:left="566"/>
      <w:contextualSpacing/>
    </w:pPr>
  </w:style>
  <w:style w:type="paragraph" w:styleId="Pokraovnseznamu3">
    <w:name w:val="List Continue 3"/>
    <w:basedOn w:val="Normln"/>
    <w:rsid w:val="00AA4D4E"/>
    <w:pPr>
      <w:spacing w:after="120"/>
      <w:ind w:left="849"/>
      <w:contextualSpacing/>
    </w:pPr>
  </w:style>
  <w:style w:type="paragraph" w:styleId="Pokraovnseznamu4">
    <w:name w:val="List Continue 4"/>
    <w:basedOn w:val="Normln"/>
    <w:rsid w:val="00AA4D4E"/>
    <w:pPr>
      <w:spacing w:after="120"/>
      <w:ind w:left="1132"/>
      <w:contextualSpacing/>
    </w:pPr>
  </w:style>
  <w:style w:type="paragraph" w:styleId="Pokraovnseznamu5">
    <w:name w:val="List Continue 5"/>
    <w:basedOn w:val="Normln"/>
    <w:rsid w:val="00AA4D4E"/>
    <w:pPr>
      <w:spacing w:after="120"/>
      <w:ind w:left="1415"/>
      <w:contextualSpacing/>
    </w:pPr>
  </w:style>
  <w:style w:type="paragraph" w:customStyle="1" w:styleId="ZPBibilografickzznam">
    <w:name w:val="ZP Bibilografický záznam"/>
    <w:basedOn w:val="ZPZklad"/>
    <w:link w:val="ZPBibilografickzznamChar"/>
    <w:rsid w:val="00704143"/>
    <w:pPr>
      <w:tabs>
        <w:tab w:val="left" w:pos="2268"/>
      </w:tabs>
      <w:spacing w:after="140"/>
      <w:ind w:left="2268" w:hanging="2268"/>
      <w:jc w:val="left"/>
    </w:pPr>
    <w:rPr>
      <w:rFonts w:asciiTheme="minorHAnsi" w:hAnsiTheme="minorHAnsi"/>
      <w:lang w:val="sk-SK"/>
    </w:rPr>
  </w:style>
  <w:style w:type="character" w:customStyle="1" w:styleId="ZPBibilografickzznamChar">
    <w:name w:val="ZP Bibilografický záznam Char"/>
    <w:basedOn w:val="Standardnpsmoodstavce"/>
    <w:link w:val="ZPBibilografickzznam"/>
    <w:rsid w:val="00704143"/>
    <w:rPr>
      <w:rFonts w:asciiTheme="minorHAnsi" w:hAnsiTheme="minorHAnsi"/>
      <w:sz w:val="24"/>
      <w:szCs w:val="24"/>
      <w:lang w:val="sk-SK"/>
    </w:rPr>
  </w:style>
  <w:style w:type="paragraph" w:customStyle="1" w:styleId="ZP-Nadpisyzklad">
    <w:name w:val="ZP-Nadpisy_základ"/>
    <w:basedOn w:val="Normln"/>
    <w:link w:val="ZP-NadpisyzkladChar"/>
    <w:rsid w:val="00704143"/>
    <w:pPr>
      <w:suppressAutoHyphens/>
    </w:pPr>
    <w:rPr>
      <w:rFonts w:ascii="Arial" w:hAnsi="Arial" w:cs="Arial"/>
      <w:bCs/>
    </w:rPr>
  </w:style>
  <w:style w:type="paragraph" w:customStyle="1" w:styleId="ZPNadpisy1">
    <w:name w:val="ZP_Nadpisy 1"/>
    <w:basedOn w:val="ZP-Nadpisyzklad"/>
    <w:rsid w:val="00FD68D8"/>
    <w:pPr>
      <w:keepNext/>
      <w:keepLines/>
      <w:pageBreakBefore/>
      <w:spacing w:after="400" w:line="440" w:lineRule="atLeast"/>
    </w:pPr>
    <w:rPr>
      <w:b/>
      <w:color w:val="0000DC"/>
      <w:sz w:val="34"/>
      <w:szCs w:val="40"/>
    </w:rPr>
  </w:style>
  <w:style w:type="character" w:customStyle="1" w:styleId="ZP-NadpisyzkladChar">
    <w:name w:val="ZP-Nadpisy_základ Char"/>
    <w:basedOn w:val="Standardnpsmoodstavce"/>
    <w:link w:val="ZP-Nadpisyzklad"/>
    <w:rsid w:val="00704143"/>
    <w:rPr>
      <w:rFonts w:ascii="Arial" w:hAnsi="Arial" w:cs="Arial"/>
      <w:bCs/>
      <w:sz w:val="24"/>
      <w:szCs w:val="24"/>
    </w:rPr>
  </w:style>
  <w:style w:type="paragraph" w:customStyle="1" w:styleId="ZPNadpis1">
    <w:name w:val="ZP Nadpis 1"/>
    <w:basedOn w:val="ZPNadpisy1"/>
    <w:rsid w:val="0006632C"/>
    <w:pPr>
      <w:outlineLvl w:val="0"/>
    </w:pPr>
  </w:style>
  <w:style w:type="paragraph" w:customStyle="1" w:styleId="ZPTitulkahlavn">
    <w:name w:val="ZP Titulka hlavní"/>
    <w:basedOn w:val="ZP-Nadpisyzklad"/>
    <w:rsid w:val="006E36ED"/>
    <w:pPr>
      <w:spacing w:line="340" w:lineRule="atLeast"/>
      <w:jc w:val="center"/>
    </w:pPr>
    <w:rPr>
      <w:sz w:val="28"/>
      <w:szCs w:val="34"/>
    </w:rPr>
  </w:style>
  <w:style w:type="paragraph" w:customStyle="1" w:styleId="ZPTitulkafakulta">
    <w:name w:val="ZP Titulka fakulta"/>
    <w:basedOn w:val="ZP-Nadpisyzklad"/>
    <w:rsid w:val="004668F5"/>
    <w:pPr>
      <w:spacing w:before="425" w:after="992" w:line="360" w:lineRule="atLeast"/>
      <w:jc w:val="center"/>
    </w:pPr>
    <w:rPr>
      <w:caps/>
    </w:rPr>
  </w:style>
  <w:style w:type="paragraph" w:customStyle="1" w:styleId="ZPTitulkarok">
    <w:name w:val="ZP Titulka rok"/>
    <w:basedOn w:val="ZP-Nadpisyzklad"/>
    <w:rsid w:val="006E36ED"/>
    <w:pPr>
      <w:jc w:val="center"/>
    </w:pPr>
    <w:rPr>
      <w:sz w:val="26"/>
      <w:szCs w:val="26"/>
    </w:rPr>
  </w:style>
  <w:style w:type="paragraph" w:customStyle="1" w:styleId="ZPTitulkanzev">
    <w:name w:val="ZP Titulka název"/>
    <w:basedOn w:val="ZP-Nadpisyzklad"/>
    <w:rsid w:val="00832CB3"/>
    <w:pPr>
      <w:spacing w:line="760" w:lineRule="exact"/>
      <w:jc w:val="center"/>
    </w:pPr>
    <w:rPr>
      <w:b/>
      <w:color w:val="0000DC"/>
      <w:sz w:val="60"/>
      <w:szCs w:val="60"/>
    </w:rPr>
  </w:style>
  <w:style w:type="paragraph" w:customStyle="1" w:styleId="ZPTitulkadra">
    <w:name w:val="ZP Titulka díra"/>
    <w:rsid w:val="00704143"/>
    <w:pPr>
      <w:widowControl w:val="0"/>
    </w:pPr>
    <w:rPr>
      <w:sz w:val="16"/>
      <w:szCs w:val="16"/>
    </w:rPr>
  </w:style>
  <w:style w:type="character" w:customStyle="1" w:styleId="ZPPKlbiblografie">
    <w:name w:val="ZPP Klíč biblografie"/>
    <w:basedOn w:val="Standardnpsmoodstavce"/>
    <w:uiPriority w:val="1"/>
    <w:rsid w:val="00F343E4"/>
    <w:rPr>
      <w:b/>
      <w:color w:val="0000DC"/>
    </w:rPr>
  </w:style>
  <w:style w:type="paragraph" w:customStyle="1" w:styleId="ZPNadpisy2">
    <w:name w:val="ZP_Nadpisy 2"/>
    <w:basedOn w:val="ZP-Nadpisyzklad"/>
    <w:rsid w:val="00BB5412"/>
    <w:pPr>
      <w:keepNext/>
      <w:keepLines/>
      <w:spacing w:before="460" w:after="300" w:line="360" w:lineRule="exact"/>
    </w:pPr>
    <w:rPr>
      <w:color w:val="0000DC"/>
      <w:sz w:val="28"/>
      <w:szCs w:val="28"/>
    </w:rPr>
  </w:style>
  <w:style w:type="paragraph" w:customStyle="1" w:styleId="ZPNadpis2">
    <w:name w:val="ZP Nadpis 2"/>
    <w:basedOn w:val="ZPNadpisy2"/>
    <w:rsid w:val="00AF5B23"/>
    <w:pPr>
      <w:outlineLvl w:val="1"/>
    </w:pPr>
  </w:style>
  <w:style w:type="character" w:customStyle="1" w:styleId="ZPZapatlichChar">
    <w:name w:val="ZP Zapatí liché Char"/>
    <w:basedOn w:val="inZPZhlavapatyChar"/>
    <w:link w:val="ZPZapatlich"/>
    <w:rsid w:val="0095124B"/>
    <w:rPr>
      <w:rFonts w:ascii="Cambria" w:hAnsi="Cambria"/>
      <w:smallCaps/>
      <w:sz w:val="24"/>
      <w:szCs w:val="24"/>
    </w:rPr>
  </w:style>
  <w:style w:type="paragraph" w:customStyle="1" w:styleId="ZP-Nadpisy3">
    <w:name w:val="ZP-Nadpisy 3"/>
    <w:basedOn w:val="ZP-Nadpisyzklad"/>
    <w:rsid w:val="006071A1"/>
    <w:pPr>
      <w:keepNext/>
      <w:keepLines/>
      <w:spacing w:before="360" w:after="160" w:line="300" w:lineRule="atLeast"/>
    </w:pPr>
    <w:rPr>
      <w:b/>
      <w:color w:val="0000DC"/>
    </w:rPr>
  </w:style>
  <w:style w:type="paragraph" w:customStyle="1" w:styleId="ZPNadpis3">
    <w:name w:val="ZP Nadpis 3"/>
    <w:basedOn w:val="ZP-Nadpisy3"/>
    <w:rsid w:val="00FC3577"/>
    <w:pPr>
      <w:outlineLvl w:val="2"/>
    </w:pPr>
  </w:style>
  <w:style w:type="paragraph" w:customStyle="1" w:styleId="Pklad-nadpis">
    <w:name w:val="Příklad - nadpis"/>
    <w:basedOn w:val="Odstavec1"/>
    <w:next w:val="Pklad-text"/>
    <w:link w:val="Pklad-nadpisChar"/>
    <w:uiPriority w:val="69"/>
    <w:qFormat/>
    <w:rsid w:val="004C3A23"/>
    <w:pPr>
      <w:keepNext/>
      <w:spacing w:before="240"/>
    </w:pPr>
    <w:rPr>
      <w:rFonts w:ascii="Arial" w:hAnsi="Arial" w:cs="Arial"/>
      <w:color w:val="0000DC"/>
    </w:rPr>
  </w:style>
  <w:style w:type="paragraph" w:customStyle="1" w:styleId="Pklad-text">
    <w:name w:val="Příklad - text"/>
    <w:basedOn w:val="Odstavec1"/>
    <w:link w:val="Pklad-textChar"/>
    <w:uiPriority w:val="70"/>
    <w:qFormat/>
    <w:rsid w:val="00033D24"/>
    <w:pPr>
      <w:ind w:left="480"/>
    </w:pPr>
  </w:style>
  <w:style w:type="character" w:customStyle="1" w:styleId="Odstavec1Char">
    <w:name w:val="Odstavec 1 Char"/>
    <w:basedOn w:val="ZPZkladChar"/>
    <w:link w:val="Odstavec1"/>
    <w:uiPriority w:val="9"/>
    <w:rsid w:val="00033D24"/>
    <w:rPr>
      <w:rFonts w:ascii="Cambria" w:hAnsi="Cambria"/>
      <w:sz w:val="24"/>
      <w:szCs w:val="24"/>
    </w:rPr>
  </w:style>
  <w:style w:type="character" w:customStyle="1" w:styleId="Pklad-nadpisChar">
    <w:name w:val="Příklad - nadpis Char"/>
    <w:basedOn w:val="Odstavec1Char"/>
    <w:link w:val="Pklad-nadpis"/>
    <w:uiPriority w:val="69"/>
    <w:rsid w:val="001B43CD"/>
    <w:rPr>
      <w:rFonts w:ascii="Arial" w:hAnsi="Arial" w:cs="Arial"/>
      <w:color w:val="0000DC"/>
      <w:sz w:val="24"/>
      <w:szCs w:val="24"/>
    </w:rPr>
  </w:style>
  <w:style w:type="paragraph" w:styleId="Bibliografie">
    <w:name w:val="Bibliography"/>
    <w:basedOn w:val="Odstavec1"/>
    <w:next w:val="Normln"/>
    <w:uiPriority w:val="37"/>
    <w:unhideWhenUsed/>
    <w:rsid w:val="00115804"/>
  </w:style>
  <w:style w:type="character" w:customStyle="1" w:styleId="Pklad-textChar">
    <w:name w:val="Příklad - text Char"/>
    <w:basedOn w:val="Odstavec1Char"/>
    <w:link w:val="Pklad-text"/>
    <w:uiPriority w:val="70"/>
    <w:rsid w:val="001B43CD"/>
    <w:rPr>
      <w:rFonts w:ascii="Cambria" w:hAnsi="Cambria"/>
      <w:sz w:val="24"/>
      <w:szCs w:val="24"/>
    </w:rPr>
  </w:style>
  <w:style w:type="numbering" w:customStyle="1" w:styleId="Vcerovovseznam">
    <w:name w:val="Víceúrovňový seznam"/>
    <w:uiPriority w:val="99"/>
    <w:rsid w:val="0086068B"/>
    <w:pPr>
      <w:numPr>
        <w:numId w:val="14"/>
      </w:numPr>
    </w:pPr>
  </w:style>
  <w:style w:type="table" w:styleId="Prosttabulka5">
    <w:name w:val="Plain Table 5"/>
    <w:basedOn w:val="Normlntabulka"/>
    <w:uiPriority w:val="45"/>
    <w:locked/>
    <w:rsid w:val="00CF5E0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aragraph">
    <w:name w:val="paragraph"/>
    <w:basedOn w:val="Normln"/>
    <w:rsid w:val="001B2C5B"/>
    <w:pPr>
      <w:spacing w:before="100" w:beforeAutospacing="1" w:after="100" w:afterAutospacing="1"/>
    </w:pPr>
  </w:style>
  <w:style w:type="character" w:customStyle="1" w:styleId="normaltextrun">
    <w:name w:val="normaltextrun"/>
    <w:basedOn w:val="Standardnpsmoodstavce"/>
    <w:rsid w:val="001B2C5B"/>
  </w:style>
  <w:style w:type="character" w:customStyle="1" w:styleId="eop">
    <w:name w:val="eop"/>
    <w:basedOn w:val="Standardnpsmoodstavce"/>
    <w:rsid w:val="001B2C5B"/>
  </w:style>
  <w:style w:type="character" w:customStyle="1" w:styleId="spellingerror">
    <w:name w:val="spellingerror"/>
    <w:basedOn w:val="Standardnpsmoodstavce"/>
    <w:rsid w:val="001B2C5B"/>
  </w:style>
  <w:style w:type="table" w:styleId="Svtltabulkasmkou1">
    <w:name w:val="Grid Table 1 Light"/>
    <w:basedOn w:val="Normlntabulka"/>
    <w:uiPriority w:val="46"/>
    <w:locked/>
    <w:rsid w:val="00DA2413"/>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Odkaznakoment">
    <w:name w:val="annotation reference"/>
    <w:basedOn w:val="Standardnpsmoodstavce"/>
    <w:uiPriority w:val="99"/>
    <w:rsid w:val="00FE4CAE"/>
    <w:rPr>
      <w:sz w:val="16"/>
      <w:szCs w:val="16"/>
    </w:rPr>
  </w:style>
  <w:style w:type="paragraph" w:styleId="Textkomente">
    <w:name w:val="annotation text"/>
    <w:basedOn w:val="Normln"/>
    <w:link w:val="TextkomenteChar"/>
    <w:uiPriority w:val="99"/>
    <w:rsid w:val="00FE4CAE"/>
    <w:rPr>
      <w:sz w:val="20"/>
      <w:szCs w:val="20"/>
    </w:rPr>
  </w:style>
  <w:style w:type="character" w:customStyle="1" w:styleId="TextkomenteChar">
    <w:name w:val="Text komentáře Char"/>
    <w:basedOn w:val="Standardnpsmoodstavce"/>
    <w:link w:val="Textkomente"/>
    <w:uiPriority w:val="99"/>
    <w:rsid w:val="00FE4CAE"/>
  </w:style>
  <w:style w:type="paragraph" w:styleId="Pedmtkomente">
    <w:name w:val="annotation subject"/>
    <w:basedOn w:val="Textkomente"/>
    <w:next w:val="Textkomente"/>
    <w:link w:val="PedmtkomenteChar"/>
    <w:uiPriority w:val="99"/>
    <w:rsid w:val="00FE4CAE"/>
    <w:rPr>
      <w:b/>
      <w:bCs/>
    </w:rPr>
  </w:style>
  <w:style w:type="character" w:customStyle="1" w:styleId="PedmtkomenteChar">
    <w:name w:val="Předmět komentáře Char"/>
    <w:basedOn w:val="TextkomenteChar"/>
    <w:link w:val="Pedmtkomente"/>
    <w:uiPriority w:val="99"/>
    <w:rsid w:val="00FE4CAE"/>
    <w:rPr>
      <w:b/>
      <w:bCs/>
    </w:rPr>
  </w:style>
  <w:style w:type="paragraph" w:customStyle="1" w:styleId="nadpis40">
    <w:name w:val="nadpis 4"/>
    <w:basedOn w:val="Odstavec1"/>
    <w:link w:val="nadpis4Char0"/>
    <w:qFormat/>
    <w:rsid w:val="00385F02"/>
    <w:pPr>
      <w:ind w:left="709"/>
    </w:pPr>
    <w:rPr>
      <w:rFonts w:ascii="Arial" w:hAnsi="Arial"/>
      <w:i/>
      <w:color w:val="0000C8"/>
    </w:rPr>
  </w:style>
  <w:style w:type="character" w:styleId="Zdraznn">
    <w:name w:val="Emphasis"/>
    <w:basedOn w:val="Standardnpsmoodstavce"/>
    <w:uiPriority w:val="20"/>
    <w:qFormat/>
    <w:rsid w:val="00080AEB"/>
    <w:rPr>
      <w:i/>
      <w:iCs/>
    </w:rPr>
  </w:style>
  <w:style w:type="character" w:customStyle="1" w:styleId="nadpis4Char0">
    <w:name w:val="nadpis 4 Char"/>
    <w:basedOn w:val="Odstavec1Char"/>
    <w:link w:val="nadpis40"/>
    <w:rsid w:val="00385F02"/>
    <w:rPr>
      <w:rFonts w:ascii="Arial" w:hAnsi="Arial"/>
      <w:i/>
      <w:color w:val="0000C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959">
      <w:bodyDiv w:val="1"/>
      <w:marLeft w:val="0"/>
      <w:marRight w:val="0"/>
      <w:marTop w:val="0"/>
      <w:marBottom w:val="0"/>
      <w:divBdr>
        <w:top w:val="none" w:sz="0" w:space="0" w:color="auto"/>
        <w:left w:val="none" w:sz="0" w:space="0" w:color="auto"/>
        <w:bottom w:val="none" w:sz="0" w:space="0" w:color="auto"/>
        <w:right w:val="none" w:sz="0" w:space="0" w:color="auto"/>
      </w:divBdr>
    </w:div>
    <w:div w:id="25912166">
      <w:bodyDiv w:val="1"/>
      <w:marLeft w:val="0"/>
      <w:marRight w:val="0"/>
      <w:marTop w:val="0"/>
      <w:marBottom w:val="0"/>
      <w:divBdr>
        <w:top w:val="none" w:sz="0" w:space="0" w:color="auto"/>
        <w:left w:val="none" w:sz="0" w:space="0" w:color="auto"/>
        <w:bottom w:val="none" w:sz="0" w:space="0" w:color="auto"/>
        <w:right w:val="none" w:sz="0" w:space="0" w:color="auto"/>
      </w:divBdr>
    </w:div>
    <w:div w:id="36047067">
      <w:bodyDiv w:val="1"/>
      <w:marLeft w:val="0"/>
      <w:marRight w:val="0"/>
      <w:marTop w:val="0"/>
      <w:marBottom w:val="0"/>
      <w:divBdr>
        <w:top w:val="none" w:sz="0" w:space="0" w:color="auto"/>
        <w:left w:val="none" w:sz="0" w:space="0" w:color="auto"/>
        <w:bottom w:val="none" w:sz="0" w:space="0" w:color="auto"/>
        <w:right w:val="none" w:sz="0" w:space="0" w:color="auto"/>
      </w:divBdr>
    </w:div>
    <w:div w:id="36898926">
      <w:bodyDiv w:val="1"/>
      <w:marLeft w:val="0"/>
      <w:marRight w:val="0"/>
      <w:marTop w:val="0"/>
      <w:marBottom w:val="0"/>
      <w:divBdr>
        <w:top w:val="none" w:sz="0" w:space="0" w:color="auto"/>
        <w:left w:val="none" w:sz="0" w:space="0" w:color="auto"/>
        <w:bottom w:val="none" w:sz="0" w:space="0" w:color="auto"/>
        <w:right w:val="none" w:sz="0" w:space="0" w:color="auto"/>
      </w:divBdr>
    </w:div>
    <w:div w:id="47457162">
      <w:bodyDiv w:val="1"/>
      <w:marLeft w:val="0"/>
      <w:marRight w:val="0"/>
      <w:marTop w:val="0"/>
      <w:marBottom w:val="0"/>
      <w:divBdr>
        <w:top w:val="none" w:sz="0" w:space="0" w:color="auto"/>
        <w:left w:val="none" w:sz="0" w:space="0" w:color="auto"/>
        <w:bottom w:val="none" w:sz="0" w:space="0" w:color="auto"/>
        <w:right w:val="none" w:sz="0" w:space="0" w:color="auto"/>
      </w:divBdr>
    </w:div>
    <w:div w:id="52433616">
      <w:bodyDiv w:val="1"/>
      <w:marLeft w:val="0"/>
      <w:marRight w:val="0"/>
      <w:marTop w:val="0"/>
      <w:marBottom w:val="0"/>
      <w:divBdr>
        <w:top w:val="none" w:sz="0" w:space="0" w:color="auto"/>
        <w:left w:val="none" w:sz="0" w:space="0" w:color="auto"/>
        <w:bottom w:val="none" w:sz="0" w:space="0" w:color="auto"/>
        <w:right w:val="none" w:sz="0" w:space="0" w:color="auto"/>
      </w:divBdr>
    </w:div>
    <w:div w:id="55444907">
      <w:bodyDiv w:val="1"/>
      <w:marLeft w:val="0"/>
      <w:marRight w:val="0"/>
      <w:marTop w:val="0"/>
      <w:marBottom w:val="0"/>
      <w:divBdr>
        <w:top w:val="none" w:sz="0" w:space="0" w:color="auto"/>
        <w:left w:val="none" w:sz="0" w:space="0" w:color="auto"/>
        <w:bottom w:val="none" w:sz="0" w:space="0" w:color="auto"/>
        <w:right w:val="none" w:sz="0" w:space="0" w:color="auto"/>
      </w:divBdr>
      <w:divsChild>
        <w:div w:id="108163657">
          <w:marLeft w:val="0"/>
          <w:marRight w:val="0"/>
          <w:marTop w:val="0"/>
          <w:marBottom w:val="0"/>
          <w:divBdr>
            <w:top w:val="none" w:sz="0" w:space="0" w:color="auto"/>
            <w:left w:val="none" w:sz="0" w:space="0" w:color="auto"/>
            <w:bottom w:val="none" w:sz="0" w:space="0" w:color="auto"/>
            <w:right w:val="none" w:sz="0" w:space="0" w:color="auto"/>
          </w:divBdr>
          <w:divsChild>
            <w:div w:id="646472377">
              <w:marLeft w:val="0"/>
              <w:marRight w:val="0"/>
              <w:marTop w:val="0"/>
              <w:marBottom w:val="0"/>
              <w:divBdr>
                <w:top w:val="none" w:sz="0" w:space="0" w:color="auto"/>
                <w:left w:val="none" w:sz="0" w:space="0" w:color="auto"/>
                <w:bottom w:val="none" w:sz="0" w:space="0" w:color="auto"/>
                <w:right w:val="none" w:sz="0" w:space="0" w:color="auto"/>
              </w:divBdr>
              <w:divsChild>
                <w:div w:id="155266145">
                  <w:marLeft w:val="0"/>
                  <w:marRight w:val="0"/>
                  <w:marTop w:val="0"/>
                  <w:marBottom w:val="0"/>
                  <w:divBdr>
                    <w:top w:val="none" w:sz="0" w:space="0" w:color="auto"/>
                    <w:left w:val="none" w:sz="0" w:space="0" w:color="auto"/>
                    <w:bottom w:val="none" w:sz="0" w:space="0" w:color="auto"/>
                    <w:right w:val="none" w:sz="0" w:space="0" w:color="auto"/>
                  </w:divBdr>
                  <w:divsChild>
                    <w:div w:id="197074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88888">
      <w:bodyDiv w:val="1"/>
      <w:marLeft w:val="0"/>
      <w:marRight w:val="0"/>
      <w:marTop w:val="0"/>
      <w:marBottom w:val="0"/>
      <w:divBdr>
        <w:top w:val="none" w:sz="0" w:space="0" w:color="auto"/>
        <w:left w:val="none" w:sz="0" w:space="0" w:color="auto"/>
        <w:bottom w:val="none" w:sz="0" w:space="0" w:color="auto"/>
        <w:right w:val="none" w:sz="0" w:space="0" w:color="auto"/>
      </w:divBdr>
    </w:div>
    <w:div w:id="148637226">
      <w:bodyDiv w:val="1"/>
      <w:marLeft w:val="0"/>
      <w:marRight w:val="0"/>
      <w:marTop w:val="0"/>
      <w:marBottom w:val="0"/>
      <w:divBdr>
        <w:top w:val="none" w:sz="0" w:space="0" w:color="auto"/>
        <w:left w:val="none" w:sz="0" w:space="0" w:color="auto"/>
        <w:bottom w:val="none" w:sz="0" w:space="0" w:color="auto"/>
        <w:right w:val="none" w:sz="0" w:space="0" w:color="auto"/>
      </w:divBdr>
    </w:div>
    <w:div w:id="179706492">
      <w:bodyDiv w:val="1"/>
      <w:marLeft w:val="0"/>
      <w:marRight w:val="0"/>
      <w:marTop w:val="0"/>
      <w:marBottom w:val="0"/>
      <w:divBdr>
        <w:top w:val="none" w:sz="0" w:space="0" w:color="auto"/>
        <w:left w:val="none" w:sz="0" w:space="0" w:color="auto"/>
        <w:bottom w:val="none" w:sz="0" w:space="0" w:color="auto"/>
        <w:right w:val="none" w:sz="0" w:space="0" w:color="auto"/>
      </w:divBdr>
    </w:div>
    <w:div w:id="184877573">
      <w:bodyDiv w:val="1"/>
      <w:marLeft w:val="0"/>
      <w:marRight w:val="0"/>
      <w:marTop w:val="0"/>
      <w:marBottom w:val="0"/>
      <w:divBdr>
        <w:top w:val="none" w:sz="0" w:space="0" w:color="auto"/>
        <w:left w:val="none" w:sz="0" w:space="0" w:color="auto"/>
        <w:bottom w:val="none" w:sz="0" w:space="0" w:color="auto"/>
        <w:right w:val="none" w:sz="0" w:space="0" w:color="auto"/>
      </w:divBdr>
    </w:div>
    <w:div w:id="188378902">
      <w:bodyDiv w:val="1"/>
      <w:marLeft w:val="0"/>
      <w:marRight w:val="0"/>
      <w:marTop w:val="0"/>
      <w:marBottom w:val="0"/>
      <w:divBdr>
        <w:top w:val="none" w:sz="0" w:space="0" w:color="auto"/>
        <w:left w:val="none" w:sz="0" w:space="0" w:color="auto"/>
        <w:bottom w:val="none" w:sz="0" w:space="0" w:color="auto"/>
        <w:right w:val="none" w:sz="0" w:space="0" w:color="auto"/>
      </w:divBdr>
    </w:div>
    <w:div w:id="316229842">
      <w:bodyDiv w:val="1"/>
      <w:marLeft w:val="0"/>
      <w:marRight w:val="0"/>
      <w:marTop w:val="0"/>
      <w:marBottom w:val="0"/>
      <w:divBdr>
        <w:top w:val="none" w:sz="0" w:space="0" w:color="auto"/>
        <w:left w:val="none" w:sz="0" w:space="0" w:color="auto"/>
        <w:bottom w:val="none" w:sz="0" w:space="0" w:color="auto"/>
        <w:right w:val="none" w:sz="0" w:space="0" w:color="auto"/>
      </w:divBdr>
    </w:div>
    <w:div w:id="333150697">
      <w:bodyDiv w:val="1"/>
      <w:marLeft w:val="0"/>
      <w:marRight w:val="0"/>
      <w:marTop w:val="0"/>
      <w:marBottom w:val="0"/>
      <w:divBdr>
        <w:top w:val="none" w:sz="0" w:space="0" w:color="auto"/>
        <w:left w:val="none" w:sz="0" w:space="0" w:color="auto"/>
        <w:bottom w:val="none" w:sz="0" w:space="0" w:color="auto"/>
        <w:right w:val="none" w:sz="0" w:space="0" w:color="auto"/>
      </w:divBdr>
    </w:div>
    <w:div w:id="334694026">
      <w:bodyDiv w:val="1"/>
      <w:marLeft w:val="0"/>
      <w:marRight w:val="0"/>
      <w:marTop w:val="0"/>
      <w:marBottom w:val="0"/>
      <w:divBdr>
        <w:top w:val="none" w:sz="0" w:space="0" w:color="auto"/>
        <w:left w:val="none" w:sz="0" w:space="0" w:color="auto"/>
        <w:bottom w:val="none" w:sz="0" w:space="0" w:color="auto"/>
        <w:right w:val="none" w:sz="0" w:space="0" w:color="auto"/>
      </w:divBdr>
    </w:div>
    <w:div w:id="393627685">
      <w:bodyDiv w:val="1"/>
      <w:marLeft w:val="0"/>
      <w:marRight w:val="0"/>
      <w:marTop w:val="0"/>
      <w:marBottom w:val="0"/>
      <w:divBdr>
        <w:top w:val="none" w:sz="0" w:space="0" w:color="auto"/>
        <w:left w:val="none" w:sz="0" w:space="0" w:color="auto"/>
        <w:bottom w:val="none" w:sz="0" w:space="0" w:color="auto"/>
        <w:right w:val="none" w:sz="0" w:space="0" w:color="auto"/>
      </w:divBdr>
    </w:div>
    <w:div w:id="396439708">
      <w:bodyDiv w:val="1"/>
      <w:marLeft w:val="0"/>
      <w:marRight w:val="0"/>
      <w:marTop w:val="0"/>
      <w:marBottom w:val="0"/>
      <w:divBdr>
        <w:top w:val="none" w:sz="0" w:space="0" w:color="auto"/>
        <w:left w:val="none" w:sz="0" w:space="0" w:color="auto"/>
        <w:bottom w:val="none" w:sz="0" w:space="0" w:color="auto"/>
        <w:right w:val="none" w:sz="0" w:space="0" w:color="auto"/>
      </w:divBdr>
    </w:div>
    <w:div w:id="482701309">
      <w:bodyDiv w:val="1"/>
      <w:marLeft w:val="0"/>
      <w:marRight w:val="0"/>
      <w:marTop w:val="0"/>
      <w:marBottom w:val="0"/>
      <w:divBdr>
        <w:top w:val="none" w:sz="0" w:space="0" w:color="auto"/>
        <w:left w:val="none" w:sz="0" w:space="0" w:color="auto"/>
        <w:bottom w:val="none" w:sz="0" w:space="0" w:color="auto"/>
        <w:right w:val="none" w:sz="0" w:space="0" w:color="auto"/>
      </w:divBdr>
    </w:div>
    <w:div w:id="566039765">
      <w:bodyDiv w:val="1"/>
      <w:marLeft w:val="0"/>
      <w:marRight w:val="0"/>
      <w:marTop w:val="0"/>
      <w:marBottom w:val="0"/>
      <w:divBdr>
        <w:top w:val="none" w:sz="0" w:space="0" w:color="auto"/>
        <w:left w:val="none" w:sz="0" w:space="0" w:color="auto"/>
        <w:bottom w:val="none" w:sz="0" w:space="0" w:color="auto"/>
        <w:right w:val="none" w:sz="0" w:space="0" w:color="auto"/>
      </w:divBdr>
    </w:div>
    <w:div w:id="668754257">
      <w:bodyDiv w:val="1"/>
      <w:marLeft w:val="0"/>
      <w:marRight w:val="0"/>
      <w:marTop w:val="0"/>
      <w:marBottom w:val="0"/>
      <w:divBdr>
        <w:top w:val="none" w:sz="0" w:space="0" w:color="auto"/>
        <w:left w:val="none" w:sz="0" w:space="0" w:color="auto"/>
        <w:bottom w:val="none" w:sz="0" w:space="0" w:color="auto"/>
        <w:right w:val="none" w:sz="0" w:space="0" w:color="auto"/>
      </w:divBdr>
    </w:div>
    <w:div w:id="682976946">
      <w:bodyDiv w:val="1"/>
      <w:marLeft w:val="0"/>
      <w:marRight w:val="0"/>
      <w:marTop w:val="0"/>
      <w:marBottom w:val="0"/>
      <w:divBdr>
        <w:top w:val="none" w:sz="0" w:space="0" w:color="auto"/>
        <w:left w:val="none" w:sz="0" w:space="0" w:color="auto"/>
        <w:bottom w:val="none" w:sz="0" w:space="0" w:color="auto"/>
        <w:right w:val="none" w:sz="0" w:space="0" w:color="auto"/>
      </w:divBdr>
      <w:divsChild>
        <w:div w:id="1296643931">
          <w:marLeft w:val="0"/>
          <w:marRight w:val="0"/>
          <w:marTop w:val="0"/>
          <w:marBottom w:val="0"/>
          <w:divBdr>
            <w:top w:val="none" w:sz="0" w:space="0" w:color="auto"/>
            <w:left w:val="none" w:sz="0" w:space="0" w:color="auto"/>
            <w:bottom w:val="none" w:sz="0" w:space="0" w:color="auto"/>
            <w:right w:val="none" w:sz="0" w:space="0" w:color="auto"/>
          </w:divBdr>
          <w:divsChild>
            <w:div w:id="503517497">
              <w:marLeft w:val="0"/>
              <w:marRight w:val="0"/>
              <w:marTop w:val="0"/>
              <w:marBottom w:val="0"/>
              <w:divBdr>
                <w:top w:val="none" w:sz="0" w:space="0" w:color="auto"/>
                <w:left w:val="none" w:sz="0" w:space="0" w:color="auto"/>
                <w:bottom w:val="none" w:sz="0" w:space="0" w:color="auto"/>
                <w:right w:val="none" w:sz="0" w:space="0" w:color="auto"/>
              </w:divBdr>
              <w:divsChild>
                <w:div w:id="776216776">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716971697">
      <w:bodyDiv w:val="1"/>
      <w:marLeft w:val="0"/>
      <w:marRight w:val="0"/>
      <w:marTop w:val="0"/>
      <w:marBottom w:val="0"/>
      <w:divBdr>
        <w:top w:val="none" w:sz="0" w:space="0" w:color="auto"/>
        <w:left w:val="none" w:sz="0" w:space="0" w:color="auto"/>
        <w:bottom w:val="none" w:sz="0" w:space="0" w:color="auto"/>
        <w:right w:val="none" w:sz="0" w:space="0" w:color="auto"/>
      </w:divBdr>
    </w:div>
    <w:div w:id="743528385">
      <w:bodyDiv w:val="1"/>
      <w:marLeft w:val="0"/>
      <w:marRight w:val="0"/>
      <w:marTop w:val="0"/>
      <w:marBottom w:val="0"/>
      <w:divBdr>
        <w:top w:val="none" w:sz="0" w:space="0" w:color="auto"/>
        <w:left w:val="none" w:sz="0" w:space="0" w:color="auto"/>
        <w:bottom w:val="none" w:sz="0" w:space="0" w:color="auto"/>
        <w:right w:val="none" w:sz="0" w:space="0" w:color="auto"/>
      </w:divBdr>
    </w:div>
    <w:div w:id="799342942">
      <w:bodyDiv w:val="1"/>
      <w:marLeft w:val="0"/>
      <w:marRight w:val="0"/>
      <w:marTop w:val="0"/>
      <w:marBottom w:val="0"/>
      <w:divBdr>
        <w:top w:val="none" w:sz="0" w:space="0" w:color="auto"/>
        <w:left w:val="none" w:sz="0" w:space="0" w:color="auto"/>
        <w:bottom w:val="none" w:sz="0" w:space="0" w:color="auto"/>
        <w:right w:val="none" w:sz="0" w:space="0" w:color="auto"/>
      </w:divBdr>
    </w:div>
    <w:div w:id="924531405">
      <w:bodyDiv w:val="1"/>
      <w:marLeft w:val="0"/>
      <w:marRight w:val="0"/>
      <w:marTop w:val="0"/>
      <w:marBottom w:val="0"/>
      <w:divBdr>
        <w:top w:val="none" w:sz="0" w:space="0" w:color="auto"/>
        <w:left w:val="none" w:sz="0" w:space="0" w:color="auto"/>
        <w:bottom w:val="none" w:sz="0" w:space="0" w:color="auto"/>
        <w:right w:val="none" w:sz="0" w:space="0" w:color="auto"/>
      </w:divBdr>
    </w:div>
    <w:div w:id="937642950">
      <w:bodyDiv w:val="1"/>
      <w:marLeft w:val="0"/>
      <w:marRight w:val="0"/>
      <w:marTop w:val="0"/>
      <w:marBottom w:val="0"/>
      <w:divBdr>
        <w:top w:val="none" w:sz="0" w:space="0" w:color="auto"/>
        <w:left w:val="none" w:sz="0" w:space="0" w:color="auto"/>
        <w:bottom w:val="none" w:sz="0" w:space="0" w:color="auto"/>
        <w:right w:val="none" w:sz="0" w:space="0" w:color="auto"/>
      </w:divBdr>
    </w:div>
    <w:div w:id="952243925">
      <w:bodyDiv w:val="1"/>
      <w:marLeft w:val="0"/>
      <w:marRight w:val="0"/>
      <w:marTop w:val="0"/>
      <w:marBottom w:val="0"/>
      <w:divBdr>
        <w:top w:val="none" w:sz="0" w:space="0" w:color="auto"/>
        <w:left w:val="none" w:sz="0" w:space="0" w:color="auto"/>
        <w:bottom w:val="none" w:sz="0" w:space="0" w:color="auto"/>
        <w:right w:val="none" w:sz="0" w:space="0" w:color="auto"/>
      </w:divBdr>
    </w:div>
    <w:div w:id="973825279">
      <w:bodyDiv w:val="1"/>
      <w:marLeft w:val="0"/>
      <w:marRight w:val="0"/>
      <w:marTop w:val="0"/>
      <w:marBottom w:val="0"/>
      <w:divBdr>
        <w:top w:val="none" w:sz="0" w:space="0" w:color="auto"/>
        <w:left w:val="none" w:sz="0" w:space="0" w:color="auto"/>
        <w:bottom w:val="none" w:sz="0" w:space="0" w:color="auto"/>
        <w:right w:val="none" w:sz="0" w:space="0" w:color="auto"/>
      </w:divBdr>
    </w:div>
    <w:div w:id="1025448473">
      <w:bodyDiv w:val="1"/>
      <w:marLeft w:val="0"/>
      <w:marRight w:val="0"/>
      <w:marTop w:val="0"/>
      <w:marBottom w:val="0"/>
      <w:divBdr>
        <w:top w:val="none" w:sz="0" w:space="0" w:color="auto"/>
        <w:left w:val="none" w:sz="0" w:space="0" w:color="auto"/>
        <w:bottom w:val="none" w:sz="0" w:space="0" w:color="auto"/>
        <w:right w:val="none" w:sz="0" w:space="0" w:color="auto"/>
      </w:divBdr>
    </w:div>
    <w:div w:id="1045519418">
      <w:bodyDiv w:val="1"/>
      <w:marLeft w:val="0"/>
      <w:marRight w:val="0"/>
      <w:marTop w:val="0"/>
      <w:marBottom w:val="0"/>
      <w:divBdr>
        <w:top w:val="none" w:sz="0" w:space="0" w:color="auto"/>
        <w:left w:val="none" w:sz="0" w:space="0" w:color="auto"/>
        <w:bottom w:val="none" w:sz="0" w:space="0" w:color="auto"/>
        <w:right w:val="none" w:sz="0" w:space="0" w:color="auto"/>
      </w:divBdr>
    </w:div>
    <w:div w:id="1057244456">
      <w:bodyDiv w:val="1"/>
      <w:marLeft w:val="0"/>
      <w:marRight w:val="0"/>
      <w:marTop w:val="0"/>
      <w:marBottom w:val="0"/>
      <w:divBdr>
        <w:top w:val="none" w:sz="0" w:space="0" w:color="auto"/>
        <w:left w:val="none" w:sz="0" w:space="0" w:color="auto"/>
        <w:bottom w:val="none" w:sz="0" w:space="0" w:color="auto"/>
        <w:right w:val="none" w:sz="0" w:space="0" w:color="auto"/>
      </w:divBdr>
    </w:div>
    <w:div w:id="1058937286">
      <w:bodyDiv w:val="1"/>
      <w:marLeft w:val="0"/>
      <w:marRight w:val="0"/>
      <w:marTop w:val="0"/>
      <w:marBottom w:val="0"/>
      <w:divBdr>
        <w:top w:val="none" w:sz="0" w:space="0" w:color="auto"/>
        <w:left w:val="none" w:sz="0" w:space="0" w:color="auto"/>
        <w:bottom w:val="none" w:sz="0" w:space="0" w:color="auto"/>
        <w:right w:val="none" w:sz="0" w:space="0" w:color="auto"/>
      </w:divBdr>
    </w:div>
    <w:div w:id="1077943770">
      <w:bodyDiv w:val="1"/>
      <w:marLeft w:val="0"/>
      <w:marRight w:val="0"/>
      <w:marTop w:val="0"/>
      <w:marBottom w:val="0"/>
      <w:divBdr>
        <w:top w:val="none" w:sz="0" w:space="0" w:color="auto"/>
        <w:left w:val="none" w:sz="0" w:space="0" w:color="auto"/>
        <w:bottom w:val="none" w:sz="0" w:space="0" w:color="auto"/>
        <w:right w:val="none" w:sz="0" w:space="0" w:color="auto"/>
      </w:divBdr>
    </w:div>
    <w:div w:id="1082607215">
      <w:bodyDiv w:val="1"/>
      <w:marLeft w:val="0"/>
      <w:marRight w:val="0"/>
      <w:marTop w:val="0"/>
      <w:marBottom w:val="0"/>
      <w:divBdr>
        <w:top w:val="none" w:sz="0" w:space="0" w:color="auto"/>
        <w:left w:val="none" w:sz="0" w:space="0" w:color="auto"/>
        <w:bottom w:val="none" w:sz="0" w:space="0" w:color="auto"/>
        <w:right w:val="none" w:sz="0" w:space="0" w:color="auto"/>
      </w:divBdr>
    </w:div>
    <w:div w:id="1185634625">
      <w:bodyDiv w:val="1"/>
      <w:marLeft w:val="0"/>
      <w:marRight w:val="0"/>
      <w:marTop w:val="0"/>
      <w:marBottom w:val="0"/>
      <w:divBdr>
        <w:top w:val="none" w:sz="0" w:space="0" w:color="auto"/>
        <w:left w:val="none" w:sz="0" w:space="0" w:color="auto"/>
        <w:bottom w:val="none" w:sz="0" w:space="0" w:color="auto"/>
        <w:right w:val="none" w:sz="0" w:space="0" w:color="auto"/>
      </w:divBdr>
    </w:div>
    <w:div w:id="1194463723">
      <w:bodyDiv w:val="1"/>
      <w:marLeft w:val="0"/>
      <w:marRight w:val="0"/>
      <w:marTop w:val="0"/>
      <w:marBottom w:val="0"/>
      <w:divBdr>
        <w:top w:val="none" w:sz="0" w:space="0" w:color="auto"/>
        <w:left w:val="none" w:sz="0" w:space="0" w:color="auto"/>
        <w:bottom w:val="none" w:sz="0" w:space="0" w:color="auto"/>
        <w:right w:val="none" w:sz="0" w:space="0" w:color="auto"/>
      </w:divBdr>
    </w:div>
    <w:div w:id="1242983017">
      <w:bodyDiv w:val="1"/>
      <w:marLeft w:val="0"/>
      <w:marRight w:val="0"/>
      <w:marTop w:val="0"/>
      <w:marBottom w:val="0"/>
      <w:divBdr>
        <w:top w:val="none" w:sz="0" w:space="0" w:color="auto"/>
        <w:left w:val="none" w:sz="0" w:space="0" w:color="auto"/>
        <w:bottom w:val="none" w:sz="0" w:space="0" w:color="auto"/>
        <w:right w:val="none" w:sz="0" w:space="0" w:color="auto"/>
      </w:divBdr>
    </w:div>
    <w:div w:id="1355232871">
      <w:bodyDiv w:val="1"/>
      <w:marLeft w:val="0"/>
      <w:marRight w:val="0"/>
      <w:marTop w:val="0"/>
      <w:marBottom w:val="0"/>
      <w:divBdr>
        <w:top w:val="none" w:sz="0" w:space="0" w:color="auto"/>
        <w:left w:val="none" w:sz="0" w:space="0" w:color="auto"/>
        <w:bottom w:val="none" w:sz="0" w:space="0" w:color="auto"/>
        <w:right w:val="none" w:sz="0" w:space="0" w:color="auto"/>
      </w:divBdr>
    </w:div>
    <w:div w:id="1469861736">
      <w:bodyDiv w:val="1"/>
      <w:marLeft w:val="0"/>
      <w:marRight w:val="0"/>
      <w:marTop w:val="0"/>
      <w:marBottom w:val="0"/>
      <w:divBdr>
        <w:top w:val="none" w:sz="0" w:space="0" w:color="auto"/>
        <w:left w:val="none" w:sz="0" w:space="0" w:color="auto"/>
        <w:bottom w:val="none" w:sz="0" w:space="0" w:color="auto"/>
        <w:right w:val="none" w:sz="0" w:space="0" w:color="auto"/>
      </w:divBdr>
    </w:div>
    <w:div w:id="1470516974">
      <w:bodyDiv w:val="1"/>
      <w:marLeft w:val="0"/>
      <w:marRight w:val="0"/>
      <w:marTop w:val="0"/>
      <w:marBottom w:val="0"/>
      <w:divBdr>
        <w:top w:val="none" w:sz="0" w:space="0" w:color="auto"/>
        <w:left w:val="none" w:sz="0" w:space="0" w:color="auto"/>
        <w:bottom w:val="none" w:sz="0" w:space="0" w:color="auto"/>
        <w:right w:val="none" w:sz="0" w:space="0" w:color="auto"/>
      </w:divBdr>
    </w:div>
    <w:div w:id="1488133709">
      <w:bodyDiv w:val="1"/>
      <w:marLeft w:val="0"/>
      <w:marRight w:val="0"/>
      <w:marTop w:val="0"/>
      <w:marBottom w:val="0"/>
      <w:divBdr>
        <w:top w:val="none" w:sz="0" w:space="0" w:color="auto"/>
        <w:left w:val="none" w:sz="0" w:space="0" w:color="auto"/>
        <w:bottom w:val="none" w:sz="0" w:space="0" w:color="auto"/>
        <w:right w:val="none" w:sz="0" w:space="0" w:color="auto"/>
      </w:divBdr>
    </w:div>
    <w:div w:id="1514997268">
      <w:bodyDiv w:val="1"/>
      <w:marLeft w:val="0"/>
      <w:marRight w:val="0"/>
      <w:marTop w:val="0"/>
      <w:marBottom w:val="0"/>
      <w:divBdr>
        <w:top w:val="none" w:sz="0" w:space="0" w:color="auto"/>
        <w:left w:val="none" w:sz="0" w:space="0" w:color="auto"/>
        <w:bottom w:val="none" w:sz="0" w:space="0" w:color="auto"/>
        <w:right w:val="none" w:sz="0" w:space="0" w:color="auto"/>
      </w:divBdr>
    </w:div>
    <w:div w:id="1533377568">
      <w:bodyDiv w:val="1"/>
      <w:marLeft w:val="0"/>
      <w:marRight w:val="0"/>
      <w:marTop w:val="0"/>
      <w:marBottom w:val="0"/>
      <w:divBdr>
        <w:top w:val="none" w:sz="0" w:space="0" w:color="auto"/>
        <w:left w:val="none" w:sz="0" w:space="0" w:color="auto"/>
        <w:bottom w:val="none" w:sz="0" w:space="0" w:color="auto"/>
        <w:right w:val="none" w:sz="0" w:space="0" w:color="auto"/>
      </w:divBdr>
    </w:div>
    <w:div w:id="1548175604">
      <w:bodyDiv w:val="1"/>
      <w:marLeft w:val="0"/>
      <w:marRight w:val="0"/>
      <w:marTop w:val="0"/>
      <w:marBottom w:val="0"/>
      <w:divBdr>
        <w:top w:val="none" w:sz="0" w:space="0" w:color="auto"/>
        <w:left w:val="none" w:sz="0" w:space="0" w:color="auto"/>
        <w:bottom w:val="none" w:sz="0" w:space="0" w:color="auto"/>
        <w:right w:val="none" w:sz="0" w:space="0" w:color="auto"/>
      </w:divBdr>
    </w:div>
    <w:div w:id="1570799586">
      <w:bodyDiv w:val="1"/>
      <w:marLeft w:val="0"/>
      <w:marRight w:val="0"/>
      <w:marTop w:val="0"/>
      <w:marBottom w:val="0"/>
      <w:divBdr>
        <w:top w:val="none" w:sz="0" w:space="0" w:color="auto"/>
        <w:left w:val="none" w:sz="0" w:space="0" w:color="auto"/>
        <w:bottom w:val="none" w:sz="0" w:space="0" w:color="auto"/>
        <w:right w:val="none" w:sz="0" w:space="0" w:color="auto"/>
      </w:divBdr>
    </w:div>
    <w:div w:id="1609658346">
      <w:bodyDiv w:val="1"/>
      <w:marLeft w:val="0"/>
      <w:marRight w:val="0"/>
      <w:marTop w:val="0"/>
      <w:marBottom w:val="0"/>
      <w:divBdr>
        <w:top w:val="none" w:sz="0" w:space="0" w:color="auto"/>
        <w:left w:val="none" w:sz="0" w:space="0" w:color="auto"/>
        <w:bottom w:val="none" w:sz="0" w:space="0" w:color="auto"/>
        <w:right w:val="none" w:sz="0" w:space="0" w:color="auto"/>
      </w:divBdr>
    </w:div>
    <w:div w:id="1629816581">
      <w:bodyDiv w:val="1"/>
      <w:marLeft w:val="0"/>
      <w:marRight w:val="0"/>
      <w:marTop w:val="0"/>
      <w:marBottom w:val="0"/>
      <w:divBdr>
        <w:top w:val="none" w:sz="0" w:space="0" w:color="auto"/>
        <w:left w:val="none" w:sz="0" w:space="0" w:color="auto"/>
        <w:bottom w:val="none" w:sz="0" w:space="0" w:color="auto"/>
        <w:right w:val="none" w:sz="0" w:space="0" w:color="auto"/>
      </w:divBdr>
    </w:div>
    <w:div w:id="1645697406">
      <w:bodyDiv w:val="1"/>
      <w:marLeft w:val="0"/>
      <w:marRight w:val="0"/>
      <w:marTop w:val="0"/>
      <w:marBottom w:val="0"/>
      <w:divBdr>
        <w:top w:val="none" w:sz="0" w:space="0" w:color="auto"/>
        <w:left w:val="none" w:sz="0" w:space="0" w:color="auto"/>
        <w:bottom w:val="none" w:sz="0" w:space="0" w:color="auto"/>
        <w:right w:val="none" w:sz="0" w:space="0" w:color="auto"/>
      </w:divBdr>
    </w:div>
    <w:div w:id="1647472580">
      <w:bodyDiv w:val="1"/>
      <w:marLeft w:val="0"/>
      <w:marRight w:val="0"/>
      <w:marTop w:val="0"/>
      <w:marBottom w:val="0"/>
      <w:divBdr>
        <w:top w:val="none" w:sz="0" w:space="0" w:color="auto"/>
        <w:left w:val="none" w:sz="0" w:space="0" w:color="auto"/>
        <w:bottom w:val="none" w:sz="0" w:space="0" w:color="auto"/>
        <w:right w:val="none" w:sz="0" w:space="0" w:color="auto"/>
      </w:divBdr>
    </w:div>
    <w:div w:id="1775636303">
      <w:bodyDiv w:val="1"/>
      <w:marLeft w:val="0"/>
      <w:marRight w:val="0"/>
      <w:marTop w:val="0"/>
      <w:marBottom w:val="0"/>
      <w:divBdr>
        <w:top w:val="none" w:sz="0" w:space="0" w:color="auto"/>
        <w:left w:val="none" w:sz="0" w:space="0" w:color="auto"/>
        <w:bottom w:val="none" w:sz="0" w:space="0" w:color="auto"/>
        <w:right w:val="none" w:sz="0" w:space="0" w:color="auto"/>
      </w:divBdr>
    </w:div>
    <w:div w:id="1786121179">
      <w:bodyDiv w:val="1"/>
      <w:marLeft w:val="0"/>
      <w:marRight w:val="0"/>
      <w:marTop w:val="0"/>
      <w:marBottom w:val="0"/>
      <w:divBdr>
        <w:top w:val="none" w:sz="0" w:space="0" w:color="auto"/>
        <w:left w:val="none" w:sz="0" w:space="0" w:color="auto"/>
        <w:bottom w:val="none" w:sz="0" w:space="0" w:color="auto"/>
        <w:right w:val="none" w:sz="0" w:space="0" w:color="auto"/>
      </w:divBdr>
    </w:div>
    <w:div w:id="1801416878">
      <w:bodyDiv w:val="1"/>
      <w:marLeft w:val="0"/>
      <w:marRight w:val="0"/>
      <w:marTop w:val="0"/>
      <w:marBottom w:val="0"/>
      <w:divBdr>
        <w:top w:val="none" w:sz="0" w:space="0" w:color="auto"/>
        <w:left w:val="none" w:sz="0" w:space="0" w:color="auto"/>
        <w:bottom w:val="none" w:sz="0" w:space="0" w:color="auto"/>
        <w:right w:val="none" w:sz="0" w:space="0" w:color="auto"/>
      </w:divBdr>
    </w:div>
    <w:div w:id="1870944897">
      <w:bodyDiv w:val="1"/>
      <w:marLeft w:val="0"/>
      <w:marRight w:val="0"/>
      <w:marTop w:val="0"/>
      <w:marBottom w:val="0"/>
      <w:divBdr>
        <w:top w:val="none" w:sz="0" w:space="0" w:color="auto"/>
        <w:left w:val="none" w:sz="0" w:space="0" w:color="auto"/>
        <w:bottom w:val="none" w:sz="0" w:space="0" w:color="auto"/>
        <w:right w:val="none" w:sz="0" w:space="0" w:color="auto"/>
      </w:divBdr>
    </w:div>
    <w:div w:id="1918975200">
      <w:bodyDiv w:val="1"/>
      <w:marLeft w:val="0"/>
      <w:marRight w:val="0"/>
      <w:marTop w:val="0"/>
      <w:marBottom w:val="0"/>
      <w:divBdr>
        <w:top w:val="none" w:sz="0" w:space="0" w:color="auto"/>
        <w:left w:val="none" w:sz="0" w:space="0" w:color="auto"/>
        <w:bottom w:val="none" w:sz="0" w:space="0" w:color="auto"/>
        <w:right w:val="none" w:sz="0" w:space="0" w:color="auto"/>
      </w:divBdr>
    </w:div>
    <w:div w:id="1927886455">
      <w:bodyDiv w:val="1"/>
      <w:marLeft w:val="0"/>
      <w:marRight w:val="0"/>
      <w:marTop w:val="0"/>
      <w:marBottom w:val="0"/>
      <w:divBdr>
        <w:top w:val="none" w:sz="0" w:space="0" w:color="auto"/>
        <w:left w:val="none" w:sz="0" w:space="0" w:color="auto"/>
        <w:bottom w:val="none" w:sz="0" w:space="0" w:color="auto"/>
        <w:right w:val="none" w:sz="0" w:space="0" w:color="auto"/>
      </w:divBdr>
    </w:div>
    <w:div w:id="1940915329">
      <w:bodyDiv w:val="1"/>
      <w:marLeft w:val="0"/>
      <w:marRight w:val="0"/>
      <w:marTop w:val="0"/>
      <w:marBottom w:val="0"/>
      <w:divBdr>
        <w:top w:val="none" w:sz="0" w:space="0" w:color="auto"/>
        <w:left w:val="none" w:sz="0" w:space="0" w:color="auto"/>
        <w:bottom w:val="none" w:sz="0" w:space="0" w:color="auto"/>
        <w:right w:val="none" w:sz="0" w:space="0" w:color="auto"/>
      </w:divBdr>
    </w:div>
    <w:div w:id="1951400603">
      <w:bodyDiv w:val="1"/>
      <w:marLeft w:val="0"/>
      <w:marRight w:val="0"/>
      <w:marTop w:val="0"/>
      <w:marBottom w:val="0"/>
      <w:divBdr>
        <w:top w:val="none" w:sz="0" w:space="0" w:color="auto"/>
        <w:left w:val="none" w:sz="0" w:space="0" w:color="auto"/>
        <w:bottom w:val="none" w:sz="0" w:space="0" w:color="auto"/>
        <w:right w:val="none" w:sz="0" w:space="0" w:color="auto"/>
      </w:divBdr>
    </w:div>
    <w:div w:id="1956019205">
      <w:bodyDiv w:val="1"/>
      <w:marLeft w:val="0"/>
      <w:marRight w:val="0"/>
      <w:marTop w:val="0"/>
      <w:marBottom w:val="0"/>
      <w:divBdr>
        <w:top w:val="none" w:sz="0" w:space="0" w:color="auto"/>
        <w:left w:val="none" w:sz="0" w:space="0" w:color="auto"/>
        <w:bottom w:val="none" w:sz="0" w:space="0" w:color="auto"/>
        <w:right w:val="none" w:sz="0" w:space="0" w:color="auto"/>
      </w:divBdr>
    </w:div>
    <w:div w:id="205785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4.xml"/><Relationship Id="rId26" Type="http://schemas.openxmlformats.org/officeDocument/2006/relationships/chart" Target="charts/chart3.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yperlink" Target="Dostupn&#233;%20z:"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4.xml"/><Relationship Id="rId25" Type="http://schemas.openxmlformats.org/officeDocument/2006/relationships/chart" Target="charts/chart2.xml"/><Relationship Id="rId33" Type="http://schemas.openxmlformats.org/officeDocument/2006/relationships/hyperlink" Target="http://journals.sagepub.com/doi/10.1177/0275074014533142" TargetMode="External"/><Relationship Id="rId38"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hyperlink" Target="http://www.antropoweb.cz/webzin/index.php/webzin/article/view/97"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1.xml"/><Relationship Id="rId32" Type="http://schemas.openxmlformats.org/officeDocument/2006/relationships/hyperlink" Target="http://www.psp.cz/eknih/2017ps/tesnopis/tz005.pdf" TargetMode="External"/><Relationship Id="rId37" Type="http://schemas.openxmlformats.org/officeDocument/2006/relationships/header" Target="header8.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www.psp.cz/sqw/hlasy.sqw?g=68040&amp;l=cz" TargetMode="External"/><Relationship Id="rId28" Type="http://schemas.openxmlformats.org/officeDocument/2006/relationships/hyperlink" Target="http://www.psp.cz/sqw/hlasy.sqw?g=68040&amp;l=cz&#168;" TargetMode="External"/><Relationship Id="rId36" Type="http://schemas.openxmlformats.org/officeDocument/2006/relationships/header" Target="header7.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yperlink" Target="https://academic.oup.com/hcr/article/44/2/155/484174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chart" Target="charts/chart4.xml"/><Relationship Id="rId30" Type="http://schemas.openxmlformats.org/officeDocument/2006/relationships/hyperlink" Target="http://repository.upenn.edu/asc_papers/226" TargetMode="External"/><Relationship Id="rId35" Type="http://schemas.openxmlformats.org/officeDocument/2006/relationships/hyperlink" Target="https://www.volby.cz/pls/ps2017/ps2?xjazyk=CZ"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ha-ntc.ics.muni.cz\profiles\450435\Redirect\Downloads\DATA%20analysi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ha-ntc.ics.muni.cz\profiles\450435\Redirect\Downloads\DATA%20analys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ha-ntc.ics.muni.cz\profiles\450435\Redirect\Downloads\DATA%20analysi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ha-ntc.ics.muni.cz\profiles\450435\Redirect\Downloads\DATA%20analysi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7052000444388897E-2"/>
          <c:y val="5.8606294412344974E-2"/>
          <c:w val="0.82186289213848285"/>
          <c:h val="0.87915873958144986"/>
        </c:manualLayout>
      </c:layout>
      <c:pieChart>
        <c:varyColors val="1"/>
        <c:ser>
          <c:idx val="0"/>
          <c:order val="0"/>
          <c:explosion val="5"/>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873-4BC0-A2A5-4F67979216A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873-4BC0-A2A5-4F67979216A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873-4BC0-A2A5-4F67979216A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873-4BC0-A2A5-4F67979216AA}"/>
              </c:ext>
            </c:extLst>
          </c:dPt>
          <c:dPt>
            <c:idx val="4"/>
            <c:bubble3D val="0"/>
            <c:spPr>
              <a:solidFill>
                <a:schemeClr val="tx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9873-4BC0-A2A5-4F67979216AA}"/>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9873-4BC0-A2A5-4F67979216AA}"/>
              </c:ext>
            </c:extLst>
          </c:dPt>
          <c:dPt>
            <c:idx val="6"/>
            <c:bubble3D val="0"/>
            <c:spPr>
              <a:solidFill>
                <a:srgbClr val="C0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9873-4BC0-A2A5-4F67979216AA}"/>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9873-4BC0-A2A5-4F67979216AA}"/>
              </c:ext>
            </c:extLst>
          </c:dPt>
          <c:dLbls>
            <c:dLbl>
              <c:idx val="0"/>
              <c:layout>
                <c:manualLayout>
                  <c:x val="-0.10732651474121291"/>
                  <c:y val="0.17962388414108266"/>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1-9873-4BC0-A2A5-4F67979216AA}"/>
                </c:ext>
              </c:extLst>
            </c:dLbl>
            <c:dLbl>
              <c:idx val="1"/>
              <c:layout>
                <c:manualLayout>
                  <c:x val="-0.12215573747725987"/>
                  <c:y val="-7.862015114398048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3-9873-4BC0-A2A5-4F67979216AA}"/>
                </c:ext>
              </c:extLst>
            </c:dLbl>
            <c:dLbl>
              <c:idx val="2"/>
              <c:layout>
                <c:manualLayout>
                  <c:x val="-7.8444361121526474E-2"/>
                  <c:y val="-0.18808705099629261"/>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5-9873-4BC0-A2A5-4F67979216AA}"/>
                </c:ext>
              </c:extLst>
            </c:dLbl>
            <c:dLbl>
              <c:idx val="3"/>
              <c:layout>
                <c:manualLayout>
                  <c:x val="-5.5578122179172048E-3"/>
                  <c:y val="-0.18510033329759812"/>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7-9873-4BC0-A2A5-4F67979216AA}"/>
                </c:ext>
              </c:extLst>
            </c:dLbl>
            <c:dLbl>
              <c:idx val="4"/>
              <c:layout>
                <c:manualLayout>
                  <c:x val="9.0767994278492928E-2"/>
                  <c:y val="-0.17512668668905726"/>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9-9873-4BC0-A2A5-4F67979216AA}"/>
                </c:ext>
              </c:extLst>
            </c:dLbl>
            <c:dLbl>
              <c:idx val="5"/>
              <c:layout>
                <c:manualLayout>
                  <c:x val="0.11519271896568481"/>
                  <c:y val="5.5871750028401501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B-9873-4BC0-A2A5-4F67979216AA}"/>
                </c:ext>
              </c:extLst>
            </c:dLbl>
            <c:dLbl>
              <c:idx val="6"/>
              <c:layout>
                <c:manualLayout>
                  <c:x val="8.2866898582121679E-2"/>
                  <c:y val="0.18278309094720202"/>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D-9873-4BC0-A2A5-4F67979216AA}"/>
                </c:ext>
              </c:extLst>
            </c:dLbl>
            <c:dLbl>
              <c:idx val="7"/>
              <c:layout>
                <c:manualLayout>
                  <c:x val="3.3886606901286552E-2"/>
                  <c:y val="0.13781164281587266"/>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F-9873-4BC0-A2A5-4F67979216A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1"/>
            <c:showBubbleSize val="0"/>
            <c:separator>
</c:separator>
            <c:showLeaderLines val="0"/>
            <c:extLst>
              <c:ext xmlns:c15="http://schemas.microsoft.com/office/drawing/2012/chart" uri="{CE6537A1-D6FC-4f65-9D91-7224C49458BB}"/>
            </c:extLst>
          </c:dLbls>
          <c:cat>
            <c:strRef>
              <c:f>Charts!$A$3:$A$10</c:f>
              <c:strCache>
                <c:ptCount val="8"/>
                <c:pt idx="0">
                  <c:v>ODS</c:v>
                </c:pt>
                <c:pt idx="1">
                  <c:v>Piráti</c:v>
                </c:pt>
                <c:pt idx="2">
                  <c:v>SPD</c:v>
                </c:pt>
                <c:pt idx="3">
                  <c:v>KSČM</c:v>
                </c:pt>
                <c:pt idx="4">
                  <c:v>ČSSD</c:v>
                </c:pt>
                <c:pt idx="5">
                  <c:v>KDU-ČSL</c:v>
                </c:pt>
                <c:pt idx="6">
                  <c:v>TOP-09</c:v>
                </c:pt>
                <c:pt idx="7">
                  <c:v>STAN</c:v>
                </c:pt>
              </c:strCache>
            </c:strRef>
          </c:cat>
          <c:val>
            <c:numRef>
              <c:f>Charts!$C$3:$C$10</c:f>
              <c:numCache>
                <c:formatCode>General</c:formatCode>
                <c:ptCount val="8"/>
                <c:pt idx="0">
                  <c:v>60</c:v>
                </c:pt>
                <c:pt idx="1">
                  <c:v>27</c:v>
                </c:pt>
                <c:pt idx="2">
                  <c:v>21</c:v>
                </c:pt>
                <c:pt idx="3">
                  <c:v>26</c:v>
                </c:pt>
                <c:pt idx="4">
                  <c:v>42</c:v>
                </c:pt>
                <c:pt idx="5">
                  <c:v>33</c:v>
                </c:pt>
                <c:pt idx="6">
                  <c:v>24</c:v>
                </c:pt>
                <c:pt idx="7">
                  <c:v>12</c:v>
                </c:pt>
              </c:numCache>
            </c:numRef>
          </c:val>
          <c:extLst>
            <c:ext xmlns:c16="http://schemas.microsoft.com/office/drawing/2014/chart" uri="{C3380CC4-5D6E-409C-BE32-E72D297353CC}">
              <c16:uniqueId val="{00000010-9873-4BC0-A2A5-4F67979216AA}"/>
            </c:ext>
          </c:extLst>
        </c:ser>
        <c:dLbls>
          <c:dLblPos val="ctr"/>
          <c:showLegendKey val="0"/>
          <c:showVal val="0"/>
          <c:showCatName val="1"/>
          <c:showSerName val="0"/>
          <c:showPercent val="0"/>
          <c:showBubbleSize val="0"/>
          <c:showLeaderLines val="0"/>
        </c:dLbls>
        <c:firstSliceAng val="0"/>
      </c:pieChart>
      <c:spPr>
        <a:noFill/>
        <a:ln>
          <a:noFill/>
        </a:ln>
        <a:effectLst/>
      </c:spPr>
    </c:plotArea>
    <c:legend>
      <c:legendPos val="r"/>
      <c:layout>
        <c:manualLayout>
          <c:xMode val="edge"/>
          <c:yMode val="edge"/>
          <c:x val="0.88239247871793802"/>
          <c:y val="2.5798065227379447E-2"/>
          <c:w val="0.10438000805454874"/>
          <c:h val="0.951030054386871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ysClr val="window" lastClr="FFFFFF"/>
    </a:solidFill>
    <a:ln w="9525" cap="flat" cmpd="sng" algn="ctr">
      <a:solidFill>
        <a:schemeClr val="dk1">
          <a:lumMod val="25000"/>
          <a:lumOff val="7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0555555555555555E-2"/>
          <c:y val="5.0925925925925923E-2"/>
          <c:w val="0.79070341207349082"/>
          <c:h val="0.89814814814814814"/>
        </c:manualLayout>
      </c:layout>
      <c:pieChart>
        <c:varyColors val="1"/>
        <c:ser>
          <c:idx val="0"/>
          <c:order val="0"/>
          <c:explosion val="5"/>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1F7-42C3-A65D-5BAAB5B3C38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1F7-42C3-A65D-5BAAB5B3C38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1F7-42C3-A65D-5BAAB5B3C38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1F7-42C3-A65D-5BAAB5B3C38B}"/>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51F7-42C3-A65D-5BAAB5B3C38B}"/>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51F7-42C3-A65D-5BAAB5B3C38B}"/>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51F7-42C3-A65D-5BAAB5B3C38B}"/>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51F7-42C3-A65D-5BAAB5B3C38B}"/>
              </c:ext>
            </c:extLst>
          </c:dPt>
          <c:dLbls>
            <c:dLbl>
              <c:idx val="0"/>
              <c:layout>
                <c:manualLayout>
                  <c:x val="-0.15523823410962526"/>
                  <c:y val="4.6452511450774538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1-51F7-42C3-A65D-5BAAB5B3C38B}"/>
                </c:ext>
              </c:extLst>
            </c:dLbl>
            <c:dLbl>
              <c:idx val="1"/>
              <c:layout>
                <c:manualLayout>
                  <c:x val="-2.5838784040883779E-2"/>
                  <c:y val="-0.17727921877412381"/>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3-51F7-42C3-A65D-5BAAB5B3C38B}"/>
                </c:ext>
              </c:extLst>
            </c:dLbl>
            <c:dLbl>
              <c:idx val="2"/>
              <c:layout>
                <c:manualLayout>
                  <c:x val="7.0125262120012771E-2"/>
                  <c:y val="-0.18802171787350111"/>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5-51F7-42C3-A65D-5BAAB5B3C38B}"/>
                </c:ext>
              </c:extLst>
            </c:dLbl>
            <c:dLbl>
              <c:idx val="3"/>
              <c:delete val="1"/>
              <c:extLst>
                <c:ext xmlns:c15="http://schemas.microsoft.com/office/drawing/2012/chart" uri="{CE6537A1-D6FC-4f65-9D91-7224C49458BB}"/>
                <c:ext xmlns:c16="http://schemas.microsoft.com/office/drawing/2014/chart" uri="{C3380CC4-5D6E-409C-BE32-E72D297353CC}">
                  <c16:uniqueId val="{00000007-51F7-42C3-A65D-5BAAB5B3C38B}"/>
                </c:ext>
              </c:extLst>
            </c:dLbl>
            <c:dLbl>
              <c:idx val="4"/>
              <c:delete val="1"/>
              <c:extLst>
                <c:ext xmlns:c15="http://schemas.microsoft.com/office/drawing/2012/chart" uri="{CE6537A1-D6FC-4f65-9D91-7224C49458BB}"/>
                <c:ext xmlns:c16="http://schemas.microsoft.com/office/drawing/2014/chart" uri="{C3380CC4-5D6E-409C-BE32-E72D297353CC}">
                  <c16:uniqueId val="{00000009-51F7-42C3-A65D-5BAAB5B3C38B}"/>
                </c:ext>
              </c:extLst>
            </c:dLbl>
            <c:dLbl>
              <c:idx val="5"/>
              <c:layout>
                <c:manualLayout>
                  <c:x val="0.12944076434890084"/>
                  <c:y val="-4.9154701250578969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B-51F7-42C3-A65D-5BAAB5B3C38B}"/>
                </c:ext>
              </c:extLst>
            </c:dLbl>
            <c:dLbl>
              <c:idx val="6"/>
              <c:layout>
                <c:manualLayout>
                  <c:x val="7.8846394200724867E-2"/>
                  <c:y val="0.14551940198651636"/>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D-51F7-42C3-A65D-5BAAB5B3C38B}"/>
                </c:ext>
              </c:extLst>
            </c:dLbl>
            <c:dLbl>
              <c:idx val="7"/>
              <c:layout>
                <c:manualLayout>
                  <c:x val="4.7262668555319395E-2"/>
                  <c:y val="0.1571863259739591"/>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F-51F7-42C3-A65D-5BAAB5B3C38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1"/>
            <c:showBubbleSize val="0"/>
            <c:separator>
</c:separator>
            <c:showLeaderLines val="0"/>
            <c:extLst>
              <c:ext xmlns:c15="http://schemas.microsoft.com/office/drawing/2012/chart" uri="{CE6537A1-D6FC-4f65-9D91-7224C49458BB}"/>
            </c:extLst>
          </c:dLbls>
          <c:cat>
            <c:strRef>
              <c:f>Charts!$A$3:$A$10</c:f>
              <c:strCache>
                <c:ptCount val="8"/>
                <c:pt idx="0">
                  <c:v>ODS</c:v>
                </c:pt>
                <c:pt idx="1">
                  <c:v>Piráti</c:v>
                </c:pt>
                <c:pt idx="2">
                  <c:v>SPD</c:v>
                </c:pt>
                <c:pt idx="3">
                  <c:v>KSČM</c:v>
                </c:pt>
                <c:pt idx="4">
                  <c:v>ČSSD</c:v>
                </c:pt>
                <c:pt idx="5">
                  <c:v>KDU-ČSL</c:v>
                </c:pt>
                <c:pt idx="6">
                  <c:v>TOP-09</c:v>
                </c:pt>
                <c:pt idx="7">
                  <c:v>STAN</c:v>
                </c:pt>
              </c:strCache>
            </c:strRef>
          </c:cat>
          <c:val>
            <c:numRef>
              <c:f>Charts!$E$3:$E$10</c:f>
              <c:numCache>
                <c:formatCode>General</c:formatCode>
                <c:ptCount val="8"/>
                <c:pt idx="0">
                  <c:v>168</c:v>
                </c:pt>
                <c:pt idx="1">
                  <c:v>55</c:v>
                </c:pt>
                <c:pt idx="2">
                  <c:v>27</c:v>
                </c:pt>
                <c:pt idx="3">
                  <c:v>0</c:v>
                </c:pt>
                <c:pt idx="4">
                  <c:v>0</c:v>
                </c:pt>
                <c:pt idx="5">
                  <c:v>87</c:v>
                </c:pt>
                <c:pt idx="6">
                  <c:v>35</c:v>
                </c:pt>
                <c:pt idx="7">
                  <c:v>36</c:v>
                </c:pt>
              </c:numCache>
            </c:numRef>
          </c:val>
          <c:extLst>
            <c:ext xmlns:c16="http://schemas.microsoft.com/office/drawing/2014/chart" uri="{C3380CC4-5D6E-409C-BE32-E72D297353CC}">
              <c16:uniqueId val="{00000010-51F7-42C3-A65D-5BAAB5B3C38B}"/>
            </c:ext>
          </c:extLst>
        </c:ser>
        <c:dLbls>
          <c:dLblPos val="ctr"/>
          <c:showLegendKey val="0"/>
          <c:showVal val="0"/>
          <c:showCatName val="1"/>
          <c:showSerName val="0"/>
          <c:showPercent val="0"/>
          <c:showBubbleSize val="0"/>
          <c:showLeaderLines val="0"/>
        </c:dLbls>
        <c:firstSliceAng val="0"/>
      </c:pieChart>
      <c:spPr>
        <a:noFill/>
        <a:ln>
          <a:noFill/>
        </a:ln>
        <a:effectLst/>
      </c:spPr>
    </c:plotArea>
    <c:legend>
      <c:legendPos val="r"/>
      <c:legendEntry>
        <c:idx val="3"/>
        <c:delete val="1"/>
      </c:legendEntry>
      <c:legendEntry>
        <c:idx val="4"/>
        <c:delete val="1"/>
      </c:legendEntry>
      <c:layout>
        <c:manualLayout>
          <c:xMode val="edge"/>
          <c:yMode val="edge"/>
          <c:x val="0.86696037995250597"/>
          <c:y val="4.0439246564767627E-2"/>
          <c:w val="0.11760752128206196"/>
          <c:h val="0.9323966857084040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ysClr val="window" lastClr="FFFFFF"/>
    </a:solidFill>
    <a:ln w="9525" cap="flat" cmpd="sng" algn="ctr">
      <a:solidFill>
        <a:schemeClr val="dk1">
          <a:lumMod val="25000"/>
          <a:lumOff val="7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Charts!$A$20:$A$31</c:f>
              <c:strCache>
                <c:ptCount val="12"/>
                <c:pt idx="0">
                  <c:v>Kompetence vlády</c:v>
                </c:pt>
                <c:pt idx="1">
                  <c:v>Důvěryhodnost vlády</c:v>
                </c:pt>
                <c:pt idx="2">
                  <c:v>Personální obsazení vlády</c:v>
                </c:pt>
                <c:pt idx="3">
                  <c:v>Koaliční jednání a podoba vlády (jednobarevnost)</c:v>
                </c:pt>
                <c:pt idx="4">
                  <c:v>Programové prohlášení a vize vlády</c:v>
                </c:pt>
                <c:pt idx="5">
                  <c:v>Sociální politika</c:v>
                </c:pt>
                <c:pt idx="6">
                  <c:v>Trestní stíhání Andreje Babiše </c:v>
                </c:pt>
                <c:pt idx="7">
                  <c:v>Minulost Andreje Babiše</c:v>
                </c:pt>
                <c:pt idx="8">
                  <c:v>Střet zájmů Andreje Babiše</c:v>
                </c:pt>
                <c:pt idx="9">
                  <c:v>Účast KSČM na vládě</c:v>
                </c:pt>
                <c:pt idx="10">
                  <c:v>Jiné</c:v>
                </c:pt>
              </c:strCache>
            </c:strRef>
          </c:tx>
          <c:explosion val="5"/>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923-4DD9-9086-F904B5A9265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923-4DD9-9086-F904B5A9265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923-4DD9-9086-F904B5A92657}"/>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923-4DD9-9086-F904B5A92657}"/>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4923-4DD9-9086-F904B5A92657}"/>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4923-4DD9-9086-F904B5A92657}"/>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4923-4DD9-9086-F904B5A92657}"/>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4923-4DD9-9086-F904B5A92657}"/>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4923-4DD9-9086-F904B5A92657}"/>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4923-4DD9-9086-F904B5A92657}"/>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4923-4DD9-9086-F904B5A92657}"/>
              </c:ext>
            </c:extLst>
          </c:dPt>
          <c:dLbls>
            <c:dLbl>
              <c:idx val="0"/>
              <c:layout>
                <c:manualLayout>
                  <c:x val="-1.1929411601327572E-2"/>
                  <c:y val="9.5958540896673633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1-4923-4DD9-9086-F904B5A92657}"/>
                </c:ext>
              </c:extLst>
            </c:dLbl>
            <c:dLbl>
              <c:idx val="1"/>
              <c:layout>
                <c:manualLayout>
                  <c:x val="-7.2056791512172091E-2"/>
                  <c:y val="0.15217365686432052"/>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3-4923-4DD9-9086-F904B5A92657}"/>
                </c:ext>
              </c:extLst>
            </c:dLbl>
            <c:dLbl>
              <c:idx val="2"/>
              <c:layout>
                <c:manualLayout>
                  <c:x val="-7.7253190573400632E-2"/>
                  <c:y val="9.2387647972574857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5-4923-4DD9-9086-F904B5A92657}"/>
                </c:ext>
              </c:extLst>
            </c:dLbl>
            <c:dLbl>
              <c:idx val="3"/>
              <c:layout>
                <c:manualLayout>
                  <c:x val="-0.11963903817578367"/>
                  <c:y val="4.1556579888542122E-3"/>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7-4923-4DD9-9086-F904B5A92657}"/>
                </c:ext>
              </c:extLst>
            </c:dLbl>
            <c:dLbl>
              <c:idx val="5"/>
              <c:layout>
                <c:manualLayout>
                  <c:x val="6.4147189934591509E-2"/>
                  <c:y val="1.8926294927419787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B-4923-4DD9-9086-F904B5A92657}"/>
                </c:ext>
              </c:extLst>
            </c:dLbl>
            <c:dLbl>
              <c:idx val="6"/>
              <c:layout>
                <c:manualLayout>
                  <c:x val="7.9904942437750814E-2"/>
                  <c:y val="6.0334243933793962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D-4923-4DD9-9086-F904B5A92657}"/>
                </c:ext>
              </c:extLst>
            </c:dLbl>
            <c:dLbl>
              <c:idx val="7"/>
              <c:layout>
                <c:manualLayout>
                  <c:x val="1.3659750864475274E-2"/>
                  <c:y val="2.4179388290749372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F-4923-4DD9-9086-F904B5A92657}"/>
                </c:ext>
              </c:extLst>
            </c:dLbl>
            <c:dLbl>
              <c:idx val="8"/>
              <c:layout>
                <c:manualLayout>
                  <c:x val="5.6282200836006609E-2"/>
                  <c:y val="9.3101398039530769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11-4923-4DD9-9086-F904B5A92657}"/>
                </c:ext>
              </c:extLst>
            </c:dLbl>
            <c:dLbl>
              <c:idx val="9"/>
              <c:delete val="1"/>
              <c:extLst>
                <c:ext xmlns:c15="http://schemas.microsoft.com/office/drawing/2012/chart" uri="{CE6537A1-D6FC-4f65-9D91-7224C49458BB}"/>
                <c:ext xmlns:c16="http://schemas.microsoft.com/office/drawing/2014/chart" uri="{C3380CC4-5D6E-409C-BE32-E72D297353CC}">
                  <c16:uniqueId val="{00000013-4923-4DD9-9086-F904B5A92657}"/>
                </c:ext>
              </c:extLst>
            </c:dLbl>
            <c:dLbl>
              <c:idx val="10"/>
              <c:layout>
                <c:manualLayout>
                  <c:x val="5.8254002971850738E-2"/>
                  <c:y val="0.12020890245862124"/>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15-4923-4DD9-9086-F904B5A92657}"/>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1"/>
            <c:showBubbleSize val="0"/>
            <c:separator>
</c:separator>
            <c:showLeaderLines val="0"/>
            <c:extLst>
              <c:ext xmlns:c15="http://schemas.microsoft.com/office/drawing/2012/chart" uri="{CE6537A1-D6FC-4f65-9D91-7224C49458BB}">
                <c15:layout/>
              </c:ext>
            </c:extLst>
          </c:dLbls>
          <c:cat>
            <c:strRef>
              <c:f>Charts!$A$20:$A$30</c:f>
              <c:strCache>
                <c:ptCount val="11"/>
                <c:pt idx="0">
                  <c:v>Kompetence vlády</c:v>
                </c:pt>
                <c:pt idx="1">
                  <c:v>Důvěryhodnost vlády</c:v>
                </c:pt>
                <c:pt idx="2">
                  <c:v>Personální obsazení vlády</c:v>
                </c:pt>
                <c:pt idx="3">
                  <c:v>Koaliční jednání a podoba vlády (jednobarevnost)</c:v>
                </c:pt>
                <c:pt idx="4">
                  <c:v>Programové prohlášení a vize vlády</c:v>
                </c:pt>
                <c:pt idx="5">
                  <c:v>Sociální politika</c:v>
                </c:pt>
                <c:pt idx="6">
                  <c:v>Trestní stíhání Andreje Babiše </c:v>
                </c:pt>
                <c:pt idx="7">
                  <c:v>Minulost Andreje Babiše</c:v>
                </c:pt>
                <c:pt idx="8">
                  <c:v>Střet zájmů Andreje Babiše</c:v>
                </c:pt>
                <c:pt idx="9">
                  <c:v>Účast KSČM na vládě</c:v>
                </c:pt>
                <c:pt idx="10">
                  <c:v>Jiné</c:v>
                </c:pt>
              </c:strCache>
            </c:strRef>
          </c:cat>
          <c:val>
            <c:numRef>
              <c:f>Charts!$F$20:$F$30</c:f>
              <c:numCache>
                <c:formatCode>General</c:formatCode>
                <c:ptCount val="11"/>
                <c:pt idx="0">
                  <c:v>7</c:v>
                </c:pt>
                <c:pt idx="1">
                  <c:v>26</c:v>
                </c:pt>
                <c:pt idx="2">
                  <c:v>12</c:v>
                </c:pt>
                <c:pt idx="3">
                  <c:v>34</c:v>
                </c:pt>
                <c:pt idx="4">
                  <c:v>121</c:v>
                </c:pt>
                <c:pt idx="5">
                  <c:v>9</c:v>
                </c:pt>
                <c:pt idx="6">
                  <c:v>18</c:v>
                </c:pt>
                <c:pt idx="7">
                  <c:v>3</c:v>
                </c:pt>
                <c:pt idx="8">
                  <c:v>7</c:v>
                </c:pt>
                <c:pt idx="9">
                  <c:v>0</c:v>
                </c:pt>
                <c:pt idx="10">
                  <c:v>27</c:v>
                </c:pt>
              </c:numCache>
            </c:numRef>
          </c:val>
          <c:extLst>
            <c:ext xmlns:c16="http://schemas.microsoft.com/office/drawing/2014/chart" uri="{C3380CC4-5D6E-409C-BE32-E72D297353CC}">
              <c16:uniqueId val="{00000016-4923-4DD9-9086-F904B5A92657}"/>
            </c:ext>
          </c:extLst>
        </c:ser>
        <c:dLbls>
          <c:dLblPos val="ctr"/>
          <c:showLegendKey val="0"/>
          <c:showVal val="0"/>
          <c:showCatName val="1"/>
          <c:showSerName val="0"/>
          <c:showPercent val="0"/>
          <c:showBubbleSize val="0"/>
          <c:showLeaderLines val="0"/>
        </c:dLbls>
        <c:firstSliceAng val="0"/>
      </c:pieChart>
      <c:spPr>
        <a:noFill/>
        <a:ln>
          <a:noFill/>
        </a:ln>
        <a:effectLst/>
      </c:spPr>
    </c:plotArea>
    <c:legend>
      <c:legendPos val="r"/>
      <c:legendEntry>
        <c:idx val="9"/>
        <c:delete val="1"/>
      </c:legendEntry>
      <c:layout>
        <c:manualLayout>
          <c:xMode val="edge"/>
          <c:yMode val="edge"/>
          <c:x val="0.66719090669221903"/>
          <c:y val="2.6144142696448658E-2"/>
          <c:w val="0.31958158008026777"/>
          <c:h val="0.9477117146071026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ysClr val="window" lastClr="FFFFFF"/>
    </a:solidFill>
    <a:ln w="9525" cap="flat" cmpd="sng" algn="ctr">
      <a:solidFill>
        <a:schemeClr val="dk1">
          <a:lumMod val="25000"/>
          <a:lumOff val="7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Charts!$A$20:$A$30</c:f>
              <c:strCache>
                <c:ptCount val="11"/>
                <c:pt idx="0">
                  <c:v>Kompetence vlády</c:v>
                </c:pt>
                <c:pt idx="1">
                  <c:v>Důvěryhodnost vlády</c:v>
                </c:pt>
                <c:pt idx="2">
                  <c:v>Personální obsazení vlády</c:v>
                </c:pt>
                <c:pt idx="3">
                  <c:v>Koaliční jednání a podoba vlády (jednobarevnost)</c:v>
                </c:pt>
                <c:pt idx="4">
                  <c:v>Programové prohlášení a vize vlády</c:v>
                </c:pt>
                <c:pt idx="5">
                  <c:v>Sociální politika</c:v>
                </c:pt>
                <c:pt idx="6">
                  <c:v>Trestní stíhání Andreje Babiše </c:v>
                </c:pt>
                <c:pt idx="7">
                  <c:v>Minulost Andreje Babiše</c:v>
                </c:pt>
                <c:pt idx="8">
                  <c:v>Střet zájmů Andreje Babiše</c:v>
                </c:pt>
                <c:pt idx="9">
                  <c:v>Účast KSČM na vládě</c:v>
                </c:pt>
                <c:pt idx="10">
                  <c:v>Jiné</c:v>
                </c:pt>
              </c:strCache>
            </c:strRef>
          </c:tx>
          <c:explosion val="5"/>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A1D-4518-857D-0828DA96DF0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A1D-4518-857D-0828DA96DF0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A1D-4518-857D-0828DA96DF03}"/>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A1D-4518-857D-0828DA96DF03}"/>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5A1D-4518-857D-0828DA96DF03}"/>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5A1D-4518-857D-0828DA96DF03}"/>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5A1D-4518-857D-0828DA96DF03}"/>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5A1D-4518-857D-0828DA96DF03}"/>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5A1D-4518-857D-0828DA96DF03}"/>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5A1D-4518-857D-0828DA96DF03}"/>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5A1D-4518-857D-0828DA96DF03}"/>
              </c:ext>
            </c:extLst>
          </c:dPt>
          <c:dLbls>
            <c:dLbl>
              <c:idx val="0"/>
              <c:layout>
                <c:manualLayout>
                  <c:x val="-1.3875001735894933E-3"/>
                  <c:y val="7.1371660734189046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1-5A1D-4518-857D-0828DA96DF03}"/>
                </c:ext>
              </c:extLst>
            </c:dLbl>
            <c:dLbl>
              <c:idx val="1"/>
              <c:layout>
                <c:manualLayout>
                  <c:x val="-2.4278909580746893E-2"/>
                  <c:y val="0.13289181318088664"/>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3-5A1D-4518-857D-0828DA96DF03}"/>
                </c:ext>
              </c:extLst>
            </c:dLbl>
            <c:dLbl>
              <c:idx val="2"/>
              <c:layout>
                <c:manualLayout>
                  <c:x val="-7.2962233887430741E-2"/>
                  <c:y val="0.13313174894234112"/>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5-5A1D-4518-857D-0828DA96DF03}"/>
                </c:ext>
              </c:extLst>
            </c:dLbl>
            <c:dLbl>
              <c:idx val="3"/>
              <c:layout>
                <c:manualLayout>
                  <c:x val="-0.15760477856934549"/>
                  <c:y val="1.5336952743920709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7-5A1D-4518-857D-0828DA96DF03}"/>
                </c:ext>
              </c:extLst>
            </c:dLbl>
            <c:dLbl>
              <c:idx val="5"/>
              <c:layout>
                <c:manualLayout>
                  <c:x val="2.9525823160993763E-2"/>
                  <c:y val="-2.4333944558300076E-3"/>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B-5A1D-4518-857D-0828DA96DF03}"/>
                </c:ext>
              </c:extLst>
            </c:dLbl>
            <c:dLbl>
              <c:idx val="6"/>
              <c:layout>
                <c:manualLayout>
                  <c:x val="2.5445777611131936E-2"/>
                  <c:y val="3.3996092954133601E-3"/>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D-5A1D-4518-857D-0828DA96DF03}"/>
                </c:ext>
              </c:extLst>
            </c:dLbl>
            <c:dLbl>
              <c:idx val="7"/>
              <c:layout>
                <c:manualLayout>
                  <c:x val="3.3622880473274171E-2"/>
                  <c:y val="1.3698390440920912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F-5A1D-4518-857D-0828DA96DF03}"/>
                </c:ext>
              </c:extLst>
            </c:dLbl>
            <c:dLbl>
              <c:idx val="8"/>
              <c:layout>
                <c:manualLayout>
                  <c:x val="3.17498507131053E-2"/>
                  <c:y val="1.6751399225781709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11-5A1D-4518-857D-0828DA96DF03}"/>
                </c:ext>
              </c:extLst>
            </c:dLbl>
            <c:dLbl>
              <c:idx val="9"/>
              <c:layout>
                <c:manualLayout>
                  <c:x val="0.10005954116846505"/>
                  <c:y val="0.12679394527738824"/>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13-5A1D-4518-857D-0828DA96DF03}"/>
                </c:ext>
              </c:extLst>
            </c:dLbl>
            <c:dLbl>
              <c:idx val="10"/>
              <c:layout>
                <c:manualLayout>
                  <c:x val="2.1681317613076144E-2"/>
                  <c:y val="0.12291494385119668"/>
                </c:manualLayout>
              </c:layout>
              <c:dLblPos val="bestFit"/>
              <c:showLegendKey val="0"/>
              <c:showVal val="1"/>
              <c:showCatName val="0"/>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15-5A1D-4518-857D-0828DA96DF0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cs-CZ"/>
              </a:p>
            </c:txPr>
            <c:dLblPos val="ctr"/>
            <c:showLegendKey val="0"/>
            <c:showVal val="1"/>
            <c:showCatName val="0"/>
            <c:showSerName val="0"/>
            <c:showPercent val="1"/>
            <c:showBubbleSize val="0"/>
            <c:separator>
</c:separator>
            <c:showLeaderLines val="0"/>
            <c:extLst>
              <c:ext xmlns:c15="http://schemas.microsoft.com/office/drawing/2012/chart" uri="{CE6537A1-D6FC-4f65-9D91-7224C49458BB}">
                <c15:layout/>
              </c:ext>
            </c:extLst>
          </c:dLbls>
          <c:cat>
            <c:strRef>
              <c:f>Charts!$A$20:$A$30</c:f>
              <c:strCache>
                <c:ptCount val="11"/>
                <c:pt idx="0">
                  <c:v>Kompetence vlády</c:v>
                </c:pt>
                <c:pt idx="1">
                  <c:v>Důvěryhodnost vlády</c:v>
                </c:pt>
                <c:pt idx="2">
                  <c:v>Personální obsazení vlády</c:v>
                </c:pt>
                <c:pt idx="3">
                  <c:v>Koaliční jednání a podoba vlády (jednobarevnost)</c:v>
                </c:pt>
                <c:pt idx="4">
                  <c:v>Programové prohlášení a vize vlády</c:v>
                </c:pt>
                <c:pt idx="5">
                  <c:v>Sociální politika</c:v>
                </c:pt>
                <c:pt idx="6">
                  <c:v>Trestní stíhání Andreje Babiše </c:v>
                </c:pt>
                <c:pt idx="7">
                  <c:v>Minulost Andreje Babiše</c:v>
                </c:pt>
                <c:pt idx="8">
                  <c:v>Střet zájmů Andreje Babiše</c:v>
                </c:pt>
                <c:pt idx="9">
                  <c:v>Účast KSČM na vládě</c:v>
                </c:pt>
                <c:pt idx="10">
                  <c:v>Jiné</c:v>
                </c:pt>
              </c:strCache>
            </c:strRef>
          </c:cat>
          <c:val>
            <c:numRef>
              <c:f>Charts!$J$20:$J$30</c:f>
              <c:numCache>
                <c:formatCode>General</c:formatCode>
                <c:ptCount val="11"/>
                <c:pt idx="0">
                  <c:v>4</c:v>
                </c:pt>
                <c:pt idx="1">
                  <c:v>17</c:v>
                </c:pt>
                <c:pt idx="2">
                  <c:v>39</c:v>
                </c:pt>
                <c:pt idx="3">
                  <c:v>78</c:v>
                </c:pt>
                <c:pt idx="4">
                  <c:v>186</c:v>
                </c:pt>
                <c:pt idx="5">
                  <c:v>4</c:v>
                </c:pt>
                <c:pt idx="6">
                  <c:v>10</c:v>
                </c:pt>
                <c:pt idx="7">
                  <c:v>6</c:v>
                </c:pt>
                <c:pt idx="8">
                  <c:v>6</c:v>
                </c:pt>
                <c:pt idx="9">
                  <c:v>67</c:v>
                </c:pt>
                <c:pt idx="10">
                  <c:v>20</c:v>
                </c:pt>
              </c:numCache>
            </c:numRef>
          </c:val>
          <c:extLst>
            <c:ext xmlns:c16="http://schemas.microsoft.com/office/drawing/2014/chart" uri="{C3380CC4-5D6E-409C-BE32-E72D297353CC}">
              <c16:uniqueId val="{00000016-5A1D-4518-857D-0828DA96DF03}"/>
            </c:ext>
          </c:extLst>
        </c:ser>
        <c:dLbls>
          <c:dLblPos val="ctr"/>
          <c:showLegendKey val="0"/>
          <c:showVal val="0"/>
          <c:showCatName val="1"/>
          <c:showSerName val="0"/>
          <c:showPercent val="0"/>
          <c:showBubbleSize val="0"/>
          <c:showLeaderLines val="0"/>
        </c:dLbls>
        <c:firstSliceAng val="0"/>
      </c:pieChart>
      <c:spPr>
        <a:noFill/>
        <a:ln>
          <a:noFill/>
        </a:ln>
        <a:effectLst/>
      </c:spPr>
    </c:plotArea>
    <c:legend>
      <c:legendPos val="r"/>
      <c:layout>
        <c:manualLayout>
          <c:xMode val="edge"/>
          <c:yMode val="edge"/>
          <c:x val="0.67380466330597577"/>
          <c:y val="2.7583743812845313E-2"/>
          <c:w val="0.31076323792859228"/>
          <c:h val="0.9509207924351921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ysClr val="window" lastClr="FFFFFF"/>
    </a:solidFill>
    <a:ln w="9525" cap="flat" cmpd="sng" algn="ctr">
      <a:solidFill>
        <a:schemeClr val="dk1">
          <a:lumMod val="25000"/>
          <a:lumOff val="7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B39245E3F44BBCBEAE7388EF57E725"/>
        <w:category>
          <w:name w:val="Obecné"/>
          <w:gallery w:val="placeholder"/>
        </w:category>
        <w:types>
          <w:type w:val="bbPlcHdr"/>
        </w:types>
        <w:behaviors>
          <w:behavior w:val="content"/>
        </w:behaviors>
        <w:guid w:val="{B8FAA11B-2CE8-4B3E-83B1-53ECCBE36580}"/>
      </w:docPartPr>
      <w:docPartBody>
        <w:p w:rsidR="00B77626" w:rsidRDefault="00B77626">
          <w:pPr>
            <w:pStyle w:val="CEB39245E3F44BBCBEAE7388EF57E725"/>
          </w:pPr>
          <w:r w:rsidRPr="006174FE">
            <w:rPr>
              <w:rStyle w:val="Zstupntext"/>
            </w:rPr>
            <w:t>Zvolte položku.</w:t>
          </w:r>
        </w:p>
      </w:docPartBody>
    </w:docPart>
    <w:docPart>
      <w:docPartPr>
        <w:name w:val="7F9FA80A6D7441598AC7F97EA40D4FD0"/>
        <w:category>
          <w:name w:val="Obecné"/>
          <w:gallery w:val="placeholder"/>
        </w:category>
        <w:types>
          <w:type w:val="bbPlcHdr"/>
        </w:types>
        <w:behaviors>
          <w:behavior w:val="content"/>
        </w:behaviors>
        <w:guid w:val="{842A1C76-7BBA-45B9-B7F3-0071480E2BDF}"/>
      </w:docPartPr>
      <w:docPartBody>
        <w:p w:rsidR="00B77626" w:rsidRDefault="00B77626">
          <w:pPr>
            <w:pStyle w:val="7F9FA80A6D7441598AC7F97EA40D4FD0"/>
          </w:pPr>
          <w:r w:rsidRPr="001133CC">
            <w:rPr>
              <w:rStyle w:val="Zstupntext"/>
            </w:rPr>
            <w:t>[Autor]</w:t>
          </w:r>
        </w:p>
      </w:docPartBody>
    </w:docPart>
    <w:docPart>
      <w:docPartPr>
        <w:name w:val="FC8B3B48F4FC4BD1A0253CB6BAB59169"/>
        <w:category>
          <w:name w:val="Obecné"/>
          <w:gallery w:val="placeholder"/>
        </w:category>
        <w:types>
          <w:type w:val="bbPlcHdr"/>
        </w:types>
        <w:behaviors>
          <w:behavior w:val="content"/>
        </w:behaviors>
        <w:guid w:val="{77E21B10-0690-4034-8A3C-5C91B38D26EF}"/>
      </w:docPartPr>
      <w:docPartBody>
        <w:p w:rsidR="00B77626" w:rsidRDefault="00B77626">
          <w:pPr>
            <w:pStyle w:val="FC8B3B48F4FC4BD1A0253CB6BAB59169"/>
          </w:pPr>
          <w:r w:rsidRPr="0052290E">
            <w:rPr>
              <w:rStyle w:val="Zstupntext"/>
            </w:rPr>
            <w:t>[</w:t>
          </w:r>
          <w:r>
            <w:rPr>
              <w:rStyle w:val="Zstupntext"/>
            </w:rPr>
            <w:t>Napište akademický rok odevzdání práce</w:t>
          </w:r>
          <w:r w:rsidRPr="0052290E">
            <w:rPr>
              <w:rStyle w:val="Zstupntext"/>
            </w:rPr>
            <w:t>]</w:t>
          </w:r>
        </w:p>
      </w:docPartBody>
    </w:docPart>
    <w:docPart>
      <w:docPartPr>
        <w:name w:val="F3E1B069E27A4178A356092865F20A2E"/>
        <w:category>
          <w:name w:val="Obecné"/>
          <w:gallery w:val="placeholder"/>
        </w:category>
        <w:types>
          <w:type w:val="bbPlcHdr"/>
        </w:types>
        <w:behaviors>
          <w:behavior w:val="content"/>
        </w:behaviors>
        <w:guid w:val="{4B4E05E2-5320-4220-B57D-30194997B312}"/>
      </w:docPartPr>
      <w:docPartBody>
        <w:p w:rsidR="00B77626" w:rsidRDefault="00B77626">
          <w:pPr>
            <w:pStyle w:val="F3E1B069E27A4178A356092865F20A2E"/>
          </w:pPr>
          <w:r w:rsidRPr="00060E55">
            <w:rPr>
              <w:rStyle w:val="Zstupntext"/>
            </w:rPr>
            <w:t>[Autor]</w:t>
          </w:r>
        </w:p>
      </w:docPartBody>
    </w:docPart>
    <w:docPart>
      <w:docPartPr>
        <w:name w:val="AC3963FF1F7F4D45B31FC0632FD81833"/>
        <w:category>
          <w:name w:val="Obecné"/>
          <w:gallery w:val="placeholder"/>
        </w:category>
        <w:types>
          <w:type w:val="bbPlcHdr"/>
        </w:types>
        <w:behaviors>
          <w:behavior w:val="content"/>
        </w:behaviors>
        <w:guid w:val="{1381A668-ED85-4E88-A3E9-6D9BFE9A2652}"/>
      </w:docPartPr>
      <w:docPartBody>
        <w:p w:rsidR="00B77626" w:rsidRDefault="00B77626">
          <w:pPr>
            <w:pStyle w:val="AC3963FF1F7F4D45B31FC0632FD81833"/>
          </w:pPr>
          <w:r w:rsidRPr="00060E55">
            <w:rPr>
              <w:rStyle w:val="Zstupntext"/>
            </w:rPr>
            <w:t>[Název]</w:t>
          </w:r>
        </w:p>
      </w:docPartBody>
    </w:docPart>
    <w:docPart>
      <w:docPartPr>
        <w:name w:val="FF3655DC4FCF44DAB05AF430CEFF670C"/>
        <w:category>
          <w:name w:val="Obecné"/>
          <w:gallery w:val="placeholder"/>
        </w:category>
        <w:types>
          <w:type w:val="bbPlcHdr"/>
        </w:types>
        <w:behaviors>
          <w:behavior w:val="content"/>
        </w:behaviors>
        <w:guid w:val="{5DEB17E0-0C9A-4CDF-8D49-4A7EE881B626}"/>
      </w:docPartPr>
      <w:docPartBody>
        <w:p w:rsidR="00B77626" w:rsidRDefault="00B77626">
          <w:pPr>
            <w:pStyle w:val="FF3655DC4FCF44DAB05AF430CEFF670C"/>
          </w:pPr>
          <w:r w:rsidRPr="00060E55">
            <w:rPr>
              <w:rStyle w:val="Zstupntext"/>
            </w:rPr>
            <w:t>[Nadřízený]</w:t>
          </w:r>
        </w:p>
      </w:docPartBody>
    </w:docPart>
    <w:docPart>
      <w:docPartPr>
        <w:name w:val="755CF8C1B95E4CB5B08DE8D113638C8F"/>
        <w:category>
          <w:name w:val="Obecné"/>
          <w:gallery w:val="placeholder"/>
        </w:category>
        <w:types>
          <w:type w:val="bbPlcHdr"/>
        </w:types>
        <w:behaviors>
          <w:behavior w:val="content"/>
        </w:behaviors>
        <w:guid w:val="{03A8B004-997D-4011-993B-68BBB0E43DAA}"/>
      </w:docPartPr>
      <w:docPartBody>
        <w:p w:rsidR="00B77626" w:rsidRDefault="00B77626">
          <w:pPr>
            <w:pStyle w:val="755CF8C1B95E4CB5B08DE8D113638C8F"/>
          </w:pPr>
          <w:r w:rsidRPr="0052290E">
            <w:rPr>
              <w:rStyle w:val="Zstupntext"/>
            </w:rPr>
            <w:t>[</w:t>
          </w:r>
          <w:r>
            <w:rPr>
              <w:rStyle w:val="Zstupntext"/>
            </w:rPr>
            <w:t>Napište akademický rok odevzdání práce</w:t>
          </w:r>
          <w:r w:rsidRPr="0052290E">
            <w:rPr>
              <w:rStyle w:val="Zstupntext"/>
            </w:rPr>
            <w:t>]</w:t>
          </w:r>
        </w:p>
      </w:docPartBody>
    </w:docPart>
    <w:docPart>
      <w:docPartPr>
        <w:name w:val="186AF6BEE62E42BC91E68EE750BB6B00"/>
        <w:category>
          <w:name w:val="Obecné"/>
          <w:gallery w:val="placeholder"/>
        </w:category>
        <w:types>
          <w:type w:val="bbPlcHdr"/>
        </w:types>
        <w:behaviors>
          <w:behavior w:val="content"/>
        </w:behaviors>
        <w:guid w:val="{FF334C34-2C0F-4A91-9BEF-6B45ED28CB26}"/>
      </w:docPartPr>
      <w:docPartBody>
        <w:p w:rsidR="00B77626" w:rsidRDefault="00B77626">
          <w:pPr>
            <w:pStyle w:val="186AF6BEE62E42BC91E68EE750BB6B00"/>
          </w:pPr>
          <w:r>
            <w:rPr>
              <w:rStyle w:val="Zstupntext"/>
            </w:rPr>
            <w:t>[</w:t>
          </w:r>
          <w:r w:rsidRPr="00FB7AC5">
            <w:rPr>
              <w:rStyle w:val="Zstupntext"/>
            </w:rPr>
            <w:t>Napište 5–10 klíčových slov v češtině. Stejný seznam musí být vložen do archívu závěrečných pracích v informačním systému MU.</w:t>
          </w:r>
          <w:r>
            <w:rPr>
              <w:rStyle w:val="Zstupntext"/>
              <w:lang w:val="en-US"/>
            </w:rPr>
            <w:t>]</w:t>
          </w:r>
        </w:p>
      </w:docPartBody>
    </w:docPart>
    <w:docPart>
      <w:docPartPr>
        <w:name w:val="EFC0F2A1D2F44E7F8EC14AE958E509D4"/>
        <w:category>
          <w:name w:val="Obecné"/>
          <w:gallery w:val="placeholder"/>
        </w:category>
        <w:types>
          <w:type w:val="bbPlcHdr"/>
        </w:types>
        <w:behaviors>
          <w:behavior w:val="content"/>
        </w:behaviors>
        <w:guid w:val="{1E6AA54A-D434-48F8-8BDB-3EA0BD9E436C}"/>
      </w:docPartPr>
      <w:docPartBody>
        <w:p w:rsidR="00B77626" w:rsidRDefault="00B77626">
          <w:pPr>
            <w:pStyle w:val="EFC0F2A1D2F44E7F8EC14AE958E509D4"/>
          </w:pPr>
          <w:r w:rsidRPr="00060E55">
            <w:rPr>
              <w:rStyle w:val="Zstupntext"/>
            </w:rPr>
            <w:t>[Autor]</w:t>
          </w:r>
        </w:p>
      </w:docPartBody>
    </w:docPart>
    <w:docPart>
      <w:docPartPr>
        <w:name w:val="B2266D2DE1A64FA581C7238ADAE72E3D"/>
        <w:category>
          <w:name w:val="Obecné"/>
          <w:gallery w:val="placeholder"/>
        </w:category>
        <w:types>
          <w:type w:val="bbPlcHdr"/>
        </w:types>
        <w:behaviors>
          <w:behavior w:val="content"/>
        </w:behaviors>
        <w:guid w:val="{F517B8E2-677A-4689-9E4C-9D2A5A02A5DE}"/>
      </w:docPartPr>
      <w:docPartBody>
        <w:p w:rsidR="00B77626" w:rsidRDefault="00B77626">
          <w:pPr>
            <w:pStyle w:val="B2266D2DE1A64FA581C7238ADAE72E3D"/>
          </w:pPr>
          <w:r w:rsidRPr="006174FE">
            <w:rPr>
              <w:rStyle w:val="Zstupntext"/>
            </w:rPr>
            <w:t>Zvolte položku.</w:t>
          </w:r>
        </w:p>
      </w:docPartBody>
    </w:docPart>
    <w:docPart>
      <w:docPartPr>
        <w:name w:val="94C45994BE7C44CBB3E72F7D9A1705E5"/>
        <w:category>
          <w:name w:val="Obecné"/>
          <w:gallery w:val="placeholder"/>
        </w:category>
        <w:types>
          <w:type w:val="bbPlcHdr"/>
        </w:types>
        <w:behaviors>
          <w:behavior w:val="content"/>
        </w:behaviors>
        <w:guid w:val="{081C8009-AF88-4170-A20C-57E9165881A6}"/>
      </w:docPartPr>
      <w:docPartBody>
        <w:p w:rsidR="00B77626" w:rsidRDefault="00B77626">
          <w:pPr>
            <w:pStyle w:val="94C45994BE7C44CBB3E72F7D9A1705E5"/>
          </w:pPr>
          <w:r>
            <w:rPr>
              <w:rStyle w:val="Zstupntext"/>
              <w:lang w:val="en-US"/>
            </w:rPr>
            <w:t>[Klepn</w:t>
          </w:r>
          <w:r>
            <w:rPr>
              <w:rStyle w:val="Zstupntext"/>
            </w:rPr>
            <w:t>ěte a napište název práce v angličtině</w:t>
          </w:r>
          <w:r>
            <w:rPr>
              <w:rStyle w:val="Zstupntext"/>
              <w:lang w:val="en-US"/>
            </w:rPr>
            <w:t>]</w:t>
          </w:r>
        </w:p>
      </w:docPartBody>
    </w:docPart>
    <w:docPart>
      <w:docPartPr>
        <w:name w:val="009DCEBD422F46F4A12BA3EF0A3B77D2"/>
        <w:category>
          <w:name w:val="Obecné"/>
          <w:gallery w:val="placeholder"/>
        </w:category>
        <w:types>
          <w:type w:val="bbPlcHdr"/>
        </w:types>
        <w:behaviors>
          <w:behavior w:val="content"/>
        </w:behaviors>
        <w:guid w:val="{203E79FA-F21C-49B2-85E0-FEEA0586CE9A}"/>
      </w:docPartPr>
      <w:docPartBody>
        <w:p w:rsidR="00B77626" w:rsidRDefault="00B77626">
          <w:pPr>
            <w:pStyle w:val="009DCEBD422F46F4A12BA3EF0A3B77D2"/>
          </w:pPr>
          <w:r w:rsidRPr="00060E55">
            <w:rPr>
              <w:rStyle w:val="Zstupntext"/>
            </w:rPr>
            <w:t>[Nadřízený]</w:t>
          </w:r>
        </w:p>
      </w:docPartBody>
    </w:docPart>
    <w:docPart>
      <w:docPartPr>
        <w:name w:val="E0BF9F4C79EB4A7E89EE784BED830168"/>
        <w:category>
          <w:name w:val="Obecné"/>
          <w:gallery w:val="placeholder"/>
        </w:category>
        <w:types>
          <w:type w:val="bbPlcHdr"/>
        </w:types>
        <w:behaviors>
          <w:behavior w:val="content"/>
        </w:behaviors>
        <w:guid w:val="{1DF88ABF-C011-4486-9E32-348601CC60B2}"/>
      </w:docPartPr>
      <w:docPartBody>
        <w:p w:rsidR="00B77626" w:rsidRDefault="00B77626">
          <w:pPr>
            <w:pStyle w:val="E0BF9F4C79EB4A7E89EE784BED830168"/>
          </w:pPr>
          <w:r w:rsidRPr="0052290E">
            <w:rPr>
              <w:rStyle w:val="Zstupntext"/>
            </w:rPr>
            <w:t>[</w:t>
          </w:r>
          <w:r>
            <w:rPr>
              <w:rStyle w:val="Zstupntext"/>
            </w:rPr>
            <w:t>Napište akademický rok odevzdání práce</w:t>
          </w:r>
          <w:r w:rsidRPr="0052290E">
            <w:rPr>
              <w:rStyle w:val="Zstupntext"/>
            </w:rPr>
            <w:t>]</w:t>
          </w:r>
        </w:p>
      </w:docPartBody>
    </w:docPart>
    <w:docPart>
      <w:docPartPr>
        <w:name w:val="C024EB11A70C4043A0337870CFCE2EE6"/>
        <w:category>
          <w:name w:val="Obecné"/>
          <w:gallery w:val="placeholder"/>
        </w:category>
        <w:types>
          <w:type w:val="bbPlcHdr"/>
        </w:types>
        <w:behaviors>
          <w:behavior w:val="content"/>
        </w:behaviors>
        <w:guid w:val="{2AC2E245-D078-4E35-B21A-1DD10E71A0DB}"/>
      </w:docPartPr>
      <w:docPartBody>
        <w:p w:rsidR="00B77626" w:rsidRDefault="00B77626">
          <w:pPr>
            <w:pStyle w:val="C024EB11A70C4043A0337870CFCE2EE6"/>
          </w:pPr>
          <w:r w:rsidRPr="00FB7AC5">
            <w:rPr>
              <w:rStyle w:val="Zstupntext"/>
            </w:rPr>
            <w:t>[Napište 5–10 klíčových slov v angličtině. Stejný seznam musí být vložen do archívu závěrečných pracích v informačním systému MU.]</w:t>
          </w:r>
        </w:p>
      </w:docPartBody>
    </w:docPart>
    <w:docPart>
      <w:docPartPr>
        <w:name w:val="7C20F350C6F74360A6B6DE60BFDEC4F3"/>
        <w:category>
          <w:name w:val="Obecné"/>
          <w:gallery w:val="placeholder"/>
        </w:category>
        <w:types>
          <w:type w:val="bbPlcHdr"/>
        </w:types>
        <w:behaviors>
          <w:behavior w:val="content"/>
        </w:behaviors>
        <w:guid w:val="{890F8CB0-08CB-4863-BF39-840563D7FA5D}"/>
      </w:docPartPr>
      <w:docPartBody>
        <w:p w:rsidR="00B77626" w:rsidRDefault="00B77626">
          <w:pPr>
            <w:pStyle w:val="7C20F350C6F74360A6B6DE60BFDEC4F3"/>
          </w:pPr>
          <w:r w:rsidRPr="006174FE">
            <w:rPr>
              <w:rStyle w:val="Zstupntext"/>
            </w:rPr>
            <w:t>Zvolte položku.</w:t>
          </w:r>
        </w:p>
      </w:docPartBody>
    </w:docPart>
    <w:docPart>
      <w:docPartPr>
        <w:name w:val="CB70B54A7DD344DDB010A02A152F5F42"/>
        <w:category>
          <w:name w:val="Obecné"/>
          <w:gallery w:val="placeholder"/>
        </w:category>
        <w:types>
          <w:type w:val="bbPlcHdr"/>
        </w:types>
        <w:behaviors>
          <w:behavior w:val="content"/>
        </w:behaviors>
        <w:guid w:val="{8CD265D2-56B5-4652-8A7C-1F556A72D152}"/>
      </w:docPartPr>
      <w:docPartBody>
        <w:p w:rsidR="00B77626" w:rsidRDefault="00B77626">
          <w:pPr>
            <w:pStyle w:val="CB70B54A7DD344DDB010A02A152F5F42"/>
          </w:pPr>
          <w:r w:rsidRPr="001133CC">
            <w:rPr>
              <w:rStyle w:val="Zstupntext"/>
            </w:rPr>
            <w:t>[Název]</w:t>
          </w:r>
        </w:p>
      </w:docPartBody>
    </w:docPart>
    <w:docPart>
      <w:docPartPr>
        <w:name w:val="980810B7C3BF4E31920FB57FFC44FF23"/>
        <w:category>
          <w:name w:val="Obecné"/>
          <w:gallery w:val="placeholder"/>
        </w:category>
        <w:types>
          <w:type w:val="bbPlcHdr"/>
        </w:types>
        <w:behaviors>
          <w:behavior w:val="content"/>
        </w:behaviors>
        <w:guid w:val="{15FA9A7C-45A2-42BB-AA5D-644072740489}"/>
      </w:docPartPr>
      <w:docPartBody>
        <w:p w:rsidR="00B77626" w:rsidRDefault="00B77626">
          <w:pPr>
            <w:pStyle w:val="980810B7C3BF4E31920FB57FFC44FF23"/>
          </w:pPr>
          <w:r w:rsidRPr="00FB7AC5">
            <w:rPr>
              <w:rStyle w:val="Zstupntext"/>
            </w:rPr>
            <w:t>[vyberte podle pohlaví]</w:t>
          </w:r>
        </w:p>
      </w:docPartBody>
    </w:docPart>
    <w:docPart>
      <w:docPartPr>
        <w:name w:val="B2FC1BF6C0BD4878B9C2ED2229E8970E"/>
        <w:category>
          <w:name w:val="Obecné"/>
          <w:gallery w:val="placeholder"/>
        </w:category>
        <w:types>
          <w:type w:val="bbPlcHdr"/>
        </w:types>
        <w:behaviors>
          <w:behavior w:val="content"/>
        </w:behaviors>
        <w:guid w:val="{600C820C-75A3-4327-BA7B-D0470D7D6980}"/>
      </w:docPartPr>
      <w:docPartBody>
        <w:p w:rsidR="00B77626" w:rsidRDefault="00B77626">
          <w:pPr>
            <w:pStyle w:val="B2FC1BF6C0BD4878B9C2ED2229E8970E"/>
          </w:pPr>
          <w:r w:rsidRPr="0001165A">
            <w:rPr>
              <w:rStyle w:val="Zstupntext"/>
            </w:rPr>
            <w:t>Klikněte nebo klepněte sem a zadejte datum.</w:t>
          </w:r>
        </w:p>
      </w:docPartBody>
    </w:docPart>
    <w:docPart>
      <w:docPartPr>
        <w:name w:val="DBC73F2839284EA6ACDC94084D103980"/>
        <w:category>
          <w:name w:val="Obecné"/>
          <w:gallery w:val="placeholder"/>
        </w:category>
        <w:types>
          <w:type w:val="bbPlcHdr"/>
        </w:types>
        <w:behaviors>
          <w:behavior w:val="content"/>
        </w:behaviors>
        <w:guid w:val="{7563036F-2E5C-4F28-A2EF-34518506319C}"/>
      </w:docPartPr>
      <w:docPartBody>
        <w:p w:rsidR="00B77626" w:rsidRDefault="00B77626">
          <w:pPr>
            <w:pStyle w:val="DBC73F2839284EA6ACDC94084D103980"/>
          </w:pPr>
          <w:r w:rsidRPr="00943580">
            <w:rPr>
              <w:rStyle w:val="Zstupntext"/>
            </w:rPr>
            <w:t>[Autor]</w:t>
          </w:r>
        </w:p>
      </w:docPartBody>
    </w:docPart>
    <w:docPart>
      <w:docPartPr>
        <w:name w:val="A6F165DD2A274767878AF420CD829A69"/>
        <w:category>
          <w:name w:val="Obecné"/>
          <w:gallery w:val="placeholder"/>
        </w:category>
        <w:types>
          <w:type w:val="bbPlcHdr"/>
        </w:types>
        <w:behaviors>
          <w:behavior w:val="content"/>
        </w:behaviors>
        <w:guid w:val="{2E1969A8-6F27-45CE-8516-DD8CC2B948CA}"/>
      </w:docPartPr>
      <w:docPartBody>
        <w:p w:rsidR="00B77626" w:rsidRDefault="00B77626">
          <w:pPr>
            <w:pStyle w:val="A6F165DD2A274767878AF420CD829A69"/>
          </w:pPr>
          <w:r w:rsidRPr="00FB7AC5">
            <w:rPr>
              <w:rStyle w:val="Zstupntext"/>
            </w:rPr>
            <w:t>[Zde můžete napsat poděkování (není povinné).]</w:t>
          </w:r>
        </w:p>
      </w:docPartBody>
    </w:docPart>
    <w:docPart>
      <w:docPartPr>
        <w:name w:val="B4A4244278E645C88F745E1DFA0CE9D4"/>
        <w:category>
          <w:name w:val="Obecné"/>
          <w:gallery w:val="placeholder"/>
        </w:category>
        <w:types>
          <w:type w:val="bbPlcHdr"/>
        </w:types>
        <w:behaviors>
          <w:behavior w:val="content"/>
        </w:behaviors>
        <w:guid w:val="{A730193D-D12B-4A40-929D-6E1438A8DD20}"/>
      </w:docPartPr>
      <w:docPartBody>
        <w:p w:rsidR="00B77626" w:rsidRDefault="00B77626">
          <w:pPr>
            <w:pStyle w:val="B4A4244278E645C88F745E1DFA0CE9D4"/>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ED641D3B5D5548EF899192DE4850EBFD"/>
        <w:category>
          <w:name w:val="Obecné"/>
          <w:gallery w:val="placeholder"/>
        </w:category>
        <w:types>
          <w:type w:val="bbPlcHdr"/>
        </w:types>
        <w:behaviors>
          <w:behavior w:val="content"/>
        </w:behaviors>
        <w:guid w:val="{D1DCB642-A539-4462-A3AB-7A66B5240684}"/>
      </w:docPartPr>
      <w:docPartBody>
        <w:p w:rsidR="00B77626" w:rsidRDefault="00B77626">
          <w:pPr>
            <w:pStyle w:val="ED641D3B5D5548EF899192DE4850EBFD"/>
          </w:pPr>
          <w:r w:rsidRPr="009D6AD8">
            <w:rPr>
              <w:rStyle w:val="Zstupntext"/>
            </w:rPr>
            <w:t>[Název]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E00006FF" w:usb1="400004FF"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EE"/>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626"/>
    <w:rsid w:val="008B7F64"/>
    <w:rsid w:val="00B776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CEB39245E3F44BBCBEAE7388EF57E725">
    <w:name w:val="CEB39245E3F44BBCBEAE7388EF57E725"/>
  </w:style>
  <w:style w:type="paragraph" w:customStyle="1" w:styleId="7F9FA80A6D7441598AC7F97EA40D4FD0">
    <w:name w:val="7F9FA80A6D7441598AC7F97EA40D4FD0"/>
  </w:style>
  <w:style w:type="paragraph" w:customStyle="1" w:styleId="FC8B3B48F4FC4BD1A0253CB6BAB59169">
    <w:name w:val="FC8B3B48F4FC4BD1A0253CB6BAB59169"/>
  </w:style>
  <w:style w:type="paragraph" w:customStyle="1" w:styleId="A898C24733014FB9A4DCFCA75A9E25F4">
    <w:name w:val="A898C24733014FB9A4DCFCA75A9E25F4"/>
  </w:style>
  <w:style w:type="paragraph" w:customStyle="1" w:styleId="F3E1B069E27A4178A356092865F20A2E">
    <w:name w:val="F3E1B069E27A4178A356092865F20A2E"/>
  </w:style>
  <w:style w:type="paragraph" w:customStyle="1" w:styleId="AC3963FF1F7F4D45B31FC0632FD81833">
    <w:name w:val="AC3963FF1F7F4D45B31FC0632FD81833"/>
  </w:style>
  <w:style w:type="paragraph" w:customStyle="1" w:styleId="FF3655DC4FCF44DAB05AF430CEFF670C">
    <w:name w:val="FF3655DC4FCF44DAB05AF430CEFF670C"/>
  </w:style>
  <w:style w:type="paragraph" w:customStyle="1" w:styleId="755CF8C1B95E4CB5B08DE8D113638C8F">
    <w:name w:val="755CF8C1B95E4CB5B08DE8D113638C8F"/>
  </w:style>
  <w:style w:type="paragraph" w:customStyle="1" w:styleId="186AF6BEE62E42BC91E68EE750BB6B00">
    <w:name w:val="186AF6BEE62E42BC91E68EE750BB6B00"/>
  </w:style>
  <w:style w:type="paragraph" w:customStyle="1" w:styleId="EFC0F2A1D2F44E7F8EC14AE958E509D4">
    <w:name w:val="EFC0F2A1D2F44E7F8EC14AE958E509D4"/>
  </w:style>
  <w:style w:type="paragraph" w:customStyle="1" w:styleId="B2266D2DE1A64FA581C7238ADAE72E3D">
    <w:name w:val="B2266D2DE1A64FA581C7238ADAE72E3D"/>
  </w:style>
  <w:style w:type="paragraph" w:customStyle="1" w:styleId="94C45994BE7C44CBB3E72F7D9A1705E5">
    <w:name w:val="94C45994BE7C44CBB3E72F7D9A1705E5"/>
  </w:style>
  <w:style w:type="paragraph" w:customStyle="1" w:styleId="009DCEBD422F46F4A12BA3EF0A3B77D2">
    <w:name w:val="009DCEBD422F46F4A12BA3EF0A3B77D2"/>
  </w:style>
  <w:style w:type="paragraph" w:customStyle="1" w:styleId="E0BF9F4C79EB4A7E89EE784BED830168">
    <w:name w:val="E0BF9F4C79EB4A7E89EE784BED830168"/>
  </w:style>
  <w:style w:type="paragraph" w:customStyle="1" w:styleId="C024EB11A70C4043A0337870CFCE2EE6">
    <w:name w:val="C024EB11A70C4043A0337870CFCE2EE6"/>
  </w:style>
  <w:style w:type="paragraph" w:customStyle="1" w:styleId="2BCE45865B60402A95B104B42B398BBF">
    <w:name w:val="2BCE45865B60402A95B104B42B398BBF"/>
  </w:style>
  <w:style w:type="paragraph" w:customStyle="1" w:styleId="21D89688CF8642B486280F4B650EC8E0">
    <w:name w:val="21D89688CF8642B486280F4B650EC8E0"/>
  </w:style>
  <w:style w:type="paragraph" w:customStyle="1" w:styleId="7C20F350C6F74360A6B6DE60BFDEC4F3">
    <w:name w:val="7C20F350C6F74360A6B6DE60BFDEC4F3"/>
  </w:style>
  <w:style w:type="paragraph" w:customStyle="1" w:styleId="CB70B54A7DD344DDB010A02A152F5F42">
    <w:name w:val="CB70B54A7DD344DDB010A02A152F5F42"/>
  </w:style>
  <w:style w:type="paragraph" w:customStyle="1" w:styleId="980810B7C3BF4E31920FB57FFC44FF23">
    <w:name w:val="980810B7C3BF4E31920FB57FFC44FF23"/>
  </w:style>
  <w:style w:type="paragraph" w:customStyle="1" w:styleId="B2FC1BF6C0BD4878B9C2ED2229E8970E">
    <w:name w:val="B2FC1BF6C0BD4878B9C2ED2229E8970E"/>
  </w:style>
  <w:style w:type="paragraph" w:customStyle="1" w:styleId="DBC73F2839284EA6ACDC94084D103980">
    <w:name w:val="DBC73F2839284EA6ACDC94084D103980"/>
  </w:style>
  <w:style w:type="paragraph" w:customStyle="1" w:styleId="A6F165DD2A274767878AF420CD829A69">
    <w:name w:val="A6F165DD2A274767878AF420CD829A69"/>
  </w:style>
  <w:style w:type="paragraph" w:customStyle="1" w:styleId="B4A4244278E645C88F745E1DFA0CE9D4">
    <w:name w:val="B4A4244278E645C88F745E1DFA0CE9D4"/>
  </w:style>
  <w:style w:type="paragraph" w:customStyle="1" w:styleId="FC415964EC1049C7BC8CF6B9348D5373">
    <w:name w:val="FC415964EC1049C7BC8CF6B9348D5373"/>
  </w:style>
  <w:style w:type="paragraph" w:customStyle="1" w:styleId="F583CF2D89C647019D1EF59E651B34BB">
    <w:name w:val="F583CF2D89C647019D1EF59E651B34BB"/>
  </w:style>
  <w:style w:type="paragraph" w:customStyle="1" w:styleId="9071084355D647388F1F8293E1FBDBEE">
    <w:name w:val="9071084355D647388F1F8293E1FBDBEE"/>
  </w:style>
  <w:style w:type="paragraph" w:customStyle="1" w:styleId="A697DC9228044A158A02AA9D27DA095C">
    <w:name w:val="A697DC9228044A158A02AA9D27DA095C"/>
  </w:style>
  <w:style w:type="paragraph" w:customStyle="1" w:styleId="2890E6C24BE24C08B28E29F18B311D4C">
    <w:name w:val="2890E6C24BE24C08B28E29F18B311D4C"/>
  </w:style>
  <w:style w:type="paragraph" w:customStyle="1" w:styleId="ED641D3B5D5548EF899192DE4850EBFD">
    <w:name w:val="ED641D3B5D5548EF899192DE4850EB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ísmo MU">
      <a:majorFont>
        <a:latin typeface="Arial"/>
        <a:ea typeface=""/>
        <a:cs typeface=""/>
      </a:majorFont>
      <a:minorFont>
        <a:latin typeface="Cambria"/>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066DC6A9-108F-4E65-A96D-BCE32F674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13536</Words>
  <Characters>80165</Characters>
  <Application>Microsoft Office Word</Application>
  <DocSecurity>0</DocSecurity>
  <Lines>668</Lines>
  <Paragraphs>187</Paragraphs>
  <ScaleCrop>false</ScaleCrop>
  <HeadingPairs>
    <vt:vector size="2" baseType="variant">
      <vt:variant>
        <vt:lpstr>Název</vt:lpstr>
      </vt:variant>
      <vt:variant>
        <vt:i4>1</vt:i4>
      </vt:variant>
    </vt:vector>
  </HeadingPairs>
  <TitlesOfParts>
    <vt:vector size="1" baseType="lpstr">
      <vt:lpstr>Rámování kritiky vlád Andreje Babiše vybranými opozičními stranami</vt:lpstr>
    </vt:vector>
  </TitlesOfParts>
  <Manager>Mgr. Miloš Gregor, Ph.D.</Manager>
  <Company>MJ</Company>
  <LinksUpToDate>false</LinksUpToDate>
  <CharactersWithSpaces>93514</CharactersWithSpaces>
  <SharedDoc>false</SharedDoc>
  <HLinks>
    <vt:vector size="474" baseType="variant">
      <vt:variant>
        <vt:i4>1179650</vt:i4>
      </vt:variant>
      <vt:variant>
        <vt:i4>186</vt:i4>
      </vt:variant>
      <vt:variant>
        <vt:i4>0</vt:i4>
      </vt:variant>
      <vt:variant>
        <vt:i4>5</vt:i4>
      </vt:variant>
      <vt:variant>
        <vt:lpwstr>http://www.psp.cz/sqw/text/tiskt.sqw?O=5&amp;CT=837&amp;CT1=0%20</vt:lpwstr>
      </vt:variant>
      <vt:variant>
        <vt:lpwstr/>
      </vt:variant>
      <vt:variant>
        <vt:i4>6619258</vt:i4>
      </vt:variant>
      <vt:variant>
        <vt:i4>183</vt:i4>
      </vt:variant>
      <vt:variant>
        <vt:i4>0</vt:i4>
      </vt:variant>
      <vt:variant>
        <vt:i4>5</vt:i4>
      </vt:variant>
      <vt:variant>
        <vt:lpwstr>http://bundesrecht.juris.de/zpo/index.html</vt:lpwstr>
      </vt:variant>
      <vt:variant>
        <vt:lpwstr/>
      </vt:variant>
      <vt:variant>
        <vt:i4>2359331</vt:i4>
      </vt:variant>
      <vt:variant>
        <vt:i4>180</vt:i4>
      </vt:variant>
      <vt:variant>
        <vt:i4>0</vt:i4>
      </vt:variant>
      <vt:variant>
        <vt:i4>5</vt:i4>
      </vt:variant>
      <vt:variant>
        <vt:lpwstr>http://www.altalex.com/index.php?idnot=1178</vt:lpwstr>
      </vt:variant>
      <vt:variant>
        <vt:lpwstr/>
      </vt:variant>
      <vt:variant>
        <vt:i4>1179667</vt:i4>
      </vt:variant>
      <vt:variant>
        <vt:i4>177</vt:i4>
      </vt:variant>
      <vt:variant>
        <vt:i4>0</vt:i4>
      </vt:variant>
      <vt:variant>
        <vt:i4>5</vt:i4>
      </vt:variant>
      <vt:variant>
        <vt:lpwstr>http://www.altalex.com/index.php?idnot=33724</vt:lpwstr>
      </vt:variant>
      <vt:variant>
        <vt:lpwstr/>
      </vt:variant>
      <vt:variant>
        <vt:i4>4915310</vt:i4>
      </vt:variant>
      <vt:variant>
        <vt:i4>174</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1966101</vt:i4>
      </vt:variant>
      <vt:variant>
        <vt:i4>171</vt:i4>
      </vt:variant>
      <vt:variant>
        <vt:i4>0</vt:i4>
      </vt:variant>
      <vt:variant>
        <vt:i4>5</vt:i4>
      </vt:variant>
      <vt:variant>
        <vt:lpwstr>http://www.admin.ch/ch/d/sr/2/291.de.pdf</vt:lpwstr>
      </vt:variant>
      <vt:variant>
        <vt:lpwstr/>
      </vt:variant>
      <vt:variant>
        <vt:i4>6815852</vt:i4>
      </vt:variant>
      <vt:variant>
        <vt:i4>168</vt:i4>
      </vt:variant>
      <vt:variant>
        <vt:i4>0</vt:i4>
      </vt:variant>
      <vt:variant>
        <vt:i4>5</vt:i4>
      </vt:variant>
      <vt:variant>
        <vt:lpwstr>http://www.bj.admin.ch/bj/de/home/themen/wirtschaft/internationales_privatrecht/lugano_uebereinkommen/0.html</vt:lpwstr>
      </vt:variant>
      <vt:variant>
        <vt:lpwstr/>
      </vt:variant>
      <vt:variant>
        <vt:i4>589893</vt:i4>
      </vt:variant>
      <vt:variant>
        <vt:i4>165</vt:i4>
      </vt:variant>
      <vt:variant>
        <vt:i4>0</vt:i4>
      </vt:variant>
      <vt:variant>
        <vt:i4>5</vt:i4>
      </vt:variant>
      <vt:variant>
        <vt:lpwstr>http://eur-lex.europa.eu/cs/index.htm</vt:lpwstr>
      </vt:variant>
      <vt:variant>
        <vt:lpwstr/>
      </vt:variant>
      <vt:variant>
        <vt:i4>4456515</vt:i4>
      </vt:variant>
      <vt:variant>
        <vt:i4>162</vt:i4>
      </vt:variant>
      <vt:variant>
        <vt:i4>0</vt:i4>
      </vt:variant>
      <vt:variant>
        <vt:i4>5</vt:i4>
      </vt:variant>
      <vt:variant>
        <vt:lpwstr>http://www.ssrn.com/</vt:lpwstr>
      </vt:variant>
      <vt:variant>
        <vt:lpwstr/>
      </vt:variant>
      <vt:variant>
        <vt:i4>5177360</vt:i4>
      </vt:variant>
      <vt:variant>
        <vt:i4>159</vt:i4>
      </vt:variant>
      <vt:variant>
        <vt:i4>0</vt:i4>
      </vt:variant>
      <vt:variant>
        <vt:i4>5</vt:i4>
      </vt:variant>
      <vt:variant>
        <vt:lpwstr>http://www.jstor.org/</vt:lpwstr>
      </vt:variant>
      <vt:variant>
        <vt:lpwstr/>
      </vt:variant>
      <vt:variant>
        <vt:i4>2556020</vt:i4>
      </vt:variant>
      <vt:variant>
        <vt:i4>156</vt:i4>
      </vt:variant>
      <vt:variant>
        <vt:i4>0</vt:i4>
      </vt:variant>
      <vt:variant>
        <vt:i4>5</vt:i4>
      </vt:variant>
      <vt:variant>
        <vt:lpwstr>http://www.kluwerlawonline.com/</vt:lpwstr>
      </vt:variant>
      <vt:variant>
        <vt:lpwstr/>
      </vt:variant>
      <vt:variant>
        <vt:i4>3407976</vt:i4>
      </vt:variant>
      <vt:variant>
        <vt:i4>153</vt:i4>
      </vt:variant>
      <vt:variant>
        <vt:i4>0</vt:i4>
      </vt:variant>
      <vt:variant>
        <vt:i4>5</vt:i4>
      </vt:variant>
      <vt:variant>
        <vt:lpwstr>http://heinonline.org/</vt:lpwstr>
      </vt:variant>
      <vt:variant>
        <vt:lpwstr/>
      </vt:variant>
      <vt:variant>
        <vt:i4>7340066</vt:i4>
      </vt:variant>
      <vt:variant>
        <vt:i4>150</vt:i4>
      </vt:variant>
      <vt:variant>
        <vt:i4>0</vt:i4>
      </vt:variant>
      <vt:variant>
        <vt:i4>5</vt:i4>
      </vt:variant>
      <vt:variant>
        <vt:lpwstr>http://heinonline.org/HOL/PDF?handle=hein.journals/ejlr4&amp;collection=journals&amp;id=79&amp;print=18&amp;sectioncount=1&amp;ext=.pdf</vt:lpwstr>
      </vt:variant>
      <vt:variant>
        <vt:lpwstr/>
      </vt:variant>
      <vt:variant>
        <vt:i4>7733285</vt:i4>
      </vt:variant>
      <vt:variant>
        <vt:i4>147</vt:i4>
      </vt:variant>
      <vt:variant>
        <vt:i4>0</vt:i4>
      </vt:variant>
      <vt:variant>
        <vt:i4>5</vt:i4>
      </vt:variant>
      <vt:variant>
        <vt:lpwstr>http://heinonline.org/HOL/PDF?handle=hein.journals/cybil38&amp;collection=journals&amp;id=163&amp;print=34&amp;sectioncount=1&amp;ext=.pdf</vt:lpwstr>
      </vt:variant>
      <vt:variant>
        <vt:lpwstr/>
      </vt:variant>
      <vt:variant>
        <vt:i4>5242929</vt:i4>
      </vt:variant>
      <vt:variant>
        <vt:i4>144</vt:i4>
      </vt:variant>
      <vt:variant>
        <vt:i4>0</vt:i4>
      </vt:variant>
      <vt:variant>
        <vt:i4>5</vt:i4>
      </vt:variant>
      <vt:variant>
        <vt:lpwstr>http://www.veron.com/publications/Publications/ECJ_Restores_Torpedo_Power.pdf</vt:lpwstr>
      </vt:variant>
      <vt:variant>
        <vt:lpwstr/>
      </vt:variant>
      <vt:variant>
        <vt:i4>8257577</vt:i4>
      </vt:variant>
      <vt:variant>
        <vt:i4>141</vt:i4>
      </vt:variant>
      <vt:variant>
        <vt:i4>0</vt:i4>
      </vt:variant>
      <vt:variant>
        <vt:i4>5</vt:i4>
      </vt:variant>
      <vt:variant>
        <vt:lpwstr>http://heinonline.org/HOL/PDF?handle=hein.journals/ejlr4&amp;collection=journals&amp;id=67&amp;print=12&amp;sectioncount=1&amp;ext=.pdf</vt:lpwstr>
      </vt:variant>
      <vt:variant>
        <vt:lpwstr/>
      </vt:variant>
      <vt:variant>
        <vt:i4>3932221</vt:i4>
      </vt:variant>
      <vt:variant>
        <vt:i4>138</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vt:lpwstr>
      </vt:variant>
      <vt:variant>
        <vt:lpwstr>xml=http://www.kluwerlawonline.com/pdfhits.php?type=hitlist&amp;num=1&amp;</vt:lpwstr>
      </vt:variant>
      <vt:variant>
        <vt:i4>2424866</vt:i4>
      </vt:variant>
      <vt:variant>
        <vt:i4>135</vt:i4>
      </vt:variant>
      <vt:variant>
        <vt:i4>0</vt:i4>
      </vt:variant>
      <vt:variant>
        <vt:i4>5</vt:i4>
      </vt:variant>
      <vt:variant>
        <vt:lpwstr>http://www.simons-law.com/library/pdf/e/443.pdf</vt:lpwstr>
      </vt:variant>
      <vt:variant>
        <vt:lpwstr/>
      </vt:variant>
      <vt:variant>
        <vt:i4>327704</vt:i4>
      </vt:variant>
      <vt:variant>
        <vt:i4>132</vt:i4>
      </vt:variant>
      <vt:variant>
        <vt:i4>0</vt:i4>
      </vt:variant>
      <vt:variant>
        <vt:i4>5</vt:i4>
      </vt:variant>
      <vt:variant>
        <vt:lpwstr>http://www.judicium.it/news/pistis01.html</vt:lpwstr>
      </vt:variant>
      <vt:variant>
        <vt:lpwstr/>
      </vt:variant>
      <vt:variant>
        <vt:i4>3735608</vt:i4>
      </vt:variant>
      <vt:variant>
        <vt:i4>129</vt:i4>
      </vt:variant>
      <vt:variant>
        <vt:i4>0</vt:i4>
      </vt:variant>
      <vt:variant>
        <vt:i4>5</vt:i4>
      </vt:variant>
      <vt:variant>
        <vt:lpwstr>http://www.scandinavianlaw.se/pdf/14-3.pdf</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5832708</vt:i4>
      </vt:variant>
      <vt:variant>
        <vt:i4>123</vt:i4>
      </vt:variant>
      <vt:variant>
        <vt:i4>0</vt:i4>
      </vt:variant>
      <vt:variant>
        <vt:i4>5</vt:i4>
      </vt:variant>
      <vt:variant>
        <vt:lpwstr>http://heinonline.org/HOL/PDFsearchable?handle=hein.journals/incolq54&amp;collection=journals&amp;id=823&amp;print=16&amp;sectioncount=1&amp;ext=.pdf</vt:lpwstr>
      </vt:variant>
      <vt:variant>
        <vt:lpwstr/>
      </vt:variant>
      <vt:variant>
        <vt:i4>5767180</vt:i4>
      </vt:variant>
      <vt:variant>
        <vt:i4>120</vt:i4>
      </vt:variant>
      <vt:variant>
        <vt:i4>0</vt:i4>
      </vt:variant>
      <vt:variant>
        <vt:i4>5</vt:i4>
      </vt:variant>
      <vt:variant>
        <vt:lpwstr>http://heinonline.org/HOL/PDFsearchable?handle=hein.journals/incolq54&amp;collection=journals&amp;id=943&amp;print=18&amp;sectioncount=1&amp;ext=.pdf</vt:lpwstr>
      </vt:variant>
      <vt:variant>
        <vt:lpwstr/>
      </vt:variant>
      <vt:variant>
        <vt:i4>13631553</vt:i4>
      </vt:variant>
      <vt:variant>
        <vt:i4>117</vt:i4>
      </vt:variant>
      <vt:variant>
        <vt:i4>0</vt:i4>
      </vt:variant>
      <vt:variant>
        <vt:i4>5</vt:i4>
      </vt:variant>
      <vt:variant>
        <vt:lpwstr>http://heinonline.org/HOL/PDF?handle=hein.journals/ejlr4&amp;collection=journals&amp;id=29&amp;print=18&amp;sectioncount=1&amp;ext=.pdf </vt:lpwstr>
      </vt:variant>
      <vt:variant>
        <vt:lpwstr/>
      </vt:variant>
      <vt:variant>
        <vt:i4>2162805</vt:i4>
      </vt:variant>
      <vt:variant>
        <vt:i4>114</vt:i4>
      </vt:variant>
      <vt:variant>
        <vt:i4>0</vt:i4>
      </vt:variant>
      <vt:variant>
        <vt:i4>5</vt:i4>
      </vt:variant>
      <vt:variant>
        <vt:lpwstr>http://heinonline.org/HOL/PDF?handle=hein.journals/amcomp51&amp;collection=journals&amp;id=623&amp;print=28&amp;sectioncount=1&amp;ext=.pdf</vt:lpwstr>
      </vt:variant>
      <vt:variant>
        <vt:lpwstr/>
      </vt:variant>
      <vt:variant>
        <vt:i4>7798800</vt:i4>
      </vt:variant>
      <vt:variant>
        <vt:i4>111</vt:i4>
      </vt:variant>
      <vt:variant>
        <vt:i4>0</vt:i4>
      </vt:variant>
      <vt:variant>
        <vt:i4>5</vt:i4>
      </vt:variant>
      <vt:variant>
        <vt:lpwstr>http://www.estig.ipbeja.pt/~ac_direito/legals11.pdf</vt:lpwstr>
      </vt:variant>
      <vt:variant>
        <vt:lpwstr/>
      </vt:variant>
      <vt:variant>
        <vt:i4>7536697</vt:i4>
      </vt:variant>
      <vt:variant>
        <vt:i4>108</vt:i4>
      </vt:variant>
      <vt:variant>
        <vt:i4>0</vt:i4>
      </vt:variant>
      <vt:variant>
        <vt:i4>5</vt:i4>
      </vt:variant>
      <vt:variant>
        <vt:lpwstr>http://www.jstor.org/stable/pdfplus/760615.pdf</vt:lpwstr>
      </vt:variant>
      <vt:variant>
        <vt:lpwstr/>
      </vt:variant>
      <vt:variant>
        <vt:i4>1048610</vt:i4>
      </vt:variant>
      <vt:variant>
        <vt:i4>105</vt:i4>
      </vt:variant>
      <vt:variant>
        <vt:i4>0</vt:i4>
      </vt:variant>
      <vt:variant>
        <vt:i4>5</vt:i4>
      </vt:variant>
      <vt:variant>
        <vt:lpwstr>http://papers.ssrn.com/sol3/papers.cfm?abstract_id=1045181</vt:lpwstr>
      </vt:variant>
      <vt:variant>
        <vt:lpwstr/>
      </vt:variant>
      <vt:variant>
        <vt:i4>6357028</vt:i4>
      </vt:variant>
      <vt:variant>
        <vt:i4>102</vt:i4>
      </vt:variant>
      <vt:variant>
        <vt:i4>0</vt:i4>
      </vt:variant>
      <vt:variant>
        <vt:i4>5</vt:i4>
      </vt:variant>
      <vt:variant>
        <vt:lpwstr>http://heinonline.org/HOL/PDF?handle=hein.journals/vuwlr33&amp;collection=journals&amp;id=269&amp;print=26&amp;sectioncount=1&amp;ext=.pdf</vt:lpwstr>
      </vt:variant>
      <vt:variant>
        <vt:lpwstr/>
      </vt:variant>
      <vt:variant>
        <vt:i4>5242929</vt:i4>
      </vt:variant>
      <vt:variant>
        <vt:i4>147</vt:i4>
      </vt:variant>
      <vt:variant>
        <vt:i4>0</vt:i4>
      </vt:variant>
      <vt:variant>
        <vt:i4>5</vt:i4>
      </vt:variant>
      <vt:variant>
        <vt:lpwstr>http://www.veron.com/publications/Publications/ECJ_Restores_Torpedo_Power.pdf</vt:lpwstr>
      </vt:variant>
      <vt:variant>
        <vt:lpwstr/>
      </vt:variant>
      <vt:variant>
        <vt:i4>2424866</vt:i4>
      </vt:variant>
      <vt:variant>
        <vt:i4>144</vt:i4>
      </vt:variant>
      <vt:variant>
        <vt:i4>0</vt:i4>
      </vt:variant>
      <vt:variant>
        <vt:i4>5</vt:i4>
      </vt:variant>
      <vt:variant>
        <vt:lpwstr>http://www.simons-law.com/library/pdf/e/443.pdf</vt:lpwstr>
      </vt:variant>
      <vt:variant>
        <vt:lpwstr/>
      </vt:variant>
      <vt:variant>
        <vt:i4>5242929</vt:i4>
      </vt:variant>
      <vt:variant>
        <vt:i4>141</vt:i4>
      </vt:variant>
      <vt:variant>
        <vt:i4>0</vt:i4>
      </vt:variant>
      <vt:variant>
        <vt:i4>5</vt:i4>
      </vt:variant>
      <vt:variant>
        <vt:lpwstr>http://www.veron.com/publications/Publications/ECJ_Restores_Torpedo_Power.pdf</vt:lpwstr>
      </vt:variant>
      <vt:variant>
        <vt:lpwstr/>
      </vt:variant>
      <vt:variant>
        <vt:i4>983054</vt:i4>
      </vt:variant>
      <vt:variant>
        <vt:i4>138</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7798800</vt:i4>
      </vt:variant>
      <vt:variant>
        <vt:i4>135</vt:i4>
      </vt:variant>
      <vt:variant>
        <vt:i4>0</vt:i4>
      </vt:variant>
      <vt:variant>
        <vt:i4>5</vt:i4>
      </vt:variant>
      <vt:variant>
        <vt:lpwstr>http://www.estig.ipbeja.pt/~ac_direito/legals11.pdf</vt:lpwstr>
      </vt:variant>
      <vt:variant>
        <vt:lpwstr/>
      </vt:variant>
      <vt:variant>
        <vt:i4>983054</vt:i4>
      </vt:variant>
      <vt:variant>
        <vt:i4>132</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327704</vt:i4>
      </vt:variant>
      <vt:variant>
        <vt:i4>129</vt:i4>
      </vt:variant>
      <vt:variant>
        <vt:i4>0</vt:i4>
      </vt:variant>
      <vt:variant>
        <vt:i4>5</vt:i4>
      </vt:variant>
      <vt:variant>
        <vt:lpwstr>http://www.judicium.it/news/pistis01.html</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8257577</vt:i4>
      </vt:variant>
      <vt:variant>
        <vt:i4>123</vt:i4>
      </vt:variant>
      <vt:variant>
        <vt:i4>0</vt:i4>
      </vt:variant>
      <vt:variant>
        <vt:i4>5</vt:i4>
      </vt:variant>
      <vt:variant>
        <vt:lpwstr>http://heinonline.org/HOL/PDF?handle=hein.journals/ejlr4&amp;collection=journals&amp;id=67&amp;print=12&amp;sectioncount=1&amp;ext=.pdf</vt:lpwstr>
      </vt:variant>
      <vt:variant>
        <vt:lpwstr/>
      </vt:variant>
      <vt:variant>
        <vt:i4>5832708</vt:i4>
      </vt:variant>
      <vt:variant>
        <vt:i4>120</vt:i4>
      </vt:variant>
      <vt:variant>
        <vt:i4>0</vt:i4>
      </vt:variant>
      <vt:variant>
        <vt:i4>5</vt:i4>
      </vt:variant>
      <vt:variant>
        <vt:lpwstr>http://heinonline.org/HOL/PDFsearchable?handle=hein.journals/incolq54&amp;collection=journals&amp;id=823&amp;print=16&amp;sectioncount=1&amp;ext=.pdf</vt:lpwstr>
      </vt:variant>
      <vt:variant>
        <vt:lpwstr/>
      </vt:variant>
      <vt:variant>
        <vt:i4>8257577</vt:i4>
      </vt:variant>
      <vt:variant>
        <vt:i4>117</vt:i4>
      </vt:variant>
      <vt:variant>
        <vt:i4>0</vt:i4>
      </vt:variant>
      <vt:variant>
        <vt:i4>5</vt:i4>
      </vt:variant>
      <vt:variant>
        <vt:lpwstr>http://heinonline.org/HOL/PDF?handle=hein.journals/ejlr4&amp;collection=journals&amp;id=67&amp;print=12&amp;sectioncount=1&amp;ext=.pdf</vt:lpwstr>
      </vt:variant>
      <vt:variant>
        <vt:lpwstr/>
      </vt:variant>
      <vt:variant>
        <vt:i4>8257577</vt:i4>
      </vt:variant>
      <vt:variant>
        <vt:i4>114</vt:i4>
      </vt:variant>
      <vt:variant>
        <vt:i4>0</vt:i4>
      </vt:variant>
      <vt:variant>
        <vt:i4>5</vt:i4>
      </vt:variant>
      <vt:variant>
        <vt:lpwstr>http://heinonline.org/HOL/PDF?handle=hein.journals/ejlr4&amp;collection=journals&amp;id=67&amp;print=12&amp;sectioncount=1&amp;ext=.pdf</vt:lpwstr>
      </vt:variant>
      <vt:variant>
        <vt:lpwstr/>
      </vt:variant>
      <vt:variant>
        <vt:i4>7340066</vt:i4>
      </vt:variant>
      <vt:variant>
        <vt:i4>111</vt:i4>
      </vt:variant>
      <vt:variant>
        <vt:i4>0</vt:i4>
      </vt:variant>
      <vt:variant>
        <vt:i4>5</vt:i4>
      </vt:variant>
      <vt:variant>
        <vt:lpwstr>http://heinonline.org/HOL/PDF?handle=hein.journals/ejlr4&amp;collection=journals&amp;id=79&amp;print=18&amp;sectioncount=1&amp;ext=.pdf</vt:lpwstr>
      </vt:variant>
      <vt:variant>
        <vt:lpwstr/>
      </vt:variant>
      <vt:variant>
        <vt:i4>8257577</vt:i4>
      </vt:variant>
      <vt:variant>
        <vt:i4>108</vt:i4>
      </vt:variant>
      <vt:variant>
        <vt:i4>0</vt:i4>
      </vt:variant>
      <vt:variant>
        <vt:i4>5</vt:i4>
      </vt:variant>
      <vt:variant>
        <vt:lpwstr>http://heinonline.org/HOL/PDF?handle=hein.journals/ejlr4&amp;collection=journals&amp;id=67&amp;print=12&amp;sectioncount=1&amp;ext=.pdf</vt:lpwstr>
      </vt:variant>
      <vt:variant>
        <vt:lpwstr/>
      </vt:variant>
      <vt:variant>
        <vt:i4>7536697</vt:i4>
      </vt:variant>
      <vt:variant>
        <vt:i4>105</vt:i4>
      </vt:variant>
      <vt:variant>
        <vt:i4>0</vt:i4>
      </vt:variant>
      <vt:variant>
        <vt:i4>5</vt:i4>
      </vt:variant>
      <vt:variant>
        <vt:lpwstr>http://www.jstor.org/stable/pdfplus/760615.pdf</vt:lpwstr>
      </vt:variant>
      <vt:variant>
        <vt:lpwstr/>
      </vt:variant>
      <vt:variant>
        <vt:i4>7340071</vt:i4>
      </vt:variant>
      <vt:variant>
        <vt:i4>102</vt:i4>
      </vt:variant>
      <vt:variant>
        <vt:i4>0</vt:i4>
      </vt:variant>
      <vt:variant>
        <vt:i4>5</vt:i4>
      </vt:variant>
      <vt:variant>
        <vt:lpwstr>http://heinonline.org/HOL/PDF?handle=hein.journals/ejlr4&amp;collection=journals&amp;id=29&amp;print=18&amp;sectioncount=1&amp;ext=.pdf</vt:lpwstr>
      </vt:variant>
      <vt:variant>
        <vt:lpwstr/>
      </vt:variant>
      <vt:variant>
        <vt:i4>7340066</vt:i4>
      </vt:variant>
      <vt:variant>
        <vt:i4>99</vt:i4>
      </vt:variant>
      <vt:variant>
        <vt:i4>0</vt:i4>
      </vt:variant>
      <vt:variant>
        <vt:i4>5</vt:i4>
      </vt:variant>
      <vt:variant>
        <vt:lpwstr>http://heinonline.org/HOL/PDF?handle=hein.journals/ejlr4&amp;collection=journals&amp;id=79&amp;print=18&amp;sectioncount=1&amp;ext=.pdf</vt:lpwstr>
      </vt:variant>
      <vt:variant>
        <vt:lpwstr/>
      </vt:variant>
      <vt:variant>
        <vt:i4>2949167</vt:i4>
      </vt:variant>
      <vt:variant>
        <vt:i4>96</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23xml=http://www.kluwerlawonline.com/pdfhits.php?type=hitlist&amp;num=1&amp;</vt:lpwstr>
      </vt:variant>
      <vt:variant>
        <vt:lpwstr/>
      </vt:variant>
      <vt:variant>
        <vt:i4>5832708</vt:i4>
      </vt:variant>
      <vt:variant>
        <vt:i4>93</vt:i4>
      </vt:variant>
      <vt:variant>
        <vt:i4>0</vt:i4>
      </vt:variant>
      <vt:variant>
        <vt:i4>5</vt:i4>
      </vt:variant>
      <vt:variant>
        <vt:lpwstr>http://heinonline.org/HOL/PDFsearchable?handle=hein.journals/incolq54&amp;collection=journals&amp;id=823&amp;print=16&amp;sectioncount=1&amp;ext=.pdf</vt:lpwstr>
      </vt:variant>
      <vt:variant>
        <vt:lpwstr/>
      </vt:variant>
      <vt:variant>
        <vt:i4>2162805</vt:i4>
      </vt:variant>
      <vt:variant>
        <vt:i4>90</vt:i4>
      </vt:variant>
      <vt:variant>
        <vt:i4>0</vt:i4>
      </vt:variant>
      <vt:variant>
        <vt:i4>5</vt:i4>
      </vt:variant>
      <vt:variant>
        <vt:lpwstr>http://heinonline.org/HOL/PDF?handle=hein.journals/amcomp51&amp;collection=journals&amp;id=623&amp;print=28&amp;sectioncount=1&amp;ext=.pdf</vt:lpwstr>
      </vt:variant>
      <vt:variant>
        <vt:lpwstr/>
      </vt:variant>
      <vt:variant>
        <vt:i4>5767180</vt:i4>
      </vt:variant>
      <vt:variant>
        <vt:i4>87</vt:i4>
      </vt:variant>
      <vt:variant>
        <vt:i4>0</vt:i4>
      </vt:variant>
      <vt:variant>
        <vt:i4>5</vt:i4>
      </vt:variant>
      <vt:variant>
        <vt:lpwstr>http://heinonline.org/HOL/PDFsearchable?handle=hein.journals/incolq54&amp;collection=journals&amp;id=943&amp;print=18&amp;sectioncount=1&amp;ext=.pdf</vt:lpwstr>
      </vt:variant>
      <vt:variant>
        <vt:lpwstr/>
      </vt:variant>
      <vt:variant>
        <vt:i4>5832708</vt:i4>
      </vt:variant>
      <vt:variant>
        <vt:i4>84</vt:i4>
      </vt:variant>
      <vt:variant>
        <vt:i4>0</vt:i4>
      </vt:variant>
      <vt:variant>
        <vt:i4>5</vt:i4>
      </vt:variant>
      <vt:variant>
        <vt:lpwstr>http://heinonline.org/HOL/PDFsearchable?handle=hein.journals/incolq54&amp;collection=journals&amp;id=823&amp;print=16&amp;sectioncount=1&amp;ext=.pdf</vt:lpwstr>
      </vt:variant>
      <vt:variant>
        <vt:lpwstr/>
      </vt:variant>
      <vt:variant>
        <vt:i4>6357028</vt:i4>
      </vt:variant>
      <vt:variant>
        <vt:i4>81</vt:i4>
      </vt:variant>
      <vt:variant>
        <vt:i4>0</vt:i4>
      </vt:variant>
      <vt:variant>
        <vt:i4>5</vt:i4>
      </vt:variant>
      <vt:variant>
        <vt:lpwstr>http://heinonline.org/HOL/PDF?handle=hein.journals/vuwlr33&amp;collection=journals&amp;id=269&amp;print=26&amp;sectioncount=1&amp;ext=.pdf</vt:lpwstr>
      </vt:variant>
      <vt:variant>
        <vt:lpwstr/>
      </vt:variant>
      <vt:variant>
        <vt:i4>327704</vt:i4>
      </vt:variant>
      <vt:variant>
        <vt:i4>78</vt:i4>
      </vt:variant>
      <vt:variant>
        <vt:i4>0</vt:i4>
      </vt:variant>
      <vt:variant>
        <vt:i4>5</vt:i4>
      </vt:variant>
      <vt:variant>
        <vt:lpwstr>http://www.judicium.it/news/pistis01.html</vt:lpwstr>
      </vt:variant>
      <vt:variant>
        <vt:lpwstr/>
      </vt:variant>
      <vt:variant>
        <vt:i4>327704</vt:i4>
      </vt:variant>
      <vt:variant>
        <vt:i4>75</vt:i4>
      </vt:variant>
      <vt:variant>
        <vt:i4>0</vt:i4>
      </vt:variant>
      <vt:variant>
        <vt:i4>5</vt:i4>
      </vt:variant>
      <vt:variant>
        <vt:lpwstr>http://www.judicium.it/news/pistis01.html</vt:lpwstr>
      </vt:variant>
      <vt:variant>
        <vt:lpwstr/>
      </vt:variant>
      <vt:variant>
        <vt:i4>2162805</vt:i4>
      </vt:variant>
      <vt:variant>
        <vt:i4>72</vt:i4>
      </vt:variant>
      <vt:variant>
        <vt:i4>0</vt:i4>
      </vt:variant>
      <vt:variant>
        <vt:i4>5</vt:i4>
      </vt:variant>
      <vt:variant>
        <vt:lpwstr>http://heinonline.org/HOL/PDF?handle=hein.journals/amcomp51&amp;collection=journals&amp;id=623&amp;print=28&amp;sectioncount=1&amp;ext=.pdf</vt:lpwstr>
      </vt:variant>
      <vt:variant>
        <vt:lpwstr/>
      </vt:variant>
      <vt:variant>
        <vt:i4>6357028</vt:i4>
      </vt:variant>
      <vt:variant>
        <vt:i4>69</vt:i4>
      </vt:variant>
      <vt:variant>
        <vt:i4>0</vt:i4>
      </vt:variant>
      <vt:variant>
        <vt:i4>5</vt:i4>
      </vt:variant>
      <vt:variant>
        <vt:lpwstr>http://heinonline.org/HOL/PDF?handle=hein.journals/vuwlr33&amp;collection=journals&amp;id=269&amp;print=26&amp;sectioncount=1&amp;ext=.pdf</vt:lpwstr>
      </vt:variant>
      <vt:variant>
        <vt:lpwstr/>
      </vt:variant>
      <vt:variant>
        <vt:i4>1179650</vt:i4>
      </vt:variant>
      <vt:variant>
        <vt:i4>66</vt:i4>
      </vt:variant>
      <vt:variant>
        <vt:i4>0</vt:i4>
      </vt:variant>
      <vt:variant>
        <vt:i4>5</vt:i4>
      </vt:variant>
      <vt:variant>
        <vt:lpwstr>http://www.psp.cz/sqw/text/tiskt.sqw?O=5&amp;CT=837&amp;CT1=0%20</vt:lpwstr>
      </vt:variant>
      <vt:variant>
        <vt:lpwstr/>
      </vt:variant>
      <vt:variant>
        <vt:i4>7340066</vt:i4>
      </vt:variant>
      <vt:variant>
        <vt:i4>63</vt:i4>
      </vt:variant>
      <vt:variant>
        <vt:i4>0</vt:i4>
      </vt:variant>
      <vt:variant>
        <vt:i4>5</vt:i4>
      </vt:variant>
      <vt:variant>
        <vt:lpwstr>http://heinonline.org/HOL/PDF?handle=hein.journals/ejlr4&amp;collection=journals&amp;id=79&amp;print=18&amp;sectioncount=1&amp;ext=.pdf</vt:lpwstr>
      </vt:variant>
      <vt:variant>
        <vt:lpwstr/>
      </vt:variant>
      <vt:variant>
        <vt:i4>2359331</vt:i4>
      </vt:variant>
      <vt:variant>
        <vt:i4>60</vt:i4>
      </vt:variant>
      <vt:variant>
        <vt:i4>0</vt:i4>
      </vt:variant>
      <vt:variant>
        <vt:i4>5</vt:i4>
      </vt:variant>
      <vt:variant>
        <vt:lpwstr>http://www.altalex.com/index.php?idnot=1178</vt:lpwstr>
      </vt:variant>
      <vt:variant>
        <vt:lpwstr/>
      </vt:variant>
      <vt:variant>
        <vt:i4>7340066</vt:i4>
      </vt:variant>
      <vt:variant>
        <vt:i4>57</vt:i4>
      </vt:variant>
      <vt:variant>
        <vt:i4>0</vt:i4>
      </vt:variant>
      <vt:variant>
        <vt:i4>5</vt:i4>
      </vt:variant>
      <vt:variant>
        <vt:lpwstr>http://heinonline.org/HOL/PDF?handle=hein.journals/ejlr4&amp;collection=journals&amp;id=79&amp;print=18&amp;sectioncount=1&amp;ext=.pdf</vt:lpwstr>
      </vt:variant>
      <vt:variant>
        <vt:lpwstr/>
      </vt:variant>
      <vt:variant>
        <vt:i4>1179667</vt:i4>
      </vt:variant>
      <vt:variant>
        <vt:i4>54</vt:i4>
      </vt:variant>
      <vt:variant>
        <vt:i4>0</vt:i4>
      </vt:variant>
      <vt:variant>
        <vt:i4>5</vt:i4>
      </vt:variant>
      <vt:variant>
        <vt:lpwstr>http://www.altalex.com/index.php?idnot=33724</vt:lpwstr>
      </vt:variant>
      <vt:variant>
        <vt:lpwstr/>
      </vt:variant>
      <vt:variant>
        <vt:i4>2359331</vt:i4>
      </vt:variant>
      <vt:variant>
        <vt:i4>51</vt:i4>
      </vt:variant>
      <vt:variant>
        <vt:i4>0</vt:i4>
      </vt:variant>
      <vt:variant>
        <vt:i4>5</vt:i4>
      </vt:variant>
      <vt:variant>
        <vt:lpwstr>http://www.altalex.com/index.php?idnot=1178</vt:lpwstr>
      </vt:variant>
      <vt:variant>
        <vt:lpwstr/>
      </vt:variant>
      <vt:variant>
        <vt:i4>4915310</vt:i4>
      </vt:variant>
      <vt:variant>
        <vt:i4>48</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3735608</vt:i4>
      </vt:variant>
      <vt:variant>
        <vt:i4>45</vt:i4>
      </vt:variant>
      <vt:variant>
        <vt:i4>0</vt:i4>
      </vt:variant>
      <vt:variant>
        <vt:i4>5</vt:i4>
      </vt:variant>
      <vt:variant>
        <vt:lpwstr>http://www.scandinavianlaw.se/pdf/14-3.pdf</vt:lpwstr>
      </vt:variant>
      <vt:variant>
        <vt:lpwstr/>
      </vt:variant>
      <vt:variant>
        <vt:i4>3735608</vt:i4>
      </vt:variant>
      <vt:variant>
        <vt:i4>42</vt:i4>
      </vt:variant>
      <vt:variant>
        <vt:i4>0</vt:i4>
      </vt:variant>
      <vt:variant>
        <vt:i4>5</vt:i4>
      </vt:variant>
      <vt:variant>
        <vt:lpwstr>http://www.scandinavianlaw.se/pdf/14-3.pdf</vt:lpwstr>
      </vt:variant>
      <vt:variant>
        <vt:lpwstr/>
      </vt:variant>
      <vt:variant>
        <vt:i4>6619258</vt:i4>
      </vt:variant>
      <vt:variant>
        <vt:i4>39</vt:i4>
      </vt:variant>
      <vt:variant>
        <vt:i4>0</vt:i4>
      </vt:variant>
      <vt:variant>
        <vt:i4>5</vt:i4>
      </vt:variant>
      <vt:variant>
        <vt:lpwstr>http://bundesrecht.juris.de/zpo/index.html</vt:lpwstr>
      </vt:variant>
      <vt:variant>
        <vt:lpwstr/>
      </vt:variant>
      <vt:variant>
        <vt:i4>7340066</vt:i4>
      </vt:variant>
      <vt:variant>
        <vt:i4>36</vt:i4>
      </vt:variant>
      <vt:variant>
        <vt:i4>0</vt:i4>
      </vt:variant>
      <vt:variant>
        <vt:i4>5</vt:i4>
      </vt:variant>
      <vt:variant>
        <vt:lpwstr>http://heinonline.org/HOL/PDF?handle=hein.journals/ejlr4&amp;collection=journals&amp;id=79&amp;print=18&amp;sectioncount=1&amp;ext=.pdf</vt:lpwstr>
      </vt:variant>
      <vt:variant>
        <vt:lpwstr/>
      </vt:variant>
      <vt:variant>
        <vt:i4>1966101</vt:i4>
      </vt:variant>
      <vt:variant>
        <vt:i4>33</vt:i4>
      </vt:variant>
      <vt:variant>
        <vt:i4>0</vt:i4>
      </vt:variant>
      <vt:variant>
        <vt:i4>5</vt:i4>
      </vt:variant>
      <vt:variant>
        <vt:lpwstr>http://www.admin.ch/ch/d/sr/2/291.de.pdf</vt:lpwstr>
      </vt:variant>
      <vt:variant>
        <vt:lpwstr/>
      </vt:variant>
      <vt:variant>
        <vt:i4>6815852</vt:i4>
      </vt:variant>
      <vt:variant>
        <vt:i4>30</vt:i4>
      </vt:variant>
      <vt:variant>
        <vt:i4>0</vt:i4>
      </vt:variant>
      <vt:variant>
        <vt:i4>5</vt:i4>
      </vt:variant>
      <vt:variant>
        <vt:lpwstr>http://www.bj.admin.ch/bj/de/home/themen/wirtschaft/internationales_privatrecht/lugano_uebereinkommen/0.html</vt:lpwstr>
      </vt:variant>
      <vt:variant>
        <vt:lpwstr/>
      </vt:variant>
      <vt:variant>
        <vt:i4>3735608</vt:i4>
      </vt:variant>
      <vt:variant>
        <vt:i4>27</vt:i4>
      </vt:variant>
      <vt:variant>
        <vt:i4>0</vt:i4>
      </vt:variant>
      <vt:variant>
        <vt:i4>5</vt:i4>
      </vt:variant>
      <vt:variant>
        <vt:lpwstr>http://www.scandinavianlaw.se/pdf/14-3.pdf</vt:lpwstr>
      </vt:variant>
      <vt:variant>
        <vt:lpwstr/>
      </vt:variant>
      <vt:variant>
        <vt:i4>2162805</vt:i4>
      </vt:variant>
      <vt:variant>
        <vt:i4>24</vt:i4>
      </vt:variant>
      <vt:variant>
        <vt:i4>0</vt:i4>
      </vt:variant>
      <vt:variant>
        <vt:i4>5</vt:i4>
      </vt:variant>
      <vt:variant>
        <vt:lpwstr>http://heinonline.org/HOL/PDF?handle=hein.journals/amcomp51&amp;collection=journals&amp;id=623&amp;print=28&amp;sectioncount=1&amp;ext=.pdf</vt:lpwstr>
      </vt:variant>
      <vt:variant>
        <vt:lpwstr/>
      </vt:variant>
      <vt:variant>
        <vt:i4>2162805</vt:i4>
      </vt:variant>
      <vt:variant>
        <vt:i4>21</vt:i4>
      </vt:variant>
      <vt:variant>
        <vt:i4>0</vt:i4>
      </vt:variant>
      <vt:variant>
        <vt:i4>5</vt:i4>
      </vt:variant>
      <vt:variant>
        <vt:lpwstr>http://heinonline.org/HOL/PDF?handle=hein.journals/amcomp51&amp;collection=journals&amp;id=623&amp;print=28&amp;sectioncount=1&amp;ext=.pdf</vt:lpwstr>
      </vt:variant>
      <vt:variant>
        <vt:lpwstr/>
      </vt:variant>
      <vt:variant>
        <vt:i4>3735608</vt:i4>
      </vt:variant>
      <vt:variant>
        <vt:i4>18</vt:i4>
      </vt:variant>
      <vt:variant>
        <vt:i4>0</vt:i4>
      </vt:variant>
      <vt:variant>
        <vt:i4>5</vt:i4>
      </vt:variant>
      <vt:variant>
        <vt:lpwstr>http://www.scandinavianlaw.se/pdf/14-3.pdf</vt:lpwstr>
      </vt:variant>
      <vt:variant>
        <vt:lpwstr/>
      </vt:variant>
      <vt:variant>
        <vt:i4>7733285</vt:i4>
      </vt:variant>
      <vt:variant>
        <vt:i4>15</vt:i4>
      </vt:variant>
      <vt:variant>
        <vt:i4>0</vt:i4>
      </vt:variant>
      <vt:variant>
        <vt:i4>5</vt:i4>
      </vt:variant>
      <vt:variant>
        <vt:lpwstr>http://heinonline.org/HOL/PDF?handle=hein.journals/cybil38&amp;collection=journals&amp;id=163&amp;print=34&amp;sectioncount=1&amp;ext=.pdf</vt:lpwstr>
      </vt:variant>
      <vt:variant>
        <vt:lpwstr/>
      </vt:variant>
      <vt:variant>
        <vt:i4>1048610</vt:i4>
      </vt:variant>
      <vt:variant>
        <vt:i4>12</vt:i4>
      </vt:variant>
      <vt:variant>
        <vt:i4>0</vt:i4>
      </vt:variant>
      <vt:variant>
        <vt:i4>5</vt:i4>
      </vt:variant>
      <vt:variant>
        <vt:lpwstr>http://papers.ssrn.com/sol3/papers.cfm?abstract_id=1045181</vt:lpwstr>
      </vt:variant>
      <vt:variant>
        <vt:lpwstr/>
      </vt:variant>
      <vt:variant>
        <vt:i4>1048610</vt:i4>
      </vt:variant>
      <vt:variant>
        <vt:i4>9</vt:i4>
      </vt:variant>
      <vt:variant>
        <vt:i4>0</vt:i4>
      </vt:variant>
      <vt:variant>
        <vt:i4>5</vt:i4>
      </vt:variant>
      <vt:variant>
        <vt:lpwstr>http://papers.ssrn.com/sol3/papers.cfm?abstract_id=1045181</vt:lpwstr>
      </vt:variant>
      <vt:variant>
        <vt:lpwstr/>
      </vt:variant>
      <vt:variant>
        <vt:i4>6619258</vt:i4>
      </vt:variant>
      <vt:variant>
        <vt:i4>6</vt:i4>
      </vt:variant>
      <vt:variant>
        <vt:i4>0</vt:i4>
      </vt:variant>
      <vt:variant>
        <vt:i4>5</vt:i4>
      </vt:variant>
      <vt:variant>
        <vt:lpwstr>http://bundesrecht.juris.de/zpo/index.html</vt:lpwstr>
      </vt:variant>
      <vt:variant>
        <vt:lpwstr/>
      </vt:variant>
      <vt:variant>
        <vt:i4>1179667</vt:i4>
      </vt:variant>
      <vt:variant>
        <vt:i4>3</vt:i4>
      </vt:variant>
      <vt:variant>
        <vt:i4>0</vt:i4>
      </vt:variant>
      <vt:variant>
        <vt:i4>5</vt:i4>
      </vt:variant>
      <vt:variant>
        <vt:lpwstr>http://www.altalex.com/index.php?idnot=33724</vt:lpwstr>
      </vt:variant>
      <vt:variant>
        <vt:lpwstr/>
      </vt:variant>
      <vt:variant>
        <vt:i4>4915310</vt:i4>
      </vt:variant>
      <vt:variant>
        <vt:i4>0</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Rámování kritiky vlád Andreje Babiše vybranými opozičními stranami</dc:title>
  <dc:subject/>
  <dc:creator>Lucie Švehlíková</dc:creator>
  <cp:keywords/>
  <cp:lastModifiedBy>Lucie Švehlíková</cp:lastModifiedBy>
  <cp:revision>149</cp:revision>
  <cp:lastPrinted>2019-05-07T10:28:00Z</cp:lastPrinted>
  <dcterms:created xsi:type="dcterms:W3CDTF">2019-05-03T14:29:00Z</dcterms:created>
  <dcterms:modified xsi:type="dcterms:W3CDTF">2019-05-07T10:29:00Z</dcterms:modified>
  <cp:category>2019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o">
    <vt:lpwstr>NOVE</vt:lpwstr>
  </property>
</Properties>
</file>