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4EB" w:rsidRDefault="000044EB">
      <w:pPr>
        <w:pStyle w:val="Zkladntext"/>
        <w:spacing w:line="360" w:lineRule="auto"/>
        <w:jc w:val="center"/>
        <w:rPr>
          <w:spacing w:val="32"/>
          <w:sz w:val="24"/>
        </w:rPr>
      </w:pPr>
    </w:p>
    <w:p w:rsidR="000044EB" w:rsidRPr="000D7324" w:rsidRDefault="000044EB" w:rsidP="00B34286">
      <w:pPr>
        <w:spacing w:line="360" w:lineRule="auto"/>
        <w:jc w:val="center"/>
        <w:rPr>
          <w:sz w:val="28"/>
          <w:szCs w:val="28"/>
        </w:rPr>
      </w:pPr>
      <w:r w:rsidRPr="000D7324">
        <w:rPr>
          <w:sz w:val="28"/>
          <w:szCs w:val="28"/>
        </w:rPr>
        <w:t>Masarykova univerzita</w:t>
      </w:r>
    </w:p>
    <w:p w:rsidR="000044EB" w:rsidRPr="000D7324" w:rsidRDefault="000044EB" w:rsidP="00B34286">
      <w:pPr>
        <w:spacing w:line="360" w:lineRule="auto"/>
        <w:jc w:val="center"/>
        <w:rPr>
          <w:sz w:val="28"/>
          <w:szCs w:val="28"/>
        </w:rPr>
      </w:pPr>
      <w:bookmarkStart w:id="0" w:name="_Toc221876764"/>
      <w:bookmarkStart w:id="1" w:name="_Toc222366948"/>
      <w:r w:rsidRPr="000D7324">
        <w:rPr>
          <w:sz w:val="28"/>
          <w:szCs w:val="28"/>
        </w:rPr>
        <w:t>Ekonomicko</w:t>
      </w:r>
      <w:r w:rsidR="00E401CF" w:rsidRPr="000D7324">
        <w:rPr>
          <w:sz w:val="28"/>
          <w:szCs w:val="28"/>
        </w:rPr>
        <w:t xml:space="preserve"> </w:t>
      </w:r>
      <w:r w:rsidRPr="000D7324">
        <w:rPr>
          <w:sz w:val="28"/>
          <w:szCs w:val="28"/>
        </w:rPr>
        <w:noBreakHyphen/>
      </w:r>
      <w:r w:rsidR="00E401CF" w:rsidRPr="000D7324">
        <w:rPr>
          <w:sz w:val="28"/>
          <w:szCs w:val="28"/>
        </w:rPr>
        <w:t xml:space="preserve"> </w:t>
      </w:r>
      <w:r w:rsidRPr="000D7324">
        <w:rPr>
          <w:sz w:val="28"/>
          <w:szCs w:val="28"/>
        </w:rPr>
        <w:t>správní fakulta</w:t>
      </w:r>
      <w:bookmarkEnd w:id="0"/>
      <w:bookmarkEnd w:id="1"/>
    </w:p>
    <w:p w:rsidR="000044EB" w:rsidRPr="000D7324" w:rsidRDefault="000044EB" w:rsidP="00B34286">
      <w:pPr>
        <w:spacing w:line="360" w:lineRule="auto"/>
        <w:jc w:val="center"/>
        <w:rPr>
          <w:sz w:val="28"/>
          <w:szCs w:val="28"/>
        </w:rPr>
      </w:pPr>
      <w:bookmarkStart w:id="2" w:name="_Toc221876765"/>
      <w:bookmarkStart w:id="3" w:name="_Toc222366949"/>
      <w:r w:rsidRPr="000D7324">
        <w:rPr>
          <w:sz w:val="28"/>
          <w:szCs w:val="28"/>
        </w:rPr>
        <w:t xml:space="preserve">Studijní obor: </w:t>
      </w:r>
      <w:r w:rsidR="002D7AD1" w:rsidRPr="000D7324">
        <w:rPr>
          <w:sz w:val="28"/>
          <w:szCs w:val="28"/>
        </w:rPr>
        <w:t>Podnikové hospodářství</w:t>
      </w:r>
      <w:bookmarkEnd w:id="2"/>
      <w:bookmarkEnd w:id="3"/>
    </w:p>
    <w:p w:rsidR="000044EB" w:rsidRDefault="000044EB" w:rsidP="00B34286">
      <w:pPr>
        <w:spacing w:line="360" w:lineRule="auto"/>
        <w:jc w:val="center"/>
      </w:pPr>
    </w:p>
    <w:p w:rsidR="00BB53FA" w:rsidRDefault="00BB53FA" w:rsidP="00B34286">
      <w:pPr>
        <w:spacing w:line="360" w:lineRule="auto"/>
        <w:jc w:val="center"/>
      </w:pPr>
    </w:p>
    <w:p w:rsidR="00BB53FA" w:rsidRDefault="00BB53FA" w:rsidP="00B34286">
      <w:pPr>
        <w:spacing w:line="360" w:lineRule="auto"/>
        <w:jc w:val="center"/>
      </w:pPr>
    </w:p>
    <w:p w:rsidR="00BB53FA" w:rsidRDefault="00BB53FA" w:rsidP="00B34286">
      <w:pPr>
        <w:spacing w:line="360" w:lineRule="auto"/>
        <w:jc w:val="center"/>
      </w:pPr>
    </w:p>
    <w:p w:rsidR="00B34286" w:rsidRDefault="00B34286" w:rsidP="00B34286">
      <w:pPr>
        <w:spacing w:line="360" w:lineRule="auto"/>
        <w:jc w:val="center"/>
      </w:pPr>
    </w:p>
    <w:p w:rsidR="000044EB" w:rsidRDefault="00BB53FA" w:rsidP="00B34286">
      <w:pPr>
        <w:spacing w:line="360" w:lineRule="auto"/>
        <w:jc w:val="center"/>
      </w:pPr>
      <w:r>
        <w:rPr>
          <w:noProof/>
        </w:rPr>
        <w:drawing>
          <wp:anchor distT="0" distB="0" distL="114300" distR="114300" simplePos="0" relativeHeight="251703296" behindDoc="0" locked="1" layoutInCell="1" allowOverlap="0">
            <wp:simplePos x="0" y="0"/>
            <wp:positionH relativeFrom="column">
              <wp:posOffset>2139950</wp:posOffset>
            </wp:positionH>
            <wp:positionV relativeFrom="page">
              <wp:posOffset>2596515</wp:posOffset>
            </wp:positionV>
            <wp:extent cx="1144905" cy="1138555"/>
            <wp:effectExtent l="19050" t="0" r="0" b="0"/>
            <wp:wrapNone/>
            <wp:docPr id="5" name="obrázek 2" descr="http://www.econ.muni.cz/images/logo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www.econ.muni.cz/images/logo100.gif"/>
                    <pic:cNvPicPr>
                      <a:picLocks noChangeAspect="1" noChangeArrowheads="1"/>
                    </pic:cNvPicPr>
                  </pic:nvPicPr>
                  <pic:blipFill>
                    <a:blip r:embed="rId8" r:link="rId9"/>
                    <a:srcRect/>
                    <a:stretch>
                      <a:fillRect/>
                    </a:stretch>
                  </pic:blipFill>
                  <pic:spPr bwMode="auto">
                    <a:xfrm>
                      <a:off x="0" y="0"/>
                      <a:ext cx="1144905" cy="1138555"/>
                    </a:xfrm>
                    <a:prstGeom prst="rect">
                      <a:avLst/>
                    </a:prstGeom>
                    <a:noFill/>
                    <a:ln w="9525">
                      <a:noFill/>
                      <a:miter lim="800000"/>
                      <a:headEnd/>
                      <a:tailEnd/>
                    </a:ln>
                  </pic:spPr>
                </pic:pic>
              </a:graphicData>
            </a:graphic>
          </wp:anchor>
        </w:drawing>
      </w:r>
    </w:p>
    <w:p w:rsidR="000044EB" w:rsidRDefault="000044EB" w:rsidP="00B34286">
      <w:pPr>
        <w:spacing w:line="360" w:lineRule="auto"/>
        <w:jc w:val="center"/>
      </w:pPr>
    </w:p>
    <w:p w:rsidR="000044EB" w:rsidRDefault="000044EB" w:rsidP="00B34286">
      <w:pPr>
        <w:spacing w:line="360" w:lineRule="auto"/>
        <w:jc w:val="center"/>
      </w:pPr>
    </w:p>
    <w:p w:rsidR="000044EB" w:rsidRDefault="000044EB" w:rsidP="00B34286">
      <w:pPr>
        <w:spacing w:line="360" w:lineRule="auto"/>
        <w:jc w:val="center"/>
      </w:pPr>
    </w:p>
    <w:p w:rsidR="000044EB" w:rsidRPr="00D7490F" w:rsidRDefault="002D7AD1" w:rsidP="00B34286">
      <w:pPr>
        <w:spacing w:line="360" w:lineRule="auto"/>
        <w:jc w:val="center"/>
        <w:rPr>
          <w:caps/>
          <w:sz w:val="32"/>
          <w:szCs w:val="32"/>
        </w:rPr>
      </w:pPr>
      <w:bookmarkStart w:id="4" w:name="_Toc221876766"/>
      <w:bookmarkStart w:id="5" w:name="_Toc222366950"/>
      <w:r w:rsidRPr="00D7490F">
        <w:rPr>
          <w:caps/>
          <w:sz w:val="32"/>
          <w:szCs w:val="32"/>
        </w:rPr>
        <w:t>HODNOCENÍ INVESTIČNÍCH PROJEKTŮ V PODNIKU</w:t>
      </w:r>
      <w:bookmarkEnd w:id="4"/>
      <w:bookmarkEnd w:id="5"/>
    </w:p>
    <w:p w:rsidR="000044EB" w:rsidRPr="00D7490F" w:rsidRDefault="002D7AD1" w:rsidP="00B34286">
      <w:pPr>
        <w:spacing w:line="360" w:lineRule="auto"/>
        <w:jc w:val="center"/>
        <w:rPr>
          <w:sz w:val="28"/>
          <w:szCs w:val="28"/>
        </w:rPr>
      </w:pPr>
      <w:bookmarkStart w:id="6" w:name="_Toc221876767"/>
      <w:bookmarkStart w:id="7" w:name="_Toc222366951"/>
      <w:r w:rsidRPr="00D7490F">
        <w:rPr>
          <w:sz w:val="28"/>
          <w:szCs w:val="28"/>
        </w:rPr>
        <w:t>Evaluation of the investment projects in the enterprise</w:t>
      </w:r>
      <w:bookmarkEnd w:id="6"/>
      <w:bookmarkEnd w:id="7"/>
    </w:p>
    <w:p w:rsidR="000044EB" w:rsidRDefault="000044EB" w:rsidP="00B34286">
      <w:pPr>
        <w:spacing w:line="360" w:lineRule="auto"/>
        <w:rPr>
          <w:caps/>
        </w:rPr>
      </w:pPr>
    </w:p>
    <w:p w:rsidR="000044EB" w:rsidRDefault="000044EB" w:rsidP="00B34286">
      <w:pPr>
        <w:spacing w:line="360" w:lineRule="auto"/>
        <w:rPr>
          <w:caps/>
        </w:rPr>
      </w:pPr>
    </w:p>
    <w:p w:rsidR="000044EB" w:rsidRPr="003D570D" w:rsidRDefault="002D7AD1" w:rsidP="00B34286">
      <w:pPr>
        <w:spacing w:line="360" w:lineRule="auto"/>
        <w:jc w:val="center"/>
        <w:rPr>
          <w:sz w:val="32"/>
          <w:szCs w:val="32"/>
        </w:rPr>
      </w:pPr>
      <w:bookmarkStart w:id="8" w:name="_Toc221876768"/>
      <w:bookmarkStart w:id="9" w:name="_Toc222366952"/>
      <w:r>
        <w:rPr>
          <w:sz w:val="32"/>
          <w:szCs w:val="32"/>
        </w:rPr>
        <w:t>Diplomová práce</w:t>
      </w:r>
      <w:bookmarkEnd w:id="8"/>
      <w:bookmarkEnd w:id="9"/>
    </w:p>
    <w:p w:rsidR="000044EB" w:rsidRDefault="000044EB" w:rsidP="00B34286">
      <w:pPr>
        <w:spacing w:line="360" w:lineRule="auto"/>
      </w:pPr>
    </w:p>
    <w:p w:rsidR="000044EB" w:rsidRDefault="000044EB" w:rsidP="00B34286">
      <w:pPr>
        <w:spacing w:line="360" w:lineRule="auto"/>
      </w:pPr>
    </w:p>
    <w:p w:rsidR="000044EB" w:rsidRDefault="000044EB" w:rsidP="00B34286">
      <w:pPr>
        <w:spacing w:line="360" w:lineRule="auto"/>
      </w:pPr>
    </w:p>
    <w:p w:rsidR="000044EB" w:rsidRDefault="000044EB" w:rsidP="00B34286">
      <w:pPr>
        <w:spacing w:line="360" w:lineRule="auto"/>
      </w:pPr>
    </w:p>
    <w:p w:rsidR="000044EB" w:rsidRDefault="000044EB" w:rsidP="00B34286">
      <w:pPr>
        <w:spacing w:line="360" w:lineRule="auto"/>
      </w:pPr>
    </w:p>
    <w:p w:rsidR="000044EB" w:rsidRDefault="000044EB" w:rsidP="00B34286">
      <w:pPr>
        <w:spacing w:line="360" w:lineRule="auto"/>
      </w:pPr>
    </w:p>
    <w:p w:rsidR="000044EB" w:rsidRPr="00D7490F" w:rsidRDefault="002D7AD1" w:rsidP="00B34286">
      <w:pPr>
        <w:spacing w:line="360" w:lineRule="auto"/>
        <w:rPr>
          <w:sz w:val="28"/>
          <w:szCs w:val="28"/>
        </w:rPr>
      </w:pPr>
      <w:bookmarkStart w:id="10" w:name="_Toc221876769"/>
      <w:bookmarkStart w:id="11" w:name="_Toc222366953"/>
      <w:r w:rsidRPr="00D7490F">
        <w:rPr>
          <w:sz w:val="28"/>
          <w:szCs w:val="28"/>
        </w:rPr>
        <w:t xml:space="preserve">Vedoucí </w:t>
      </w:r>
      <w:r w:rsidR="00C359E5" w:rsidRPr="00D7490F">
        <w:rPr>
          <w:sz w:val="28"/>
          <w:szCs w:val="28"/>
        </w:rPr>
        <w:t>diplomové</w:t>
      </w:r>
      <w:r w:rsidRPr="00D7490F">
        <w:rPr>
          <w:sz w:val="28"/>
          <w:szCs w:val="28"/>
        </w:rPr>
        <w:t xml:space="preserve"> práce:</w:t>
      </w:r>
      <w:r w:rsidRPr="00D7490F">
        <w:rPr>
          <w:sz w:val="28"/>
          <w:szCs w:val="28"/>
        </w:rPr>
        <w:tab/>
      </w:r>
      <w:r w:rsidRPr="00D7490F">
        <w:rPr>
          <w:sz w:val="28"/>
          <w:szCs w:val="28"/>
        </w:rPr>
        <w:tab/>
      </w:r>
      <w:r w:rsidRPr="00D7490F">
        <w:rPr>
          <w:sz w:val="28"/>
          <w:szCs w:val="28"/>
        </w:rPr>
        <w:tab/>
      </w:r>
      <w:r w:rsidRPr="00D7490F">
        <w:rPr>
          <w:sz w:val="28"/>
          <w:szCs w:val="28"/>
        </w:rPr>
        <w:tab/>
      </w:r>
      <w:r w:rsidRPr="00D7490F">
        <w:rPr>
          <w:sz w:val="28"/>
          <w:szCs w:val="28"/>
        </w:rPr>
        <w:tab/>
      </w:r>
      <w:r w:rsidR="00B77999" w:rsidRPr="00D7490F">
        <w:rPr>
          <w:sz w:val="28"/>
          <w:szCs w:val="28"/>
        </w:rPr>
        <w:tab/>
      </w:r>
      <w:r w:rsidR="00B77999" w:rsidRPr="00D7490F">
        <w:rPr>
          <w:sz w:val="28"/>
          <w:szCs w:val="28"/>
        </w:rPr>
        <w:tab/>
      </w:r>
      <w:r w:rsidR="00B77999" w:rsidRPr="00D7490F">
        <w:rPr>
          <w:sz w:val="28"/>
          <w:szCs w:val="28"/>
        </w:rPr>
        <w:tab/>
        <w:t xml:space="preserve"> </w:t>
      </w:r>
      <w:r w:rsidR="00B77999" w:rsidRPr="00D7490F">
        <w:rPr>
          <w:sz w:val="28"/>
          <w:szCs w:val="28"/>
        </w:rPr>
        <w:tab/>
      </w:r>
      <w:r w:rsidR="00B77999" w:rsidRPr="00D7490F">
        <w:rPr>
          <w:sz w:val="28"/>
          <w:szCs w:val="28"/>
        </w:rPr>
        <w:tab/>
        <w:t xml:space="preserve">                </w:t>
      </w:r>
      <w:r w:rsidR="00B77999" w:rsidRPr="00D7490F">
        <w:rPr>
          <w:sz w:val="28"/>
          <w:szCs w:val="28"/>
        </w:rPr>
        <w:tab/>
      </w:r>
      <w:r w:rsidR="00B77999" w:rsidRPr="00D7490F">
        <w:rPr>
          <w:sz w:val="28"/>
          <w:szCs w:val="28"/>
        </w:rPr>
        <w:tab/>
      </w:r>
      <w:r w:rsidR="00B77999" w:rsidRPr="00D7490F">
        <w:rPr>
          <w:sz w:val="28"/>
          <w:szCs w:val="28"/>
        </w:rPr>
        <w:tab/>
      </w:r>
      <w:r w:rsidR="00B77999" w:rsidRPr="00D7490F">
        <w:rPr>
          <w:sz w:val="28"/>
          <w:szCs w:val="28"/>
        </w:rPr>
        <w:tab/>
      </w:r>
      <w:r w:rsidR="00B77999" w:rsidRPr="00D7490F">
        <w:rPr>
          <w:sz w:val="28"/>
          <w:szCs w:val="28"/>
        </w:rPr>
        <w:tab/>
      </w:r>
      <w:r w:rsidR="00B77999" w:rsidRPr="00D7490F">
        <w:rPr>
          <w:sz w:val="28"/>
          <w:szCs w:val="28"/>
        </w:rPr>
        <w:tab/>
      </w:r>
      <w:r w:rsidR="00B77999" w:rsidRPr="00D7490F">
        <w:rPr>
          <w:sz w:val="28"/>
          <w:szCs w:val="28"/>
        </w:rPr>
        <w:tab/>
      </w:r>
      <w:r w:rsidR="00B77999" w:rsidRPr="00D7490F">
        <w:rPr>
          <w:sz w:val="28"/>
          <w:szCs w:val="28"/>
        </w:rPr>
        <w:tab/>
      </w:r>
      <w:r w:rsidR="00B77999" w:rsidRPr="00D7490F">
        <w:rPr>
          <w:sz w:val="28"/>
          <w:szCs w:val="28"/>
        </w:rPr>
        <w:tab/>
      </w:r>
      <w:r w:rsidR="00B77999" w:rsidRPr="00D7490F">
        <w:rPr>
          <w:sz w:val="28"/>
          <w:szCs w:val="28"/>
        </w:rPr>
        <w:tab/>
      </w:r>
      <w:r w:rsidR="00B77999" w:rsidRPr="00D7490F">
        <w:rPr>
          <w:sz w:val="28"/>
          <w:szCs w:val="28"/>
        </w:rPr>
        <w:tab/>
      </w:r>
      <w:r w:rsidR="00B77999" w:rsidRPr="00D7490F">
        <w:rPr>
          <w:sz w:val="28"/>
          <w:szCs w:val="28"/>
        </w:rPr>
        <w:tab/>
      </w:r>
      <w:r w:rsidR="00D7490F">
        <w:rPr>
          <w:sz w:val="28"/>
          <w:szCs w:val="28"/>
        </w:rPr>
        <w:t xml:space="preserve">                          </w:t>
      </w:r>
      <w:r w:rsidR="006B77C0" w:rsidRPr="00D7490F">
        <w:rPr>
          <w:sz w:val="28"/>
          <w:szCs w:val="28"/>
        </w:rPr>
        <w:tab/>
      </w:r>
      <w:r w:rsidR="006B77C0" w:rsidRPr="00D7490F">
        <w:rPr>
          <w:sz w:val="28"/>
          <w:szCs w:val="28"/>
        </w:rPr>
        <w:tab/>
      </w:r>
      <w:r w:rsidR="006B77C0" w:rsidRPr="00D7490F">
        <w:rPr>
          <w:sz w:val="28"/>
          <w:szCs w:val="28"/>
        </w:rPr>
        <w:tab/>
      </w:r>
      <w:r w:rsidR="006B77C0" w:rsidRPr="00D7490F">
        <w:rPr>
          <w:sz w:val="28"/>
          <w:szCs w:val="28"/>
        </w:rPr>
        <w:tab/>
      </w:r>
      <w:r w:rsidR="000044EB" w:rsidRPr="00D7490F">
        <w:rPr>
          <w:sz w:val="28"/>
          <w:szCs w:val="28"/>
        </w:rPr>
        <w:t>Autor:</w:t>
      </w:r>
      <w:bookmarkEnd w:id="10"/>
      <w:bookmarkEnd w:id="11"/>
    </w:p>
    <w:p w:rsidR="000044EB" w:rsidRPr="00D7490F" w:rsidRDefault="000B5C9F" w:rsidP="00B34286">
      <w:pPr>
        <w:spacing w:line="360" w:lineRule="auto"/>
        <w:rPr>
          <w:sz w:val="28"/>
          <w:szCs w:val="28"/>
        </w:rPr>
      </w:pPr>
      <w:r>
        <w:rPr>
          <w:sz w:val="28"/>
          <w:szCs w:val="28"/>
        </w:rPr>
        <w:t>d</w:t>
      </w:r>
      <w:r w:rsidR="000044EB" w:rsidRPr="00D7490F">
        <w:rPr>
          <w:sz w:val="28"/>
          <w:szCs w:val="28"/>
        </w:rPr>
        <w:t xml:space="preserve">oc. </w:t>
      </w:r>
      <w:r w:rsidR="002D7AD1" w:rsidRPr="00D7490F">
        <w:rPr>
          <w:sz w:val="28"/>
          <w:szCs w:val="28"/>
        </w:rPr>
        <w:t>Ing</w:t>
      </w:r>
      <w:r w:rsidR="000044EB" w:rsidRPr="00D7490F">
        <w:rPr>
          <w:sz w:val="28"/>
          <w:szCs w:val="28"/>
        </w:rPr>
        <w:t xml:space="preserve">. </w:t>
      </w:r>
      <w:r w:rsidR="002D7AD1" w:rsidRPr="00D7490F">
        <w:rPr>
          <w:sz w:val="28"/>
          <w:szCs w:val="28"/>
        </w:rPr>
        <w:t>Jiří Novotný</w:t>
      </w:r>
      <w:r w:rsidR="000044EB" w:rsidRPr="00D7490F">
        <w:rPr>
          <w:sz w:val="28"/>
          <w:szCs w:val="28"/>
        </w:rPr>
        <w:t>, CSc.</w:t>
      </w:r>
      <w:r w:rsidR="000044EB" w:rsidRPr="00D7490F">
        <w:rPr>
          <w:sz w:val="28"/>
          <w:szCs w:val="28"/>
        </w:rPr>
        <w:tab/>
        <w:t xml:space="preserve">                  </w:t>
      </w:r>
      <w:r w:rsidR="002D7AD1" w:rsidRPr="00D7490F">
        <w:rPr>
          <w:sz w:val="28"/>
          <w:szCs w:val="28"/>
        </w:rPr>
        <w:tab/>
      </w:r>
      <w:r w:rsidR="002D7AD1" w:rsidRPr="00D7490F">
        <w:rPr>
          <w:sz w:val="28"/>
          <w:szCs w:val="28"/>
        </w:rPr>
        <w:tab/>
      </w:r>
      <w:r w:rsidR="002D7AD1" w:rsidRPr="00D7490F">
        <w:rPr>
          <w:sz w:val="28"/>
          <w:szCs w:val="28"/>
        </w:rPr>
        <w:tab/>
      </w:r>
      <w:r w:rsidR="00B77999" w:rsidRPr="00D7490F">
        <w:rPr>
          <w:sz w:val="28"/>
          <w:szCs w:val="28"/>
        </w:rPr>
        <w:tab/>
        <w:t xml:space="preserve">                      </w:t>
      </w:r>
      <w:r w:rsidR="002D7AD1" w:rsidRPr="00D7490F">
        <w:rPr>
          <w:sz w:val="28"/>
          <w:szCs w:val="28"/>
        </w:rPr>
        <w:t xml:space="preserve">Bc. </w:t>
      </w:r>
      <w:r w:rsidR="000044EB" w:rsidRPr="00D7490F">
        <w:rPr>
          <w:sz w:val="28"/>
          <w:szCs w:val="28"/>
        </w:rPr>
        <w:t xml:space="preserve">Martin Štípek </w:t>
      </w:r>
      <w:r w:rsidR="000044EB" w:rsidRPr="00D7490F">
        <w:rPr>
          <w:sz w:val="28"/>
          <w:szCs w:val="28"/>
        </w:rPr>
        <w:tab/>
      </w:r>
      <w:r w:rsidR="000044EB" w:rsidRPr="00D7490F">
        <w:rPr>
          <w:sz w:val="28"/>
          <w:szCs w:val="28"/>
        </w:rPr>
        <w:tab/>
      </w:r>
    </w:p>
    <w:p w:rsidR="000044EB" w:rsidRPr="00D7490F" w:rsidRDefault="000044EB" w:rsidP="00B34286">
      <w:pPr>
        <w:spacing w:line="360" w:lineRule="auto"/>
        <w:rPr>
          <w:sz w:val="28"/>
          <w:szCs w:val="28"/>
        </w:rPr>
      </w:pPr>
    </w:p>
    <w:p w:rsidR="002522B7" w:rsidRPr="00D7490F" w:rsidRDefault="002522B7" w:rsidP="00B34286">
      <w:pPr>
        <w:spacing w:line="360" w:lineRule="auto"/>
        <w:rPr>
          <w:sz w:val="28"/>
          <w:szCs w:val="28"/>
        </w:rPr>
      </w:pPr>
    </w:p>
    <w:p w:rsidR="000044EB" w:rsidRPr="00D7490F" w:rsidRDefault="000044EB" w:rsidP="00B34286">
      <w:pPr>
        <w:rPr>
          <w:sz w:val="28"/>
          <w:szCs w:val="28"/>
        </w:rPr>
      </w:pPr>
    </w:p>
    <w:p w:rsidR="000044EB" w:rsidRPr="00D7490F" w:rsidRDefault="000044EB" w:rsidP="00B34286">
      <w:pPr>
        <w:jc w:val="center"/>
        <w:rPr>
          <w:sz w:val="28"/>
          <w:szCs w:val="28"/>
        </w:rPr>
      </w:pPr>
      <w:r w:rsidRPr="00D7490F">
        <w:rPr>
          <w:sz w:val="28"/>
          <w:szCs w:val="28"/>
        </w:rPr>
        <w:t xml:space="preserve">Brno, </w:t>
      </w:r>
      <w:r w:rsidR="002522B7" w:rsidRPr="00D7490F">
        <w:rPr>
          <w:sz w:val="28"/>
          <w:szCs w:val="28"/>
        </w:rPr>
        <w:t>červen</w:t>
      </w:r>
      <w:r w:rsidRPr="00D7490F">
        <w:rPr>
          <w:sz w:val="28"/>
          <w:szCs w:val="28"/>
        </w:rPr>
        <w:t xml:space="preserve"> 200</w:t>
      </w:r>
      <w:r w:rsidR="002D7AD1" w:rsidRPr="00D7490F">
        <w:rPr>
          <w:sz w:val="28"/>
          <w:szCs w:val="28"/>
        </w:rPr>
        <w:t>9</w:t>
      </w:r>
    </w:p>
    <w:p w:rsidR="000044EB" w:rsidRPr="00E56B56" w:rsidRDefault="000044EB" w:rsidP="00B34286"/>
    <w:p w:rsidR="000044EB" w:rsidRDefault="000044EB" w:rsidP="00D7642B">
      <w:pPr>
        <w:jc w:val="both"/>
        <w:rPr>
          <w:b/>
        </w:rPr>
      </w:pPr>
    </w:p>
    <w:p w:rsidR="000D7324" w:rsidRDefault="000D7324" w:rsidP="00B34286">
      <w:pPr>
        <w:spacing w:line="360" w:lineRule="auto"/>
      </w:pPr>
      <w:bookmarkStart w:id="12" w:name="_Toc221876770"/>
      <w:bookmarkStart w:id="13" w:name="_Toc222366954"/>
    </w:p>
    <w:p w:rsidR="000044EB" w:rsidRPr="00B34286" w:rsidRDefault="000044EB" w:rsidP="00B34286">
      <w:pPr>
        <w:spacing w:line="360" w:lineRule="auto"/>
      </w:pPr>
      <w:r w:rsidRPr="00B34286">
        <w:lastRenderedPageBreak/>
        <w:t>Jméno a příjmení autora:</w:t>
      </w:r>
      <w:r w:rsidR="0030680A">
        <w:t xml:space="preserve"> </w:t>
      </w:r>
      <w:r w:rsidRPr="00B34286">
        <w:tab/>
      </w:r>
      <w:r w:rsidR="002D7AD1" w:rsidRPr="00B34286">
        <w:t xml:space="preserve">Bc. </w:t>
      </w:r>
      <w:r w:rsidRPr="00B34286">
        <w:t>Martin Štípek</w:t>
      </w:r>
      <w:bookmarkEnd w:id="12"/>
      <w:bookmarkEnd w:id="13"/>
    </w:p>
    <w:p w:rsidR="000044EB" w:rsidRPr="00B34286" w:rsidRDefault="000044EB" w:rsidP="00B34286">
      <w:pPr>
        <w:spacing w:line="360" w:lineRule="auto"/>
      </w:pPr>
      <w:r w:rsidRPr="00B34286">
        <w:t xml:space="preserve">Název </w:t>
      </w:r>
      <w:r w:rsidR="002D7AD1" w:rsidRPr="00B34286">
        <w:t>diplomové</w:t>
      </w:r>
      <w:r w:rsidRPr="00B34286">
        <w:t xml:space="preserve"> práce: </w:t>
      </w:r>
      <w:r w:rsidRPr="00B34286">
        <w:tab/>
      </w:r>
      <w:r w:rsidR="002D7AD1" w:rsidRPr="00B34286">
        <w:t>Hodnocení investičních projektů v podniku</w:t>
      </w:r>
    </w:p>
    <w:p w:rsidR="000044EB" w:rsidRPr="00B34286" w:rsidRDefault="000044EB" w:rsidP="00B34286">
      <w:pPr>
        <w:spacing w:line="360" w:lineRule="auto"/>
      </w:pPr>
      <w:r w:rsidRPr="00B34286">
        <w:t xml:space="preserve">Název práce v angličtině: </w:t>
      </w:r>
      <w:r w:rsidRPr="00B34286">
        <w:tab/>
      </w:r>
      <w:r w:rsidR="002D7AD1" w:rsidRPr="00B34286">
        <w:t>Evaluation of the investment projects in the enterprise</w:t>
      </w:r>
    </w:p>
    <w:p w:rsidR="000044EB" w:rsidRPr="00B34286" w:rsidRDefault="000044EB" w:rsidP="00B34286">
      <w:pPr>
        <w:spacing w:line="360" w:lineRule="auto"/>
      </w:pPr>
      <w:r w:rsidRPr="00B34286">
        <w:t>Katedra:</w:t>
      </w:r>
      <w:r w:rsidRPr="00B34286">
        <w:tab/>
      </w:r>
      <w:r w:rsidRPr="00B34286">
        <w:tab/>
      </w:r>
      <w:r w:rsidRPr="00B34286">
        <w:tab/>
      </w:r>
      <w:r w:rsidRPr="00B34286">
        <w:tab/>
      </w:r>
      <w:r w:rsidR="005F7A1A">
        <w:t xml:space="preserve"> </w:t>
      </w:r>
      <w:r w:rsidR="002D7AD1" w:rsidRPr="00B34286">
        <w:t>P</w:t>
      </w:r>
      <w:r w:rsidRPr="00B34286">
        <w:t>odnikového hospodářství</w:t>
      </w:r>
    </w:p>
    <w:p w:rsidR="000044EB" w:rsidRPr="00B34286" w:rsidRDefault="000044EB" w:rsidP="00B34286">
      <w:pPr>
        <w:spacing w:line="360" w:lineRule="auto"/>
      </w:pPr>
      <w:r w:rsidRPr="00B34286">
        <w:t xml:space="preserve">Vedoucí </w:t>
      </w:r>
      <w:r w:rsidR="005F7A1A">
        <w:t>diplomové</w:t>
      </w:r>
      <w:r w:rsidRPr="00B34286">
        <w:t xml:space="preserve"> práce:</w:t>
      </w:r>
      <w:r w:rsidRPr="00B34286">
        <w:tab/>
      </w:r>
      <w:r w:rsidR="005F7A1A">
        <w:t>d</w:t>
      </w:r>
      <w:r w:rsidRPr="00B34286">
        <w:t xml:space="preserve">oc. </w:t>
      </w:r>
      <w:r w:rsidR="002D7AD1" w:rsidRPr="00B34286">
        <w:t>Ing</w:t>
      </w:r>
      <w:r w:rsidRPr="00B34286">
        <w:t xml:space="preserve">. </w:t>
      </w:r>
      <w:r w:rsidR="002D7AD1" w:rsidRPr="00B34286">
        <w:t>Jiří Novotný</w:t>
      </w:r>
      <w:r w:rsidRPr="00B34286">
        <w:t>, C</w:t>
      </w:r>
      <w:r w:rsidR="005F7A1A">
        <w:t>S</w:t>
      </w:r>
      <w:r w:rsidRPr="00B34286">
        <w:t>c.</w:t>
      </w:r>
    </w:p>
    <w:p w:rsidR="000044EB" w:rsidRPr="00B34286" w:rsidRDefault="000044EB" w:rsidP="00B34286">
      <w:pPr>
        <w:spacing w:line="360" w:lineRule="auto"/>
      </w:pPr>
      <w:r w:rsidRPr="00B34286">
        <w:t xml:space="preserve">Rok obhajoby: </w:t>
      </w:r>
      <w:r w:rsidRPr="00B34286">
        <w:tab/>
      </w:r>
      <w:r w:rsidRPr="00B34286">
        <w:tab/>
      </w:r>
      <w:r w:rsidRPr="00B34286">
        <w:tab/>
        <w:t>200</w:t>
      </w:r>
      <w:r w:rsidR="002D7AD1" w:rsidRPr="00B34286">
        <w:t>9</w:t>
      </w:r>
    </w:p>
    <w:p w:rsidR="000044EB" w:rsidRPr="00B34286" w:rsidRDefault="000044EB" w:rsidP="00B34286">
      <w:pPr>
        <w:spacing w:line="360" w:lineRule="auto"/>
      </w:pPr>
    </w:p>
    <w:p w:rsidR="000044EB" w:rsidRDefault="000044EB" w:rsidP="00B34286">
      <w:pPr>
        <w:spacing w:line="360" w:lineRule="auto"/>
        <w:rPr>
          <w:bCs/>
        </w:rPr>
      </w:pPr>
      <w:r w:rsidRPr="00B34286">
        <w:rPr>
          <w:bCs/>
        </w:rPr>
        <w:t>Anotace</w:t>
      </w:r>
    </w:p>
    <w:p w:rsidR="009F7BD5" w:rsidRPr="00B34286" w:rsidRDefault="009F7BD5" w:rsidP="00F526AF">
      <w:pPr>
        <w:rPr>
          <w:bCs/>
        </w:rPr>
      </w:pPr>
    </w:p>
    <w:p w:rsidR="000A493B" w:rsidRDefault="000A493B" w:rsidP="000A493B">
      <w:pPr>
        <w:spacing w:line="360" w:lineRule="auto"/>
        <w:jc w:val="both"/>
      </w:pPr>
      <w:r>
        <w:t>Předmětem diplomové práce je provedení analýzy postupů využívaných při hodnocení investičních projektů v reálně existujícím podniku a posouzení možností využití alternativních metod. V úvodní části práce jsou shromážděny teoretické poznatky vztahující se k dané problematice. Příslušné kapitoly jsou věnovány plánování a klasifikaci investic, jednotlivým investičním fázím, klíčovým aspektům investičních projektů a ucelenému přehledu hodnotících metod. V závěrečné části práce jsou tyto poznatky aplikovány v konkrétních podmínkách podnikové praxe.</w:t>
      </w:r>
    </w:p>
    <w:p w:rsidR="000044EB" w:rsidRPr="00B34286" w:rsidRDefault="000044EB" w:rsidP="00B34286">
      <w:pPr>
        <w:spacing w:line="360" w:lineRule="auto"/>
      </w:pPr>
      <w:r w:rsidRPr="00B34286">
        <w:t xml:space="preserve">   </w:t>
      </w:r>
    </w:p>
    <w:p w:rsidR="000044EB" w:rsidRDefault="00D7642B" w:rsidP="00B34286">
      <w:pPr>
        <w:spacing w:line="360" w:lineRule="auto"/>
      </w:pPr>
      <w:bookmarkStart w:id="14" w:name="_Toc221876771"/>
      <w:bookmarkStart w:id="15" w:name="_Toc222366955"/>
      <w:r w:rsidRPr="00B34286">
        <w:t>Annotation</w:t>
      </w:r>
      <w:bookmarkEnd w:id="14"/>
      <w:bookmarkEnd w:id="15"/>
    </w:p>
    <w:p w:rsidR="009F7BD5" w:rsidRPr="00B34286" w:rsidRDefault="009F7BD5" w:rsidP="00F526AF"/>
    <w:p w:rsidR="000A493B" w:rsidRDefault="000A493B" w:rsidP="000A493B">
      <w:pPr>
        <w:spacing w:line="360" w:lineRule="auto"/>
        <w:jc w:val="both"/>
      </w:pPr>
      <w:r>
        <w:t xml:space="preserve">The aim of the present thesis is to analyse the assessment procedures of investment projects within a real company and to explore possible use of alternative methods. The Introduction contains theoretical knowledge of the issue. The following chapters deal with planning and classification of investment, individual investment phases, key aspects of investment projects and the complete summary of the assessment methods. The Conclusion provides the knowledge application in specific conditions of corporate practice.  </w:t>
      </w:r>
    </w:p>
    <w:p w:rsidR="000044EB" w:rsidRPr="00B34286" w:rsidRDefault="000044EB" w:rsidP="00B34286">
      <w:pPr>
        <w:spacing w:line="360" w:lineRule="auto"/>
      </w:pPr>
    </w:p>
    <w:p w:rsidR="000044EB" w:rsidRPr="00B34286" w:rsidRDefault="00D7642B" w:rsidP="00B34286">
      <w:pPr>
        <w:spacing w:line="360" w:lineRule="auto"/>
        <w:rPr>
          <w:bCs/>
        </w:rPr>
      </w:pPr>
      <w:r w:rsidRPr="00B34286">
        <w:rPr>
          <w:bCs/>
        </w:rPr>
        <w:t>Klíčová slova</w:t>
      </w:r>
    </w:p>
    <w:p w:rsidR="009F7BD5" w:rsidRDefault="009F7BD5" w:rsidP="00F526AF"/>
    <w:p w:rsidR="00D7642B" w:rsidRPr="00B34286" w:rsidRDefault="00BE672C" w:rsidP="005F7A1A">
      <w:pPr>
        <w:spacing w:line="360" w:lineRule="auto"/>
        <w:jc w:val="both"/>
      </w:pPr>
      <w:r>
        <w:t>investice,</w:t>
      </w:r>
      <w:r w:rsidR="000A493B">
        <w:t xml:space="preserve"> investiční rozhodování,</w:t>
      </w:r>
      <w:r>
        <w:t xml:space="preserve"> </w:t>
      </w:r>
      <w:r w:rsidR="000A493B">
        <w:t xml:space="preserve">peněžní toky, </w:t>
      </w:r>
      <w:r>
        <w:t xml:space="preserve">diskontní sazba, </w:t>
      </w:r>
      <w:r w:rsidR="005F7A1A">
        <w:t xml:space="preserve">riziko, </w:t>
      </w:r>
      <w:r>
        <w:t>metody hodnocení investic</w:t>
      </w:r>
      <w:r w:rsidR="00D7642B" w:rsidRPr="00B34286">
        <w:t xml:space="preserve"> </w:t>
      </w:r>
    </w:p>
    <w:p w:rsidR="000044EB" w:rsidRPr="00B34286" w:rsidRDefault="000044EB" w:rsidP="00B34286">
      <w:pPr>
        <w:spacing w:line="360" w:lineRule="auto"/>
        <w:rPr>
          <w:bCs/>
        </w:rPr>
      </w:pPr>
    </w:p>
    <w:p w:rsidR="000044EB" w:rsidRPr="00B34286" w:rsidRDefault="000044EB" w:rsidP="00B34286">
      <w:pPr>
        <w:spacing w:line="360" w:lineRule="auto"/>
        <w:rPr>
          <w:bCs/>
          <w:lang w:val="en-US"/>
        </w:rPr>
      </w:pPr>
      <w:r w:rsidRPr="00B34286">
        <w:rPr>
          <w:bCs/>
          <w:lang w:val="en-US"/>
        </w:rPr>
        <w:t>Keywords</w:t>
      </w:r>
    </w:p>
    <w:p w:rsidR="009F7BD5" w:rsidRDefault="009F7BD5" w:rsidP="00F526AF">
      <w:pPr>
        <w:rPr>
          <w:color w:val="000000"/>
        </w:rPr>
      </w:pPr>
    </w:p>
    <w:p w:rsidR="00D7642B" w:rsidRPr="00B34286" w:rsidRDefault="000044EB" w:rsidP="005F7A1A">
      <w:pPr>
        <w:spacing w:line="360" w:lineRule="auto"/>
        <w:jc w:val="both"/>
      </w:pPr>
      <w:r w:rsidRPr="00B34286">
        <w:rPr>
          <w:color w:val="000000"/>
        </w:rPr>
        <w:t xml:space="preserve"> </w:t>
      </w:r>
      <w:r w:rsidR="00BE672C">
        <w:rPr>
          <w:color w:val="000000"/>
        </w:rPr>
        <w:t xml:space="preserve">investment, </w:t>
      </w:r>
      <w:r w:rsidR="000A493B">
        <w:rPr>
          <w:color w:val="000000"/>
        </w:rPr>
        <w:t xml:space="preserve">investment decision, cash flow, </w:t>
      </w:r>
      <w:r w:rsidR="00BE672C">
        <w:rPr>
          <w:color w:val="000000"/>
        </w:rPr>
        <w:t>discount rate,</w:t>
      </w:r>
      <w:r w:rsidR="00D7642B" w:rsidRPr="00B34286">
        <w:t xml:space="preserve"> </w:t>
      </w:r>
      <w:r w:rsidR="005F7A1A">
        <w:t xml:space="preserve">risk, </w:t>
      </w:r>
      <w:r w:rsidR="000A493B">
        <w:t>assessment</w:t>
      </w:r>
      <w:r w:rsidR="00BE672C">
        <w:t xml:space="preserve"> methods of investment </w:t>
      </w:r>
    </w:p>
    <w:p w:rsidR="000044EB" w:rsidRDefault="000044EB">
      <w:pPr>
        <w:pStyle w:val="Zkladntext"/>
        <w:spacing w:line="360" w:lineRule="auto"/>
        <w:jc w:val="both"/>
        <w:rPr>
          <w:b w:val="0"/>
          <w:color w:val="000000"/>
          <w:sz w:val="24"/>
        </w:rPr>
      </w:pPr>
    </w:p>
    <w:p w:rsidR="000044EB" w:rsidRDefault="000044EB">
      <w:pPr>
        <w:jc w:val="both"/>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0044EB" w:rsidRDefault="000044EB">
      <w:pPr>
        <w:pStyle w:val="Zkladntext"/>
        <w:spacing w:line="360" w:lineRule="auto"/>
        <w:rPr>
          <w:b w:val="0"/>
          <w:color w:val="FF0000"/>
          <w:sz w:val="24"/>
        </w:rPr>
      </w:pPr>
    </w:p>
    <w:p w:rsidR="00F526AF" w:rsidRDefault="00F526AF">
      <w:pPr>
        <w:pStyle w:val="Zkladntext"/>
        <w:spacing w:line="360" w:lineRule="auto"/>
        <w:rPr>
          <w:b w:val="0"/>
          <w:color w:val="FF0000"/>
          <w:sz w:val="24"/>
        </w:rPr>
      </w:pPr>
    </w:p>
    <w:p w:rsidR="00621CC9" w:rsidRDefault="00621CC9">
      <w:pPr>
        <w:pStyle w:val="Zkladntext"/>
        <w:spacing w:line="360" w:lineRule="auto"/>
        <w:rPr>
          <w:b w:val="0"/>
          <w:color w:val="FF0000"/>
          <w:sz w:val="24"/>
        </w:rPr>
      </w:pPr>
    </w:p>
    <w:p w:rsidR="000044EB" w:rsidRPr="00B34286" w:rsidRDefault="000044EB" w:rsidP="00B34286">
      <w:pPr>
        <w:spacing w:line="360" w:lineRule="auto"/>
        <w:rPr>
          <w:sz w:val="32"/>
          <w:szCs w:val="32"/>
        </w:rPr>
      </w:pPr>
      <w:r w:rsidRPr="00B34286">
        <w:rPr>
          <w:sz w:val="32"/>
          <w:szCs w:val="32"/>
        </w:rPr>
        <w:t>Prohlášení</w:t>
      </w:r>
    </w:p>
    <w:p w:rsidR="00B34286" w:rsidRPr="00B34286" w:rsidRDefault="00B34286" w:rsidP="00B34286">
      <w:pPr>
        <w:spacing w:line="360" w:lineRule="auto"/>
      </w:pPr>
    </w:p>
    <w:p w:rsidR="000044EB" w:rsidRDefault="000044EB" w:rsidP="00A27B69">
      <w:pPr>
        <w:spacing w:line="360" w:lineRule="auto"/>
        <w:jc w:val="both"/>
        <w:rPr>
          <w:iCs/>
        </w:rPr>
      </w:pPr>
      <w:r>
        <w:rPr>
          <w:iCs/>
        </w:rPr>
        <w:t xml:space="preserve">Prohlašuji, že jsem </w:t>
      </w:r>
      <w:r w:rsidR="00D7642B">
        <w:rPr>
          <w:iCs/>
        </w:rPr>
        <w:t>diplomovou</w:t>
      </w:r>
      <w:r>
        <w:rPr>
          <w:iCs/>
        </w:rPr>
        <w:t xml:space="preserve"> práci </w:t>
      </w:r>
      <w:r w:rsidR="002D7AD1">
        <w:rPr>
          <w:i/>
        </w:rPr>
        <w:t>Hodnocení investičních projektů v podniku</w:t>
      </w:r>
      <w:r>
        <w:rPr>
          <w:iCs/>
        </w:rPr>
        <w:t xml:space="preserve"> vypracoval samostatně pod vedením doc. </w:t>
      </w:r>
      <w:r w:rsidR="002D7AD1">
        <w:rPr>
          <w:iCs/>
        </w:rPr>
        <w:t>Ing</w:t>
      </w:r>
      <w:r>
        <w:rPr>
          <w:iCs/>
        </w:rPr>
        <w:t xml:space="preserve">. </w:t>
      </w:r>
      <w:r w:rsidR="002D7AD1">
        <w:rPr>
          <w:iCs/>
        </w:rPr>
        <w:t>Jiřího Novotného</w:t>
      </w:r>
      <w:r>
        <w:rPr>
          <w:iCs/>
        </w:rPr>
        <w:t>, CSc. a uvedl v seznamu literatury všechny použité literární a odborné zdroje.</w:t>
      </w:r>
    </w:p>
    <w:p w:rsidR="000044EB" w:rsidRDefault="000044EB" w:rsidP="00B34286">
      <w:pPr>
        <w:spacing w:line="360" w:lineRule="auto"/>
      </w:pPr>
    </w:p>
    <w:p w:rsidR="000044EB" w:rsidRDefault="000044EB" w:rsidP="00B34286">
      <w:pPr>
        <w:spacing w:line="360" w:lineRule="auto"/>
      </w:pPr>
      <w:bookmarkStart w:id="16" w:name="_Toc221876772"/>
      <w:bookmarkStart w:id="17" w:name="_Toc222366956"/>
      <w:r>
        <w:t xml:space="preserve">V Brně dne </w:t>
      </w:r>
      <w:r w:rsidR="0086645D">
        <w:t>1</w:t>
      </w:r>
      <w:r w:rsidR="005F7A1A">
        <w:t>8</w:t>
      </w:r>
      <w:r w:rsidR="002D7AD1">
        <w:t xml:space="preserve">. </w:t>
      </w:r>
      <w:r w:rsidR="005B4DC7">
        <w:t>června</w:t>
      </w:r>
      <w:r w:rsidR="002D7AD1">
        <w:t xml:space="preserve"> 2009</w:t>
      </w:r>
      <w:bookmarkEnd w:id="16"/>
      <w:bookmarkEnd w:id="17"/>
    </w:p>
    <w:p w:rsidR="000044EB" w:rsidRDefault="000044EB" w:rsidP="00B34286">
      <w:pPr>
        <w:spacing w:line="360" w:lineRule="auto"/>
      </w:pPr>
    </w:p>
    <w:p w:rsidR="000044EB" w:rsidRDefault="000044EB" w:rsidP="00B34286">
      <w:pPr>
        <w:spacing w:line="360" w:lineRule="auto"/>
      </w:pPr>
      <w:r>
        <w:t xml:space="preserve">                                                                                    </w:t>
      </w:r>
      <w:bookmarkStart w:id="18" w:name="_Toc221876773"/>
      <w:bookmarkStart w:id="19" w:name="_Toc222366957"/>
      <w:r>
        <w:t>________________________________</w:t>
      </w:r>
      <w:bookmarkEnd w:id="18"/>
      <w:bookmarkEnd w:id="19"/>
    </w:p>
    <w:p w:rsidR="000044EB" w:rsidRDefault="000044EB" w:rsidP="00B34286">
      <w:pPr>
        <w:spacing w:line="360" w:lineRule="auto"/>
      </w:pPr>
      <w:r>
        <w:tab/>
        <w:t xml:space="preserve">       </w:t>
      </w:r>
      <w:r w:rsidR="00B34286">
        <w:tab/>
      </w:r>
      <w:r w:rsidR="00B34286">
        <w:tab/>
      </w:r>
      <w:r w:rsidR="00B34286">
        <w:tab/>
      </w:r>
      <w:r w:rsidR="00B34286">
        <w:tab/>
      </w:r>
      <w:r w:rsidR="00B34286">
        <w:tab/>
      </w:r>
      <w:r w:rsidR="00B34286">
        <w:tab/>
        <w:t xml:space="preserve">                                                                                           </w:t>
      </w:r>
      <w:r>
        <w:t>vlastnoruční podpis autora</w:t>
      </w:r>
    </w:p>
    <w:p w:rsidR="00D3187A" w:rsidRDefault="00D3187A" w:rsidP="00B34286">
      <w:pPr>
        <w:spacing w:line="360" w:lineRule="auto"/>
      </w:pPr>
    </w:p>
    <w:p w:rsidR="00D3187A" w:rsidRDefault="00D3187A" w:rsidP="00B34286">
      <w:pPr>
        <w:spacing w:line="360" w:lineRule="auto"/>
      </w:pPr>
    </w:p>
    <w:p w:rsidR="00D3187A" w:rsidRDefault="00D3187A" w:rsidP="00B34286">
      <w:pPr>
        <w:spacing w:line="360" w:lineRule="auto"/>
      </w:pPr>
    </w:p>
    <w:p w:rsidR="000044EB" w:rsidRDefault="000044EB">
      <w:pPr>
        <w:spacing w:line="360" w:lineRule="auto"/>
      </w:pPr>
    </w:p>
    <w:p w:rsidR="000044EB" w:rsidRDefault="000044EB" w:rsidP="00D322C1">
      <w:pPr>
        <w:pStyle w:val="Nadpis1"/>
        <w:numPr>
          <w:ilvl w:val="0"/>
          <w:numId w:val="0"/>
        </w:numPr>
        <w:spacing w:line="360" w:lineRule="auto"/>
        <w:rPr>
          <w:b w:val="0"/>
          <w:bCs w:val="0"/>
          <w:sz w:val="28"/>
        </w:rPr>
      </w:pPr>
    </w:p>
    <w:p w:rsidR="000044EB" w:rsidRDefault="000044EB" w:rsidP="00D322C1">
      <w:pPr>
        <w:pStyle w:val="Nadpis1"/>
        <w:numPr>
          <w:ilvl w:val="0"/>
          <w:numId w:val="0"/>
        </w:numPr>
        <w:spacing w:line="360" w:lineRule="auto"/>
        <w:ind w:left="432" w:hanging="432"/>
        <w:rPr>
          <w:b w:val="0"/>
          <w:bCs w:val="0"/>
          <w:sz w:val="28"/>
        </w:rPr>
      </w:pPr>
    </w:p>
    <w:p w:rsidR="000044EB" w:rsidRDefault="000044EB" w:rsidP="00D322C1">
      <w:pPr>
        <w:pStyle w:val="Nadpis1"/>
        <w:numPr>
          <w:ilvl w:val="0"/>
          <w:numId w:val="0"/>
        </w:numPr>
        <w:spacing w:line="360" w:lineRule="auto"/>
        <w:ind w:left="432"/>
        <w:rPr>
          <w:b w:val="0"/>
          <w:bCs w:val="0"/>
          <w:sz w:val="28"/>
        </w:rPr>
      </w:pPr>
    </w:p>
    <w:p w:rsidR="000044EB" w:rsidRDefault="000044EB" w:rsidP="004602EC">
      <w:pPr>
        <w:pStyle w:val="Nadpis1"/>
        <w:numPr>
          <w:ilvl w:val="0"/>
          <w:numId w:val="0"/>
        </w:numPr>
        <w:spacing w:line="360" w:lineRule="auto"/>
        <w:rPr>
          <w:b w:val="0"/>
          <w:bCs w:val="0"/>
          <w:sz w:val="28"/>
        </w:rPr>
      </w:pPr>
    </w:p>
    <w:p w:rsidR="000044EB" w:rsidRDefault="000044EB" w:rsidP="00D322C1">
      <w:pPr>
        <w:pStyle w:val="Nadpis1"/>
        <w:numPr>
          <w:ilvl w:val="0"/>
          <w:numId w:val="0"/>
        </w:numPr>
        <w:spacing w:line="360" w:lineRule="auto"/>
        <w:ind w:left="432"/>
        <w:rPr>
          <w:b w:val="0"/>
          <w:bCs w:val="0"/>
          <w:sz w:val="28"/>
        </w:rPr>
      </w:pPr>
    </w:p>
    <w:p w:rsidR="000044EB" w:rsidRDefault="000044EB" w:rsidP="00D322C1">
      <w:pPr>
        <w:pStyle w:val="Nadpis1"/>
        <w:numPr>
          <w:ilvl w:val="0"/>
          <w:numId w:val="0"/>
        </w:numPr>
        <w:spacing w:line="360" w:lineRule="auto"/>
        <w:ind w:left="432" w:hanging="432"/>
        <w:rPr>
          <w:b w:val="0"/>
          <w:bCs w:val="0"/>
          <w:sz w:val="28"/>
        </w:rPr>
      </w:pPr>
    </w:p>
    <w:p w:rsidR="000044EB" w:rsidRDefault="000044EB" w:rsidP="00D322C1">
      <w:pPr>
        <w:pStyle w:val="Nadpis1"/>
        <w:numPr>
          <w:ilvl w:val="0"/>
          <w:numId w:val="0"/>
        </w:numPr>
        <w:spacing w:line="360" w:lineRule="auto"/>
        <w:ind w:left="432"/>
        <w:rPr>
          <w:b w:val="0"/>
          <w:bCs w:val="0"/>
          <w:sz w:val="28"/>
        </w:rPr>
      </w:pPr>
    </w:p>
    <w:p w:rsidR="000044EB" w:rsidRDefault="000044EB" w:rsidP="00D322C1">
      <w:pPr>
        <w:pStyle w:val="Nadpis1"/>
        <w:numPr>
          <w:ilvl w:val="0"/>
          <w:numId w:val="0"/>
        </w:numPr>
        <w:spacing w:line="360" w:lineRule="auto"/>
        <w:rPr>
          <w:b w:val="0"/>
          <w:bCs w:val="0"/>
          <w:sz w:val="28"/>
        </w:rPr>
      </w:pPr>
    </w:p>
    <w:p w:rsidR="000044EB" w:rsidRDefault="000044EB" w:rsidP="00D322C1">
      <w:pPr>
        <w:pStyle w:val="Nadpis1"/>
        <w:numPr>
          <w:ilvl w:val="0"/>
          <w:numId w:val="0"/>
        </w:numPr>
        <w:spacing w:line="360" w:lineRule="auto"/>
        <w:ind w:left="432" w:hanging="432"/>
        <w:rPr>
          <w:b w:val="0"/>
          <w:bCs w:val="0"/>
          <w:sz w:val="28"/>
        </w:rPr>
      </w:pPr>
    </w:p>
    <w:p w:rsidR="000044EB" w:rsidRDefault="000044EB" w:rsidP="00D322C1">
      <w:pPr>
        <w:pStyle w:val="Nadpis1"/>
        <w:numPr>
          <w:ilvl w:val="0"/>
          <w:numId w:val="0"/>
        </w:numPr>
        <w:spacing w:line="360" w:lineRule="auto"/>
        <w:ind w:left="432" w:hanging="432"/>
        <w:rPr>
          <w:b w:val="0"/>
          <w:bCs w:val="0"/>
          <w:sz w:val="28"/>
        </w:rPr>
      </w:pPr>
    </w:p>
    <w:p w:rsidR="000044EB" w:rsidRDefault="000044EB" w:rsidP="00D322C1">
      <w:pPr>
        <w:pStyle w:val="Nadpis1"/>
        <w:numPr>
          <w:ilvl w:val="0"/>
          <w:numId w:val="0"/>
        </w:numPr>
        <w:spacing w:line="360" w:lineRule="auto"/>
        <w:ind w:left="432" w:hanging="432"/>
        <w:rPr>
          <w:b w:val="0"/>
          <w:bCs w:val="0"/>
          <w:sz w:val="28"/>
        </w:rPr>
      </w:pPr>
    </w:p>
    <w:p w:rsidR="000044EB" w:rsidRDefault="000044EB" w:rsidP="00D322C1">
      <w:pPr>
        <w:pStyle w:val="Nadpis1"/>
        <w:numPr>
          <w:ilvl w:val="0"/>
          <w:numId w:val="0"/>
        </w:numPr>
        <w:spacing w:line="360" w:lineRule="auto"/>
        <w:ind w:left="432" w:hanging="432"/>
        <w:rPr>
          <w:b w:val="0"/>
          <w:bCs w:val="0"/>
          <w:sz w:val="28"/>
        </w:rPr>
      </w:pPr>
    </w:p>
    <w:p w:rsidR="000044EB" w:rsidRDefault="000044EB" w:rsidP="00D322C1">
      <w:pPr>
        <w:pStyle w:val="Nadpis1"/>
        <w:numPr>
          <w:ilvl w:val="0"/>
          <w:numId w:val="0"/>
        </w:numPr>
        <w:spacing w:line="360" w:lineRule="auto"/>
        <w:ind w:left="432" w:hanging="432"/>
        <w:rPr>
          <w:b w:val="0"/>
          <w:bCs w:val="0"/>
          <w:sz w:val="28"/>
        </w:rPr>
      </w:pPr>
    </w:p>
    <w:p w:rsidR="000044EB" w:rsidRDefault="000044EB" w:rsidP="00D322C1">
      <w:pPr>
        <w:pStyle w:val="Nadpis1"/>
        <w:numPr>
          <w:ilvl w:val="0"/>
          <w:numId w:val="0"/>
        </w:numPr>
        <w:spacing w:line="360" w:lineRule="auto"/>
        <w:ind w:left="432" w:hanging="432"/>
        <w:rPr>
          <w:b w:val="0"/>
          <w:bCs w:val="0"/>
          <w:sz w:val="28"/>
        </w:rPr>
      </w:pPr>
    </w:p>
    <w:p w:rsidR="000044EB" w:rsidRDefault="000044EB" w:rsidP="00D322C1">
      <w:pPr>
        <w:pStyle w:val="Nadpis1"/>
        <w:numPr>
          <w:ilvl w:val="0"/>
          <w:numId w:val="0"/>
        </w:numPr>
        <w:spacing w:line="360" w:lineRule="auto"/>
        <w:ind w:left="432" w:hanging="432"/>
        <w:rPr>
          <w:b w:val="0"/>
          <w:bCs w:val="0"/>
          <w:sz w:val="28"/>
        </w:rPr>
      </w:pPr>
    </w:p>
    <w:p w:rsidR="000044EB" w:rsidRDefault="000044EB" w:rsidP="00D322C1">
      <w:pPr>
        <w:pStyle w:val="Nadpis1"/>
        <w:numPr>
          <w:ilvl w:val="0"/>
          <w:numId w:val="0"/>
        </w:numPr>
        <w:spacing w:line="360" w:lineRule="auto"/>
        <w:ind w:left="432" w:hanging="432"/>
        <w:rPr>
          <w:b w:val="0"/>
          <w:bCs w:val="0"/>
          <w:sz w:val="28"/>
        </w:rPr>
      </w:pPr>
    </w:p>
    <w:p w:rsidR="000044EB" w:rsidRDefault="000044EB" w:rsidP="00D322C1">
      <w:pPr>
        <w:pStyle w:val="Nadpis1"/>
        <w:numPr>
          <w:ilvl w:val="0"/>
          <w:numId w:val="0"/>
        </w:numPr>
        <w:spacing w:line="360" w:lineRule="auto"/>
        <w:ind w:left="432" w:hanging="432"/>
        <w:rPr>
          <w:b w:val="0"/>
          <w:bCs w:val="0"/>
          <w:sz w:val="28"/>
        </w:rPr>
      </w:pPr>
    </w:p>
    <w:p w:rsidR="000044EB" w:rsidRDefault="000044EB"/>
    <w:p w:rsidR="00504775" w:rsidRDefault="00504775"/>
    <w:p w:rsidR="00504775" w:rsidRDefault="00504775"/>
    <w:p w:rsidR="00504775" w:rsidRDefault="00504775"/>
    <w:p w:rsidR="000044EB" w:rsidRPr="00B34286" w:rsidRDefault="000044EB" w:rsidP="00B34286">
      <w:pPr>
        <w:rPr>
          <w:sz w:val="32"/>
          <w:szCs w:val="32"/>
        </w:rPr>
      </w:pPr>
      <w:bookmarkStart w:id="20" w:name="_Toc221876774"/>
      <w:bookmarkStart w:id="21" w:name="_Toc222366958"/>
      <w:r w:rsidRPr="00B34286">
        <w:rPr>
          <w:sz w:val="32"/>
          <w:szCs w:val="32"/>
        </w:rPr>
        <w:t>Poděkování</w:t>
      </w:r>
      <w:bookmarkEnd w:id="20"/>
      <w:bookmarkEnd w:id="21"/>
    </w:p>
    <w:p w:rsidR="000044EB" w:rsidRDefault="000044EB"/>
    <w:p w:rsidR="004602EC" w:rsidRDefault="000044EB">
      <w:pPr>
        <w:pStyle w:val="Zkladntext"/>
        <w:spacing w:line="360" w:lineRule="auto"/>
        <w:jc w:val="both"/>
        <w:rPr>
          <w:b w:val="0"/>
          <w:bCs w:val="0"/>
          <w:iCs/>
          <w:sz w:val="24"/>
        </w:rPr>
      </w:pPr>
      <w:r>
        <w:rPr>
          <w:b w:val="0"/>
          <w:bCs w:val="0"/>
          <w:iCs/>
          <w:sz w:val="24"/>
        </w:rPr>
        <w:t xml:space="preserve">Na tomto místě bych rád poděkoval doc. </w:t>
      </w:r>
      <w:r w:rsidR="002D7AD1">
        <w:rPr>
          <w:b w:val="0"/>
          <w:bCs w:val="0"/>
          <w:iCs/>
          <w:sz w:val="24"/>
        </w:rPr>
        <w:t>Ing</w:t>
      </w:r>
      <w:r>
        <w:rPr>
          <w:b w:val="0"/>
          <w:bCs w:val="0"/>
          <w:iCs/>
          <w:sz w:val="24"/>
        </w:rPr>
        <w:t xml:space="preserve">. </w:t>
      </w:r>
      <w:r w:rsidR="002D7AD1">
        <w:rPr>
          <w:b w:val="0"/>
          <w:bCs w:val="0"/>
          <w:iCs/>
          <w:sz w:val="24"/>
        </w:rPr>
        <w:t>Jiřímu Novotnému</w:t>
      </w:r>
      <w:r>
        <w:rPr>
          <w:b w:val="0"/>
          <w:bCs w:val="0"/>
          <w:iCs/>
          <w:sz w:val="24"/>
        </w:rPr>
        <w:t xml:space="preserve">, CSc. za cenné připomínky a odborné rady, kterými přispěl k vypracování této </w:t>
      </w:r>
      <w:r w:rsidR="002D7AD1">
        <w:rPr>
          <w:b w:val="0"/>
          <w:bCs w:val="0"/>
          <w:iCs/>
          <w:sz w:val="24"/>
        </w:rPr>
        <w:t>diplomové práce</w:t>
      </w:r>
      <w:r>
        <w:rPr>
          <w:b w:val="0"/>
          <w:bCs w:val="0"/>
          <w:iCs/>
          <w:sz w:val="24"/>
        </w:rPr>
        <w:t>.</w:t>
      </w:r>
      <w:r w:rsidR="004602EC">
        <w:rPr>
          <w:b w:val="0"/>
          <w:bCs w:val="0"/>
          <w:iCs/>
          <w:sz w:val="24"/>
        </w:rPr>
        <w:t xml:space="preserve"> </w:t>
      </w:r>
    </w:p>
    <w:p w:rsidR="000044EB" w:rsidRDefault="004602EC">
      <w:pPr>
        <w:pStyle w:val="Zkladntext"/>
        <w:spacing w:line="360" w:lineRule="auto"/>
        <w:jc w:val="both"/>
        <w:rPr>
          <w:b w:val="0"/>
          <w:bCs w:val="0"/>
          <w:iCs/>
          <w:sz w:val="24"/>
        </w:rPr>
      </w:pPr>
      <w:r>
        <w:rPr>
          <w:b w:val="0"/>
          <w:bCs w:val="0"/>
          <w:iCs/>
          <w:sz w:val="24"/>
        </w:rPr>
        <w:t>Dále bych rád poděkoval Bc. Ivu Pacovskému</w:t>
      </w:r>
      <w:r w:rsidR="002123C9">
        <w:rPr>
          <w:b w:val="0"/>
          <w:bCs w:val="0"/>
          <w:iCs/>
          <w:sz w:val="24"/>
        </w:rPr>
        <w:t>, pracovníku organizační jednotky</w:t>
      </w:r>
      <w:r>
        <w:rPr>
          <w:b w:val="0"/>
          <w:bCs w:val="0"/>
          <w:iCs/>
          <w:sz w:val="24"/>
        </w:rPr>
        <w:t xml:space="preserve"> Korporátní finanční controlling společnosti Telefónica O2 Czech Republic, a.s. a Ing. Lubomíru Pastierikovi</w:t>
      </w:r>
      <w:r w:rsidR="002123C9">
        <w:rPr>
          <w:b w:val="0"/>
          <w:bCs w:val="0"/>
          <w:iCs/>
          <w:sz w:val="24"/>
        </w:rPr>
        <w:t xml:space="preserve">, </w:t>
      </w:r>
      <w:r>
        <w:rPr>
          <w:b w:val="0"/>
          <w:bCs w:val="0"/>
          <w:iCs/>
          <w:sz w:val="24"/>
        </w:rPr>
        <w:t>konzultantovi</w:t>
      </w:r>
      <w:r w:rsidR="002123C9">
        <w:rPr>
          <w:b w:val="0"/>
          <w:bCs w:val="0"/>
          <w:iCs/>
          <w:sz w:val="24"/>
        </w:rPr>
        <w:t xml:space="preserve"> stejné organizační jednotky</w:t>
      </w:r>
      <w:r>
        <w:rPr>
          <w:b w:val="0"/>
          <w:bCs w:val="0"/>
          <w:iCs/>
          <w:sz w:val="24"/>
        </w:rPr>
        <w:t xml:space="preserve"> za vstřícný postoj, díky kterému bylo možné </w:t>
      </w:r>
      <w:r w:rsidR="002123C9">
        <w:rPr>
          <w:b w:val="0"/>
          <w:bCs w:val="0"/>
          <w:iCs/>
          <w:sz w:val="24"/>
        </w:rPr>
        <w:t>vy</w:t>
      </w:r>
      <w:r>
        <w:rPr>
          <w:b w:val="0"/>
          <w:bCs w:val="0"/>
          <w:iCs/>
          <w:sz w:val="24"/>
        </w:rPr>
        <w:t>pracovat analytickou část diplomové práce</w:t>
      </w:r>
      <w:r w:rsidR="002123C9">
        <w:rPr>
          <w:b w:val="0"/>
          <w:bCs w:val="0"/>
          <w:iCs/>
          <w:sz w:val="24"/>
        </w:rPr>
        <w:t>.</w:t>
      </w:r>
      <w:r>
        <w:rPr>
          <w:b w:val="0"/>
          <w:bCs w:val="0"/>
          <w:iCs/>
          <w:sz w:val="24"/>
        </w:rPr>
        <w:t xml:space="preserve"> </w:t>
      </w:r>
    </w:p>
    <w:p w:rsidR="00D3187A" w:rsidRDefault="00D3187A">
      <w:pPr>
        <w:pStyle w:val="Zkladntext"/>
        <w:spacing w:line="360" w:lineRule="auto"/>
        <w:jc w:val="both"/>
        <w:rPr>
          <w:b w:val="0"/>
          <w:bCs w:val="0"/>
          <w:iCs/>
          <w:sz w:val="24"/>
        </w:rPr>
      </w:pPr>
    </w:p>
    <w:p w:rsidR="00D3187A" w:rsidRDefault="00D3187A">
      <w:pPr>
        <w:pStyle w:val="Zkladntext"/>
        <w:spacing w:line="360" w:lineRule="auto"/>
        <w:jc w:val="both"/>
        <w:rPr>
          <w:b w:val="0"/>
          <w:bCs w:val="0"/>
          <w:iCs/>
          <w:sz w:val="24"/>
        </w:rPr>
      </w:pPr>
    </w:p>
    <w:p w:rsidR="00D3187A" w:rsidRDefault="00D3187A">
      <w:pPr>
        <w:pStyle w:val="Zkladntext"/>
        <w:spacing w:line="360" w:lineRule="auto"/>
        <w:jc w:val="both"/>
        <w:rPr>
          <w:b w:val="0"/>
          <w:bCs w:val="0"/>
          <w:iCs/>
          <w:sz w:val="24"/>
        </w:rPr>
      </w:pPr>
    </w:p>
    <w:sdt>
      <w:sdtPr>
        <w:rPr>
          <w:rFonts w:ascii="Times New Roman" w:hAnsi="Times New Roman"/>
          <w:b w:val="0"/>
          <w:bCs w:val="0"/>
          <w:color w:val="auto"/>
          <w:sz w:val="32"/>
          <w:szCs w:val="32"/>
          <w:lang w:eastAsia="cs-CZ"/>
        </w:rPr>
        <w:id w:val="18660251"/>
        <w:docPartObj>
          <w:docPartGallery w:val="Table of Contents"/>
          <w:docPartUnique/>
        </w:docPartObj>
      </w:sdtPr>
      <w:sdtEndPr>
        <w:rPr>
          <w:sz w:val="24"/>
          <w:szCs w:val="24"/>
        </w:rPr>
      </w:sdtEndPr>
      <w:sdtContent>
        <w:p w:rsidR="00375411" w:rsidRPr="00C31895" w:rsidRDefault="00375411" w:rsidP="00375411">
          <w:pPr>
            <w:pStyle w:val="Nadpisobsahu"/>
            <w:numPr>
              <w:ilvl w:val="0"/>
              <w:numId w:val="0"/>
            </w:numPr>
            <w:ind w:left="432" w:hanging="432"/>
            <w:rPr>
              <w:rFonts w:ascii="Times New Roman" w:hAnsi="Times New Roman"/>
              <w:b w:val="0"/>
              <w:color w:val="auto"/>
              <w:sz w:val="32"/>
              <w:szCs w:val="32"/>
            </w:rPr>
          </w:pPr>
          <w:r w:rsidRPr="00C31895">
            <w:rPr>
              <w:rFonts w:ascii="Times New Roman" w:hAnsi="Times New Roman"/>
              <w:b w:val="0"/>
              <w:color w:val="auto"/>
              <w:sz w:val="32"/>
              <w:szCs w:val="32"/>
            </w:rPr>
            <w:t>Obsah</w:t>
          </w:r>
        </w:p>
        <w:p w:rsidR="00375411" w:rsidRPr="00375411" w:rsidRDefault="00375411" w:rsidP="00375411">
          <w:pPr>
            <w:rPr>
              <w:lang w:eastAsia="en-US"/>
            </w:rPr>
          </w:pPr>
        </w:p>
        <w:p w:rsidR="004E0460" w:rsidRDefault="002B769D">
          <w:pPr>
            <w:pStyle w:val="Obsah1"/>
            <w:tabs>
              <w:tab w:val="right" w:leader="dot" w:pos="9060"/>
            </w:tabs>
            <w:rPr>
              <w:rFonts w:asciiTheme="minorHAnsi" w:eastAsiaTheme="minorEastAsia" w:hAnsiTheme="minorHAnsi" w:cstheme="minorBidi"/>
              <w:noProof/>
              <w:sz w:val="22"/>
              <w:szCs w:val="22"/>
            </w:rPr>
          </w:pPr>
          <w:r>
            <w:fldChar w:fldCharType="begin"/>
          </w:r>
          <w:r w:rsidR="00E06FCB">
            <w:instrText xml:space="preserve"> TOC \o "1-4" \h \z \u </w:instrText>
          </w:r>
          <w:r>
            <w:fldChar w:fldCharType="separate"/>
          </w:r>
          <w:hyperlink w:anchor="_Toc233044381" w:history="1">
            <w:r w:rsidR="004E0460" w:rsidRPr="006B3C96">
              <w:rPr>
                <w:rStyle w:val="Hypertextovodkaz"/>
                <w:noProof/>
              </w:rPr>
              <w:t>Úvod</w:t>
            </w:r>
            <w:r w:rsidR="004E0460">
              <w:rPr>
                <w:noProof/>
                <w:webHidden/>
              </w:rPr>
              <w:tab/>
            </w:r>
            <w:r>
              <w:rPr>
                <w:noProof/>
                <w:webHidden/>
              </w:rPr>
              <w:fldChar w:fldCharType="begin"/>
            </w:r>
            <w:r w:rsidR="004E0460">
              <w:rPr>
                <w:noProof/>
                <w:webHidden/>
              </w:rPr>
              <w:instrText xml:space="preserve"> PAGEREF _Toc233044381 \h </w:instrText>
            </w:r>
            <w:r>
              <w:rPr>
                <w:noProof/>
                <w:webHidden/>
              </w:rPr>
            </w:r>
            <w:r>
              <w:rPr>
                <w:noProof/>
                <w:webHidden/>
              </w:rPr>
              <w:fldChar w:fldCharType="separate"/>
            </w:r>
            <w:r w:rsidR="001B1475">
              <w:rPr>
                <w:noProof/>
                <w:webHidden/>
              </w:rPr>
              <w:t>7</w:t>
            </w:r>
            <w:r>
              <w:rPr>
                <w:noProof/>
                <w:webHidden/>
              </w:rPr>
              <w:fldChar w:fldCharType="end"/>
            </w:r>
          </w:hyperlink>
        </w:p>
        <w:p w:rsidR="004E0460" w:rsidRDefault="002B769D">
          <w:pPr>
            <w:pStyle w:val="Obsah1"/>
            <w:tabs>
              <w:tab w:val="left" w:pos="480"/>
              <w:tab w:val="right" w:leader="dot" w:pos="9060"/>
            </w:tabs>
            <w:rPr>
              <w:rFonts w:asciiTheme="minorHAnsi" w:eastAsiaTheme="minorEastAsia" w:hAnsiTheme="minorHAnsi" w:cstheme="minorBidi"/>
              <w:noProof/>
              <w:sz w:val="22"/>
              <w:szCs w:val="22"/>
            </w:rPr>
          </w:pPr>
          <w:hyperlink w:anchor="_Toc233044382" w:history="1">
            <w:r w:rsidR="004E0460" w:rsidRPr="006B3C96">
              <w:rPr>
                <w:rStyle w:val="Hypertextovodkaz"/>
                <w:noProof/>
              </w:rPr>
              <w:t>1</w:t>
            </w:r>
            <w:r w:rsidR="004E0460">
              <w:rPr>
                <w:rFonts w:asciiTheme="minorHAnsi" w:eastAsiaTheme="minorEastAsia" w:hAnsiTheme="minorHAnsi" w:cstheme="minorBidi"/>
                <w:noProof/>
                <w:sz w:val="22"/>
                <w:szCs w:val="22"/>
              </w:rPr>
              <w:tab/>
            </w:r>
            <w:r w:rsidR="004E0460" w:rsidRPr="006B3C96">
              <w:rPr>
                <w:rStyle w:val="Hypertextovodkaz"/>
                <w:noProof/>
              </w:rPr>
              <w:t>Pojem investice a financování</w:t>
            </w:r>
            <w:r w:rsidR="004E0460">
              <w:rPr>
                <w:noProof/>
                <w:webHidden/>
              </w:rPr>
              <w:tab/>
            </w:r>
            <w:r>
              <w:rPr>
                <w:noProof/>
                <w:webHidden/>
              </w:rPr>
              <w:fldChar w:fldCharType="begin"/>
            </w:r>
            <w:r w:rsidR="004E0460">
              <w:rPr>
                <w:noProof/>
                <w:webHidden/>
              </w:rPr>
              <w:instrText xml:space="preserve"> PAGEREF _Toc233044382 \h </w:instrText>
            </w:r>
            <w:r>
              <w:rPr>
                <w:noProof/>
                <w:webHidden/>
              </w:rPr>
            </w:r>
            <w:r>
              <w:rPr>
                <w:noProof/>
                <w:webHidden/>
              </w:rPr>
              <w:fldChar w:fldCharType="separate"/>
            </w:r>
            <w:r w:rsidR="001B1475">
              <w:rPr>
                <w:noProof/>
                <w:webHidden/>
              </w:rPr>
              <w:t>8</w:t>
            </w:r>
            <w:r>
              <w:rPr>
                <w:noProof/>
                <w:webHidden/>
              </w:rPr>
              <w:fldChar w:fldCharType="end"/>
            </w:r>
          </w:hyperlink>
        </w:p>
        <w:p w:rsidR="004E0460" w:rsidRDefault="002B769D">
          <w:pPr>
            <w:pStyle w:val="Obsah1"/>
            <w:tabs>
              <w:tab w:val="left" w:pos="480"/>
              <w:tab w:val="right" w:leader="dot" w:pos="9060"/>
            </w:tabs>
            <w:rPr>
              <w:rFonts w:asciiTheme="minorHAnsi" w:eastAsiaTheme="minorEastAsia" w:hAnsiTheme="minorHAnsi" w:cstheme="minorBidi"/>
              <w:noProof/>
              <w:sz w:val="22"/>
              <w:szCs w:val="22"/>
            </w:rPr>
          </w:pPr>
          <w:hyperlink w:anchor="_Toc233044383" w:history="1">
            <w:r w:rsidR="004E0460" w:rsidRPr="006B3C96">
              <w:rPr>
                <w:rStyle w:val="Hypertextovodkaz"/>
                <w:noProof/>
              </w:rPr>
              <w:t>2</w:t>
            </w:r>
            <w:r w:rsidR="004E0460">
              <w:rPr>
                <w:rFonts w:asciiTheme="minorHAnsi" w:eastAsiaTheme="minorEastAsia" w:hAnsiTheme="minorHAnsi" w:cstheme="minorBidi"/>
                <w:noProof/>
                <w:sz w:val="22"/>
                <w:szCs w:val="22"/>
              </w:rPr>
              <w:tab/>
            </w:r>
            <w:r w:rsidR="004E0460" w:rsidRPr="006B3C96">
              <w:rPr>
                <w:rStyle w:val="Hypertextovodkaz"/>
                <w:noProof/>
              </w:rPr>
              <w:t>Plánování investic a jejich klasifikace</w:t>
            </w:r>
            <w:r w:rsidR="004E0460">
              <w:rPr>
                <w:noProof/>
                <w:webHidden/>
              </w:rPr>
              <w:tab/>
            </w:r>
            <w:r>
              <w:rPr>
                <w:noProof/>
                <w:webHidden/>
              </w:rPr>
              <w:fldChar w:fldCharType="begin"/>
            </w:r>
            <w:r w:rsidR="004E0460">
              <w:rPr>
                <w:noProof/>
                <w:webHidden/>
              </w:rPr>
              <w:instrText xml:space="preserve"> PAGEREF _Toc233044383 \h </w:instrText>
            </w:r>
            <w:r>
              <w:rPr>
                <w:noProof/>
                <w:webHidden/>
              </w:rPr>
            </w:r>
            <w:r>
              <w:rPr>
                <w:noProof/>
                <w:webHidden/>
              </w:rPr>
              <w:fldChar w:fldCharType="separate"/>
            </w:r>
            <w:r w:rsidR="001B1475">
              <w:rPr>
                <w:noProof/>
                <w:webHidden/>
              </w:rPr>
              <w:t>11</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384" w:history="1">
            <w:r w:rsidR="004E0460" w:rsidRPr="006B3C96">
              <w:rPr>
                <w:rStyle w:val="Hypertextovodkaz"/>
                <w:noProof/>
              </w:rPr>
              <w:t>2.1</w:t>
            </w:r>
            <w:r w:rsidR="004E0460">
              <w:rPr>
                <w:rFonts w:asciiTheme="minorHAnsi" w:eastAsiaTheme="minorEastAsia" w:hAnsiTheme="minorHAnsi" w:cstheme="minorBidi"/>
                <w:noProof/>
                <w:sz w:val="22"/>
                <w:szCs w:val="22"/>
              </w:rPr>
              <w:tab/>
            </w:r>
            <w:r w:rsidR="004E0460" w:rsidRPr="006B3C96">
              <w:rPr>
                <w:rStyle w:val="Hypertextovodkaz"/>
                <w:noProof/>
              </w:rPr>
              <w:t>Plánování investic a investiční rozpočet</w:t>
            </w:r>
            <w:r w:rsidR="004E0460">
              <w:rPr>
                <w:noProof/>
                <w:webHidden/>
              </w:rPr>
              <w:tab/>
            </w:r>
            <w:r>
              <w:rPr>
                <w:noProof/>
                <w:webHidden/>
              </w:rPr>
              <w:fldChar w:fldCharType="begin"/>
            </w:r>
            <w:r w:rsidR="004E0460">
              <w:rPr>
                <w:noProof/>
                <w:webHidden/>
              </w:rPr>
              <w:instrText xml:space="preserve"> PAGEREF _Toc233044384 \h </w:instrText>
            </w:r>
            <w:r>
              <w:rPr>
                <w:noProof/>
                <w:webHidden/>
              </w:rPr>
            </w:r>
            <w:r>
              <w:rPr>
                <w:noProof/>
                <w:webHidden/>
              </w:rPr>
              <w:fldChar w:fldCharType="separate"/>
            </w:r>
            <w:r w:rsidR="001B1475">
              <w:rPr>
                <w:noProof/>
                <w:webHidden/>
              </w:rPr>
              <w:t>11</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385" w:history="1">
            <w:r w:rsidR="004E0460" w:rsidRPr="006B3C96">
              <w:rPr>
                <w:rStyle w:val="Hypertextovodkaz"/>
                <w:noProof/>
              </w:rPr>
              <w:t>2.2</w:t>
            </w:r>
            <w:r w:rsidR="004E0460">
              <w:rPr>
                <w:rFonts w:asciiTheme="minorHAnsi" w:eastAsiaTheme="minorEastAsia" w:hAnsiTheme="minorHAnsi" w:cstheme="minorBidi"/>
                <w:noProof/>
                <w:sz w:val="22"/>
                <w:szCs w:val="22"/>
              </w:rPr>
              <w:tab/>
            </w:r>
            <w:r w:rsidR="004E0460" w:rsidRPr="006B3C96">
              <w:rPr>
                <w:rStyle w:val="Hypertextovodkaz"/>
                <w:noProof/>
              </w:rPr>
              <w:t>Klasifikace investic</w:t>
            </w:r>
            <w:r w:rsidR="004E0460">
              <w:rPr>
                <w:noProof/>
                <w:webHidden/>
              </w:rPr>
              <w:tab/>
            </w:r>
            <w:r>
              <w:rPr>
                <w:noProof/>
                <w:webHidden/>
              </w:rPr>
              <w:fldChar w:fldCharType="begin"/>
            </w:r>
            <w:r w:rsidR="004E0460">
              <w:rPr>
                <w:noProof/>
                <w:webHidden/>
              </w:rPr>
              <w:instrText xml:space="preserve"> PAGEREF _Toc233044385 \h </w:instrText>
            </w:r>
            <w:r>
              <w:rPr>
                <w:noProof/>
                <w:webHidden/>
              </w:rPr>
            </w:r>
            <w:r>
              <w:rPr>
                <w:noProof/>
                <w:webHidden/>
              </w:rPr>
              <w:fldChar w:fldCharType="separate"/>
            </w:r>
            <w:r w:rsidR="001B1475">
              <w:rPr>
                <w:noProof/>
                <w:webHidden/>
              </w:rPr>
              <w:t>12</w:t>
            </w:r>
            <w:r>
              <w:rPr>
                <w:noProof/>
                <w:webHidden/>
              </w:rPr>
              <w:fldChar w:fldCharType="end"/>
            </w:r>
          </w:hyperlink>
        </w:p>
        <w:p w:rsidR="004E0460" w:rsidRDefault="002B769D">
          <w:pPr>
            <w:pStyle w:val="Obsah1"/>
            <w:tabs>
              <w:tab w:val="left" w:pos="480"/>
              <w:tab w:val="right" w:leader="dot" w:pos="9060"/>
            </w:tabs>
            <w:rPr>
              <w:rFonts w:asciiTheme="minorHAnsi" w:eastAsiaTheme="minorEastAsia" w:hAnsiTheme="minorHAnsi" w:cstheme="minorBidi"/>
              <w:noProof/>
              <w:sz w:val="22"/>
              <w:szCs w:val="22"/>
            </w:rPr>
          </w:pPr>
          <w:hyperlink w:anchor="_Toc233044390" w:history="1">
            <w:r w:rsidR="004E0460" w:rsidRPr="006B3C96">
              <w:rPr>
                <w:rStyle w:val="Hypertextovodkaz"/>
                <w:noProof/>
              </w:rPr>
              <w:t>3</w:t>
            </w:r>
            <w:r w:rsidR="004E0460">
              <w:rPr>
                <w:rFonts w:asciiTheme="minorHAnsi" w:eastAsiaTheme="minorEastAsia" w:hAnsiTheme="minorHAnsi" w:cstheme="minorBidi"/>
                <w:noProof/>
                <w:sz w:val="22"/>
                <w:szCs w:val="22"/>
              </w:rPr>
              <w:tab/>
            </w:r>
            <w:r w:rsidR="004E0460" w:rsidRPr="006B3C96">
              <w:rPr>
                <w:rStyle w:val="Hypertextovodkaz"/>
                <w:noProof/>
              </w:rPr>
              <w:t>Jednotlivé investiční fáze</w:t>
            </w:r>
            <w:r w:rsidR="004E0460">
              <w:rPr>
                <w:noProof/>
                <w:webHidden/>
              </w:rPr>
              <w:tab/>
            </w:r>
            <w:r>
              <w:rPr>
                <w:noProof/>
                <w:webHidden/>
              </w:rPr>
              <w:fldChar w:fldCharType="begin"/>
            </w:r>
            <w:r w:rsidR="004E0460">
              <w:rPr>
                <w:noProof/>
                <w:webHidden/>
              </w:rPr>
              <w:instrText xml:space="preserve"> PAGEREF _Toc233044390 \h </w:instrText>
            </w:r>
            <w:r>
              <w:rPr>
                <w:noProof/>
                <w:webHidden/>
              </w:rPr>
            </w:r>
            <w:r>
              <w:rPr>
                <w:noProof/>
                <w:webHidden/>
              </w:rPr>
              <w:fldChar w:fldCharType="separate"/>
            </w:r>
            <w:r w:rsidR="001B1475">
              <w:rPr>
                <w:noProof/>
                <w:webHidden/>
              </w:rPr>
              <w:t>15</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391" w:history="1">
            <w:r w:rsidR="004E0460" w:rsidRPr="006B3C96">
              <w:rPr>
                <w:rStyle w:val="Hypertextovodkaz"/>
                <w:noProof/>
              </w:rPr>
              <w:t>3.1</w:t>
            </w:r>
            <w:r w:rsidR="004E0460">
              <w:rPr>
                <w:rFonts w:asciiTheme="minorHAnsi" w:eastAsiaTheme="minorEastAsia" w:hAnsiTheme="minorHAnsi" w:cstheme="minorBidi"/>
                <w:noProof/>
                <w:sz w:val="22"/>
                <w:szCs w:val="22"/>
              </w:rPr>
              <w:tab/>
            </w:r>
            <w:r w:rsidR="004E0460" w:rsidRPr="006B3C96">
              <w:rPr>
                <w:rStyle w:val="Hypertextovodkaz"/>
                <w:noProof/>
              </w:rPr>
              <w:t>Předinvestiční a investiční fáze</w:t>
            </w:r>
            <w:r w:rsidR="004E0460">
              <w:rPr>
                <w:noProof/>
                <w:webHidden/>
              </w:rPr>
              <w:tab/>
            </w:r>
            <w:r>
              <w:rPr>
                <w:noProof/>
                <w:webHidden/>
              </w:rPr>
              <w:fldChar w:fldCharType="begin"/>
            </w:r>
            <w:r w:rsidR="004E0460">
              <w:rPr>
                <w:noProof/>
                <w:webHidden/>
              </w:rPr>
              <w:instrText xml:space="preserve"> PAGEREF _Toc233044391 \h </w:instrText>
            </w:r>
            <w:r>
              <w:rPr>
                <w:noProof/>
                <w:webHidden/>
              </w:rPr>
            </w:r>
            <w:r>
              <w:rPr>
                <w:noProof/>
                <w:webHidden/>
              </w:rPr>
              <w:fldChar w:fldCharType="separate"/>
            </w:r>
            <w:r w:rsidR="001B1475">
              <w:rPr>
                <w:noProof/>
                <w:webHidden/>
              </w:rPr>
              <w:t>15</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392" w:history="1">
            <w:r w:rsidR="004E0460" w:rsidRPr="006B3C96">
              <w:rPr>
                <w:rStyle w:val="Hypertextovodkaz"/>
                <w:noProof/>
              </w:rPr>
              <w:t>3.2</w:t>
            </w:r>
            <w:r w:rsidR="004E0460">
              <w:rPr>
                <w:rFonts w:asciiTheme="minorHAnsi" w:eastAsiaTheme="minorEastAsia" w:hAnsiTheme="minorHAnsi" w:cstheme="minorBidi"/>
                <w:noProof/>
                <w:sz w:val="22"/>
                <w:szCs w:val="22"/>
              </w:rPr>
              <w:tab/>
            </w:r>
            <w:r w:rsidR="004E0460" w:rsidRPr="006B3C96">
              <w:rPr>
                <w:rStyle w:val="Hypertextovodkaz"/>
                <w:noProof/>
              </w:rPr>
              <w:t>Provozní fáze</w:t>
            </w:r>
            <w:r w:rsidR="004E0460">
              <w:rPr>
                <w:noProof/>
                <w:webHidden/>
              </w:rPr>
              <w:tab/>
            </w:r>
            <w:r>
              <w:rPr>
                <w:noProof/>
                <w:webHidden/>
              </w:rPr>
              <w:fldChar w:fldCharType="begin"/>
            </w:r>
            <w:r w:rsidR="004E0460">
              <w:rPr>
                <w:noProof/>
                <w:webHidden/>
              </w:rPr>
              <w:instrText xml:space="preserve"> PAGEREF _Toc233044392 \h </w:instrText>
            </w:r>
            <w:r>
              <w:rPr>
                <w:noProof/>
                <w:webHidden/>
              </w:rPr>
            </w:r>
            <w:r>
              <w:rPr>
                <w:noProof/>
                <w:webHidden/>
              </w:rPr>
              <w:fldChar w:fldCharType="separate"/>
            </w:r>
            <w:r w:rsidR="001B1475">
              <w:rPr>
                <w:noProof/>
                <w:webHidden/>
              </w:rPr>
              <w:t>17</w:t>
            </w:r>
            <w:r>
              <w:rPr>
                <w:noProof/>
                <w:webHidden/>
              </w:rPr>
              <w:fldChar w:fldCharType="end"/>
            </w:r>
          </w:hyperlink>
        </w:p>
        <w:p w:rsidR="004E0460" w:rsidRDefault="002B769D">
          <w:pPr>
            <w:pStyle w:val="Obsah1"/>
            <w:tabs>
              <w:tab w:val="left" w:pos="480"/>
              <w:tab w:val="right" w:leader="dot" w:pos="9060"/>
            </w:tabs>
            <w:rPr>
              <w:rFonts w:asciiTheme="minorHAnsi" w:eastAsiaTheme="minorEastAsia" w:hAnsiTheme="minorHAnsi" w:cstheme="minorBidi"/>
              <w:noProof/>
              <w:sz w:val="22"/>
              <w:szCs w:val="22"/>
            </w:rPr>
          </w:pPr>
          <w:hyperlink w:anchor="_Toc233044395" w:history="1">
            <w:r w:rsidR="004E0460" w:rsidRPr="006B3C96">
              <w:rPr>
                <w:rStyle w:val="Hypertextovodkaz"/>
                <w:noProof/>
              </w:rPr>
              <w:t>4</w:t>
            </w:r>
            <w:r w:rsidR="004E0460">
              <w:rPr>
                <w:rFonts w:asciiTheme="minorHAnsi" w:eastAsiaTheme="minorEastAsia" w:hAnsiTheme="minorHAnsi" w:cstheme="minorBidi"/>
                <w:noProof/>
                <w:sz w:val="22"/>
                <w:szCs w:val="22"/>
              </w:rPr>
              <w:tab/>
            </w:r>
            <w:r w:rsidR="004E0460" w:rsidRPr="006B3C96">
              <w:rPr>
                <w:rStyle w:val="Hypertextovodkaz"/>
                <w:noProof/>
              </w:rPr>
              <w:t>Klíčové aspekty investičních projektů</w:t>
            </w:r>
            <w:r w:rsidR="004E0460">
              <w:rPr>
                <w:noProof/>
                <w:webHidden/>
              </w:rPr>
              <w:tab/>
            </w:r>
            <w:r>
              <w:rPr>
                <w:noProof/>
                <w:webHidden/>
              </w:rPr>
              <w:fldChar w:fldCharType="begin"/>
            </w:r>
            <w:r w:rsidR="004E0460">
              <w:rPr>
                <w:noProof/>
                <w:webHidden/>
              </w:rPr>
              <w:instrText xml:space="preserve"> PAGEREF _Toc233044395 \h </w:instrText>
            </w:r>
            <w:r>
              <w:rPr>
                <w:noProof/>
                <w:webHidden/>
              </w:rPr>
            </w:r>
            <w:r>
              <w:rPr>
                <w:noProof/>
                <w:webHidden/>
              </w:rPr>
              <w:fldChar w:fldCharType="separate"/>
            </w:r>
            <w:r w:rsidR="001B1475">
              <w:rPr>
                <w:noProof/>
                <w:webHidden/>
              </w:rPr>
              <w:t>19</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396" w:history="1">
            <w:r w:rsidR="004E0460" w:rsidRPr="006B3C96">
              <w:rPr>
                <w:rStyle w:val="Hypertextovodkaz"/>
                <w:noProof/>
              </w:rPr>
              <w:t>4.1</w:t>
            </w:r>
            <w:r w:rsidR="004E0460">
              <w:rPr>
                <w:rFonts w:asciiTheme="minorHAnsi" w:eastAsiaTheme="minorEastAsia" w:hAnsiTheme="minorHAnsi" w:cstheme="minorBidi"/>
                <w:noProof/>
                <w:sz w:val="22"/>
                <w:szCs w:val="22"/>
              </w:rPr>
              <w:tab/>
            </w:r>
            <w:r w:rsidR="004E0460" w:rsidRPr="006B3C96">
              <w:rPr>
                <w:rStyle w:val="Hypertextovodkaz"/>
                <w:noProof/>
              </w:rPr>
              <w:t>Peněžní toky investičních projektů</w:t>
            </w:r>
            <w:r w:rsidR="004E0460">
              <w:rPr>
                <w:noProof/>
                <w:webHidden/>
              </w:rPr>
              <w:tab/>
            </w:r>
            <w:r>
              <w:rPr>
                <w:noProof/>
                <w:webHidden/>
              </w:rPr>
              <w:fldChar w:fldCharType="begin"/>
            </w:r>
            <w:r w:rsidR="004E0460">
              <w:rPr>
                <w:noProof/>
                <w:webHidden/>
              </w:rPr>
              <w:instrText xml:space="preserve"> PAGEREF _Toc233044396 \h </w:instrText>
            </w:r>
            <w:r>
              <w:rPr>
                <w:noProof/>
                <w:webHidden/>
              </w:rPr>
            </w:r>
            <w:r>
              <w:rPr>
                <w:noProof/>
                <w:webHidden/>
              </w:rPr>
              <w:fldChar w:fldCharType="separate"/>
            </w:r>
            <w:r w:rsidR="001B1475">
              <w:rPr>
                <w:noProof/>
                <w:webHidden/>
              </w:rPr>
              <w:t>20</w:t>
            </w:r>
            <w:r>
              <w:rPr>
                <w:noProof/>
                <w:webHidden/>
              </w:rPr>
              <w:fldChar w:fldCharType="end"/>
            </w:r>
          </w:hyperlink>
        </w:p>
        <w:p w:rsidR="004E0460" w:rsidRDefault="002B769D">
          <w:pPr>
            <w:pStyle w:val="Obsah3"/>
            <w:tabs>
              <w:tab w:val="left" w:pos="1320"/>
              <w:tab w:val="right" w:leader="dot" w:pos="9060"/>
            </w:tabs>
            <w:rPr>
              <w:rFonts w:asciiTheme="minorHAnsi" w:eastAsiaTheme="minorEastAsia" w:hAnsiTheme="minorHAnsi" w:cstheme="minorBidi"/>
              <w:noProof/>
              <w:sz w:val="22"/>
              <w:szCs w:val="22"/>
            </w:rPr>
          </w:pPr>
          <w:hyperlink w:anchor="_Toc233044397" w:history="1">
            <w:r w:rsidR="004E0460" w:rsidRPr="006B3C96">
              <w:rPr>
                <w:rStyle w:val="Hypertextovodkaz"/>
                <w:noProof/>
              </w:rPr>
              <w:t>4.1.1</w:t>
            </w:r>
            <w:r w:rsidR="004E0460">
              <w:rPr>
                <w:rFonts w:asciiTheme="minorHAnsi" w:eastAsiaTheme="minorEastAsia" w:hAnsiTheme="minorHAnsi" w:cstheme="minorBidi"/>
                <w:noProof/>
                <w:sz w:val="22"/>
                <w:szCs w:val="22"/>
              </w:rPr>
              <w:tab/>
            </w:r>
            <w:r w:rsidR="004E0460" w:rsidRPr="006B3C96">
              <w:rPr>
                <w:rStyle w:val="Hypertextovodkaz"/>
                <w:noProof/>
              </w:rPr>
              <w:t>Kapitálové výdaje</w:t>
            </w:r>
            <w:r w:rsidR="004E0460">
              <w:rPr>
                <w:noProof/>
                <w:webHidden/>
              </w:rPr>
              <w:tab/>
            </w:r>
            <w:r>
              <w:rPr>
                <w:noProof/>
                <w:webHidden/>
              </w:rPr>
              <w:fldChar w:fldCharType="begin"/>
            </w:r>
            <w:r w:rsidR="004E0460">
              <w:rPr>
                <w:noProof/>
                <w:webHidden/>
              </w:rPr>
              <w:instrText xml:space="preserve"> PAGEREF _Toc233044397 \h </w:instrText>
            </w:r>
            <w:r>
              <w:rPr>
                <w:noProof/>
                <w:webHidden/>
              </w:rPr>
            </w:r>
            <w:r>
              <w:rPr>
                <w:noProof/>
                <w:webHidden/>
              </w:rPr>
              <w:fldChar w:fldCharType="separate"/>
            </w:r>
            <w:r w:rsidR="001B1475">
              <w:rPr>
                <w:noProof/>
                <w:webHidden/>
              </w:rPr>
              <w:t>21</w:t>
            </w:r>
            <w:r>
              <w:rPr>
                <w:noProof/>
                <w:webHidden/>
              </w:rPr>
              <w:fldChar w:fldCharType="end"/>
            </w:r>
          </w:hyperlink>
        </w:p>
        <w:p w:rsidR="004E0460" w:rsidRDefault="002B769D">
          <w:pPr>
            <w:pStyle w:val="Obsah3"/>
            <w:tabs>
              <w:tab w:val="left" w:pos="1320"/>
              <w:tab w:val="right" w:leader="dot" w:pos="9060"/>
            </w:tabs>
            <w:rPr>
              <w:rFonts w:asciiTheme="minorHAnsi" w:eastAsiaTheme="minorEastAsia" w:hAnsiTheme="minorHAnsi" w:cstheme="minorBidi"/>
              <w:noProof/>
              <w:sz w:val="22"/>
              <w:szCs w:val="22"/>
            </w:rPr>
          </w:pPr>
          <w:hyperlink w:anchor="_Toc233044398" w:history="1">
            <w:r w:rsidR="004E0460" w:rsidRPr="006B3C96">
              <w:rPr>
                <w:rStyle w:val="Hypertextovodkaz"/>
                <w:noProof/>
              </w:rPr>
              <w:t>4.1.2</w:t>
            </w:r>
            <w:r w:rsidR="004E0460">
              <w:rPr>
                <w:rFonts w:asciiTheme="minorHAnsi" w:eastAsiaTheme="minorEastAsia" w:hAnsiTheme="minorHAnsi" w:cstheme="minorBidi"/>
                <w:noProof/>
                <w:sz w:val="22"/>
                <w:szCs w:val="22"/>
              </w:rPr>
              <w:tab/>
            </w:r>
            <w:r w:rsidR="004E0460" w:rsidRPr="006B3C96">
              <w:rPr>
                <w:rStyle w:val="Hypertextovodkaz"/>
                <w:noProof/>
              </w:rPr>
              <w:t>Peněžní příjmy</w:t>
            </w:r>
            <w:r w:rsidR="004E0460">
              <w:rPr>
                <w:noProof/>
                <w:webHidden/>
              </w:rPr>
              <w:tab/>
            </w:r>
            <w:r>
              <w:rPr>
                <w:noProof/>
                <w:webHidden/>
              </w:rPr>
              <w:fldChar w:fldCharType="begin"/>
            </w:r>
            <w:r w:rsidR="004E0460">
              <w:rPr>
                <w:noProof/>
                <w:webHidden/>
              </w:rPr>
              <w:instrText xml:space="preserve"> PAGEREF _Toc233044398 \h </w:instrText>
            </w:r>
            <w:r>
              <w:rPr>
                <w:noProof/>
                <w:webHidden/>
              </w:rPr>
            </w:r>
            <w:r>
              <w:rPr>
                <w:noProof/>
                <w:webHidden/>
              </w:rPr>
              <w:fldChar w:fldCharType="separate"/>
            </w:r>
            <w:r w:rsidR="001B1475">
              <w:rPr>
                <w:noProof/>
                <w:webHidden/>
              </w:rPr>
              <w:t>22</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399" w:history="1">
            <w:r w:rsidR="004E0460" w:rsidRPr="006B3C96">
              <w:rPr>
                <w:rStyle w:val="Hypertextovodkaz"/>
                <w:noProof/>
              </w:rPr>
              <w:t>4.2</w:t>
            </w:r>
            <w:r w:rsidR="004E0460">
              <w:rPr>
                <w:rFonts w:asciiTheme="minorHAnsi" w:eastAsiaTheme="minorEastAsia" w:hAnsiTheme="minorHAnsi" w:cstheme="minorBidi"/>
                <w:noProof/>
                <w:sz w:val="22"/>
                <w:szCs w:val="22"/>
              </w:rPr>
              <w:tab/>
            </w:r>
            <w:r w:rsidR="004E0460" w:rsidRPr="006B3C96">
              <w:rPr>
                <w:rStyle w:val="Hypertextovodkaz"/>
                <w:noProof/>
              </w:rPr>
              <w:t>Určení podnikové diskontní sazby</w:t>
            </w:r>
            <w:r w:rsidR="004E0460">
              <w:rPr>
                <w:noProof/>
                <w:webHidden/>
              </w:rPr>
              <w:tab/>
            </w:r>
            <w:r>
              <w:rPr>
                <w:noProof/>
                <w:webHidden/>
              </w:rPr>
              <w:fldChar w:fldCharType="begin"/>
            </w:r>
            <w:r w:rsidR="004E0460">
              <w:rPr>
                <w:noProof/>
                <w:webHidden/>
              </w:rPr>
              <w:instrText xml:space="preserve"> PAGEREF _Toc233044399 \h </w:instrText>
            </w:r>
            <w:r>
              <w:rPr>
                <w:noProof/>
                <w:webHidden/>
              </w:rPr>
            </w:r>
            <w:r>
              <w:rPr>
                <w:noProof/>
                <w:webHidden/>
              </w:rPr>
              <w:fldChar w:fldCharType="separate"/>
            </w:r>
            <w:r w:rsidR="001B1475">
              <w:rPr>
                <w:noProof/>
                <w:webHidden/>
              </w:rPr>
              <w:t>23</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00" w:history="1">
            <w:r w:rsidR="004E0460" w:rsidRPr="006B3C96">
              <w:rPr>
                <w:rStyle w:val="Hypertextovodkaz"/>
                <w:noProof/>
              </w:rPr>
              <w:t>4.3</w:t>
            </w:r>
            <w:r w:rsidR="004E0460">
              <w:rPr>
                <w:rFonts w:asciiTheme="minorHAnsi" w:eastAsiaTheme="minorEastAsia" w:hAnsiTheme="minorHAnsi" w:cstheme="minorBidi"/>
                <w:noProof/>
                <w:sz w:val="22"/>
                <w:szCs w:val="22"/>
              </w:rPr>
              <w:tab/>
            </w:r>
            <w:r w:rsidR="004E0460" w:rsidRPr="006B3C96">
              <w:rPr>
                <w:rStyle w:val="Hypertextovodkaz"/>
                <w:noProof/>
              </w:rPr>
              <w:t>Inflace v investičním rozhodování</w:t>
            </w:r>
            <w:r w:rsidR="004E0460">
              <w:rPr>
                <w:noProof/>
                <w:webHidden/>
              </w:rPr>
              <w:tab/>
            </w:r>
            <w:r>
              <w:rPr>
                <w:noProof/>
                <w:webHidden/>
              </w:rPr>
              <w:fldChar w:fldCharType="begin"/>
            </w:r>
            <w:r w:rsidR="004E0460">
              <w:rPr>
                <w:noProof/>
                <w:webHidden/>
              </w:rPr>
              <w:instrText xml:space="preserve"> PAGEREF _Toc233044400 \h </w:instrText>
            </w:r>
            <w:r>
              <w:rPr>
                <w:noProof/>
                <w:webHidden/>
              </w:rPr>
            </w:r>
            <w:r>
              <w:rPr>
                <w:noProof/>
                <w:webHidden/>
              </w:rPr>
              <w:fldChar w:fldCharType="separate"/>
            </w:r>
            <w:r w:rsidR="001B1475">
              <w:rPr>
                <w:noProof/>
                <w:webHidden/>
              </w:rPr>
              <w:t>27</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01" w:history="1">
            <w:r w:rsidR="004E0460" w:rsidRPr="006B3C96">
              <w:rPr>
                <w:rStyle w:val="Hypertextovodkaz"/>
                <w:noProof/>
              </w:rPr>
              <w:t>4.4</w:t>
            </w:r>
            <w:r w:rsidR="004E0460">
              <w:rPr>
                <w:rFonts w:asciiTheme="minorHAnsi" w:eastAsiaTheme="minorEastAsia" w:hAnsiTheme="minorHAnsi" w:cstheme="minorBidi"/>
                <w:noProof/>
                <w:sz w:val="22"/>
                <w:szCs w:val="22"/>
              </w:rPr>
              <w:tab/>
            </w:r>
            <w:r w:rsidR="004E0460" w:rsidRPr="006B3C96">
              <w:rPr>
                <w:rStyle w:val="Hypertextovodkaz"/>
                <w:noProof/>
              </w:rPr>
              <w:t>Riziko v investičním rozhodování</w:t>
            </w:r>
            <w:r w:rsidR="004E0460">
              <w:rPr>
                <w:noProof/>
                <w:webHidden/>
              </w:rPr>
              <w:tab/>
            </w:r>
            <w:r>
              <w:rPr>
                <w:noProof/>
                <w:webHidden/>
              </w:rPr>
              <w:fldChar w:fldCharType="begin"/>
            </w:r>
            <w:r w:rsidR="004E0460">
              <w:rPr>
                <w:noProof/>
                <w:webHidden/>
              </w:rPr>
              <w:instrText xml:space="preserve"> PAGEREF _Toc233044401 \h </w:instrText>
            </w:r>
            <w:r>
              <w:rPr>
                <w:noProof/>
                <w:webHidden/>
              </w:rPr>
            </w:r>
            <w:r>
              <w:rPr>
                <w:noProof/>
                <w:webHidden/>
              </w:rPr>
              <w:fldChar w:fldCharType="separate"/>
            </w:r>
            <w:r w:rsidR="001B1475">
              <w:rPr>
                <w:noProof/>
                <w:webHidden/>
              </w:rPr>
              <w:t>28</w:t>
            </w:r>
            <w:r>
              <w:rPr>
                <w:noProof/>
                <w:webHidden/>
              </w:rPr>
              <w:fldChar w:fldCharType="end"/>
            </w:r>
          </w:hyperlink>
        </w:p>
        <w:p w:rsidR="004E0460" w:rsidRDefault="002B769D">
          <w:pPr>
            <w:pStyle w:val="Obsah1"/>
            <w:tabs>
              <w:tab w:val="left" w:pos="480"/>
              <w:tab w:val="right" w:leader="dot" w:pos="9060"/>
            </w:tabs>
            <w:rPr>
              <w:rFonts w:asciiTheme="minorHAnsi" w:eastAsiaTheme="minorEastAsia" w:hAnsiTheme="minorHAnsi" w:cstheme="minorBidi"/>
              <w:noProof/>
              <w:sz w:val="22"/>
              <w:szCs w:val="22"/>
            </w:rPr>
          </w:pPr>
          <w:hyperlink w:anchor="_Toc233044402" w:history="1">
            <w:r w:rsidR="004E0460" w:rsidRPr="006B3C96">
              <w:rPr>
                <w:rStyle w:val="Hypertextovodkaz"/>
                <w:noProof/>
              </w:rPr>
              <w:t>5</w:t>
            </w:r>
            <w:r w:rsidR="004E0460">
              <w:rPr>
                <w:rFonts w:asciiTheme="minorHAnsi" w:eastAsiaTheme="minorEastAsia" w:hAnsiTheme="minorHAnsi" w:cstheme="minorBidi"/>
                <w:noProof/>
                <w:sz w:val="22"/>
                <w:szCs w:val="22"/>
              </w:rPr>
              <w:tab/>
            </w:r>
            <w:r w:rsidR="004E0460" w:rsidRPr="006B3C96">
              <w:rPr>
                <w:rStyle w:val="Hypertextovodkaz"/>
                <w:noProof/>
              </w:rPr>
              <w:t>Metody hodnocení ekonomické efektivnosti investičních projektů</w:t>
            </w:r>
            <w:r w:rsidR="004E0460">
              <w:rPr>
                <w:noProof/>
                <w:webHidden/>
              </w:rPr>
              <w:tab/>
            </w:r>
            <w:r>
              <w:rPr>
                <w:noProof/>
                <w:webHidden/>
              </w:rPr>
              <w:fldChar w:fldCharType="begin"/>
            </w:r>
            <w:r w:rsidR="004E0460">
              <w:rPr>
                <w:noProof/>
                <w:webHidden/>
              </w:rPr>
              <w:instrText xml:space="preserve"> PAGEREF _Toc233044402 \h </w:instrText>
            </w:r>
            <w:r>
              <w:rPr>
                <w:noProof/>
                <w:webHidden/>
              </w:rPr>
            </w:r>
            <w:r>
              <w:rPr>
                <w:noProof/>
                <w:webHidden/>
              </w:rPr>
              <w:fldChar w:fldCharType="separate"/>
            </w:r>
            <w:r w:rsidR="001B1475">
              <w:rPr>
                <w:noProof/>
                <w:webHidden/>
              </w:rPr>
              <w:t>32</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03" w:history="1">
            <w:r w:rsidR="004E0460" w:rsidRPr="006B3C96">
              <w:rPr>
                <w:rStyle w:val="Hypertextovodkaz"/>
                <w:noProof/>
              </w:rPr>
              <w:t>5.1</w:t>
            </w:r>
            <w:r w:rsidR="004E0460">
              <w:rPr>
                <w:rFonts w:asciiTheme="minorHAnsi" w:eastAsiaTheme="minorEastAsia" w:hAnsiTheme="minorHAnsi" w:cstheme="minorBidi"/>
                <w:noProof/>
                <w:sz w:val="22"/>
                <w:szCs w:val="22"/>
              </w:rPr>
              <w:tab/>
            </w:r>
            <w:r w:rsidR="004E0460" w:rsidRPr="006B3C96">
              <w:rPr>
                <w:rStyle w:val="Hypertextovodkaz"/>
                <w:noProof/>
              </w:rPr>
              <w:t>Obecné souvislosti členění hodnotících metod</w:t>
            </w:r>
            <w:r w:rsidR="004E0460">
              <w:rPr>
                <w:noProof/>
                <w:webHidden/>
              </w:rPr>
              <w:tab/>
            </w:r>
            <w:r>
              <w:rPr>
                <w:noProof/>
                <w:webHidden/>
              </w:rPr>
              <w:fldChar w:fldCharType="begin"/>
            </w:r>
            <w:r w:rsidR="004E0460">
              <w:rPr>
                <w:noProof/>
                <w:webHidden/>
              </w:rPr>
              <w:instrText xml:space="preserve"> PAGEREF _Toc233044403 \h </w:instrText>
            </w:r>
            <w:r>
              <w:rPr>
                <w:noProof/>
                <w:webHidden/>
              </w:rPr>
            </w:r>
            <w:r>
              <w:rPr>
                <w:noProof/>
                <w:webHidden/>
              </w:rPr>
              <w:fldChar w:fldCharType="separate"/>
            </w:r>
            <w:r w:rsidR="001B1475">
              <w:rPr>
                <w:noProof/>
                <w:webHidden/>
              </w:rPr>
              <w:t>32</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04" w:history="1">
            <w:r w:rsidR="004E0460" w:rsidRPr="006B3C96">
              <w:rPr>
                <w:rStyle w:val="Hypertextovodkaz"/>
                <w:noProof/>
              </w:rPr>
              <w:t>5.2</w:t>
            </w:r>
            <w:r w:rsidR="004E0460">
              <w:rPr>
                <w:rFonts w:asciiTheme="minorHAnsi" w:eastAsiaTheme="minorEastAsia" w:hAnsiTheme="minorHAnsi" w:cstheme="minorBidi"/>
                <w:noProof/>
                <w:sz w:val="22"/>
                <w:szCs w:val="22"/>
              </w:rPr>
              <w:tab/>
            </w:r>
            <w:r w:rsidR="004E0460" w:rsidRPr="006B3C96">
              <w:rPr>
                <w:rStyle w:val="Hypertextovodkaz"/>
                <w:noProof/>
              </w:rPr>
              <w:t>Metody hodnocení investičních projektů</w:t>
            </w:r>
            <w:r w:rsidR="004E0460">
              <w:rPr>
                <w:noProof/>
                <w:webHidden/>
              </w:rPr>
              <w:tab/>
            </w:r>
            <w:r>
              <w:rPr>
                <w:noProof/>
                <w:webHidden/>
              </w:rPr>
              <w:fldChar w:fldCharType="begin"/>
            </w:r>
            <w:r w:rsidR="004E0460">
              <w:rPr>
                <w:noProof/>
                <w:webHidden/>
              </w:rPr>
              <w:instrText xml:space="preserve"> PAGEREF _Toc233044404 \h </w:instrText>
            </w:r>
            <w:r>
              <w:rPr>
                <w:noProof/>
                <w:webHidden/>
              </w:rPr>
            </w:r>
            <w:r>
              <w:rPr>
                <w:noProof/>
                <w:webHidden/>
              </w:rPr>
              <w:fldChar w:fldCharType="separate"/>
            </w:r>
            <w:r w:rsidR="001B1475">
              <w:rPr>
                <w:noProof/>
                <w:webHidden/>
              </w:rPr>
              <w:t>35</w:t>
            </w:r>
            <w:r>
              <w:rPr>
                <w:noProof/>
                <w:webHidden/>
              </w:rPr>
              <w:fldChar w:fldCharType="end"/>
            </w:r>
          </w:hyperlink>
        </w:p>
        <w:p w:rsidR="004E0460" w:rsidRDefault="002B769D">
          <w:pPr>
            <w:pStyle w:val="Obsah3"/>
            <w:tabs>
              <w:tab w:val="left" w:pos="1320"/>
              <w:tab w:val="right" w:leader="dot" w:pos="9060"/>
            </w:tabs>
            <w:rPr>
              <w:rFonts w:asciiTheme="minorHAnsi" w:eastAsiaTheme="minorEastAsia" w:hAnsiTheme="minorHAnsi" w:cstheme="minorBidi"/>
              <w:noProof/>
              <w:sz w:val="22"/>
              <w:szCs w:val="22"/>
            </w:rPr>
          </w:pPr>
          <w:hyperlink w:anchor="_Toc233044405" w:history="1">
            <w:r w:rsidR="004E0460" w:rsidRPr="006B3C96">
              <w:rPr>
                <w:rStyle w:val="Hypertextovodkaz"/>
                <w:noProof/>
              </w:rPr>
              <w:t>5.2.1</w:t>
            </w:r>
            <w:r w:rsidR="004E0460">
              <w:rPr>
                <w:rFonts w:asciiTheme="minorHAnsi" w:eastAsiaTheme="minorEastAsia" w:hAnsiTheme="minorHAnsi" w:cstheme="minorBidi"/>
                <w:noProof/>
                <w:sz w:val="22"/>
                <w:szCs w:val="22"/>
              </w:rPr>
              <w:tab/>
            </w:r>
            <w:r w:rsidR="004E0460" w:rsidRPr="006B3C96">
              <w:rPr>
                <w:rStyle w:val="Hypertextovodkaz"/>
                <w:noProof/>
              </w:rPr>
              <w:t>Statické metody hodnocení investičních projektů</w:t>
            </w:r>
            <w:r w:rsidR="004E0460">
              <w:rPr>
                <w:noProof/>
                <w:webHidden/>
              </w:rPr>
              <w:tab/>
            </w:r>
            <w:r>
              <w:rPr>
                <w:noProof/>
                <w:webHidden/>
              </w:rPr>
              <w:fldChar w:fldCharType="begin"/>
            </w:r>
            <w:r w:rsidR="004E0460">
              <w:rPr>
                <w:noProof/>
                <w:webHidden/>
              </w:rPr>
              <w:instrText xml:space="preserve"> PAGEREF _Toc233044405 \h </w:instrText>
            </w:r>
            <w:r>
              <w:rPr>
                <w:noProof/>
                <w:webHidden/>
              </w:rPr>
            </w:r>
            <w:r>
              <w:rPr>
                <w:noProof/>
                <w:webHidden/>
              </w:rPr>
              <w:fldChar w:fldCharType="separate"/>
            </w:r>
            <w:r w:rsidR="001B1475">
              <w:rPr>
                <w:noProof/>
                <w:webHidden/>
              </w:rPr>
              <w:t>35</w:t>
            </w:r>
            <w:r>
              <w:rPr>
                <w:noProof/>
                <w:webHidden/>
              </w:rPr>
              <w:fldChar w:fldCharType="end"/>
            </w:r>
          </w:hyperlink>
        </w:p>
        <w:p w:rsidR="004E0460" w:rsidRDefault="002B769D">
          <w:pPr>
            <w:pStyle w:val="Obsah4"/>
            <w:tabs>
              <w:tab w:val="left" w:pos="1760"/>
              <w:tab w:val="right" w:leader="dot" w:pos="9060"/>
            </w:tabs>
            <w:rPr>
              <w:rFonts w:asciiTheme="minorHAnsi" w:eastAsiaTheme="minorEastAsia" w:hAnsiTheme="minorHAnsi" w:cstheme="minorBidi"/>
              <w:noProof/>
              <w:sz w:val="22"/>
              <w:szCs w:val="22"/>
            </w:rPr>
          </w:pPr>
          <w:hyperlink w:anchor="_Toc233044406" w:history="1">
            <w:r w:rsidR="004E0460" w:rsidRPr="006B3C96">
              <w:rPr>
                <w:rStyle w:val="Hypertextovodkaz"/>
                <w:noProof/>
              </w:rPr>
              <w:t>5.2.1.1</w:t>
            </w:r>
            <w:r w:rsidR="004E0460">
              <w:rPr>
                <w:rFonts w:asciiTheme="minorHAnsi" w:eastAsiaTheme="minorEastAsia" w:hAnsiTheme="minorHAnsi" w:cstheme="minorBidi"/>
                <w:noProof/>
                <w:sz w:val="22"/>
                <w:szCs w:val="22"/>
              </w:rPr>
              <w:tab/>
            </w:r>
            <w:r w:rsidR="004E0460" w:rsidRPr="006B3C96">
              <w:rPr>
                <w:rStyle w:val="Hypertextovodkaz"/>
                <w:noProof/>
              </w:rPr>
              <w:t>Metoda průměrných ročních nákladů</w:t>
            </w:r>
            <w:r w:rsidR="004E0460">
              <w:rPr>
                <w:noProof/>
                <w:webHidden/>
              </w:rPr>
              <w:tab/>
            </w:r>
            <w:r>
              <w:rPr>
                <w:noProof/>
                <w:webHidden/>
              </w:rPr>
              <w:fldChar w:fldCharType="begin"/>
            </w:r>
            <w:r w:rsidR="004E0460">
              <w:rPr>
                <w:noProof/>
                <w:webHidden/>
              </w:rPr>
              <w:instrText xml:space="preserve"> PAGEREF _Toc233044406 \h </w:instrText>
            </w:r>
            <w:r>
              <w:rPr>
                <w:noProof/>
                <w:webHidden/>
              </w:rPr>
            </w:r>
            <w:r>
              <w:rPr>
                <w:noProof/>
                <w:webHidden/>
              </w:rPr>
              <w:fldChar w:fldCharType="separate"/>
            </w:r>
            <w:r w:rsidR="001B1475">
              <w:rPr>
                <w:noProof/>
                <w:webHidden/>
              </w:rPr>
              <w:t>35</w:t>
            </w:r>
            <w:r>
              <w:rPr>
                <w:noProof/>
                <w:webHidden/>
              </w:rPr>
              <w:fldChar w:fldCharType="end"/>
            </w:r>
          </w:hyperlink>
        </w:p>
        <w:p w:rsidR="004E0460" w:rsidRDefault="002B769D">
          <w:pPr>
            <w:pStyle w:val="Obsah4"/>
            <w:tabs>
              <w:tab w:val="left" w:pos="1760"/>
              <w:tab w:val="right" w:leader="dot" w:pos="9060"/>
            </w:tabs>
            <w:rPr>
              <w:rFonts w:asciiTheme="minorHAnsi" w:eastAsiaTheme="minorEastAsia" w:hAnsiTheme="minorHAnsi" w:cstheme="minorBidi"/>
              <w:noProof/>
              <w:sz w:val="22"/>
              <w:szCs w:val="22"/>
            </w:rPr>
          </w:pPr>
          <w:hyperlink w:anchor="_Toc233044407" w:history="1">
            <w:r w:rsidR="004E0460" w:rsidRPr="006B3C96">
              <w:rPr>
                <w:rStyle w:val="Hypertextovodkaz"/>
                <w:noProof/>
              </w:rPr>
              <w:t>5.2.1.2</w:t>
            </w:r>
            <w:r w:rsidR="004E0460">
              <w:rPr>
                <w:rFonts w:asciiTheme="minorHAnsi" w:eastAsiaTheme="minorEastAsia" w:hAnsiTheme="minorHAnsi" w:cstheme="minorBidi"/>
                <w:noProof/>
                <w:sz w:val="22"/>
                <w:szCs w:val="22"/>
              </w:rPr>
              <w:tab/>
            </w:r>
            <w:r w:rsidR="004E0460" w:rsidRPr="006B3C96">
              <w:rPr>
                <w:rStyle w:val="Hypertextovodkaz"/>
                <w:noProof/>
              </w:rPr>
              <w:t>Metoda doby návratnosti</w:t>
            </w:r>
            <w:r w:rsidR="004E0460">
              <w:rPr>
                <w:noProof/>
                <w:webHidden/>
              </w:rPr>
              <w:tab/>
            </w:r>
            <w:r>
              <w:rPr>
                <w:noProof/>
                <w:webHidden/>
              </w:rPr>
              <w:fldChar w:fldCharType="begin"/>
            </w:r>
            <w:r w:rsidR="004E0460">
              <w:rPr>
                <w:noProof/>
                <w:webHidden/>
              </w:rPr>
              <w:instrText xml:space="preserve"> PAGEREF _Toc233044407 \h </w:instrText>
            </w:r>
            <w:r>
              <w:rPr>
                <w:noProof/>
                <w:webHidden/>
              </w:rPr>
            </w:r>
            <w:r>
              <w:rPr>
                <w:noProof/>
                <w:webHidden/>
              </w:rPr>
              <w:fldChar w:fldCharType="separate"/>
            </w:r>
            <w:r w:rsidR="001B1475">
              <w:rPr>
                <w:noProof/>
                <w:webHidden/>
              </w:rPr>
              <w:t>36</w:t>
            </w:r>
            <w:r>
              <w:rPr>
                <w:noProof/>
                <w:webHidden/>
              </w:rPr>
              <w:fldChar w:fldCharType="end"/>
            </w:r>
          </w:hyperlink>
        </w:p>
        <w:p w:rsidR="004E0460" w:rsidRDefault="002B769D">
          <w:pPr>
            <w:pStyle w:val="Obsah4"/>
            <w:tabs>
              <w:tab w:val="left" w:pos="1760"/>
              <w:tab w:val="right" w:leader="dot" w:pos="9060"/>
            </w:tabs>
            <w:rPr>
              <w:rFonts w:asciiTheme="minorHAnsi" w:eastAsiaTheme="minorEastAsia" w:hAnsiTheme="minorHAnsi" w:cstheme="minorBidi"/>
              <w:noProof/>
              <w:sz w:val="22"/>
              <w:szCs w:val="22"/>
            </w:rPr>
          </w:pPr>
          <w:hyperlink w:anchor="_Toc233044408" w:history="1">
            <w:r w:rsidR="004E0460" w:rsidRPr="006B3C96">
              <w:rPr>
                <w:rStyle w:val="Hypertextovodkaz"/>
                <w:noProof/>
              </w:rPr>
              <w:t>5.2.1.3</w:t>
            </w:r>
            <w:r w:rsidR="004E0460">
              <w:rPr>
                <w:rFonts w:asciiTheme="minorHAnsi" w:eastAsiaTheme="minorEastAsia" w:hAnsiTheme="minorHAnsi" w:cstheme="minorBidi"/>
                <w:noProof/>
                <w:sz w:val="22"/>
                <w:szCs w:val="22"/>
              </w:rPr>
              <w:tab/>
            </w:r>
            <w:r w:rsidR="004E0460" w:rsidRPr="006B3C96">
              <w:rPr>
                <w:rStyle w:val="Hypertextovodkaz"/>
                <w:noProof/>
              </w:rPr>
              <w:t>Metoda výnosnosti investic</w:t>
            </w:r>
            <w:r w:rsidR="004E0460">
              <w:rPr>
                <w:noProof/>
                <w:webHidden/>
              </w:rPr>
              <w:tab/>
            </w:r>
            <w:r>
              <w:rPr>
                <w:noProof/>
                <w:webHidden/>
              </w:rPr>
              <w:fldChar w:fldCharType="begin"/>
            </w:r>
            <w:r w:rsidR="004E0460">
              <w:rPr>
                <w:noProof/>
                <w:webHidden/>
              </w:rPr>
              <w:instrText xml:space="preserve"> PAGEREF _Toc233044408 \h </w:instrText>
            </w:r>
            <w:r>
              <w:rPr>
                <w:noProof/>
                <w:webHidden/>
              </w:rPr>
            </w:r>
            <w:r>
              <w:rPr>
                <w:noProof/>
                <w:webHidden/>
              </w:rPr>
              <w:fldChar w:fldCharType="separate"/>
            </w:r>
            <w:r w:rsidR="001B1475">
              <w:rPr>
                <w:noProof/>
                <w:webHidden/>
              </w:rPr>
              <w:t>37</w:t>
            </w:r>
            <w:r>
              <w:rPr>
                <w:noProof/>
                <w:webHidden/>
              </w:rPr>
              <w:fldChar w:fldCharType="end"/>
            </w:r>
          </w:hyperlink>
        </w:p>
        <w:p w:rsidR="004E0460" w:rsidRDefault="002B769D">
          <w:pPr>
            <w:pStyle w:val="Obsah3"/>
            <w:tabs>
              <w:tab w:val="left" w:pos="1320"/>
              <w:tab w:val="right" w:leader="dot" w:pos="9060"/>
            </w:tabs>
            <w:rPr>
              <w:rFonts w:asciiTheme="minorHAnsi" w:eastAsiaTheme="minorEastAsia" w:hAnsiTheme="minorHAnsi" w:cstheme="minorBidi"/>
              <w:noProof/>
              <w:sz w:val="22"/>
              <w:szCs w:val="22"/>
            </w:rPr>
          </w:pPr>
          <w:hyperlink w:anchor="_Toc233044409" w:history="1">
            <w:r w:rsidR="004E0460" w:rsidRPr="006B3C96">
              <w:rPr>
                <w:rStyle w:val="Hypertextovodkaz"/>
                <w:noProof/>
              </w:rPr>
              <w:t>5.2.2</w:t>
            </w:r>
            <w:r w:rsidR="004E0460">
              <w:rPr>
                <w:rFonts w:asciiTheme="minorHAnsi" w:eastAsiaTheme="minorEastAsia" w:hAnsiTheme="minorHAnsi" w:cstheme="minorBidi"/>
                <w:noProof/>
                <w:sz w:val="22"/>
                <w:szCs w:val="22"/>
              </w:rPr>
              <w:tab/>
            </w:r>
            <w:r w:rsidR="004E0460" w:rsidRPr="006B3C96">
              <w:rPr>
                <w:rStyle w:val="Hypertextovodkaz"/>
                <w:noProof/>
              </w:rPr>
              <w:t>Dynamické metody hodnocení investičních projektů</w:t>
            </w:r>
            <w:r w:rsidR="004E0460">
              <w:rPr>
                <w:noProof/>
                <w:webHidden/>
              </w:rPr>
              <w:tab/>
            </w:r>
            <w:r>
              <w:rPr>
                <w:noProof/>
                <w:webHidden/>
              </w:rPr>
              <w:fldChar w:fldCharType="begin"/>
            </w:r>
            <w:r w:rsidR="004E0460">
              <w:rPr>
                <w:noProof/>
                <w:webHidden/>
              </w:rPr>
              <w:instrText xml:space="preserve"> PAGEREF _Toc233044409 \h </w:instrText>
            </w:r>
            <w:r>
              <w:rPr>
                <w:noProof/>
                <w:webHidden/>
              </w:rPr>
            </w:r>
            <w:r>
              <w:rPr>
                <w:noProof/>
                <w:webHidden/>
              </w:rPr>
              <w:fldChar w:fldCharType="separate"/>
            </w:r>
            <w:r w:rsidR="001B1475">
              <w:rPr>
                <w:noProof/>
                <w:webHidden/>
              </w:rPr>
              <w:t>37</w:t>
            </w:r>
            <w:r>
              <w:rPr>
                <w:noProof/>
                <w:webHidden/>
              </w:rPr>
              <w:fldChar w:fldCharType="end"/>
            </w:r>
          </w:hyperlink>
        </w:p>
        <w:p w:rsidR="004E0460" w:rsidRDefault="002B769D">
          <w:pPr>
            <w:pStyle w:val="Obsah4"/>
            <w:tabs>
              <w:tab w:val="left" w:pos="1760"/>
              <w:tab w:val="right" w:leader="dot" w:pos="9060"/>
            </w:tabs>
            <w:rPr>
              <w:rFonts w:asciiTheme="minorHAnsi" w:eastAsiaTheme="minorEastAsia" w:hAnsiTheme="minorHAnsi" w:cstheme="minorBidi"/>
              <w:noProof/>
              <w:sz w:val="22"/>
              <w:szCs w:val="22"/>
            </w:rPr>
          </w:pPr>
          <w:hyperlink w:anchor="_Toc233044410" w:history="1">
            <w:r w:rsidR="004E0460" w:rsidRPr="006B3C96">
              <w:rPr>
                <w:rStyle w:val="Hypertextovodkaz"/>
                <w:noProof/>
              </w:rPr>
              <w:t>5.2.2.1</w:t>
            </w:r>
            <w:r w:rsidR="004E0460">
              <w:rPr>
                <w:rFonts w:asciiTheme="minorHAnsi" w:eastAsiaTheme="minorEastAsia" w:hAnsiTheme="minorHAnsi" w:cstheme="minorBidi"/>
                <w:noProof/>
                <w:sz w:val="22"/>
                <w:szCs w:val="22"/>
              </w:rPr>
              <w:tab/>
            </w:r>
            <w:r w:rsidR="004E0460" w:rsidRPr="006B3C96">
              <w:rPr>
                <w:rStyle w:val="Hypertextovodkaz"/>
                <w:noProof/>
              </w:rPr>
              <w:t>Metoda diskontovaných nákladů</w:t>
            </w:r>
            <w:r w:rsidR="004E0460">
              <w:rPr>
                <w:noProof/>
                <w:webHidden/>
              </w:rPr>
              <w:tab/>
            </w:r>
            <w:r>
              <w:rPr>
                <w:noProof/>
                <w:webHidden/>
              </w:rPr>
              <w:fldChar w:fldCharType="begin"/>
            </w:r>
            <w:r w:rsidR="004E0460">
              <w:rPr>
                <w:noProof/>
                <w:webHidden/>
              </w:rPr>
              <w:instrText xml:space="preserve"> PAGEREF _Toc233044410 \h </w:instrText>
            </w:r>
            <w:r>
              <w:rPr>
                <w:noProof/>
                <w:webHidden/>
              </w:rPr>
            </w:r>
            <w:r>
              <w:rPr>
                <w:noProof/>
                <w:webHidden/>
              </w:rPr>
              <w:fldChar w:fldCharType="separate"/>
            </w:r>
            <w:r w:rsidR="001B1475">
              <w:rPr>
                <w:noProof/>
                <w:webHidden/>
              </w:rPr>
              <w:t>37</w:t>
            </w:r>
            <w:r>
              <w:rPr>
                <w:noProof/>
                <w:webHidden/>
              </w:rPr>
              <w:fldChar w:fldCharType="end"/>
            </w:r>
          </w:hyperlink>
        </w:p>
        <w:p w:rsidR="004E0460" w:rsidRDefault="002B769D">
          <w:pPr>
            <w:pStyle w:val="Obsah4"/>
            <w:tabs>
              <w:tab w:val="left" w:pos="1760"/>
              <w:tab w:val="right" w:leader="dot" w:pos="9060"/>
            </w:tabs>
            <w:rPr>
              <w:rFonts w:asciiTheme="minorHAnsi" w:eastAsiaTheme="minorEastAsia" w:hAnsiTheme="minorHAnsi" w:cstheme="minorBidi"/>
              <w:noProof/>
              <w:sz w:val="22"/>
              <w:szCs w:val="22"/>
            </w:rPr>
          </w:pPr>
          <w:hyperlink w:anchor="_Toc233044411" w:history="1">
            <w:r w:rsidR="004E0460" w:rsidRPr="006B3C96">
              <w:rPr>
                <w:rStyle w:val="Hypertextovodkaz"/>
                <w:noProof/>
              </w:rPr>
              <w:t>5.2.2.2</w:t>
            </w:r>
            <w:r w:rsidR="004E0460">
              <w:rPr>
                <w:rFonts w:asciiTheme="minorHAnsi" w:eastAsiaTheme="minorEastAsia" w:hAnsiTheme="minorHAnsi" w:cstheme="minorBidi"/>
                <w:noProof/>
                <w:sz w:val="22"/>
                <w:szCs w:val="22"/>
              </w:rPr>
              <w:tab/>
            </w:r>
            <w:r w:rsidR="004E0460" w:rsidRPr="006B3C96">
              <w:rPr>
                <w:rStyle w:val="Hypertextovodkaz"/>
                <w:noProof/>
              </w:rPr>
              <w:t>Metoda doby návratnosti upravená diskontováním</w:t>
            </w:r>
            <w:r w:rsidR="004E0460">
              <w:rPr>
                <w:noProof/>
                <w:webHidden/>
              </w:rPr>
              <w:tab/>
            </w:r>
            <w:r>
              <w:rPr>
                <w:noProof/>
                <w:webHidden/>
              </w:rPr>
              <w:fldChar w:fldCharType="begin"/>
            </w:r>
            <w:r w:rsidR="004E0460">
              <w:rPr>
                <w:noProof/>
                <w:webHidden/>
              </w:rPr>
              <w:instrText xml:space="preserve"> PAGEREF _Toc233044411 \h </w:instrText>
            </w:r>
            <w:r>
              <w:rPr>
                <w:noProof/>
                <w:webHidden/>
              </w:rPr>
            </w:r>
            <w:r>
              <w:rPr>
                <w:noProof/>
                <w:webHidden/>
              </w:rPr>
              <w:fldChar w:fldCharType="separate"/>
            </w:r>
            <w:r w:rsidR="001B1475">
              <w:rPr>
                <w:noProof/>
                <w:webHidden/>
              </w:rPr>
              <w:t>38</w:t>
            </w:r>
            <w:r>
              <w:rPr>
                <w:noProof/>
                <w:webHidden/>
              </w:rPr>
              <w:fldChar w:fldCharType="end"/>
            </w:r>
          </w:hyperlink>
        </w:p>
        <w:p w:rsidR="004E0460" w:rsidRDefault="002B769D">
          <w:pPr>
            <w:pStyle w:val="Obsah4"/>
            <w:tabs>
              <w:tab w:val="left" w:pos="1760"/>
              <w:tab w:val="right" w:leader="dot" w:pos="9060"/>
            </w:tabs>
            <w:rPr>
              <w:rFonts w:asciiTheme="minorHAnsi" w:eastAsiaTheme="minorEastAsia" w:hAnsiTheme="minorHAnsi" w:cstheme="minorBidi"/>
              <w:noProof/>
              <w:sz w:val="22"/>
              <w:szCs w:val="22"/>
            </w:rPr>
          </w:pPr>
          <w:hyperlink w:anchor="_Toc233044412" w:history="1">
            <w:r w:rsidR="004E0460" w:rsidRPr="006B3C96">
              <w:rPr>
                <w:rStyle w:val="Hypertextovodkaz"/>
                <w:noProof/>
              </w:rPr>
              <w:t>5.2.2.3</w:t>
            </w:r>
            <w:r w:rsidR="004E0460">
              <w:rPr>
                <w:rFonts w:asciiTheme="minorHAnsi" w:eastAsiaTheme="minorEastAsia" w:hAnsiTheme="minorHAnsi" w:cstheme="minorBidi"/>
                <w:noProof/>
                <w:sz w:val="22"/>
                <w:szCs w:val="22"/>
              </w:rPr>
              <w:tab/>
            </w:r>
            <w:r w:rsidR="004E0460" w:rsidRPr="006B3C96">
              <w:rPr>
                <w:rStyle w:val="Hypertextovodkaz"/>
                <w:noProof/>
              </w:rPr>
              <w:t>Metoda čisté současné hodnoty</w:t>
            </w:r>
            <w:r w:rsidR="004E0460">
              <w:rPr>
                <w:noProof/>
                <w:webHidden/>
              </w:rPr>
              <w:tab/>
            </w:r>
            <w:r>
              <w:rPr>
                <w:noProof/>
                <w:webHidden/>
              </w:rPr>
              <w:fldChar w:fldCharType="begin"/>
            </w:r>
            <w:r w:rsidR="004E0460">
              <w:rPr>
                <w:noProof/>
                <w:webHidden/>
              </w:rPr>
              <w:instrText xml:space="preserve"> PAGEREF _Toc233044412 \h </w:instrText>
            </w:r>
            <w:r>
              <w:rPr>
                <w:noProof/>
                <w:webHidden/>
              </w:rPr>
            </w:r>
            <w:r>
              <w:rPr>
                <w:noProof/>
                <w:webHidden/>
              </w:rPr>
              <w:fldChar w:fldCharType="separate"/>
            </w:r>
            <w:r w:rsidR="001B1475">
              <w:rPr>
                <w:noProof/>
                <w:webHidden/>
              </w:rPr>
              <w:t>38</w:t>
            </w:r>
            <w:r>
              <w:rPr>
                <w:noProof/>
                <w:webHidden/>
              </w:rPr>
              <w:fldChar w:fldCharType="end"/>
            </w:r>
          </w:hyperlink>
        </w:p>
        <w:p w:rsidR="004E0460" w:rsidRDefault="002B769D">
          <w:pPr>
            <w:pStyle w:val="Obsah4"/>
            <w:tabs>
              <w:tab w:val="left" w:pos="1760"/>
              <w:tab w:val="right" w:leader="dot" w:pos="9060"/>
            </w:tabs>
            <w:rPr>
              <w:rFonts w:asciiTheme="minorHAnsi" w:eastAsiaTheme="minorEastAsia" w:hAnsiTheme="minorHAnsi" w:cstheme="minorBidi"/>
              <w:noProof/>
              <w:sz w:val="22"/>
              <w:szCs w:val="22"/>
            </w:rPr>
          </w:pPr>
          <w:hyperlink w:anchor="_Toc233044413" w:history="1">
            <w:r w:rsidR="004E0460" w:rsidRPr="006B3C96">
              <w:rPr>
                <w:rStyle w:val="Hypertextovodkaz"/>
                <w:noProof/>
              </w:rPr>
              <w:t>5.2.2.4</w:t>
            </w:r>
            <w:r w:rsidR="004E0460">
              <w:rPr>
                <w:rFonts w:asciiTheme="minorHAnsi" w:eastAsiaTheme="minorEastAsia" w:hAnsiTheme="minorHAnsi" w:cstheme="minorBidi"/>
                <w:noProof/>
                <w:sz w:val="22"/>
                <w:szCs w:val="22"/>
              </w:rPr>
              <w:tab/>
            </w:r>
            <w:r w:rsidR="004E0460" w:rsidRPr="006B3C96">
              <w:rPr>
                <w:rStyle w:val="Hypertextovodkaz"/>
                <w:noProof/>
              </w:rPr>
              <w:t>Metoda indexu rentability</w:t>
            </w:r>
            <w:r w:rsidR="004E0460">
              <w:rPr>
                <w:noProof/>
                <w:webHidden/>
              </w:rPr>
              <w:tab/>
            </w:r>
            <w:r>
              <w:rPr>
                <w:noProof/>
                <w:webHidden/>
              </w:rPr>
              <w:fldChar w:fldCharType="begin"/>
            </w:r>
            <w:r w:rsidR="004E0460">
              <w:rPr>
                <w:noProof/>
                <w:webHidden/>
              </w:rPr>
              <w:instrText xml:space="preserve"> PAGEREF _Toc233044413 \h </w:instrText>
            </w:r>
            <w:r>
              <w:rPr>
                <w:noProof/>
                <w:webHidden/>
              </w:rPr>
            </w:r>
            <w:r>
              <w:rPr>
                <w:noProof/>
                <w:webHidden/>
              </w:rPr>
              <w:fldChar w:fldCharType="separate"/>
            </w:r>
            <w:r w:rsidR="001B1475">
              <w:rPr>
                <w:noProof/>
                <w:webHidden/>
              </w:rPr>
              <w:t>40</w:t>
            </w:r>
            <w:r>
              <w:rPr>
                <w:noProof/>
                <w:webHidden/>
              </w:rPr>
              <w:fldChar w:fldCharType="end"/>
            </w:r>
          </w:hyperlink>
        </w:p>
        <w:p w:rsidR="004E0460" w:rsidRDefault="002B769D">
          <w:pPr>
            <w:pStyle w:val="Obsah4"/>
            <w:tabs>
              <w:tab w:val="left" w:pos="1760"/>
              <w:tab w:val="right" w:leader="dot" w:pos="9060"/>
            </w:tabs>
            <w:rPr>
              <w:rFonts w:asciiTheme="minorHAnsi" w:eastAsiaTheme="minorEastAsia" w:hAnsiTheme="minorHAnsi" w:cstheme="minorBidi"/>
              <w:noProof/>
              <w:sz w:val="22"/>
              <w:szCs w:val="22"/>
            </w:rPr>
          </w:pPr>
          <w:hyperlink w:anchor="_Toc233044414" w:history="1">
            <w:r w:rsidR="004E0460" w:rsidRPr="006B3C96">
              <w:rPr>
                <w:rStyle w:val="Hypertextovodkaz"/>
                <w:noProof/>
              </w:rPr>
              <w:t>5.2.2.5</w:t>
            </w:r>
            <w:r w:rsidR="004E0460">
              <w:rPr>
                <w:rFonts w:asciiTheme="minorHAnsi" w:eastAsiaTheme="minorEastAsia" w:hAnsiTheme="minorHAnsi" w:cstheme="minorBidi"/>
                <w:noProof/>
                <w:sz w:val="22"/>
                <w:szCs w:val="22"/>
              </w:rPr>
              <w:tab/>
            </w:r>
            <w:r w:rsidR="004E0460" w:rsidRPr="006B3C96">
              <w:rPr>
                <w:rStyle w:val="Hypertextovodkaz"/>
                <w:noProof/>
              </w:rPr>
              <w:t>Metoda vnitřního výnosového procenta</w:t>
            </w:r>
            <w:r w:rsidR="004E0460">
              <w:rPr>
                <w:noProof/>
                <w:webHidden/>
              </w:rPr>
              <w:tab/>
            </w:r>
            <w:r>
              <w:rPr>
                <w:noProof/>
                <w:webHidden/>
              </w:rPr>
              <w:fldChar w:fldCharType="begin"/>
            </w:r>
            <w:r w:rsidR="004E0460">
              <w:rPr>
                <w:noProof/>
                <w:webHidden/>
              </w:rPr>
              <w:instrText xml:space="preserve"> PAGEREF _Toc233044414 \h </w:instrText>
            </w:r>
            <w:r>
              <w:rPr>
                <w:noProof/>
                <w:webHidden/>
              </w:rPr>
            </w:r>
            <w:r>
              <w:rPr>
                <w:noProof/>
                <w:webHidden/>
              </w:rPr>
              <w:fldChar w:fldCharType="separate"/>
            </w:r>
            <w:r w:rsidR="001B1475">
              <w:rPr>
                <w:noProof/>
                <w:webHidden/>
              </w:rPr>
              <w:t>41</w:t>
            </w:r>
            <w:r>
              <w:rPr>
                <w:noProof/>
                <w:webHidden/>
              </w:rPr>
              <w:fldChar w:fldCharType="end"/>
            </w:r>
          </w:hyperlink>
        </w:p>
        <w:p w:rsidR="004E0460" w:rsidRDefault="002B769D">
          <w:pPr>
            <w:pStyle w:val="Obsah4"/>
            <w:tabs>
              <w:tab w:val="left" w:pos="1760"/>
              <w:tab w:val="right" w:leader="dot" w:pos="9060"/>
            </w:tabs>
            <w:rPr>
              <w:rFonts w:asciiTheme="minorHAnsi" w:eastAsiaTheme="minorEastAsia" w:hAnsiTheme="minorHAnsi" w:cstheme="minorBidi"/>
              <w:noProof/>
              <w:sz w:val="22"/>
              <w:szCs w:val="22"/>
            </w:rPr>
          </w:pPr>
          <w:hyperlink w:anchor="_Toc233044415" w:history="1">
            <w:r w:rsidR="004E0460" w:rsidRPr="006B3C96">
              <w:rPr>
                <w:rStyle w:val="Hypertextovodkaz"/>
                <w:noProof/>
              </w:rPr>
              <w:t>5.2.2.6</w:t>
            </w:r>
            <w:r w:rsidR="004E0460">
              <w:rPr>
                <w:rFonts w:asciiTheme="minorHAnsi" w:eastAsiaTheme="minorEastAsia" w:hAnsiTheme="minorHAnsi" w:cstheme="minorBidi"/>
                <w:noProof/>
                <w:sz w:val="22"/>
                <w:szCs w:val="22"/>
              </w:rPr>
              <w:tab/>
            </w:r>
            <w:r w:rsidR="004E0460" w:rsidRPr="006B3C96">
              <w:rPr>
                <w:rStyle w:val="Hypertextovodkaz"/>
                <w:noProof/>
              </w:rPr>
              <w:t>Metoda reálných opcí</w:t>
            </w:r>
            <w:r w:rsidR="004E0460">
              <w:rPr>
                <w:noProof/>
                <w:webHidden/>
              </w:rPr>
              <w:tab/>
            </w:r>
            <w:r>
              <w:rPr>
                <w:noProof/>
                <w:webHidden/>
              </w:rPr>
              <w:fldChar w:fldCharType="begin"/>
            </w:r>
            <w:r w:rsidR="004E0460">
              <w:rPr>
                <w:noProof/>
                <w:webHidden/>
              </w:rPr>
              <w:instrText xml:space="preserve"> PAGEREF _Toc233044415 \h </w:instrText>
            </w:r>
            <w:r>
              <w:rPr>
                <w:noProof/>
                <w:webHidden/>
              </w:rPr>
            </w:r>
            <w:r>
              <w:rPr>
                <w:noProof/>
                <w:webHidden/>
              </w:rPr>
              <w:fldChar w:fldCharType="separate"/>
            </w:r>
            <w:r w:rsidR="001B1475">
              <w:rPr>
                <w:noProof/>
                <w:webHidden/>
              </w:rPr>
              <w:t>42</w:t>
            </w:r>
            <w:r>
              <w:rPr>
                <w:noProof/>
                <w:webHidden/>
              </w:rPr>
              <w:fldChar w:fldCharType="end"/>
            </w:r>
          </w:hyperlink>
        </w:p>
        <w:p w:rsidR="004E0460" w:rsidRDefault="002B769D">
          <w:pPr>
            <w:pStyle w:val="Obsah1"/>
            <w:tabs>
              <w:tab w:val="left" w:pos="480"/>
              <w:tab w:val="right" w:leader="dot" w:pos="9060"/>
            </w:tabs>
            <w:rPr>
              <w:rFonts w:asciiTheme="minorHAnsi" w:eastAsiaTheme="minorEastAsia" w:hAnsiTheme="minorHAnsi" w:cstheme="minorBidi"/>
              <w:noProof/>
              <w:sz w:val="22"/>
              <w:szCs w:val="22"/>
            </w:rPr>
          </w:pPr>
          <w:hyperlink w:anchor="_Toc233044418" w:history="1">
            <w:r w:rsidR="004E0460" w:rsidRPr="006B3C96">
              <w:rPr>
                <w:rStyle w:val="Hypertextovodkaz"/>
                <w:noProof/>
              </w:rPr>
              <w:t>6</w:t>
            </w:r>
            <w:r w:rsidR="004E0460">
              <w:rPr>
                <w:rFonts w:asciiTheme="minorHAnsi" w:eastAsiaTheme="minorEastAsia" w:hAnsiTheme="minorHAnsi" w:cstheme="minorBidi"/>
                <w:noProof/>
                <w:sz w:val="22"/>
                <w:szCs w:val="22"/>
              </w:rPr>
              <w:tab/>
            </w:r>
            <w:r w:rsidR="004E0460" w:rsidRPr="006B3C96">
              <w:rPr>
                <w:rStyle w:val="Hypertextovodkaz"/>
                <w:noProof/>
              </w:rPr>
              <w:t>Představení podniku</w:t>
            </w:r>
            <w:r w:rsidR="004E0460">
              <w:rPr>
                <w:noProof/>
                <w:webHidden/>
              </w:rPr>
              <w:tab/>
            </w:r>
            <w:r>
              <w:rPr>
                <w:noProof/>
                <w:webHidden/>
              </w:rPr>
              <w:fldChar w:fldCharType="begin"/>
            </w:r>
            <w:r w:rsidR="004E0460">
              <w:rPr>
                <w:noProof/>
                <w:webHidden/>
              </w:rPr>
              <w:instrText xml:space="preserve"> PAGEREF _Toc233044418 \h </w:instrText>
            </w:r>
            <w:r>
              <w:rPr>
                <w:noProof/>
                <w:webHidden/>
              </w:rPr>
            </w:r>
            <w:r>
              <w:rPr>
                <w:noProof/>
                <w:webHidden/>
              </w:rPr>
              <w:fldChar w:fldCharType="separate"/>
            </w:r>
            <w:r w:rsidR="001B1475">
              <w:rPr>
                <w:noProof/>
                <w:webHidden/>
              </w:rPr>
              <w:t>44</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19" w:history="1">
            <w:r w:rsidR="004E0460" w:rsidRPr="006B3C96">
              <w:rPr>
                <w:rStyle w:val="Hypertextovodkaz"/>
                <w:noProof/>
              </w:rPr>
              <w:t>6.1</w:t>
            </w:r>
            <w:r w:rsidR="004E0460">
              <w:rPr>
                <w:rFonts w:asciiTheme="minorHAnsi" w:eastAsiaTheme="minorEastAsia" w:hAnsiTheme="minorHAnsi" w:cstheme="minorBidi"/>
                <w:noProof/>
                <w:sz w:val="22"/>
                <w:szCs w:val="22"/>
              </w:rPr>
              <w:tab/>
            </w:r>
            <w:r w:rsidR="004E0460" w:rsidRPr="006B3C96">
              <w:rPr>
                <w:rStyle w:val="Hypertextovodkaz"/>
                <w:noProof/>
              </w:rPr>
              <w:t>Oblast působnosti a výkonové charakteristiky</w:t>
            </w:r>
            <w:r w:rsidR="004E0460">
              <w:rPr>
                <w:noProof/>
                <w:webHidden/>
              </w:rPr>
              <w:tab/>
            </w:r>
            <w:r>
              <w:rPr>
                <w:noProof/>
                <w:webHidden/>
              </w:rPr>
              <w:fldChar w:fldCharType="begin"/>
            </w:r>
            <w:r w:rsidR="004E0460">
              <w:rPr>
                <w:noProof/>
                <w:webHidden/>
              </w:rPr>
              <w:instrText xml:space="preserve"> PAGEREF _Toc233044419 \h </w:instrText>
            </w:r>
            <w:r>
              <w:rPr>
                <w:noProof/>
                <w:webHidden/>
              </w:rPr>
            </w:r>
            <w:r>
              <w:rPr>
                <w:noProof/>
                <w:webHidden/>
              </w:rPr>
              <w:fldChar w:fldCharType="separate"/>
            </w:r>
            <w:r w:rsidR="001B1475">
              <w:rPr>
                <w:noProof/>
                <w:webHidden/>
              </w:rPr>
              <w:t>44</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20" w:history="1">
            <w:r w:rsidR="004E0460" w:rsidRPr="006B3C96">
              <w:rPr>
                <w:rStyle w:val="Hypertextovodkaz"/>
                <w:noProof/>
              </w:rPr>
              <w:t>6.2</w:t>
            </w:r>
            <w:r w:rsidR="004E0460">
              <w:rPr>
                <w:rFonts w:asciiTheme="minorHAnsi" w:eastAsiaTheme="minorEastAsia" w:hAnsiTheme="minorHAnsi" w:cstheme="minorBidi"/>
                <w:noProof/>
                <w:sz w:val="22"/>
                <w:szCs w:val="22"/>
              </w:rPr>
              <w:tab/>
            </w:r>
            <w:r w:rsidR="004E0460" w:rsidRPr="006B3C96">
              <w:rPr>
                <w:rStyle w:val="Hypertextovodkaz"/>
                <w:noProof/>
              </w:rPr>
              <w:t>Organizační struktura podniku a působnost podnikových útvarů v rámci investičního procesu</w:t>
            </w:r>
            <w:r w:rsidR="004E0460">
              <w:rPr>
                <w:noProof/>
                <w:webHidden/>
              </w:rPr>
              <w:tab/>
            </w:r>
            <w:r>
              <w:rPr>
                <w:noProof/>
                <w:webHidden/>
              </w:rPr>
              <w:fldChar w:fldCharType="begin"/>
            </w:r>
            <w:r w:rsidR="004E0460">
              <w:rPr>
                <w:noProof/>
                <w:webHidden/>
              </w:rPr>
              <w:instrText xml:space="preserve"> PAGEREF _Toc233044420 \h </w:instrText>
            </w:r>
            <w:r>
              <w:rPr>
                <w:noProof/>
                <w:webHidden/>
              </w:rPr>
            </w:r>
            <w:r>
              <w:rPr>
                <w:noProof/>
                <w:webHidden/>
              </w:rPr>
              <w:fldChar w:fldCharType="separate"/>
            </w:r>
            <w:r w:rsidR="001B1475">
              <w:rPr>
                <w:noProof/>
                <w:webHidden/>
              </w:rPr>
              <w:t>46</w:t>
            </w:r>
            <w:r>
              <w:rPr>
                <w:noProof/>
                <w:webHidden/>
              </w:rPr>
              <w:fldChar w:fldCharType="end"/>
            </w:r>
          </w:hyperlink>
        </w:p>
        <w:p w:rsidR="004E0460" w:rsidRDefault="002B769D">
          <w:pPr>
            <w:pStyle w:val="Obsah1"/>
            <w:tabs>
              <w:tab w:val="left" w:pos="480"/>
              <w:tab w:val="right" w:leader="dot" w:pos="9060"/>
            </w:tabs>
            <w:rPr>
              <w:rFonts w:asciiTheme="minorHAnsi" w:eastAsiaTheme="minorEastAsia" w:hAnsiTheme="minorHAnsi" w:cstheme="minorBidi"/>
              <w:noProof/>
              <w:sz w:val="22"/>
              <w:szCs w:val="22"/>
            </w:rPr>
          </w:pPr>
          <w:hyperlink w:anchor="_Toc233044421" w:history="1">
            <w:r w:rsidR="004E0460" w:rsidRPr="006B3C96">
              <w:rPr>
                <w:rStyle w:val="Hypertextovodkaz"/>
                <w:noProof/>
              </w:rPr>
              <w:t>7</w:t>
            </w:r>
            <w:r w:rsidR="004E0460">
              <w:rPr>
                <w:rFonts w:asciiTheme="minorHAnsi" w:eastAsiaTheme="minorEastAsia" w:hAnsiTheme="minorHAnsi" w:cstheme="minorBidi"/>
                <w:noProof/>
                <w:sz w:val="22"/>
                <w:szCs w:val="22"/>
              </w:rPr>
              <w:tab/>
            </w:r>
            <w:r w:rsidR="004E0460" w:rsidRPr="006B3C96">
              <w:rPr>
                <w:rStyle w:val="Hypertextovodkaz"/>
                <w:noProof/>
              </w:rPr>
              <w:t>Analýza postupů a metod hodnocení investičních projektů v podniku</w:t>
            </w:r>
            <w:r w:rsidR="004E0460">
              <w:rPr>
                <w:noProof/>
                <w:webHidden/>
              </w:rPr>
              <w:tab/>
            </w:r>
            <w:r>
              <w:rPr>
                <w:noProof/>
                <w:webHidden/>
              </w:rPr>
              <w:fldChar w:fldCharType="begin"/>
            </w:r>
            <w:r w:rsidR="004E0460">
              <w:rPr>
                <w:noProof/>
                <w:webHidden/>
              </w:rPr>
              <w:instrText xml:space="preserve"> PAGEREF _Toc233044421 \h </w:instrText>
            </w:r>
            <w:r>
              <w:rPr>
                <w:noProof/>
                <w:webHidden/>
              </w:rPr>
            </w:r>
            <w:r>
              <w:rPr>
                <w:noProof/>
                <w:webHidden/>
              </w:rPr>
              <w:fldChar w:fldCharType="separate"/>
            </w:r>
            <w:r w:rsidR="001B1475">
              <w:rPr>
                <w:noProof/>
                <w:webHidden/>
              </w:rPr>
              <w:t>49</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22" w:history="1">
            <w:r w:rsidR="004E0460" w:rsidRPr="006B3C96">
              <w:rPr>
                <w:rStyle w:val="Hypertextovodkaz"/>
                <w:noProof/>
              </w:rPr>
              <w:t>7.1</w:t>
            </w:r>
            <w:r w:rsidR="004E0460">
              <w:rPr>
                <w:rFonts w:asciiTheme="minorHAnsi" w:eastAsiaTheme="minorEastAsia" w:hAnsiTheme="minorHAnsi" w:cstheme="minorBidi"/>
                <w:noProof/>
                <w:sz w:val="22"/>
                <w:szCs w:val="22"/>
              </w:rPr>
              <w:tab/>
            </w:r>
            <w:r w:rsidR="004E0460" w:rsidRPr="006B3C96">
              <w:rPr>
                <w:rStyle w:val="Hypertextovodkaz"/>
                <w:noProof/>
              </w:rPr>
              <w:t>Plánování podnikových investic a jejich klasifikace</w:t>
            </w:r>
            <w:r w:rsidR="004E0460">
              <w:rPr>
                <w:noProof/>
                <w:webHidden/>
              </w:rPr>
              <w:tab/>
            </w:r>
            <w:r>
              <w:rPr>
                <w:noProof/>
                <w:webHidden/>
              </w:rPr>
              <w:fldChar w:fldCharType="begin"/>
            </w:r>
            <w:r w:rsidR="004E0460">
              <w:rPr>
                <w:noProof/>
                <w:webHidden/>
              </w:rPr>
              <w:instrText xml:space="preserve"> PAGEREF _Toc233044422 \h </w:instrText>
            </w:r>
            <w:r>
              <w:rPr>
                <w:noProof/>
                <w:webHidden/>
              </w:rPr>
            </w:r>
            <w:r>
              <w:rPr>
                <w:noProof/>
                <w:webHidden/>
              </w:rPr>
              <w:fldChar w:fldCharType="separate"/>
            </w:r>
            <w:r w:rsidR="001B1475">
              <w:rPr>
                <w:noProof/>
                <w:webHidden/>
              </w:rPr>
              <w:t>49</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23" w:history="1">
            <w:r w:rsidR="004E0460" w:rsidRPr="006B3C96">
              <w:rPr>
                <w:rStyle w:val="Hypertextovodkaz"/>
                <w:noProof/>
              </w:rPr>
              <w:t>7.2</w:t>
            </w:r>
            <w:r w:rsidR="004E0460">
              <w:rPr>
                <w:rFonts w:asciiTheme="minorHAnsi" w:eastAsiaTheme="minorEastAsia" w:hAnsiTheme="minorHAnsi" w:cstheme="minorBidi"/>
                <w:noProof/>
                <w:sz w:val="22"/>
                <w:szCs w:val="22"/>
              </w:rPr>
              <w:tab/>
            </w:r>
            <w:r w:rsidR="004E0460" w:rsidRPr="006B3C96">
              <w:rPr>
                <w:rStyle w:val="Hypertextovodkaz"/>
                <w:noProof/>
              </w:rPr>
              <w:t>Jednotlivé fáze podnikového investičního procesu</w:t>
            </w:r>
            <w:r w:rsidR="004E0460">
              <w:rPr>
                <w:noProof/>
                <w:webHidden/>
              </w:rPr>
              <w:tab/>
            </w:r>
            <w:r>
              <w:rPr>
                <w:noProof/>
                <w:webHidden/>
              </w:rPr>
              <w:fldChar w:fldCharType="begin"/>
            </w:r>
            <w:r w:rsidR="004E0460">
              <w:rPr>
                <w:noProof/>
                <w:webHidden/>
              </w:rPr>
              <w:instrText xml:space="preserve"> PAGEREF _Toc233044423 \h </w:instrText>
            </w:r>
            <w:r>
              <w:rPr>
                <w:noProof/>
                <w:webHidden/>
              </w:rPr>
            </w:r>
            <w:r>
              <w:rPr>
                <w:noProof/>
                <w:webHidden/>
              </w:rPr>
              <w:fldChar w:fldCharType="separate"/>
            </w:r>
            <w:r w:rsidR="001B1475">
              <w:rPr>
                <w:noProof/>
                <w:webHidden/>
              </w:rPr>
              <w:t>53</w:t>
            </w:r>
            <w:r>
              <w:rPr>
                <w:noProof/>
                <w:webHidden/>
              </w:rPr>
              <w:fldChar w:fldCharType="end"/>
            </w:r>
          </w:hyperlink>
        </w:p>
        <w:p w:rsidR="004E0460" w:rsidRDefault="002B769D">
          <w:pPr>
            <w:pStyle w:val="Obsah3"/>
            <w:tabs>
              <w:tab w:val="left" w:pos="1320"/>
              <w:tab w:val="right" w:leader="dot" w:pos="9060"/>
            </w:tabs>
            <w:rPr>
              <w:rFonts w:asciiTheme="minorHAnsi" w:eastAsiaTheme="minorEastAsia" w:hAnsiTheme="minorHAnsi" w:cstheme="minorBidi"/>
              <w:noProof/>
              <w:sz w:val="22"/>
              <w:szCs w:val="22"/>
            </w:rPr>
          </w:pPr>
          <w:hyperlink w:anchor="_Toc233044424" w:history="1">
            <w:r w:rsidR="004E0460" w:rsidRPr="006B3C96">
              <w:rPr>
                <w:rStyle w:val="Hypertextovodkaz"/>
                <w:noProof/>
              </w:rPr>
              <w:t>7.2.1</w:t>
            </w:r>
            <w:r w:rsidR="004E0460">
              <w:rPr>
                <w:rFonts w:asciiTheme="minorHAnsi" w:eastAsiaTheme="minorEastAsia" w:hAnsiTheme="minorHAnsi" w:cstheme="minorBidi"/>
                <w:noProof/>
                <w:sz w:val="22"/>
                <w:szCs w:val="22"/>
              </w:rPr>
              <w:tab/>
            </w:r>
            <w:r w:rsidR="004E0460" w:rsidRPr="006B3C96">
              <w:rPr>
                <w:rStyle w:val="Hypertextovodkaz"/>
                <w:noProof/>
              </w:rPr>
              <w:t>Předinvestiční a investiční fáze podnikového investičního procesu</w:t>
            </w:r>
            <w:r w:rsidR="004E0460">
              <w:rPr>
                <w:noProof/>
                <w:webHidden/>
              </w:rPr>
              <w:tab/>
            </w:r>
            <w:r>
              <w:rPr>
                <w:noProof/>
                <w:webHidden/>
              </w:rPr>
              <w:fldChar w:fldCharType="begin"/>
            </w:r>
            <w:r w:rsidR="004E0460">
              <w:rPr>
                <w:noProof/>
                <w:webHidden/>
              </w:rPr>
              <w:instrText xml:space="preserve"> PAGEREF _Toc233044424 \h </w:instrText>
            </w:r>
            <w:r>
              <w:rPr>
                <w:noProof/>
                <w:webHidden/>
              </w:rPr>
            </w:r>
            <w:r>
              <w:rPr>
                <w:noProof/>
                <w:webHidden/>
              </w:rPr>
              <w:fldChar w:fldCharType="separate"/>
            </w:r>
            <w:r w:rsidR="001B1475">
              <w:rPr>
                <w:noProof/>
                <w:webHidden/>
              </w:rPr>
              <w:t>53</w:t>
            </w:r>
            <w:r>
              <w:rPr>
                <w:noProof/>
                <w:webHidden/>
              </w:rPr>
              <w:fldChar w:fldCharType="end"/>
            </w:r>
          </w:hyperlink>
        </w:p>
        <w:p w:rsidR="004E0460" w:rsidRDefault="002B769D">
          <w:pPr>
            <w:pStyle w:val="Obsah3"/>
            <w:tabs>
              <w:tab w:val="left" w:pos="1320"/>
              <w:tab w:val="right" w:leader="dot" w:pos="9060"/>
            </w:tabs>
            <w:rPr>
              <w:rFonts w:asciiTheme="minorHAnsi" w:eastAsiaTheme="minorEastAsia" w:hAnsiTheme="minorHAnsi" w:cstheme="minorBidi"/>
              <w:noProof/>
              <w:sz w:val="22"/>
              <w:szCs w:val="22"/>
            </w:rPr>
          </w:pPr>
          <w:hyperlink w:anchor="_Toc233044425" w:history="1">
            <w:r w:rsidR="004E0460" w:rsidRPr="006B3C96">
              <w:rPr>
                <w:rStyle w:val="Hypertextovodkaz"/>
                <w:noProof/>
              </w:rPr>
              <w:t>7.2.2</w:t>
            </w:r>
            <w:r w:rsidR="004E0460">
              <w:rPr>
                <w:rFonts w:asciiTheme="minorHAnsi" w:eastAsiaTheme="minorEastAsia" w:hAnsiTheme="minorHAnsi" w:cstheme="minorBidi"/>
                <w:noProof/>
                <w:sz w:val="22"/>
                <w:szCs w:val="22"/>
              </w:rPr>
              <w:tab/>
            </w:r>
            <w:r w:rsidR="004E0460" w:rsidRPr="006B3C96">
              <w:rPr>
                <w:rStyle w:val="Hypertextovodkaz"/>
                <w:noProof/>
              </w:rPr>
              <w:t>Provozní fáze podnikového investičního procesu</w:t>
            </w:r>
            <w:r w:rsidR="004E0460">
              <w:rPr>
                <w:noProof/>
                <w:webHidden/>
              </w:rPr>
              <w:tab/>
            </w:r>
            <w:r>
              <w:rPr>
                <w:noProof/>
                <w:webHidden/>
              </w:rPr>
              <w:fldChar w:fldCharType="begin"/>
            </w:r>
            <w:r w:rsidR="004E0460">
              <w:rPr>
                <w:noProof/>
                <w:webHidden/>
              </w:rPr>
              <w:instrText xml:space="preserve"> PAGEREF _Toc233044425 \h </w:instrText>
            </w:r>
            <w:r>
              <w:rPr>
                <w:noProof/>
                <w:webHidden/>
              </w:rPr>
            </w:r>
            <w:r>
              <w:rPr>
                <w:noProof/>
                <w:webHidden/>
              </w:rPr>
              <w:fldChar w:fldCharType="separate"/>
            </w:r>
            <w:r w:rsidR="001B1475">
              <w:rPr>
                <w:noProof/>
                <w:webHidden/>
              </w:rPr>
              <w:t>61</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26" w:history="1">
            <w:r w:rsidR="004E0460" w:rsidRPr="006B3C96">
              <w:rPr>
                <w:rStyle w:val="Hypertextovodkaz"/>
                <w:noProof/>
              </w:rPr>
              <w:t>7.3</w:t>
            </w:r>
            <w:r w:rsidR="004E0460">
              <w:rPr>
                <w:rFonts w:asciiTheme="minorHAnsi" w:eastAsiaTheme="minorEastAsia" w:hAnsiTheme="minorHAnsi" w:cstheme="minorBidi"/>
                <w:noProof/>
                <w:sz w:val="22"/>
                <w:szCs w:val="22"/>
              </w:rPr>
              <w:tab/>
            </w:r>
            <w:r w:rsidR="004E0460" w:rsidRPr="006B3C96">
              <w:rPr>
                <w:rStyle w:val="Hypertextovodkaz"/>
                <w:noProof/>
              </w:rPr>
              <w:t>Určení peněžních toků investičních projektů</w:t>
            </w:r>
            <w:r w:rsidR="004E0460">
              <w:rPr>
                <w:noProof/>
                <w:webHidden/>
              </w:rPr>
              <w:tab/>
            </w:r>
            <w:r>
              <w:rPr>
                <w:noProof/>
                <w:webHidden/>
              </w:rPr>
              <w:fldChar w:fldCharType="begin"/>
            </w:r>
            <w:r w:rsidR="004E0460">
              <w:rPr>
                <w:noProof/>
                <w:webHidden/>
              </w:rPr>
              <w:instrText xml:space="preserve"> PAGEREF _Toc233044426 \h </w:instrText>
            </w:r>
            <w:r>
              <w:rPr>
                <w:noProof/>
                <w:webHidden/>
              </w:rPr>
            </w:r>
            <w:r>
              <w:rPr>
                <w:noProof/>
                <w:webHidden/>
              </w:rPr>
              <w:fldChar w:fldCharType="separate"/>
            </w:r>
            <w:r w:rsidR="001B1475">
              <w:rPr>
                <w:noProof/>
                <w:webHidden/>
              </w:rPr>
              <w:t>63</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27" w:history="1">
            <w:r w:rsidR="004E0460" w:rsidRPr="006B3C96">
              <w:rPr>
                <w:rStyle w:val="Hypertextovodkaz"/>
                <w:noProof/>
              </w:rPr>
              <w:t>7.4</w:t>
            </w:r>
            <w:r w:rsidR="004E0460">
              <w:rPr>
                <w:rFonts w:asciiTheme="minorHAnsi" w:eastAsiaTheme="minorEastAsia" w:hAnsiTheme="minorHAnsi" w:cstheme="minorBidi"/>
                <w:noProof/>
                <w:sz w:val="22"/>
                <w:szCs w:val="22"/>
              </w:rPr>
              <w:tab/>
            </w:r>
            <w:r w:rsidR="004E0460" w:rsidRPr="006B3C96">
              <w:rPr>
                <w:rStyle w:val="Hypertextovodkaz"/>
                <w:noProof/>
              </w:rPr>
              <w:t>Určení podnikové diskontní sazby</w:t>
            </w:r>
            <w:r w:rsidR="004E0460">
              <w:rPr>
                <w:noProof/>
                <w:webHidden/>
              </w:rPr>
              <w:tab/>
            </w:r>
            <w:r>
              <w:rPr>
                <w:noProof/>
                <w:webHidden/>
              </w:rPr>
              <w:fldChar w:fldCharType="begin"/>
            </w:r>
            <w:r w:rsidR="004E0460">
              <w:rPr>
                <w:noProof/>
                <w:webHidden/>
              </w:rPr>
              <w:instrText xml:space="preserve"> PAGEREF _Toc233044427 \h </w:instrText>
            </w:r>
            <w:r>
              <w:rPr>
                <w:noProof/>
                <w:webHidden/>
              </w:rPr>
            </w:r>
            <w:r>
              <w:rPr>
                <w:noProof/>
                <w:webHidden/>
              </w:rPr>
              <w:fldChar w:fldCharType="separate"/>
            </w:r>
            <w:r w:rsidR="001B1475">
              <w:rPr>
                <w:noProof/>
                <w:webHidden/>
              </w:rPr>
              <w:t>65</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28" w:history="1">
            <w:r w:rsidR="004E0460" w:rsidRPr="006B3C96">
              <w:rPr>
                <w:rStyle w:val="Hypertextovodkaz"/>
                <w:noProof/>
              </w:rPr>
              <w:t>7.5</w:t>
            </w:r>
            <w:r w:rsidR="004E0460">
              <w:rPr>
                <w:rFonts w:asciiTheme="minorHAnsi" w:eastAsiaTheme="minorEastAsia" w:hAnsiTheme="minorHAnsi" w:cstheme="minorBidi"/>
                <w:noProof/>
                <w:sz w:val="22"/>
                <w:szCs w:val="22"/>
              </w:rPr>
              <w:tab/>
            </w:r>
            <w:r w:rsidR="004E0460" w:rsidRPr="006B3C96">
              <w:rPr>
                <w:rStyle w:val="Hypertextovodkaz"/>
                <w:noProof/>
              </w:rPr>
              <w:t>Zohlednění inflace v investičním rozhodování</w:t>
            </w:r>
            <w:r w:rsidR="004E0460">
              <w:rPr>
                <w:noProof/>
                <w:webHidden/>
              </w:rPr>
              <w:tab/>
            </w:r>
            <w:r>
              <w:rPr>
                <w:noProof/>
                <w:webHidden/>
              </w:rPr>
              <w:fldChar w:fldCharType="begin"/>
            </w:r>
            <w:r w:rsidR="004E0460">
              <w:rPr>
                <w:noProof/>
                <w:webHidden/>
              </w:rPr>
              <w:instrText xml:space="preserve"> PAGEREF _Toc233044428 \h </w:instrText>
            </w:r>
            <w:r>
              <w:rPr>
                <w:noProof/>
                <w:webHidden/>
              </w:rPr>
            </w:r>
            <w:r>
              <w:rPr>
                <w:noProof/>
                <w:webHidden/>
              </w:rPr>
              <w:fldChar w:fldCharType="separate"/>
            </w:r>
            <w:r w:rsidR="001B1475">
              <w:rPr>
                <w:noProof/>
                <w:webHidden/>
              </w:rPr>
              <w:t>68</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29" w:history="1">
            <w:r w:rsidR="004E0460" w:rsidRPr="006B3C96">
              <w:rPr>
                <w:rStyle w:val="Hypertextovodkaz"/>
                <w:noProof/>
              </w:rPr>
              <w:t>7.6</w:t>
            </w:r>
            <w:r w:rsidR="004E0460">
              <w:rPr>
                <w:rFonts w:asciiTheme="minorHAnsi" w:eastAsiaTheme="minorEastAsia" w:hAnsiTheme="minorHAnsi" w:cstheme="minorBidi"/>
                <w:noProof/>
                <w:sz w:val="22"/>
                <w:szCs w:val="22"/>
              </w:rPr>
              <w:tab/>
            </w:r>
            <w:r w:rsidR="004E0460" w:rsidRPr="006B3C96">
              <w:rPr>
                <w:rStyle w:val="Hypertextovodkaz"/>
                <w:noProof/>
              </w:rPr>
              <w:t>Zohlednění rizika v investičním rozhodování</w:t>
            </w:r>
            <w:r w:rsidR="004E0460">
              <w:rPr>
                <w:noProof/>
                <w:webHidden/>
              </w:rPr>
              <w:tab/>
            </w:r>
            <w:r>
              <w:rPr>
                <w:noProof/>
                <w:webHidden/>
              </w:rPr>
              <w:fldChar w:fldCharType="begin"/>
            </w:r>
            <w:r w:rsidR="004E0460">
              <w:rPr>
                <w:noProof/>
                <w:webHidden/>
              </w:rPr>
              <w:instrText xml:space="preserve"> PAGEREF _Toc233044429 \h </w:instrText>
            </w:r>
            <w:r>
              <w:rPr>
                <w:noProof/>
                <w:webHidden/>
              </w:rPr>
            </w:r>
            <w:r>
              <w:rPr>
                <w:noProof/>
                <w:webHidden/>
              </w:rPr>
              <w:fldChar w:fldCharType="separate"/>
            </w:r>
            <w:r w:rsidR="001B1475">
              <w:rPr>
                <w:noProof/>
                <w:webHidden/>
              </w:rPr>
              <w:t>69</w:t>
            </w:r>
            <w:r>
              <w:rPr>
                <w:noProof/>
                <w:webHidden/>
              </w:rPr>
              <w:fldChar w:fldCharType="end"/>
            </w:r>
          </w:hyperlink>
        </w:p>
        <w:p w:rsidR="004E0460" w:rsidRDefault="002B769D">
          <w:pPr>
            <w:pStyle w:val="Obsah2"/>
            <w:tabs>
              <w:tab w:val="left" w:pos="880"/>
              <w:tab w:val="right" w:leader="dot" w:pos="9060"/>
            </w:tabs>
            <w:rPr>
              <w:rFonts w:asciiTheme="minorHAnsi" w:eastAsiaTheme="minorEastAsia" w:hAnsiTheme="minorHAnsi" w:cstheme="minorBidi"/>
              <w:noProof/>
              <w:sz w:val="22"/>
              <w:szCs w:val="22"/>
            </w:rPr>
          </w:pPr>
          <w:hyperlink w:anchor="_Toc233044430" w:history="1">
            <w:r w:rsidR="004E0460" w:rsidRPr="006B3C96">
              <w:rPr>
                <w:rStyle w:val="Hypertextovodkaz"/>
                <w:noProof/>
              </w:rPr>
              <w:t>7.7</w:t>
            </w:r>
            <w:r w:rsidR="004E0460">
              <w:rPr>
                <w:rFonts w:asciiTheme="minorHAnsi" w:eastAsiaTheme="minorEastAsia" w:hAnsiTheme="minorHAnsi" w:cstheme="minorBidi"/>
                <w:noProof/>
                <w:sz w:val="22"/>
                <w:szCs w:val="22"/>
              </w:rPr>
              <w:tab/>
            </w:r>
            <w:r w:rsidR="004E0460" w:rsidRPr="006B3C96">
              <w:rPr>
                <w:rStyle w:val="Hypertextovodkaz"/>
                <w:noProof/>
              </w:rPr>
              <w:t>Metody hodnocení ekonomické efektivnosti investičních projektů a posouzení možností užití alternativních metod</w:t>
            </w:r>
            <w:r w:rsidR="004E0460">
              <w:rPr>
                <w:noProof/>
                <w:webHidden/>
              </w:rPr>
              <w:tab/>
            </w:r>
            <w:r>
              <w:rPr>
                <w:noProof/>
                <w:webHidden/>
              </w:rPr>
              <w:fldChar w:fldCharType="begin"/>
            </w:r>
            <w:r w:rsidR="004E0460">
              <w:rPr>
                <w:noProof/>
                <w:webHidden/>
              </w:rPr>
              <w:instrText xml:space="preserve"> PAGEREF _Toc233044430 \h </w:instrText>
            </w:r>
            <w:r>
              <w:rPr>
                <w:noProof/>
                <w:webHidden/>
              </w:rPr>
            </w:r>
            <w:r>
              <w:rPr>
                <w:noProof/>
                <w:webHidden/>
              </w:rPr>
              <w:fldChar w:fldCharType="separate"/>
            </w:r>
            <w:r w:rsidR="001B1475">
              <w:rPr>
                <w:noProof/>
                <w:webHidden/>
              </w:rPr>
              <w:t>72</w:t>
            </w:r>
            <w:r>
              <w:rPr>
                <w:noProof/>
                <w:webHidden/>
              </w:rPr>
              <w:fldChar w:fldCharType="end"/>
            </w:r>
          </w:hyperlink>
        </w:p>
        <w:p w:rsidR="004E0460" w:rsidRDefault="002B769D">
          <w:pPr>
            <w:pStyle w:val="Obsah1"/>
            <w:tabs>
              <w:tab w:val="right" w:leader="dot" w:pos="9060"/>
            </w:tabs>
            <w:rPr>
              <w:rFonts w:asciiTheme="minorHAnsi" w:eastAsiaTheme="minorEastAsia" w:hAnsiTheme="minorHAnsi" w:cstheme="minorBidi"/>
              <w:noProof/>
              <w:sz w:val="22"/>
              <w:szCs w:val="22"/>
            </w:rPr>
          </w:pPr>
          <w:hyperlink w:anchor="_Toc233044431" w:history="1">
            <w:r w:rsidR="004E0460" w:rsidRPr="006B3C96">
              <w:rPr>
                <w:rStyle w:val="Hypertextovodkaz"/>
                <w:noProof/>
              </w:rPr>
              <w:t>Závěr</w:t>
            </w:r>
            <w:r w:rsidR="004E0460">
              <w:rPr>
                <w:noProof/>
                <w:webHidden/>
              </w:rPr>
              <w:tab/>
            </w:r>
            <w:r>
              <w:rPr>
                <w:noProof/>
                <w:webHidden/>
              </w:rPr>
              <w:fldChar w:fldCharType="begin"/>
            </w:r>
            <w:r w:rsidR="004E0460">
              <w:rPr>
                <w:noProof/>
                <w:webHidden/>
              </w:rPr>
              <w:instrText xml:space="preserve"> PAGEREF _Toc233044431 \h </w:instrText>
            </w:r>
            <w:r>
              <w:rPr>
                <w:noProof/>
                <w:webHidden/>
              </w:rPr>
            </w:r>
            <w:r>
              <w:rPr>
                <w:noProof/>
                <w:webHidden/>
              </w:rPr>
              <w:fldChar w:fldCharType="separate"/>
            </w:r>
            <w:r w:rsidR="001B1475">
              <w:rPr>
                <w:noProof/>
                <w:webHidden/>
              </w:rPr>
              <w:t>75</w:t>
            </w:r>
            <w:r>
              <w:rPr>
                <w:noProof/>
                <w:webHidden/>
              </w:rPr>
              <w:fldChar w:fldCharType="end"/>
            </w:r>
          </w:hyperlink>
        </w:p>
        <w:p w:rsidR="004E0460" w:rsidRDefault="002B769D">
          <w:pPr>
            <w:pStyle w:val="Obsah1"/>
            <w:tabs>
              <w:tab w:val="right" w:leader="dot" w:pos="9060"/>
            </w:tabs>
            <w:rPr>
              <w:rFonts w:asciiTheme="minorHAnsi" w:eastAsiaTheme="minorEastAsia" w:hAnsiTheme="minorHAnsi" w:cstheme="minorBidi"/>
              <w:noProof/>
              <w:sz w:val="22"/>
              <w:szCs w:val="22"/>
            </w:rPr>
          </w:pPr>
          <w:hyperlink w:anchor="_Toc233044432" w:history="1">
            <w:r w:rsidR="004E0460" w:rsidRPr="006B3C96">
              <w:rPr>
                <w:rStyle w:val="Hypertextovodkaz"/>
                <w:noProof/>
              </w:rPr>
              <w:t>Seznam použité literatury</w:t>
            </w:r>
            <w:r w:rsidR="004E0460">
              <w:rPr>
                <w:noProof/>
                <w:webHidden/>
              </w:rPr>
              <w:tab/>
            </w:r>
            <w:r>
              <w:rPr>
                <w:noProof/>
                <w:webHidden/>
              </w:rPr>
              <w:fldChar w:fldCharType="begin"/>
            </w:r>
            <w:r w:rsidR="004E0460">
              <w:rPr>
                <w:noProof/>
                <w:webHidden/>
              </w:rPr>
              <w:instrText xml:space="preserve"> PAGEREF _Toc233044432 \h </w:instrText>
            </w:r>
            <w:r>
              <w:rPr>
                <w:noProof/>
                <w:webHidden/>
              </w:rPr>
            </w:r>
            <w:r>
              <w:rPr>
                <w:noProof/>
                <w:webHidden/>
              </w:rPr>
              <w:fldChar w:fldCharType="separate"/>
            </w:r>
            <w:r w:rsidR="001B1475">
              <w:rPr>
                <w:noProof/>
                <w:webHidden/>
              </w:rPr>
              <w:t>78</w:t>
            </w:r>
            <w:r>
              <w:rPr>
                <w:noProof/>
                <w:webHidden/>
              </w:rPr>
              <w:fldChar w:fldCharType="end"/>
            </w:r>
          </w:hyperlink>
        </w:p>
        <w:p w:rsidR="004E0460" w:rsidRDefault="002B769D">
          <w:pPr>
            <w:pStyle w:val="Obsah1"/>
            <w:tabs>
              <w:tab w:val="right" w:leader="dot" w:pos="9060"/>
            </w:tabs>
            <w:rPr>
              <w:rFonts w:asciiTheme="minorHAnsi" w:eastAsiaTheme="minorEastAsia" w:hAnsiTheme="minorHAnsi" w:cstheme="minorBidi"/>
              <w:noProof/>
              <w:sz w:val="22"/>
              <w:szCs w:val="22"/>
            </w:rPr>
          </w:pPr>
          <w:hyperlink w:anchor="_Toc233044433" w:history="1">
            <w:r w:rsidR="004E0460" w:rsidRPr="006B3C96">
              <w:rPr>
                <w:rStyle w:val="Hypertextovodkaz"/>
                <w:noProof/>
              </w:rPr>
              <w:t>Seznam tabulek</w:t>
            </w:r>
            <w:r w:rsidR="004E0460">
              <w:rPr>
                <w:noProof/>
                <w:webHidden/>
              </w:rPr>
              <w:tab/>
            </w:r>
            <w:r>
              <w:rPr>
                <w:noProof/>
                <w:webHidden/>
              </w:rPr>
              <w:fldChar w:fldCharType="begin"/>
            </w:r>
            <w:r w:rsidR="004E0460">
              <w:rPr>
                <w:noProof/>
                <w:webHidden/>
              </w:rPr>
              <w:instrText xml:space="preserve"> PAGEREF _Toc233044433 \h </w:instrText>
            </w:r>
            <w:r>
              <w:rPr>
                <w:noProof/>
                <w:webHidden/>
              </w:rPr>
            </w:r>
            <w:r>
              <w:rPr>
                <w:noProof/>
                <w:webHidden/>
              </w:rPr>
              <w:fldChar w:fldCharType="separate"/>
            </w:r>
            <w:r w:rsidR="001B1475">
              <w:rPr>
                <w:noProof/>
                <w:webHidden/>
              </w:rPr>
              <w:t>80</w:t>
            </w:r>
            <w:r>
              <w:rPr>
                <w:noProof/>
                <w:webHidden/>
              </w:rPr>
              <w:fldChar w:fldCharType="end"/>
            </w:r>
          </w:hyperlink>
        </w:p>
        <w:p w:rsidR="004E0460" w:rsidRDefault="002B769D">
          <w:pPr>
            <w:pStyle w:val="Obsah1"/>
            <w:tabs>
              <w:tab w:val="right" w:leader="dot" w:pos="9060"/>
            </w:tabs>
            <w:rPr>
              <w:rFonts w:asciiTheme="minorHAnsi" w:eastAsiaTheme="minorEastAsia" w:hAnsiTheme="minorHAnsi" w:cstheme="minorBidi"/>
              <w:noProof/>
              <w:sz w:val="22"/>
              <w:szCs w:val="22"/>
            </w:rPr>
          </w:pPr>
          <w:hyperlink w:anchor="_Toc233044434" w:history="1">
            <w:r w:rsidR="004E0460" w:rsidRPr="006B3C96">
              <w:rPr>
                <w:rStyle w:val="Hypertextovodkaz"/>
                <w:noProof/>
              </w:rPr>
              <w:t>Seznam grafů</w:t>
            </w:r>
            <w:r w:rsidR="004E0460">
              <w:rPr>
                <w:noProof/>
                <w:webHidden/>
              </w:rPr>
              <w:tab/>
            </w:r>
            <w:r>
              <w:rPr>
                <w:noProof/>
                <w:webHidden/>
              </w:rPr>
              <w:fldChar w:fldCharType="begin"/>
            </w:r>
            <w:r w:rsidR="004E0460">
              <w:rPr>
                <w:noProof/>
                <w:webHidden/>
              </w:rPr>
              <w:instrText xml:space="preserve"> PAGEREF _Toc233044434 \h </w:instrText>
            </w:r>
            <w:r>
              <w:rPr>
                <w:noProof/>
                <w:webHidden/>
              </w:rPr>
            </w:r>
            <w:r>
              <w:rPr>
                <w:noProof/>
                <w:webHidden/>
              </w:rPr>
              <w:fldChar w:fldCharType="separate"/>
            </w:r>
            <w:r w:rsidR="001B1475">
              <w:rPr>
                <w:noProof/>
                <w:webHidden/>
              </w:rPr>
              <w:t>81</w:t>
            </w:r>
            <w:r>
              <w:rPr>
                <w:noProof/>
                <w:webHidden/>
              </w:rPr>
              <w:fldChar w:fldCharType="end"/>
            </w:r>
          </w:hyperlink>
        </w:p>
        <w:p w:rsidR="00375411" w:rsidRDefault="002B769D">
          <w:r>
            <w:fldChar w:fldCharType="end"/>
          </w:r>
        </w:p>
      </w:sdtContent>
    </w:sdt>
    <w:p w:rsidR="0004471D" w:rsidRDefault="0004471D" w:rsidP="00E06FCB">
      <w:pPr>
        <w:pStyle w:val="Nadpis1"/>
        <w:numPr>
          <w:ilvl w:val="0"/>
          <w:numId w:val="0"/>
        </w:numPr>
        <w:ind w:left="432" w:hanging="432"/>
        <w:rPr>
          <w:b w:val="0"/>
        </w:rPr>
      </w:pPr>
      <w:bookmarkStart w:id="22" w:name="_Toc221876778"/>
      <w:bookmarkStart w:id="23" w:name="_Toc222366959"/>
      <w:bookmarkStart w:id="24" w:name="_Toc222408596"/>
    </w:p>
    <w:p w:rsidR="0004471D" w:rsidRDefault="0004471D" w:rsidP="004602EC">
      <w:pPr>
        <w:pStyle w:val="Nadpis1"/>
        <w:numPr>
          <w:ilvl w:val="0"/>
          <w:numId w:val="0"/>
        </w:numPr>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p w:rsidR="0004471D" w:rsidRDefault="0004471D" w:rsidP="00E06FCB">
      <w:pPr>
        <w:pStyle w:val="Nadpis1"/>
        <w:numPr>
          <w:ilvl w:val="0"/>
          <w:numId w:val="0"/>
        </w:numPr>
        <w:ind w:left="432" w:hanging="432"/>
        <w:rPr>
          <w:b w:val="0"/>
        </w:rPr>
      </w:pPr>
    </w:p>
    <w:bookmarkEnd w:id="22"/>
    <w:bookmarkEnd w:id="23"/>
    <w:bookmarkEnd w:id="24"/>
    <w:p w:rsidR="000044EB" w:rsidRDefault="000044EB" w:rsidP="00E06FCB">
      <w:pPr>
        <w:pStyle w:val="Nadpis1"/>
        <w:numPr>
          <w:ilvl w:val="0"/>
          <w:numId w:val="0"/>
        </w:numPr>
        <w:ind w:left="432" w:hanging="432"/>
        <w:rPr>
          <w:b w:val="0"/>
        </w:rPr>
      </w:pPr>
    </w:p>
    <w:p w:rsidR="00204EDC" w:rsidRDefault="00204EDC" w:rsidP="00204EDC"/>
    <w:p w:rsidR="00204EDC" w:rsidRDefault="00204EDC" w:rsidP="00204EDC"/>
    <w:p w:rsidR="009C5AC1" w:rsidRDefault="009C5AC1" w:rsidP="00204EDC">
      <w:pPr>
        <w:sectPr w:rsidR="009C5AC1" w:rsidSect="006B77C0">
          <w:footerReference w:type="default" r:id="rId10"/>
          <w:footnotePr>
            <w:numRestart w:val="eachPage"/>
          </w:footnotePr>
          <w:type w:val="continuous"/>
          <w:pgSz w:w="11906" w:h="16838" w:code="9"/>
          <w:pgMar w:top="1418" w:right="851" w:bottom="1134" w:left="1985" w:header="709" w:footer="709" w:gutter="0"/>
          <w:pgNumType w:start="1"/>
          <w:cols w:space="708"/>
          <w:docGrid w:linePitch="360"/>
        </w:sectPr>
      </w:pPr>
    </w:p>
    <w:p w:rsidR="004E72FA" w:rsidRDefault="00AE2E8B" w:rsidP="001B7560">
      <w:pPr>
        <w:pStyle w:val="Nadpis1"/>
        <w:keepNext w:val="0"/>
        <w:numPr>
          <w:ilvl w:val="0"/>
          <w:numId w:val="0"/>
        </w:numPr>
        <w:spacing w:line="360" w:lineRule="auto"/>
        <w:ind w:left="431" w:hanging="431"/>
        <w:rPr>
          <w:b w:val="0"/>
        </w:rPr>
      </w:pPr>
      <w:bookmarkStart w:id="25" w:name="_Toc233044381"/>
      <w:bookmarkStart w:id="26" w:name="_Toc221876779"/>
      <w:r w:rsidRPr="00AE2E8B">
        <w:rPr>
          <w:b w:val="0"/>
        </w:rPr>
        <w:lastRenderedPageBreak/>
        <w:t>Úvod</w:t>
      </w:r>
      <w:bookmarkEnd w:id="25"/>
    </w:p>
    <w:p w:rsidR="002C46D5" w:rsidRPr="002C46D5" w:rsidRDefault="002C46D5" w:rsidP="002C46D5"/>
    <w:p w:rsidR="000F6E45" w:rsidRDefault="002C46D5" w:rsidP="002C46D5">
      <w:pPr>
        <w:spacing w:line="360" w:lineRule="auto"/>
        <w:jc w:val="both"/>
      </w:pPr>
      <w:r>
        <w:t xml:space="preserve">     V náročných podmínkách tržního hospodářství není zajištění prosperity a úspěšného rozvoje podniku jednoduchým úkolem. </w:t>
      </w:r>
      <w:r w:rsidR="004B04F1">
        <w:t>Realizace podnikových výkonů předpokládá užití podnikových výrobních faktorů.</w:t>
      </w:r>
      <w:r w:rsidR="000F6E45">
        <w:t xml:space="preserve"> Významným podnikovým výrobním faktorem je hmotný investiční majetek, který je </w:t>
      </w:r>
      <w:r w:rsidR="00D0216D">
        <w:t xml:space="preserve">specifický tím, že je v </w:t>
      </w:r>
      <w:r w:rsidR="000F6E45">
        <w:t>majetkových složkách podniku dlouhodobě vázán a spoluurčuje</w:t>
      </w:r>
      <w:r w:rsidR="00D0216D">
        <w:t xml:space="preserve"> tak</w:t>
      </w:r>
      <w:r w:rsidR="000F6E45">
        <w:t>, zda bude podnik úspěšný.</w:t>
      </w:r>
      <w:r w:rsidR="00C445ED">
        <w:t xml:space="preserve"> V tomto kontextu musí podnik postupovat velmi obezřetně při shromažďování a vyhodnocování informací, na jejichž základě je pořízení hmotného investičního majetku realizováno.    </w:t>
      </w:r>
      <w:r w:rsidR="000F6E45">
        <w:t xml:space="preserve">   </w:t>
      </w:r>
    </w:p>
    <w:p w:rsidR="002C46D5" w:rsidRDefault="002C46D5" w:rsidP="002C46D5">
      <w:pPr>
        <w:spacing w:line="360" w:lineRule="auto"/>
        <w:jc w:val="both"/>
      </w:pPr>
      <w:r>
        <w:t xml:space="preserve">     Rozhodování o investicích patří mezi nejvýznamnější druhy podnikových rozhodnutí, jeho náplní je rozhodnutí o přijetí či zamítnutí daných investičních projektů, čím rozsáhlejší pak tyto projekty jsou, tím větší dopady mohou pro podnik mít. Kromě interních faktorů spojených s podnikovou strategií, případně s omezeností zdrojů, musí investiční rozhodování respektovat i určité externí faktory spojené s podnikatelským okolím, jejichž vývoj lze většinou obtížně předvídat. Způsob respektování těchto faktorů a jejich integrace do investičního rozhodování zásadně ovlivňuje kvalitu tohoto rozhodnutí. K usnadnění investičního rozhodování lze užít ucelený soubor postupů a metod. </w:t>
      </w:r>
    </w:p>
    <w:p w:rsidR="002C46D5" w:rsidRDefault="002C46D5" w:rsidP="002C46D5">
      <w:pPr>
        <w:spacing w:line="360" w:lineRule="auto"/>
        <w:jc w:val="both"/>
      </w:pPr>
      <w:r>
        <w:t xml:space="preserve">     Cílem práce je provedení analýzy postupů využívaných při hodnocení investičních projektů v reálně existujícím podniku a posouzení možností využití alternativních metod.</w:t>
      </w:r>
    </w:p>
    <w:p w:rsidR="002C46D5" w:rsidRDefault="002C46D5" w:rsidP="00953968">
      <w:pPr>
        <w:spacing w:line="360" w:lineRule="auto"/>
        <w:jc w:val="both"/>
      </w:pPr>
      <w:r>
        <w:t xml:space="preserve">     Analýza bude zaměřena</w:t>
      </w:r>
      <w:r w:rsidR="00D0216D">
        <w:t xml:space="preserve"> na koncepční přístup podniku k hodnocení investičních projektů</w:t>
      </w:r>
      <w:r w:rsidR="00953968">
        <w:t xml:space="preserve">, </w:t>
      </w:r>
      <w:r w:rsidR="001925EC">
        <w:t xml:space="preserve">v </w:t>
      </w:r>
      <w:r w:rsidR="00953968">
        <w:t>dílčí</w:t>
      </w:r>
      <w:r w:rsidR="001925EC">
        <w:t>ch</w:t>
      </w:r>
      <w:r w:rsidR="00953968">
        <w:t xml:space="preserve"> </w:t>
      </w:r>
      <w:r w:rsidR="00D0216D">
        <w:t>částech</w:t>
      </w:r>
      <w:r w:rsidR="001925EC">
        <w:t xml:space="preserve"> bude zkoumáno</w:t>
      </w:r>
      <w:r w:rsidR="00953968">
        <w:t xml:space="preserve"> plánování investic a jejich klasifikace, jednotlivé fáze investičních projektů, klíčové aspekty investičních projektů a metody hodnocení ekonomické efektivnosti investičních projektů. </w:t>
      </w:r>
    </w:p>
    <w:p w:rsidR="002C46D5" w:rsidRDefault="00D0216D" w:rsidP="002C46D5">
      <w:pPr>
        <w:spacing w:line="360" w:lineRule="auto"/>
        <w:jc w:val="both"/>
      </w:pPr>
      <w:r>
        <w:t xml:space="preserve">     Při </w:t>
      </w:r>
      <w:r w:rsidR="002C46D5">
        <w:t>porovnáv</w:t>
      </w:r>
      <w:r>
        <w:t>ání zavedených</w:t>
      </w:r>
      <w:r w:rsidR="002C46D5">
        <w:t xml:space="preserve"> modelov</w:t>
      </w:r>
      <w:r>
        <w:t>ých</w:t>
      </w:r>
      <w:r w:rsidR="002C46D5">
        <w:t xml:space="preserve"> vyjádření s podnikovými daty a posuz</w:t>
      </w:r>
      <w:r>
        <w:t>ování</w:t>
      </w:r>
      <w:r w:rsidR="002C46D5">
        <w:t xml:space="preserve"> jejich shod</w:t>
      </w:r>
      <w:r>
        <w:t>y</w:t>
      </w:r>
      <w:r w:rsidR="002C46D5">
        <w:t xml:space="preserve"> budou užity komparativní metody. </w:t>
      </w:r>
    </w:p>
    <w:p w:rsidR="002C46D5" w:rsidRDefault="002C46D5" w:rsidP="002C46D5">
      <w:pPr>
        <w:spacing w:line="360" w:lineRule="auto"/>
        <w:jc w:val="both"/>
      </w:pPr>
      <w:r>
        <w:t xml:space="preserve">     Pro kvantifikaci </w:t>
      </w:r>
      <w:r w:rsidR="001925EC">
        <w:t xml:space="preserve">rizika investičních projektů </w:t>
      </w:r>
      <w:r>
        <w:t>budou v rámci práce užity statistické metody.</w:t>
      </w:r>
    </w:p>
    <w:p w:rsidR="002C46D5" w:rsidRDefault="002C46D5" w:rsidP="002C46D5">
      <w:pPr>
        <w:spacing w:line="360" w:lineRule="auto"/>
        <w:jc w:val="both"/>
      </w:pPr>
      <w:r>
        <w:t xml:space="preserve">     Pro posouzení využití alternativní metod hodnocení ekonomické efektivnosti investičních projektů budou brány v úvahu metody statické a metody dynamické. </w:t>
      </w:r>
    </w:p>
    <w:p w:rsidR="002C46D5" w:rsidRDefault="002C46D5" w:rsidP="002C46D5">
      <w:pPr>
        <w:spacing w:line="360" w:lineRule="auto"/>
        <w:jc w:val="both"/>
      </w:pPr>
      <w:r>
        <w:t xml:space="preserve">     Statické metody bude představovat metoda průměrných ročních nákladů, metoda doby návratnosti a metoda výnosnosti investic. </w:t>
      </w:r>
    </w:p>
    <w:p w:rsidR="00A27B69" w:rsidRDefault="002C46D5" w:rsidP="00953968">
      <w:pPr>
        <w:spacing w:line="360" w:lineRule="auto"/>
        <w:jc w:val="both"/>
      </w:pPr>
      <w:r>
        <w:t xml:space="preserve">     Dynamické metody potom metoda diskontovaných nákladů, metoda doby návratnosti</w:t>
      </w:r>
      <w:r w:rsidR="00180C10">
        <w:t xml:space="preserve"> upravená diskontováním</w:t>
      </w:r>
      <w:r>
        <w:t>, metoda čisté současné hodnoty, metoda indexu rentability, metoda vnitřního výnosového procenta a metoda reálných opcí.</w:t>
      </w:r>
    </w:p>
    <w:p w:rsidR="001925EC" w:rsidRDefault="001925EC" w:rsidP="00953968">
      <w:pPr>
        <w:spacing w:line="360" w:lineRule="auto"/>
        <w:jc w:val="both"/>
      </w:pPr>
    </w:p>
    <w:p w:rsidR="000044EB" w:rsidRPr="00980D23" w:rsidRDefault="00B44DD3" w:rsidP="001B7560">
      <w:pPr>
        <w:pStyle w:val="Nadpis1"/>
        <w:keepNext w:val="0"/>
        <w:numPr>
          <w:ilvl w:val="0"/>
          <w:numId w:val="5"/>
        </w:numPr>
        <w:ind w:left="142" w:hanging="142"/>
        <w:rPr>
          <w:b w:val="0"/>
        </w:rPr>
      </w:pPr>
      <w:bookmarkStart w:id="27" w:name="_Toc222366960"/>
      <w:r>
        <w:rPr>
          <w:b w:val="0"/>
        </w:rPr>
        <w:lastRenderedPageBreak/>
        <w:t xml:space="preserve"> </w:t>
      </w:r>
      <w:bookmarkStart w:id="28" w:name="_Toc222408597"/>
      <w:r w:rsidR="00D70A84">
        <w:rPr>
          <w:b w:val="0"/>
        </w:rPr>
        <w:t xml:space="preserve"> </w:t>
      </w:r>
      <w:bookmarkStart w:id="29" w:name="_Toc233044382"/>
      <w:r w:rsidR="002D7AD1" w:rsidRPr="00980D23">
        <w:rPr>
          <w:b w:val="0"/>
        </w:rPr>
        <w:t>Pojem investice</w:t>
      </w:r>
      <w:bookmarkEnd w:id="26"/>
      <w:bookmarkEnd w:id="27"/>
      <w:bookmarkEnd w:id="28"/>
      <w:r w:rsidR="00272874">
        <w:rPr>
          <w:b w:val="0"/>
        </w:rPr>
        <w:t xml:space="preserve"> a financování</w:t>
      </w:r>
      <w:bookmarkEnd w:id="29"/>
      <w:r w:rsidR="002D7AD1" w:rsidRPr="00980D23">
        <w:rPr>
          <w:b w:val="0"/>
        </w:rPr>
        <w:t xml:space="preserve"> </w:t>
      </w:r>
    </w:p>
    <w:p w:rsidR="002D7AD1" w:rsidRPr="002D7AD1" w:rsidRDefault="002D7AD1" w:rsidP="004E72FA">
      <w:pPr>
        <w:spacing w:line="360" w:lineRule="auto"/>
      </w:pPr>
    </w:p>
    <w:p w:rsidR="00937E31" w:rsidRDefault="00937E31" w:rsidP="00937E31">
      <w:pPr>
        <w:spacing w:line="360" w:lineRule="auto"/>
        <w:jc w:val="both"/>
        <w:rPr>
          <w:bCs/>
        </w:rPr>
      </w:pPr>
      <w:r>
        <w:rPr>
          <w:bCs/>
        </w:rPr>
        <w:t xml:space="preserve">     </w:t>
      </w:r>
      <w:r w:rsidR="00627031">
        <w:rPr>
          <w:bCs/>
        </w:rPr>
        <w:t xml:space="preserve">Investice jsou jedním z klíčových pojmů </w:t>
      </w:r>
      <w:r w:rsidR="00E66127">
        <w:rPr>
          <w:bCs/>
        </w:rPr>
        <w:t>pro úspěch podniku v podmínkách tržního hospodářství. P</w:t>
      </w:r>
      <w:r>
        <w:rPr>
          <w:bCs/>
        </w:rPr>
        <w:t>odle Valacha</w:t>
      </w:r>
      <w:r>
        <w:rPr>
          <w:rStyle w:val="Znakapoznpodarou"/>
          <w:bCs/>
        </w:rPr>
        <w:footnoteReference w:id="1"/>
      </w:r>
      <w:r>
        <w:rPr>
          <w:bCs/>
        </w:rPr>
        <w:t xml:space="preserve"> se investice v ekonomické teorii ve svém nejširším pojetí většinou char</w:t>
      </w:r>
      <w:r w:rsidR="00564261">
        <w:rPr>
          <w:bCs/>
        </w:rPr>
        <w:t>a</w:t>
      </w:r>
      <w:r>
        <w:rPr>
          <w:bCs/>
        </w:rPr>
        <w:t xml:space="preserve">kterizují jako ekonomická činnost, při níž se subjekt, kterým může být stát, podnik nebo jednotlivec, vzdává své současné spotřeby s cílem zvýšení produkce statků v budoucnosti. Obdobně lze chápat investice jako obětování dnešní hodnoty za účelem získání budoucí hodnoty, přičemž budoucí hodnotu je třeba chápat ve srovnání s dnešní hodnotou za méně jistou. </w:t>
      </w:r>
      <w:r w:rsidR="00C41179">
        <w:rPr>
          <w:bCs/>
        </w:rPr>
        <w:t>Jak uzavírá zmíněný autor, e</w:t>
      </w:r>
      <w:r>
        <w:rPr>
          <w:bCs/>
        </w:rPr>
        <w:t>konomika, která obětuje část výroby spotřebních statků ve prospěch statků investičních, roste zpravidla rychleji a získává nakonec větší množství jak spotřebních, tak investičních statků.</w:t>
      </w:r>
    </w:p>
    <w:p w:rsidR="00893F19" w:rsidRDefault="00F32727" w:rsidP="00893F19">
      <w:pPr>
        <w:spacing w:line="360" w:lineRule="auto"/>
        <w:jc w:val="both"/>
        <w:rPr>
          <w:bCs/>
        </w:rPr>
      </w:pPr>
      <w:r>
        <w:rPr>
          <w:bCs/>
        </w:rPr>
        <w:t xml:space="preserve">     Synek</w:t>
      </w:r>
      <w:r>
        <w:rPr>
          <w:rStyle w:val="Znakapoznpodarou"/>
          <w:bCs/>
        </w:rPr>
        <w:footnoteReference w:id="2"/>
      </w:r>
      <w:r>
        <w:rPr>
          <w:bCs/>
        </w:rPr>
        <w:t xml:space="preserve"> rozumí investováním vynakládání zdrojů za účelem získání užitků, které očekáváme v delším budoucím časovém období. </w:t>
      </w:r>
      <w:r w:rsidR="002C18B5">
        <w:rPr>
          <w:bCs/>
        </w:rPr>
        <w:t>Wöhe</w:t>
      </w:r>
      <w:r w:rsidR="002C18B5">
        <w:rPr>
          <w:rStyle w:val="Znakapoznpodarou"/>
          <w:bCs/>
        </w:rPr>
        <w:footnoteReference w:id="3"/>
      </w:r>
      <w:r w:rsidR="002C18B5">
        <w:rPr>
          <w:bCs/>
        </w:rPr>
        <w:t xml:space="preserve"> upozorňuje</w:t>
      </w:r>
      <w:r w:rsidR="00AE0043">
        <w:rPr>
          <w:bCs/>
        </w:rPr>
        <w:t xml:space="preserve"> na úzkou</w:t>
      </w:r>
      <w:r w:rsidR="002C18B5">
        <w:rPr>
          <w:bCs/>
        </w:rPr>
        <w:t xml:space="preserve"> vazbu mezi pojmy financování a investice. Zatímco financováním rozumíme opatření finančních prostředků, investicemi rozumíme použití těchto prostředků k obstarání </w:t>
      </w:r>
      <w:r w:rsidR="00354F54">
        <w:rPr>
          <w:bCs/>
        </w:rPr>
        <w:t>majetkových složek podniku</w:t>
      </w:r>
      <w:r w:rsidR="002C18B5">
        <w:rPr>
          <w:bCs/>
        </w:rPr>
        <w:t>.</w:t>
      </w:r>
    </w:p>
    <w:p w:rsidR="00294D3D" w:rsidRDefault="008E5A05" w:rsidP="00937E31">
      <w:pPr>
        <w:spacing w:line="360" w:lineRule="auto"/>
        <w:jc w:val="both"/>
        <w:rPr>
          <w:bCs/>
        </w:rPr>
      </w:pPr>
      <w:r>
        <w:rPr>
          <w:bCs/>
        </w:rPr>
        <w:t xml:space="preserve">    Z uvedeného výčtu je patrné, že investice lze pojímat z makroekonomického i mikroekonomického pohledu.</w:t>
      </w:r>
      <w:r w:rsidR="00935752">
        <w:rPr>
          <w:bCs/>
        </w:rPr>
        <w:t xml:space="preserve"> </w:t>
      </w:r>
      <w:r>
        <w:rPr>
          <w:bCs/>
        </w:rPr>
        <w:t>Makroekonomický pohled na investice přináší otázky spojené s</w:t>
      </w:r>
      <w:r w:rsidR="00CA1414">
        <w:rPr>
          <w:bCs/>
        </w:rPr>
        <w:t> úsporami, členěním investic jako složky hrubého domácího produktu, respektive čistého domácího produktu a jejich účinkem na tyto veličiny</w:t>
      </w:r>
      <w:r w:rsidR="00BB676F">
        <w:rPr>
          <w:bCs/>
        </w:rPr>
        <w:t>. M</w:t>
      </w:r>
      <w:r w:rsidR="003801FD">
        <w:rPr>
          <w:bCs/>
        </w:rPr>
        <w:t xml:space="preserve">ikroekonomický pohled </w:t>
      </w:r>
      <w:r w:rsidR="00C57B73">
        <w:rPr>
          <w:bCs/>
        </w:rPr>
        <w:t>na investice je spojován s otázkami podnikové strategie, investičních plánů podniků, klasifikace a tvorby investičních projektů a v neposlední řadě i jejich hodnocení a realizace.</w:t>
      </w:r>
      <w:r w:rsidR="00C41179">
        <w:rPr>
          <w:bCs/>
        </w:rPr>
        <w:t xml:space="preserve"> </w:t>
      </w:r>
      <w:r w:rsidR="00993F38">
        <w:rPr>
          <w:bCs/>
        </w:rPr>
        <w:t xml:space="preserve"> </w:t>
      </w:r>
    </w:p>
    <w:p w:rsidR="00354F54" w:rsidRDefault="00935752" w:rsidP="00937E31">
      <w:pPr>
        <w:spacing w:line="360" w:lineRule="auto"/>
        <w:jc w:val="both"/>
        <w:rPr>
          <w:bCs/>
        </w:rPr>
      </w:pPr>
      <w:r>
        <w:rPr>
          <w:bCs/>
        </w:rPr>
        <w:t xml:space="preserve">     Pro účely této práce je relevantní pohled mikroekonomický</w:t>
      </w:r>
      <w:r w:rsidR="00C84A73">
        <w:rPr>
          <w:bCs/>
        </w:rPr>
        <w:t>, kdy investicemi, jak již bylo naznačeno, rozumíme opatřování majetkových složek podniku. Podle druhu majetkových složek rozlišuje</w:t>
      </w:r>
      <w:r w:rsidR="008F51A2">
        <w:rPr>
          <w:bCs/>
        </w:rPr>
        <w:t xml:space="preserve"> Novotný a Suchánek</w:t>
      </w:r>
      <w:r w:rsidR="00C84A73">
        <w:rPr>
          <w:rStyle w:val="Znakapoznpodarou"/>
          <w:bCs/>
        </w:rPr>
        <w:footnoteReference w:id="4"/>
      </w:r>
      <w:r w:rsidR="00C84A73">
        <w:rPr>
          <w:bCs/>
        </w:rPr>
        <w:t>:</w:t>
      </w:r>
    </w:p>
    <w:p w:rsidR="00354F54" w:rsidRDefault="00354F54" w:rsidP="00937E31">
      <w:pPr>
        <w:spacing w:line="360" w:lineRule="auto"/>
        <w:jc w:val="both"/>
        <w:rPr>
          <w:bCs/>
        </w:rPr>
      </w:pPr>
    </w:p>
    <w:p w:rsidR="001F735B" w:rsidRDefault="00354F54" w:rsidP="00AD45B1">
      <w:pPr>
        <w:pStyle w:val="Odstavecseseznamem"/>
        <w:numPr>
          <w:ilvl w:val="0"/>
          <w:numId w:val="2"/>
        </w:numPr>
        <w:spacing w:line="360" w:lineRule="auto"/>
        <w:ind w:left="754" w:hanging="357"/>
        <w:jc w:val="both"/>
      </w:pPr>
      <w:r>
        <w:t>hmotné investice</w:t>
      </w:r>
      <w:r w:rsidR="001F735B">
        <w:t>,</w:t>
      </w:r>
      <w:r>
        <w:t xml:space="preserve"> které zahrnují podnikem získané pozemky, budovy, stavby, stroje, zásoby nebo nakupované služby,</w:t>
      </w:r>
    </w:p>
    <w:p w:rsidR="001F735B" w:rsidRDefault="00354F54" w:rsidP="00AD45B1">
      <w:pPr>
        <w:pStyle w:val="Odstavecseseznamem"/>
        <w:numPr>
          <w:ilvl w:val="0"/>
          <w:numId w:val="2"/>
        </w:numPr>
        <w:spacing w:line="360" w:lineRule="auto"/>
        <w:ind w:left="754" w:hanging="357"/>
        <w:jc w:val="both"/>
      </w:pPr>
      <w:r>
        <w:t xml:space="preserve">finanční investice, které představují </w:t>
      </w:r>
      <w:r w:rsidR="008F51A2">
        <w:t>podnikem získaná práva na pohledávky a podíly</w:t>
      </w:r>
      <w:r w:rsidR="001F735B">
        <w:t>,</w:t>
      </w:r>
    </w:p>
    <w:p w:rsidR="001F735B" w:rsidRDefault="008F51A2" w:rsidP="00AD45B1">
      <w:pPr>
        <w:pStyle w:val="Odstavecseseznamem"/>
        <w:numPr>
          <w:ilvl w:val="0"/>
          <w:numId w:val="2"/>
        </w:numPr>
        <w:spacing w:line="360" w:lineRule="auto"/>
        <w:ind w:left="754" w:hanging="357"/>
        <w:jc w:val="both"/>
      </w:pPr>
      <w:r>
        <w:t>nehmotné investice, které podnik získává nákupem know-how, výdaji na výzkum, vzdělávání nebo sociální rozvoj</w:t>
      </w:r>
      <w:r w:rsidR="001F735B">
        <w:t>.</w:t>
      </w:r>
    </w:p>
    <w:p w:rsidR="0028412E" w:rsidRDefault="001F735B" w:rsidP="000F3214">
      <w:pPr>
        <w:spacing w:line="360" w:lineRule="auto"/>
        <w:jc w:val="both"/>
      </w:pPr>
      <w:r>
        <w:lastRenderedPageBreak/>
        <w:t xml:space="preserve">     Výdaje na pořízení</w:t>
      </w:r>
      <w:r w:rsidR="008F51A2">
        <w:t xml:space="preserve"> těchto majetkových složek můžeme</w:t>
      </w:r>
      <w:r w:rsidR="000F3214">
        <w:t xml:space="preserve"> ve shodě s Valachem</w:t>
      </w:r>
      <w:r w:rsidR="000F3214">
        <w:rPr>
          <w:rStyle w:val="Znakapoznpodarou"/>
        </w:rPr>
        <w:footnoteReference w:id="5"/>
      </w:r>
      <w:r w:rsidR="000F3214">
        <w:t xml:space="preserve"> </w:t>
      </w:r>
      <w:r w:rsidR="008F51A2">
        <w:t xml:space="preserve">označit jako </w:t>
      </w:r>
      <w:r w:rsidR="000F3214">
        <w:t xml:space="preserve">kapitálové výdaje, přičemž výši </w:t>
      </w:r>
      <w:r w:rsidR="0028412E">
        <w:t xml:space="preserve">takových </w:t>
      </w:r>
      <w:r w:rsidR="000F3214">
        <w:t>výdajů a délku jejich vázání v majetkových složkách podniku určují daňové a účetní předpisy, částečně i podnik sám.</w:t>
      </w:r>
      <w:r w:rsidR="007472BF">
        <w:rPr>
          <w:rStyle w:val="Znakapoznpodarou"/>
        </w:rPr>
        <w:footnoteReference w:id="6"/>
      </w:r>
      <w:r w:rsidR="0028412E">
        <w:t xml:space="preserve"> Od kapitálových výdajů je třeba jednoznačně odlišit výdaje provozní, u kterých se předpokládá jejich přeměna na budoucí peněžní příjmy v rámci 1 roku.</w:t>
      </w:r>
    </w:p>
    <w:p w:rsidR="0092373C" w:rsidRDefault="00C23EFD" w:rsidP="0032333A">
      <w:pPr>
        <w:spacing w:line="360" w:lineRule="auto"/>
        <w:jc w:val="both"/>
      </w:pPr>
      <w:r>
        <w:t xml:space="preserve">     </w:t>
      </w:r>
      <w:r w:rsidR="0032333A">
        <w:t xml:space="preserve">Kapitálové výdaje </w:t>
      </w:r>
      <w:r w:rsidR="00354E93">
        <w:t>je třeba krýt finančními zdroji</w:t>
      </w:r>
      <w:r w:rsidR="0032333A">
        <w:t>, podle Kislingerové</w:t>
      </w:r>
      <w:r w:rsidR="0032333A">
        <w:rPr>
          <w:rStyle w:val="Znakapoznpodarou"/>
        </w:rPr>
        <w:footnoteReference w:id="7"/>
      </w:r>
      <w:r w:rsidR="0032333A">
        <w:t xml:space="preserve"> se zdroje financování nejčastěji třídí podle dvou hledisek, podle původu a podle vlastnického vztahu</w:t>
      </w:r>
      <w:r w:rsidR="00354E93">
        <w:t>.</w:t>
      </w:r>
      <w:r w:rsidR="0032333A">
        <w:t xml:space="preserve"> Uvedené souvislosti znázorňuje tabulka:</w:t>
      </w:r>
    </w:p>
    <w:p w:rsidR="0032333A" w:rsidRDefault="0032333A" w:rsidP="0032333A">
      <w:pPr>
        <w:spacing w:line="360" w:lineRule="auto"/>
        <w:jc w:val="both"/>
      </w:pPr>
    </w:p>
    <w:p w:rsidR="00AE0043" w:rsidRDefault="00AE0043" w:rsidP="00B40213">
      <w:pPr>
        <w:pStyle w:val="Nzev"/>
      </w:pPr>
      <w:bookmarkStart w:id="30" w:name="_Toc233044435"/>
      <w:r>
        <w:t>Tabulka č. 1 – Zdroje financování investic</w:t>
      </w:r>
      <w:bookmarkEnd w:id="30"/>
      <w:r>
        <w:t xml:space="preserve"> </w:t>
      </w:r>
    </w:p>
    <w:p w:rsidR="0032333A" w:rsidRDefault="004D0238" w:rsidP="0032333A">
      <w:pPr>
        <w:spacing w:line="360" w:lineRule="auto"/>
        <w:jc w:val="both"/>
      </w:pPr>
      <w:r>
        <w:rPr>
          <w:noProof/>
        </w:rPr>
        <w:drawing>
          <wp:anchor distT="0" distB="0" distL="114300" distR="114300" simplePos="0" relativeHeight="251700224" behindDoc="0" locked="0" layoutInCell="1" allowOverlap="1">
            <wp:simplePos x="0" y="0"/>
            <wp:positionH relativeFrom="column">
              <wp:posOffset>15875</wp:posOffset>
            </wp:positionH>
            <wp:positionV relativeFrom="paragraph">
              <wp:posOffset>109855</wp:posOffset>
            </wp:positionV>
            <wp:extent cx="4467225" cy="2819400"/>
            <wp:effectExtent l="19050" t="0" r="9525" b="0"/>
            <wp:wrapNone/>
            <wp:docPr id="1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467225" cy="2819400"/>
                    </a:xfrm>
                    <a:prstGeom prst="rect">
                      <a:avLst/>
                    </a:prstGeom>
                    <a:noFill/>
                    <a:ln w="9525">
                      <a:noFill/>
                      <a:miter lim="800000"/>
                      <a:headEnd/>
                      <a:tailEnd/>
                    </a:ln>
                  </pic:spPr>
                </pic:pic>
              </a:graphicData>
            </a:graphic>
          </wp:anchor>
        </w:drawing>
      </w:r>
    </w:p>
    <w:p w:rsidR="00CD1F9C" w:rsidRDefault="00CD1F9C" w:rsidP="0032333A">
      <w:pPr>
        <w:spacing w:line="360" w:lineRule="auto"/>
        <w:jc w:val="both"/>
      </w:pPr>
    </w:p>
    <w:p w:rsidR="00CD1F9C" w:rsidRDefault="00CD1F9C" w:rsidP="0032333A">
      <w:pPr>
        <w:spacing w:line="360" w:lineRule="auto"/>
        <w:jc w:val="both"/>
      </w:pPr>
    </w:p>
    <w:p w:rsidR="00CD1F9C" w:rsidRDefault="00CD1F9C" w:rsidP="0032333A">
      <w:pPr>
        <w:spacing w:line="360" w:lineRule="auto"/>
        <w:jc w:val="both"/>
      </w:pPr>
    </w:p>
    <w:p w:rsidR="00CD1F9C" w:rsidRDefault="00CD1F9C" w:rsidP="0032333A">
      <w:pPr>
        <w:spacing w:line="360" w:lineRule="auto"/>
        <w:jc w:val="both"/>
      </w:pPr>
    </w:p>
    <w:p w:rsidR="00CD1F9C" w:rsidRDefault="00CD1F9C" w:rsidP="0032333A">
      <w:pPr>
        <w:spacing w:line="360" w:lineRule="auto"/>
        <w:jc w:val="both"/>
      </w:pPr>
    </w:p>
    <w:p w:rsidR="00CD1F9C" w:rsidRDefault="00CD1F9C" w:rsidP="0032333A">
      <w:pPr>
        <w:spacing w:line="360" w:lineRule="auto"/>
        <w:jc w:val="both"/>
      </w:pPr>
    </w:p>
    <w:p w:rsidR="00CD1F9C" w:rsidRDefault="00CD1F9C" w:rsidP="0032333A">
      <w:pPr>
        <w:spacing w:line="360" w:lineRule="auto"/>
        <w:jc w:val="both"/>
      </w:pPr>
    </w:p>
    <w:p w:rsidR="00CD1F9C" w:rsidRDefault="00CD1F9C" w:rsidP="0032333A">
      <w:pPr>
        <w:spacing w:line="360" w:lineRule="auto"/>
        <w:jc w:val="both"/>
      </w:pPr>
    </w:p>
    <w:p w:rsidR="00CD1F9C" w:rsidRDefault="00CD1F9C" w:rsidP="0032333A">
      <w:pPr>
        <w:spacing w:line="360" w:lineRule="auto"/>
        <w:jc w:val="both"/>
      </w:pPr>
    </w:p>
    <w:p w:rsidR="00CD1F9C" w:rsidRDefault="00CD1F9C" w:rsidP="0032333A">
      <w:pPr>
        <w:spacing w:line="360" w:lineRule="auto"/>
        <w:jc w:val="both"/>
      </w:pPr>
    </w:p>
    <w:p w:rsidR="00CD1F9C" w:rsidRDefault="00CD1F9C" w:rsidP="0032333A">
      <w:pPr>
        <w:spacing w:line="360" w:lineRule="auto"/>
        <w:jc w:val="both"/>
      </w:pPr>
    </w:p>
    <w:p w:rsidR="00AE0043" w:rsidRPr="00AE0043" w:rsidRDefault="00AE0043" w:rsidP="00AE0043">
      <w:pPr>
        <w:pStyle w:val="Textpoznpodarou"/>
        <w:jc w:val="both"/>
        <w:rPr>
          <w:i/>
          <w:sz w:val="18"/>
          <w:szCs w:val="18"/>
        </w:rPr>
      </w:pPr>
      <w:r w:rsidRPr="00AE0043">
        <w:rPr>
          <w:i/>
          <w:sz w:val="18"/>
          <w:szCs w:val="18"/>
        </w:rPr>
        <w:t>Zdroj: KISLINGEROVÁ, E. a kol. Manažerské finance 1. Vyd. Praha : C. H. Beck, 2004. 714 s. ISBN 80-7179-802-9, str. 286.</w:t>
      </w:r>
    </w:p>
    <w:p w:rsidR="00AE0043" w:rsidRDefault="00AE0043" w:rsidP="0032333A">
      <w:pPr>
        <w:spacing w:line="360" w:lineRule="auto"/>
        <w:jc w:val="both"/>
      </w:pPr>
      <w:r>
        <w:t xml:space="preserve"> </w:t>
      </w:r>
    </w:p>
    <w:p w:rsidR="00272874" w:rsidRDefault="00272874" w:rsidP="00272874">
      <w:pPr>
        <w:spacing w:line="360" w:lineRule="auto"/>
        <w:jc w:val="both"/>
      </w:pPr>
      <w:r>
        <w:t xml:space="preserve">     V souvislosti se strukturou pasiv upozorňuje Wöhe</w:t>
      </w:r>
      <w:r>
        <w:rPr>
          <w:rStyle w:val="Znakapoznpodarou"/>
        </w:rPr>
        <w:footnoteReference w:id="8"/>
      </w:r>
      <w:r>
        <w:t xml:space="preserve"> na zlaté bilanční pravidlo, které ve svém širším pojetí říká, že investiční majetek má být financován dlouhodobým kapitálem, tedy vlastním a dlouhodobým cizím kapitálem. Toto pravidlo je však možno rozšířit ještě dále tak, že všechen dlouhodobě vázaný kapitál je třeba dlouhodobě profinancovat. Znamená to, že k investičnímu majetku je třeba přiřadit ještě dlouhodobě vázané části oběžného majetku, ostatní části oběžného majetku</w:t>
      </w:r>
      <w:r w:rsidR="00521154">
        <w:t>, jak uzavírá zmíněný autor,</w:t>
      </w:r>
      <w:r>
        <w:t xml:space="preserve"> mohou být financovány krátkodobě. </w:t>
      </w:r>
    </w:p>
    <w:p w:rsidR="00A80C53" w:rsidRDefault="00272874" w:rsidP="0032333A">
      <w:pPr>
        <w:spacing w:line="360" w:lineRule="auto"/>
        <w:jc w:val="both"/>
        <w:rPr>
          <w:bCs/>
        </w:rPr>
      </w:pPr>
      <w:r>
        <w:lastRenderedPageBreak/>
        <w:t xml:space="preserve">     </w:t>
      </w:r>
      <w:r w:rsidR="00531069">
        <w:t xml:space="preserve">V souvislosti s investicemi a jejich financováním </w:t>
      </w:r>
      <w:r>
        <w:t>zmiňuje</w:t>
      </w:r>
      <w:r w:rsidR="00521154">
        <w:t xml:space="preserve"> Wöhe</w:t>
      </w:r>
      <w:r w:rsidR="00521154">
        <w:rPr>
          <w:rStyle w:val="Znakapoznpodarou"/>
        </w:rPr>
        <w:footnoteReference w:id="9"/>
      </w:r>
      <w:r>
        <w:t xml:space="preserve"> následující související pojmy</w:t>
      </w:r>
      <w:r w:rsidR="00521154">
        <w:t>:</w:t>
      </w:r>
      <w:r w:rsidR="00531069">
        <w:rPr>
          <w:bCs/>
        </w:rPr>
        <w:t xml:space="preserve"> </w:t>
      </w:r>
    </w:p>
    <w:p w:rsidR="00A80C53" w:rsidRDefault="00A80C53" w:rsidP="0032333A">
      <w:pPr>
        <w:spacing w:line="360" w:lineRule="auto"/>
        <w:jc w:val="both"/>
        <w:rPr>
          <w:bCs/>
        </w:rPr>
      </w:pPr>
    </w:p>
    <w:p w:rsidR="00A80C53" w:rsidRPr="00A80C53" w:rsidRDefault="00531069" w:rsidP="00B329BD">
      <w:pPr>
        <w:pStyle w:val="Odstavecseseznamem"/>
        <w:numPr>
          <w:ilvl w:val="0"/>
          <w:numId w:val="48"/>
        </w:numPr>
        <w:spacing w:line="360" w:lineRule="auto"/>
        <w:jc w:val="both"/>
      </w:pPr>
      <w:r w:rsidRPr="00A80C53">
        <w:rPr>
          <w:bCs/>
        </w:rPr>
        <w:t>dezinvestice</w:t>
      </w:r>
      <w:r w:rsidR="00A80C53">
        <w:rPr>
          <w:bCs/>
        </w:rPr>
        <w:t xml:space="preserve"> je opačným pojmem k investici a </w:t>
      </w:r>
      <w:r w:rsidRPr="00A80C53">
        <w:rPr>
          <w:bCs/>
        </w:rPr>
        <w:t>představuje uvolnění peněžních částek investovaných ve věcném nebo finančním majetku prostřednictvím podnikového obratu do likvidní podoby,</w:t>
      </w:r>
    </w:p>
    <w:p w:rsidR="00A80C53" w:rsidRPr="00A80C53" w:rsidRDefault="00A80C53" w:rsidP="00B329BD">
      <w:pPr>
        <w:pStyle w:val="Odstavecseseznamem"/>
        <w:numPr>
          <w:ilvl w:val="0"/>
          <w:numId w:val="48"/>
        </w:numPr>
        <w:spacing w:line="360" w:lineRule="auto"/>
        <w:jc w:val="both"/>
      </w:pPr>
      <w:r>
        <w:rPr>
          <w:bCs/>
        </w:rPr>
        <w:t>úbytek kapitálu je opačným pojmem k financování a představuje úbytek kapitálu ve všech formách, tedy úbytek jak vlastního, tak i cizího kapitálu.</w:t>
      </w:r>
    </w:p>
    <w:p w:rsidR="00A80C53" w:rsidRDefault="00A80C53" w:rsidP="00A80C53">
      <w:pPr>
        <w:spacing w:line="360" w:lineRule="auto"/>
        <w:jc w:val="both"/>
        <w:rPr>
          <w:bCs/>
        </w:rPr>
      </w:pPr>
    </w:p>
    <w:p w:rsidR="00272874" w:rsidRDefault="00A80C53" w:rsidP="00A80C53">
      <w:pPr>
        <w:spacing w:line="360" w:lineRule="auto"/>
        <w:jc w:val="both"/>
        <w:rPr>
          <w:bCs/>
        </w:rPr>
      </w:pPr>
      <w:r>
        <w:rPr>
          <w:bCs/>
        </w:rPr>
        <w:t xml:space="preserve">     Jak zmiňovaný autor shrnuje, celkovou podnikovou činnost můžeme chápat jako proces stále se uskutečňujících investic a dezinvestic, tedy jako proces neustálého vázání finančních prostředků </w:t>
      </w:r>
      <w:r w:rsidR="00272874">
        <w:rPr>
          <w:bCs/>
        </w:rPr>
        <w:t>v majetkových složkách podniku a jejich opětovného uvolňování prostřednictvím podnikového obratu.</w:t>
      </w:r>
    </w:p>
    <w:p w:rsidR="00085696" w:rsidRDefault="00272874" w:rsidP="00F85C82">
      <w:pPr>
        <w:spacing w:line="360" w:lineRule="auto"/>
        <w:jc w:val="both"/>
      </w:pPr>
      <w:r>
        <w:t xml:space="preserve">     Smyslem této části práce bylo seznámení se s pojmem investice a financování</w:t>
      </w:r>
      <w:r w:rsidR="00207568">
        <w:t xml:space="preserve">. Z uvedených výčtů odborné literatury je patrné, že pojetí podstaty těchto pojmů se v zásadě neliší. Investici lze </w:t>
      </w:r>
      <w:r w:rsidR="00085696">
        <w:t xml:space="preserve">obecně </w:t>
      </w:r>
      <w:r w:rsidR="00207568">
        <w:t>chápat jako užití zdrojů za účelem budoucího majetkového prospěchu</w:t>
      </w:r>
      <w:r w:rsidR="00085696">
        <w:t>, přičemž financováním rozumíme právě opatření těchto zdrojů</w:t>
      </w:r>
      <w:r w:rsidR="00207568">
        <w:t xml:space="preserve">. I když </w:t>
      </w:r>
      <w:r w:rsidR="00085696">
        <w:t xml:space="preserve">pojem investice </w:t>
      </w:r>
      <w:r w:rsidR="00207568">
        <w:t xml:space="preserve">nemůžeme zúžit výlučně na obstarávání hmotného investičního majetku, budeme přesto </w:t>
      </w:r>
      <w:r w:rsidR="00085696">
        <w:t xml:space="preserve">pod pojmem investice </w:t>
      </w:r>
      <w:r w:rsidR="00207568">
        <w:t xml:space="preserve">uvažovat především </w:t>
      </w:r>
      <w:r w:rsidR="00085696">
        <w:t xml:space="preserve">opatření této </w:t>
      </w:r>
      <w:r w:rsidR="00207568">
        <w:t>majetkov</w:t>
      </w:r>
      <w:r w:rsidR="00085696">
        <w:t>é</w:t>
      </w:r>
      <w:r w:rsidR="00207568">
        <w:t xml:space="preserve"> složk</w:t>
      </w:r>
      <w:r w:rsidR="00085696">
        <w:t>y</w:t>
      </w:r>
      <w:r w:rsidR="00CD1F9C">
        <w:t>, jako významného podnikového výrobního faktoru</w:t>
      </w:r>
      <w:r w:rsidR="00CD1F9C">
        <w:rPr>
          <w:rStyle w:val="Znakapoznpodarou"/>
        </w:rPr>
        <w:footnoteReference w:id="10"/>
      </w:r>
      <w:r w:rsidR="00207568">
        <w:t>.</w:t>
      </w:r>
      <w:r w:rsidR="00085696">
        <w:t xml:space="preserve"> </w:t>
      </w:r>
    </w:p>
    <w:p w:rsidR="00810EC5" w:rsidRDefault="00085696" w:rsidP="00F85C82">
      <w:pPr>
        <w:spacing w:line="360" w:lineRule="auto"/>
        <w:jc w:val="both"/>
      </w:pPr>
      <w:r>
        <w:t xml:space="preserve">     V dalších částech práce budou v kontextu podnikového </w:t>
      </w:r>
      <w:r w:rsidR="00810EC5">
        <w:t>investičního procesu shromážděna teoretická východiska pro tyto oblasti:</w:t>
      </w:r>
    </w:p>
    <w:p w:rsidR="00810EC5" w:rsidRDefault="00810EC5" w:rsidP="00F85C82">
      <w:pPr>
        <w:spacing w:line="360" w:lineRule="auto"/>
        <w:jc w:val="both"/>
      </w:pPr>
    </w:p>
    <w:p w:rsidR="00810EC5" w:rsidRDefault="00810EC5" w:rsidP="00B329BD">
      <w:pPr>
        <w:pStyle w:val="Odstavecseseznamem"/>
        <w:numPr>
          <w:ilvl w:val="0"/>
          <w:numId w:val="49"/>
        </w:numPr>
        <w:spacing w:line="360" w:lineRule="auto"/>
        <w:jc w:val="both"/>
      </w:pPr>
      <w:r>
        <w:t>plánování investic a jejich klasifikace,</w:t>
      </w:r>
    </w:p>
    <w:p w:rsidR="00810EC5" w:rsidRDefault="00B80D17" w:rsidP="00B329BD">
      <w:pPr>
        <w:pStyle w:val="Odstavecseseznamem"/>
        <w:numPr>
          <w:ilvl w:val="0"/>
          <w:numId w:val="49"/>
        </w:numPr>
        <w:spacing w:line="360" w:lineRule="auto"/>
        <w:jc w:val="both"/>
      </w:pPr>
      <w:r>
        <w:t xml:space="preserve">jednotlivé investiční </w:t>
      </w:r>
      <w:r w:rsidR="00810EC5">
        <w:t>fáze,</w:t>
      </w:r>
    </w:p>
    <w:p w:rsidR="00810EC5" w:rsidRDefault="00810EC5" w:rsidP="00B329BD">
      <w:pPr>
        <w:pStyle w:val="Odstavecseseznamem"/>
        <w:numPr>
          <w:ilvl w:val="0"/>
          <w:numId w:val="49"/>
        </w:numPr>
        <w:spacing w:line="360" w:lineRule="auto"/>
        <w:jc w:val="both"/>
      </w:pPr>
      <w:r>
        <w:t>klíčové aspekty investičních projektů,</w:t>
      </w:r>
    </w:p>
    <w:p w:rsidR="00810EC5" w:rsidRDefault="00810EC5" w:rsidP="00B329BD">
      <w:pPr>
        <w:pStyle w:val="Odstavecseseznamem"/>
        <w:numPr>
          <w:ilvl w:val="0"/>
          <w:numId w:val="49"/>
        </w:numPr>
        <w:spacing w:line="360" w:lineRule="auto"/>
        <w:jc w:val="both"/>
      </w:pPr>
      <w:r>
        <w:t>metody hodnocení ekonomické efektivnosti investičních projektů.</w:t>
      </w:r>
    </w:p>
    <w:p w:rsidR="004D0238" w:rsidRDefault="004D0238" w:rsidP="004D0238">
      <w:pPr>
        <w:spacing w:line="360" w:lineRule="auto"/>
        <w:ind w:left="360"/>
        <w:jc w:val="both"/>
      </w:pPr>
    </w:p>
    <w:p w:rsidR="001E6881" w:rsidRDefault="001E6881" w:rsidP="004D0238">
      <w:pPr>
        <w:spacing w:line="360" w:lineRule="auto"/>
        <w:ind w:left="360"/>
        <w:jc w:val="both"/>
      </w:pPr>
    </w:p>
    <w:p w:rsidR="001B7560" w:rsidRDefault="001B7560" w:rsidP="004D0238">
      <w:pPr>
        <w:spacing w:line="360" w:lineRule="auto"/>
        <w:ind w:left="360"/>
        <w:jc w:val="both"/>
      </w:pPr>
    </w:p>
    <w:p w:rsidR="001B7560" w:rsidRDefault="001B7560" w:rsidP="004D0238">
      <w:pPr>
        <w:spacing w:line="360" w:lineRule="auto"/>
        <w:ind w:left="360"/>
        <w:jc w:val="both"/>
      </w:pPr>
    </w:p>
    <w:p w:rsidR="00254C7F" w:rsidRPr="00EE5993" w:rsidRDefault="001B7560" w:rsidP="001B7560">
      <w:pPr>
        <w:pStyle w:val="Nadpis1"/>
        <w:ind w:left="0" w:firstLine="0"/>
        <w:rPr>
          <w:b w:val="0"/>
        </w:rPr>
      </w:pPr>
      <w:r>
        <w:rPr>
          <w:b w:val="0"/>
        </w:rPr>
        <w:lastRenderedPageBreak/>
        <w:t xml:space="preserve">  </w:t>
      </w:r>
      <w:bookmarkStart w:id="31" w:name="_Toc233044383"/>
      <w:r w:rsidR="00EE5993" w:rsidRPr="00EE5993">
        <w:rPr>
          <w:b w:val="0"/>
        </w:rPr>
        <w:t>Plánování investic a jejich klasifikace</w:t>
      </w:r>
      <w:bookmarkEnd w:id="31"/>
    </w:p>
    <w:p w:rsidR="007527A4" w:rsidRDefault="007527A4" w:rsidP="009346D7">
      <w:pPr>
        <w:spacing w:line="360" w:lineRule="auto"/>
        <w:jc w:val="both"/>
      </w:pPr>
    </w:p>
    <w:p w:rsidR="00EE5993" w:rsidRDefault="001B7560" w:rsidP="001B7560">
      <w:pPr>
        <w:pStyle w:val="Nadpis2"/>
        <w:ind w:left="0" w:firstLine="0"/>
        <w:rPr>
          <w:b w:val="0"/>
          <w:sz w:val="28"/>
          <w:szCs w:val="28"/>
        </w:rPr>
      </w:pPr>
      <w:r>
        <w:rPr>
          <w:b w:val="0"/>
          <w:sz w:val="28"/>
          <w:szCs w:val="28"/>
        </w:rPr>
        <w:t xml:space="preserve">  </w:t>
      </w:r>
      <w:bookmarkStart w:id="32" w:name="_Toc233044384"/>
      <w:r w:rsidR="00EE5993" w:rsidRPr="00EE5993">
        <w:rPr>
          <w:b w:val="0"/>
          <w:sz w:val="28"/>
          <w:szCs w:val="28"/>
        </w:rPr>
        <w:t>Plánování investic</w:t>
      </w:r>
      <w:r w:rsidR="00F84FE6">
        <w:rPr>
          <w:b w:val="0"/>
          <w:sz w:val="28"/>
          <w:szCs w:val="28"/>
        </w:rPr>
        <w:t xml:space="preserve"> a investiční rozpočet</w:t>
      </w:r>
      <w:bookmarkEnd w:id="32"/>
      <w:r w:rsidR="00B66339">
        <w:rPr>
          <w:b w:val="0"/>
          <w:sz w:val="28"/>
          <w:szCs w:val="28"/>
        </w:rPr>
        <w:t xml:space="preserve"> </w:t>
      </w:r>
    </w:p>
    <w:p w:rsidR="00EE5993" w:rsidRDefault="00EE5993" w:rsidP="00EE5993"/>
    <w:p w:rsidR="00264B0C" w:rsidRDefault="005A39F6" w:rsidP="005A39F6">
      <w:pPr>
        <w:spacing w:line="360" w:lineRule="auto"/>
        <w:jc w:val="both"/>
      </w:pPr>
      <w:r>
        <w:t xml:space="preserve">     Jak uvádí Synek</w:t>
      </w:r>
      <w:r>
        <w:rPr>
          <w:rStyle w:val="Znakapoznpodarou"/>
        </w:rPr>
        <w:footnoteReference w:id="11"/>
      </w:r>
      <w:r>
        <w:t xml:space="preserve">, plánování investic vychází ze strategického </w:t>
      </w:r>
      <w:r w:rsidR="00AD45B1">
        <w:t>obchodního</w:t>
      </w:r>
      <w:r>
        <w:t xml:space="preserve"> plánu</w:t>
      </w:r>
      <w:r w:rsidR="00BA49C9">
        <w:t>, který je produktem vrcholového vedení podniku a zachycuje hlavní cíle podniku, přičemž investiční plánování má úzkou vazbu na strategické finanční cíle, respektive některé dílčí finanční cíle.</w:t>
      </w:r>
    </w:p>
    <w:p w:rsidR="00B66339" w:rsidRDefault="00264B0C" w:rsidP="005A39F6">
      <w:pPr>
        <w:spacing w:line="360" w:lineRule="auto"/>
        <w:jc w:val="both"/>
      </w:pPr>
      <w:r>
        <w:t xml:space="preserve">     </w:t>
      </w:r>
      <w:r w:rsidR="00BA49C9">
        <w:t>Jak dále vysvětluje uvedený autor, plánování investic je jednou z nejsložitějších a mnohostranných činností podnikového managementu hledající způsoby a cesty, jak stanovené cíle naplnit</w:t>
      </w:r>
      <w:r>
        <w:t xml:space="preserve">, ty jsou konkretizovány v podobě jednotlivých investičních projektů, které již mají </w:t>
      </w:r>
      <w:r w:rsidR="005A39F6">
        <w:t xml:space="preserve">i svou věcnou stránku spočívající v rozhodování o technickém a výrobním charakteru investice. Jde například o rozhodování o tom, jaké stroje a zařízení mají být obnoveny nebo nově pořízeny, jak má být rozšířena výrobní kapacita, kdo zajistí projektovou přípravu, kdo bude případným dodavatelem, jaký bude časový průběh investice a podobně.    </w:t>
      </w:r>
    </w:p>
    <w:p w:rsidR="00014914" w:rsidRDefault="00B66339" w:rsidP="005A39F6">
      <w:pPr>
        <w:spacing w:line="360" w:lineRule="auto"/>
        <w:jc w:val="both"/>
      </w:pPr>
      <w:r>
        <w:t xml:space="preserve">     Podobné začlenění investičního plánování do kontextu podniku jako celku nabízí Wöhe a Kislingerová</w:t>
      </w:r>
      <w:r>
        <w:rPr>
          <w:rStyle w:val="Znakapoznpodarou"/>
        </w:rPr>
        <w:footnoteReference w:id="12"/>
      </w:r>
      <w:r>
        <w:t>, kteří chápou investiční plánování jako součást celkového podnikového plánování</w:t>
      </w:r>
      <w:r w:rsidR="00014914">
        <w:t>, jehož předmětem je:</w:t>
      </w:r>
    </w:p>
    <w:p w:rsidR="00014914" w:rsidRDefault="00014914" w:rsidP="005A39F6">
      <w:pPr>
        <w:spacing w:line="360" w:lineRule="auto"/>
        <w:jc w:val="both"/>
      </w:pPr>
    </w:p>
    <w:p w:rsidR="005A39F6" w:rsidRDefault="009D334D" w:rsidP="00B329BD">
      <w:pPr>
        <w:pStyle w:val="Odstavecseseznamem"/>
        <w:numPr>
          <w:ilvl w:val="0"/>
          <w:numId w:val="50"/>
        </w:numPr>
        <w:spacing w:line="360" w:lineRule="auto"/>
        <w:ind w:left="714" w:hanging="357"/>
        <w:jc w:val="both"/>
      </w:pPr>
      <w:r>
        <w:t>optimalizace investičního rozhodování,</w:t>
      </w:r>
    </w:p>
    <w:p w:rsidR="009D334D" w:rsidRDefault="008F09C2" w:rsidP="00B329BD">
      <w:pPr>
        <w:pStyle w:val="Odstavecseseznamem"/>
        <w:numPr>
          <w:ilvl w:val="0"/>
          <w:numId w:val="50"/>
        </w:numPr>
        <w:spacing w:line="360" w:lineRule="auto"/>
        <w:ind w:left="714" w:hanging="357"/>
        <w:jc w:val="both"/>
      </w:pPr>
      <w:r>
        <w:t>realizace investičních projektů,</w:t>
      </w:r>
    </w:p>
    <w:p w:rsidR="008F09C2" w:rsidRDefault="008F09C2" w:rsidP="00B329BD">
      <w:pPr>
        <w:pStyle w:val="Odstavecseseznamem"/>
        <w:numPr>
          <w:ilvl w:val="0"/>
          <w:numId w:val="50"/>
        </w:numPr>
        <w:spacing w:line="360" w:lineRule="auto"/>
        <w:ind w:left="714" w:hanging="357"/>
        <w:jc w:val="both"/>
      </w:pPr>
      <w:r>
        <w:t>kontrola investičních projektů.</w:t>
      </w:r>
    </w:p>
    <w:p w:rsidR="008F09C2" w:rsidRDefault="008F09C2" w:rsidP="008F09C2">
      <w:pPr>
        <w:spacing w:line="360" w:lineRule="auto"/>
        <w:jc w:val="both"/>
      </w:pPr>
    </w:p>
    <w:p w:rsidR="008F09C2" w:rsidRDefault="008F09C2" w:rsidP="008F09C2">
      <w:pPr>
        <w:spacing w:line="360" w:lineRule="auto"/>
        <w:jc w:val="both"/>
      </w:pPr>
      <w:r>
        <w:t xml:space="preserve">     Investičnímu plánování je podle uvedených autorů v teorii a praxi věnována náležitá pozornost, neboť investiční rozhodování jsou zpravidla spojena s:</w:t>
      </w:r>
    </w:p>
    <w:p w:rsidR="008F09C2" w:rsidRDefault="008F09C2" w:rsidP="008F09C2">
      <w:pPr>
        <w:spacing w:line="360" w:lineRule="auto"/>
        <w:jc w:val="both"/>
      </w:pPr>
    </w:p>
    <w:p w:rsidR="008F09C2" w:rsidRDefault="008F09C2" w:rsidP="00B329BD">
      <w:pPr>
        <w:pStyle w:val="Odstavecseseznamem"/>
        <w:numPr>
          <w:ilvl w:val="0"/>
          <w:numId w:val="51"/>
        </w:numPr>
        <w:spacing w:line="360" w:lineRule="auto"/>
        <w:jc w:val="both"/>
      </w:pPr>
      <w:r>
        <w:t>významným objemem investovaného kapitálu,</w:t>
      </w:r>
    </w:p>
    <w:p w:rsidR="008F09C2" w:rsidRDefault="008F09C2" w:rsidP="00B329BD">
      <w:pPr>
        <w:pStyle w:val="Odstavecseseznamem"/>
        <w:numPr>
          <w:ilvl w:val="0"/>
          <w:numId w:val="51"/>
        </w:numPr>
        <w:spacing w:line="360" w:lineRule="auto"/>
        <w:jc w:val="both"/>
      </w:pPr>
      <w:r>
        <w:t>dlouhodobou vázaností kapitálu,</w:t>
      </w:r>
    </w:p>
    <w:p w:rsidR="008F09C2" w:rsidRDefault="008F09C2" w:rsidP="00B329BD">
      <w:pPr>
        <w:pStyle w:val="Odstavecseseznamem"/>
        <w:numPr>
          <w:ilvl w:val="0"/>
          <w:numId w:val="51"/>
        </w:numPr>
        <w:spacing w:line="360" w:lineRule="auto"/>
        <w:jc w:val="both"/>
      </w:pPr>
      <w:r>
        <w:t>značným vlivem na ostatní podnikové oblasti.</w:t>
      </w:r>
    </w:p>
    <w:p w:rsidR="008F09C2" w:rsidRDefault="008F09C2" w:rsidP="008F09C2">
      <w:pPr>
        <w:spacing w:line="360" w:lineRule="auto"/>
        <w:jc w:val="both"/>
      </w:pPr>
    </w:p>
    <w:p w:rsidR="007935DB" w:rsidRDefault="008F09C2" w:rsidP="008F09C2">
      <w:pPr>
        <w:spacing w:line="360" w:lineRule="auto"/>
        <w:jc w:val="both"/>
      </w:pPr>
      <w:r>
        <w:t xml:space="preserve">     V souvislosti s</w:t>
      </w:r>
      <w:r w:rsidR="00836C9D">
        <w:t xml:space="preserve"> uvedenými postoji </w:t>
      </w:r>
      <w:r w:rsidR="00D9668F">
        <w:t xml:space="preserve">autorů </w:t>
      </w:r>
      <w:r w:rsidR="00836C9D">
        <w:t>je možné konstatovat těsnou vazbu investičního plánování s</w:t>
      </w:r>
      <w:r>
        <w:t> naplňování</w:t>
      </w:r>
      <w:r w:rsidR="00836C9D">
        <w:t>m</w:t>
      </w:r>
      <w:r>
        <w:t xml:space="preserve"> </w:t>
      </w:r>
      <w:r w:rsidR="00836C9D">
        <w:t>dlouhodobých podnikových cílů. Jak již bylo uvedeno v první kapitole této práce, investiční záměry je</w:t>
      </w:r>
      <w:r w:rsidR="00D9668F">
        <w:t xml:space="preserve"> však</w:t>
      </w:r>
      <w:r w:rsidR="00836C9D">
        <w:t xml:space="preserve"> možné realizovat pouze za předpokladu </w:t>
      </w:r>
      <w:r w:rsidR="00836C9D">
        <w:lastRenderedPageBreak/>
        <w:t>disponibilních zdrojů, v takovém případě hovoříme o investičním rozpočtu, který musí být v souladu s finančním plánem podniku</w:t>
      </w:r>
      <w:r w:rsidR="00D9668F">
        <w:t xml:space="preserve">, modelové souvislosti investičního plánování a investičního rozpočtu </w:t>
      </w:r>
      <w:r w:rsidR="00006885">
        <w:t xml:space="preserve">pak </w:t>
      </w:r>
      <w:r w:rsidR="00D9668F">
        <w:t>vyjadřuje tabulka:</w:t>
      </w:r>
    </w:p>
    <w:p w:rsidR="007935DB" w:rsidRDefault="007935DB" w:rsidP="008F09C2">
      <w:pPr>
        <w:spacing w:line="360" w:lineRule="auto"/>
        <w:jc w:val="both"/>
      </w:pPr>
    </w:p>
    <w:p w:rsidR="007935DB" w:rsidRDefault="007935DB" w:rsidP="001346D8">
      <w:pPr>
        <w:pStyle w:val="Nzev"/>
      </w:pPr>
      <w:bookmarkStart w:id="33" w:name="_Toc233044436"/>
      <w:r>
        <w:t>Tabulka č. 2 – Úrovně investičního plánování</w:t>
      </w:r>
      <w:bookmarkEnd w:id="33"/>
    </w:p>
    <w:p w:rsidR="008F09C2" w:rsidRDefault="004D0238" w:rsidP="008F09C2">
      <w:pPr>
        <w:spacing w:line="360" w:lineRule="auto"/>
        <w:jc w:val="both"/>
      </w:pPr>
      <w:r>
        <w:rPr>
          <w:noProof/>
        </w:rPr>
        <w:drawing>
          <wp:anchor distT="0" distB="0" distL="114300" distR="114300" simplePos="0" relativeHeight="251701248" behindDoc="0" locked="0" layoutInCell="1" allowOverlap="1">
            <wp:simplePos x="0" y="0"/>
            <wp:positionH relativeFrom="column">
              <wp:posOffset>21590</wp:posOffset>
            </wp:positionH>
            <wp:positionV relativeFrom="paragraph">
              <wp:posOffset>111125</wp:posOffset>
            </wp:positionV>
            <wp:extent cx="5200650" cy="3467100"/>
            <wp:effectExtent l="19050" t="0" r="0" b="0"/>
            <wp:wrapNone/>
            <wp:docPr id="4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200650" cy="3467100"/>
                    </a:xfrm>
                    <a:prstGeom prst="rect">
                      <a:avLst/>
                    </a:prstGeom>
                    <a:noFill/>
                    <a:ln w="9525">
                      <a:noFill/>
                      <a:miter lim="800000"/>
                      <a:headEnd/>
                      <a:tailEnd/>
                    </a:ln>
                  </pic:spPr>
                </pic:pic>
              </a:graphicData>
            </a:graphic>
          </wp:anchor>
        </w:drawing>
      </w:r>
      <w:r w:rsidR="00D9668F">
        <w:t xml:space="preserve">     </w:t>
      </w:r>
      <w:r w:rsidR="00836C9D">
        <w:t xml:space="preserve">  </w:t>
      </w:r>
    </w:p>
    <w:p w:rsidR="005A39F6" w:rsidRDefault="005A39F6" w:rsidP="005A39F6">
      <w:pPr>
        <w:spacing w:line="360" w:lineRule="auto"/>
        <w:jc w:val="both"/>
      </w:pPr>
      <w:r>
        <w:t xml:space="preserve">   </w:t>
      </w:r>
      <w:r w:rsidR="00EE5993">
        <w:t xml:space="preserve">     </w:t>
      </w:r>
    </w:p>
    <w:p w:rsidR="005A39F6" w:rsidRDefault="005A39F6" w:rsidP="00EE5993">
      <w:pPr>
        <w:spacing w:line="360" w:lineRule="auto"/>
        <w:jc w:val="both"/>
      </w:pPr>
    </w:p>
    <w:p w:rsidR="007935DB" w:rsidRDefault="007935DB" w:rsidP="00264B0C">
      <w:pPr>
        <w:spacing w:line="360" w:lineRule="auto"/>
        <w:jc w:val="both"/>
      </w:pPr>
    </w:p>
    <w:p w:rsidR="007935DB" w:rsidRDefault="007935DB" w:rsidP="00264B0C">
      <w:pPr>
        <w:spacing w:line="360" w:lineRule="auto"/>
        <w:jc w:val="both"/>
      </w:pPr>
    </w:p>
    <w:p w:rsidR="007935DB" w:rsidRDefault="007935DB" w:rsidP="00264B0C">
      <w:pPr>
        <w:spacing w:line="360" w:lineRule="auto"/>
        <w:jc w:val="both"/>
      </w:pPr>
    </w:p>
    <w:p w:rsidR="007935DB" w:rsidRDefault="007935DB" w:rsidP="00264B0C">
      <w:pPr>
        <w:spacing w:line="360" w:lineRule="auto"/>
        <w:jc w:val="both"/>
      </w:pPr>
    </w:p>
    <w:p w:rsidR="007935DB" w:rsidRDefault="007935DB" w:rsidP="00264B0C">
      <w:pPr>
        <w:spacing w:line="360" w:lineRule="auto"/>
        <w:jc w:val="both"/>
      </w:pPr>
    </w:p>
    <w:p w:rsidR="007935DB" w:rsidRDefault="007935DB" w:rsidP="00264B0C">
      <w:pPr>
        <w:spacing w:line="360" w:lineRule="auto"/>
        <w:jc w:val="both"/>
      </w:pPr>
    </w:p>
    <w:p w:rsidR="007935DB" w:rsidRDefault="007935DB" w:rsidP="00264B0C">
      <w:pPr>
        <w:spacing w:line="360" w:lineRule="auto"/>
        <w:jc w:val="both"/>
      </w:pPr>
    </w:p>
    <w:p w:rsidR="007935DB" w:rsidRDefault="007935DB" w:rsidP="00264B0C">
      <w:pPr>
        <w:spacing w:line="360" w:lineRule="auto"/>
        <w:jc w:val="both"/>
      </w:pPr>
    </w:p>
    <w:p w:rsidR="007935DB" w:rsidRDefault="007935DB" w:rsidP="00264B0C">
      <w:pPr>
        <w:spacing w:line="360" w:lineRule="auto"/>
        <w:jc w:val="both"/>
      </w:pPr>
    </w:p>
    <w:p w:rsidR="007935DB" w:rsidRDefault="007935DB" w:rsidP="00264B0C">
      <w:pPr>
        <w:spacing w:line="360" w:lineRule="auto"/>
        <w:jc w:val="both"/>
      </w:pPr>
    </w:p>
    <w:p w:rsidR="007935DB" w:rsidRDefault="007935DB" w:rsidP="00264B0C">
      <w:pPr>
        <w:spacing w:line="360" w:lineRule="auto"/>
        <w:jc w:val="both"/>
      </w:pPr>
    </w:p>
    <w:p w:rsidR="007935DB" w:rsidRPr="007935DB" w:rsidRDefault="007935DB" w:rsidP="00264B0C">
      <w:pPr>
        <w:spacing w:line="360" w:lineRule="auto"/>
        <w:jc w:val="both"/>
        <w:rPr>
          <w:i/>
          <w:sz w:val="18"/>
          <w:szCs w:val="18"/>
        </w:rPr>
      </w:pPr>
      <w:r w:rsidRPr="007935DB">
        <w:rPr>
          <w:i/>
          <w:sz w:val="18"/>
          <w:szCs w:val="18"/>
        </w:rPr>
        <w:t>Zdroj: WÖHE, G. KISLINGEROVÁ, E. Úvod do podnikového hospodářství 2. vyd. Praha : C.H.Beck, 2007. 928 s. ISBN 978-80-7179-897-2, str. 49</w:t>
      </w:r>
      <w:r>
        <w:rPr>
          <w:i/>
          <w:sz w:val="18"/>
          <w:szCs w:val="18"/>
        </w:rPr>
        <w:t>6</w:t>
      </w:r>
      <w:r w:rsidRPr="007935DB">
        <w:rPr>
          <w:i/>
          <w:sz w:val="18"/>
          <w:szCs w:val="18"/>
        </w:rPr>
        <w:t>.</w:t>
      </w:r>
    </w:p>
    <w:p w:rsidR="007935DB" w:rsidRDefault="007935DB" w:rsidP="00264B0C">
      <w:pPr>
        <w:spacing w:line="360" w:lineRule="auto"/>
        <w:jc w:val="both"/>
      </w:pPr>
    </w:p>
    <w:p w:rsidR="008D0820" w:rsidRPr="008D0820" w:rsidRDefault="001B7560" w:rsidP="001B7560">
      <w:pPr>
        <w:pStyle w:val="Nadpis2"/>
        <w:ind w:left="0" w:firstLine="0"/>
        <w:rPr>
          <w:b w:val="0"/>
          <w:sz w:val="28"/>
          <w:szCs w:val="28"/>
        </w:rPr>
      </w:pPr>
      <w:r>
        <w:rPr>
          <w:b w:val="0"/>
          <w:sz w:val="28"/>
          <w:szCs w:val="28"/>
        </w:rPr>
        <w:t xml:space="preserve">  </w:t>
      </w:r>
      <w:bookmarkStart w:id="34" w:name="_Toc233044385"/>
      <w:r w:rsidR="008D0820" w:rsidRPr="008D0820">
        <w:rPr>
          <w:b w:val="0"/>
          <w:sz w:val="28"/>
          <w:szCs w:val="28"/>
        </w:rPr>
        <w:t>Klasifikace investic</w:t>
      </w:r>
      <w:bookmarkEnd w:id="34"/>
    </w:p>
    <w:p w:rsidR="008D0820" w:rsidRDefault="008D0820" w:rsidP="00264B0C">
      <w:pPr>
        <w:spacing w:line="360" w:lineRule="auto"/>
        <w:jc w:val="both"/>
      </w:pPr>
    </w:p>
    <w:p w:rsidR="0061531C" w:rsidRPr="0061531C" w:rsidRDefault="005A39F6" w:rsidP="00264B0C">
      <w:pPr>
        <w:spacing w:line="360" w:lineRule="auto"/>
        <w:jc w:val="both"/>
        <w:rPr>
          <w:bCs/>
          <w:vanish/>
          <w:sz w:val="28"/>
          <w:szCs w:val="28"/>
        </w:rPr>
      </w:pPr>
      <w:r>
        <w:t xml:space="preserve"> </w:t>
      </w:r>
      <w:bookmarkStart w:id="35" w:name="_Toc222366965"/>
      <w:bookmarkStart w:id="36" w:name="_Toc222408602"/>
      <w:bookmarkStart w:id="37" w:name="_Toc229767833"/>
      <w:bookmarkStart w:id="38" w:name="_Toc229768117"/>
      <w:bookmarkStart w:id="39" w:name="_Toc229768257"/>
      <w:bookmarkStart w:id="40" w:name="_Toc229768371"/>
      <w:bookmarkStart w:id="41" w:name="_Toc229768510"/>
      <w:bookmarkStart w:id="42" w:name="_Toc229768791"/>
      <w:bookmarkStart w:id="43" w:name="_Toc229768879"/>
      <w:bookmarkStart w:id="44" w:name="_Toc229768980"/>
      <w:bookmarkStart w:id="45" w:name="_Toc229769053"/>
      <w:bookmarkStart w:id="46" w:name="_Toc230692868"/>
      <w:bookmarkStart w:id="47" w:name="_Toc230692945"/>
      <w:bookmarkStart w:id="48" w:name="_Toc231023740"/>
      <w:bookmarkStart w:id="49" w:name="_Toc231023810"/>
      <w:bookmarkStart w:id="50" w:name="_Toc231034518"/>
      <w:bookmarkStart w:id="51" w:name="_Toc231034704"/>
      <w:bookmarkStart w:id="52" w:name="_Toc231034773"/>
      <w:bookmarkStart w:id="53" w:name="_Toc231034842"/>
      <w:bookmarkStart w:id="54" w:name="_Toc231102769"/>
      <w:bookmarkStart w:id="55" w:name="_Toc231103648"/>
      <w:bookmarkStart w:id="56" w:name="_Toc231111306"/>
      <w:bookmarkStart w:id="57" w:name="_Toc231112739"/>
      <w:bookmarkStart w:id="58" w:name="_Toc231112811"/>
      <w:bookmarkStart w:id="59" w:name="_Toc231113000"/>
      <w:bookmarkStart w:id="60" w:name="_Toc231113072"/>
      <w:bookmarkStart w:id="61" w:name="_Toc231189195"/>
      <w:bookmarkStart w:id="62" w:name="_Toc231452134"/>
      <w:bookmarkStart w:id="63" w:name="_Toc231453747"/>
      <w:bookmarkStart w:id="64" w:name="_Toc231454037"/>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61531C" w:rsidRPr="0061531C" w:rsidRDefault="0061531C" w:rsidP="00AD45B1">
      <w:pPr>
        <w:pStyle w:val="Odstavecseseznamem"/>
        <w:keepNext/>
        <w:numPr>
          <w:ilvl w:val="0"/>
          <w:numId w:val="3"/>
        </w:numPr>
        <w:spacing w:line="360" w:lineRule="auto"/>
        <w:contextualSpacing w:val="0"/>
        <w:jc w:val="both"/>
        <w:outlineLvl w:val="1"/>
        <w:rPr>
          <w:bCs/>
          <w:vanish/>
          <w:sz w:val="28"/>
          <w:szCs w:val="28"/>
        </w:rPr>
      </w:pPr>
      <w:bookmarkStart w:id="65" w:name="_Toc222366966"/>
      <w:bookmarkStart w:id="66" w:name="_Toc222408603"/>
      <w:bookmarkStart w:id="67" w:name="_Toc229767834"/>
      <w:bookmarkStart w:id="68" w:name="_Toc229768118"/>
      <w:bookmarkStart w:id="69" w:name="_Toc229768258"/>
      <w:bookmarkStart w:id="70" w:name="_Toc229768372"/>
      <w:bookmarkStart w:id="71" w:name="_Toc229768511"/>
      <w:bookmarkStart w:id="72" w:name="_Toc229768792"/>
      <w:bookmarkStart w:id="73" w:name="_Toc229768880"/>
      <w:bookmarkStart w:id="74" w:name="_Toc229768981"/>
      <w:bookmarkStart w:id="75" w:name="_Toc229769054"/>
      <w:bookmarkStart w:id="76" w:name="_Toc230692869"/>
      <w:bookmarkStart w:id="77" w:name="_Toc230692946"/>
      <w:bookmarkStart w:id="78" w:name="_Toc231023741"/>
      <w:bookmarkStart w:id="79" w:name="_Toc231023811"/>
      <w:bookmarkStart w:id="80" w:name="_Toc231034519"/>
      <w:bookmarkStart w:id="81" w:name="_Toc231034705"/>
      <w:bookmarkStart w:id="82" w:name="_Toc231034774"/>
      <w:bookmarkStart w:id="83" w:name="_Toc231034843"/>
      <w:bookmarkStart w:id="84" w:name="_Toc231102770"/>
      <w:bookmarkStart w:id="85" w:name="_Toc231103649"/>
      <w:bookmarkStart w:id="86" w:name="_Toc231111307"/>
      <w:bookmarkStart w:id="87" w:name="_Toc231112740"/>
      <w:bookmarkStart w:id="88" w:name="_Toc231112812"/>
      <w:bookmarkStart w:id="89" w:name="_Toc231113001"/>
      <w:bookmarkStart w:id="90" w:name="_Toc231113073"/>
      <w:bookmarkStart w:id="91" w:name="_Toc231189196"/>
      <w:bookmarkStart w:id="92" w:name="_Toc231452135"/>
      <w:bookmarkStart w:id="93" w:name="_Toc231453748"/>
      <w:bookmarkStart w:id="94" w:name="_Toc231454038"/>
      <w:bookmarkStart w:id="95" w:name="_Toc232689742"/>
      <w:bookmarkStart w:id="96" w:name="_Toc232695315"/>
      <w:bookmarkStart w:id="97" w:name="_Toc232739242"/>
      <w:bookmarkStart w:id="98" w:name="_Toc232745525"/>
      <w:bookmarkStart w:id="99" w:name="_Toc232821173"/>
      <w:bookmarkStart w:id="100" w:name="_Toc232821229"/>
      <w:bookmarkStart w:id="101" w:name="_Toc232856366"/>
      <w:bookmarkStart w:id="102" w:name="_Toc232856419"/>
      <w:bookmarkStart w:id="103" w:name="_Toc232856896"/>
      <w:bookmarkStart w:id="104" w:name="_Toc232923337"/>
      <w:bookmarkStart w:id="105" w:name="_Toc233006805"/>
      <w:bookmarkStart w:id="106" w:name="_Toc233033386"/>
      <w:bookmarkStart w:id="107" w:name="_Toc233041587"/>
      <w:bookmarkStart w:id="108" w:name="_Toc233044386"/>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4B4585" w:rsidRPr="004B4585" w:rsidRDefault="004B4585" w:rsidP="00AD45B1">
      <w:pPr>
        <w:pStyle w:val="Odstavecseseznamem"/>
        <w:numPr>
          <w:ilvl w:val="0"/>
          <w:numId w:val="4"/>
        </w:numPr>
        <w:spacing w:line="360" w:lineRule="auto"/>
        <w:contextualSpacing w:val="0"/>
        <w:jc w:val="both"/>
        <w:outlineLvl w:val="1"/>
        <w:rPr>
          <w:bCs/>
          <w:vanish/>
          <w:sz w:val="28"/>
          <w:szCs w:val="28"/>
        </w:rPr>
      </w:pPr>
      <w:bookmarkStart w:id="109" w:name="_Toc222366967"/>
      <w:bookmarkStart w:id="110" w:name="_Toc222408604"/>
      <w:bookmarkStart w:id="111" w:name="_Toc229767835"/>
      <w:bookmarkStart w:id="112" w:name="_Toc229768119"/>
      <w:bookmarkStart w:id="113" w:name="_Toc229768259"/>
      <w:bookmarkStart w:id="114" w:name="_Toc229768373"/>
      <w:bookmarkStart w:id="115" w:name="_Toc229768512"/>
      <w:bookmarkStart w:id="116" w:name="_Toc229768793"/>
      <w:bookmarkStart w:id="117" w:name="_Toc229768881"/>
      <w:bookmarkStart w:id="118" w:name="_Toc229768982"/>
      <w:bookmarkStart w:id="119" w:name="_Toc229769055"/>
      <w:bookmarkStart w:id="120" w:name="_Toc230692870"/>
      <w:bookmarkStart w:id="121" w:name="_Toc230692947"/>
      <w:bookmarkStart w:id="122" w:name="_Toc231023742"/>
      <w:bookmarkStart w:id="123" w:name="_Toc231023812"/>
      <w:bookmarkStart w:id="124" w:name="_Toc231034520"/>
      <w:bookmarkStart w:id="125" w:name="_Toc231034706"/>
      <w:bookmarkStart w:id="126" w:name="_Toc231034775"/>
      <w:bookmarkStart w:id="127" w:name="_Toc231034844"/>
      <w:bookmarkStart w:id="128" w:name="_Toc231102771"/>
      <w:bookmarkStart w:id="129" w:name="_Toc231103650"/>
      <w:bookmarkStart w:id="130" w:name="_Toc231111308"/>
      <w:bookmarkStart w:id="131" w:name="_Toc231112741"/>
      <w:bookmarkStart w:id="132" w:name="_Toc231112813"/>
      <w:bookmarkStart w:id="133" w:name="_Toc231113002"/>
      <w:bookmarkStart w:id="134" w:name="_Toc231113074"/>
      <w:bookmarkStart w:id="135" w:name="_Toc231189197"/>
      <w:bookmarkStart w:id="136" w:name="_Toc231452136"/>
      <w:bookmarkStart w:id="137" w:name="_Toc231453749"/>
      <w:bookmarkStart w:id="138" w:name="_Toc231454039"/>
      <w:bookmarkStart w:id="139" w:name="_Toc232689743"/>
      <w:bookmarkStart w:id="140" w:name="_Toc232695316"/>
      <w:bookmarkStart w:id="141" w:name="_Toc232739243"/>
      <w:bookmarkStart w:id="142" w:name="_Toc232745526"/>
      <w:bookmarkStart w:id="143" w:name="_Toc232821174"/>
      <w:bookmarkStart w:id="144" w:name="_Toc232821230"/>
      <w:bookmarkStart w:id="145" w:name="_Toc232856367"/>
      <w:bookmarkStart w:id="146" w:name="_Toc232856420"/>
      <w:bookmarkStart w:id="147" w:name="_Toc232856897"/>
      <w:bookmarkStart w:id="148" w:name="_Toc232923338"/>
      <w:bookmarkStart w:id="149" w:name="_Toc233006806"/>
      <w:bookmarkStart w:id="150" w:name="_Toc233033387"/>
      <w:bookmarkStart w:id="151" w:name="_Toc233041588"/>
      <w:bookmarkStart w:id="152" w:name="_Toc233044387"/>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4B4585" w:rsidRPr="004B4585" w:rsidRDefault="004B4585" w:rsidP="00AD45B1">
      <w:pPr>
        <w:pStyle w:val="Odstavecseseznamem"/>
        <w:numPr>
          <w:ilvl w:val="0"/>
          <w:numId w:val="6"/>
        </w:numPr>
        <w:spacing w:line="360" w:lineRule="auto"/>
        <w:contextualSpacing w:val="0"/>
        <w:jc w:val="both"/>
        <w:outlineLvl w:val="1"/>
        <w:rPr>
          <w:bCs/>
          <w:vanish/>
          <w:sz w:val="28"/>
          <w:szCs w:val="28"/>
        </w:rPr>
      </w:pPr>
      <w:bookmarkStart w:id="153" w:name="_Toc222366968"/>
      <w:bookmarkStart w:id="154" w:name="_Toc222408605"/>
      <w:bookmarkStart w:id="155" w:name="_Toc229767836"/>
      <w:bookmarkStart w:id="156" w:name="_Toc229768120"/>
      <w:bookmarkStart w:id="157" w:name="_Toc229768260"/>
      <w:bookmarkStart w:id="158" w:name="_Toc229768374"/>
      <w:bookmarkStart w:id="159" w:name="_Toc229768513"/>
      <w:bookmarkStart w:id="160" w:name="_Toc229768794"/>
      <w:bookmarkStart w:id="161" w:name="_Toc229768882"/>
      <w:bookmarkStart w:id="162" w:name="_Toc229768983"/>
      <w:bookmarkStart w:id="163" w:name="_Toc229769056"/>
      <w:bookmarkStart w:id="164" w:name="_Toc230692871"/>
      <w:bookmarkStart w:id="165" w:name="_Toc230692948"/>
      <w:bookmarkStart w:id="166" w:name="_Toc231023743"/>
      <w:bookmarkStart w:id="167" w:name="_Toc231023813"/>
      <w:bookmarkStart w:id="168" w:name="_Toc231034521"/>
      <w:bookmarkStart w:id="169" w:name="_Toc231034707"/>
      <w:bookmarkStart w:id="170" w:name="_Toc231034776"/>
      <w:bookmarkStart w:id="171" w:name="_Toc231034845"/>
      <w:bookmarkStart w:id="172" w:name="_Toc231102772"/>
      <w:bookmarkStart w:id="173" w:name="_Toc231103651"/>
      <w:bookmarkStart w:id="174" w:name="_Toc231111309"/>
      <w:bookmarkStart w:id="175" w:name="_Toc231112742"/>
      <w:bookmarkStart w:id="176" w:name="_Toc231112814"/>
      <w:bookmarkStart w:id="177" w:name="_Toc231113003"/>
      <w:bookmarkStart w:id="178" w:name="_Toc231113075"/>
      <w:bookmarkStart w:id="179" w:name="_Toc231189198"/>
      <w:bookmarkStart w:id="180" w:name="_Toc231452137"/>
      <w:bookmarkStart w:id="181" w:name="_Toc231453750"/>
      <w:bookmarkStart w:id="182" w:name="_Toc231454040"/>
      <w:bookmarkStart w:id="183" w:name="_Toc232689744"/>
      <w:bookmarkStart w:id="184" w:name="_Toc232695317"/>
      <w:bookmarkStart w:id="185" w:name="_Toc232739244"/>
      <w:bookmarkStart w:id="186" w:name="_Toc232745527"/>
      <w:bookmarkStart w:id="187" w:name="_Toc232821175"/>
      <w:bookmarkStart w:id="188" w:name="_Toc232821231"/>
      <w:bookmarkStart w:id="189" w:name="_Toc232856368"/>
      <w:bookmarkStart w:id="190" w:name="_Toc232856421"/>
      <w:bookmarkStart w:id="191" w:name="_Toc232856898"/>
      <w:bookmarkStart w:id="192" w:name="_Toc232923339"/>
      <w:bookmarkStart w:id="193" w:name="_Toc233006807"/>
      <w:bookmarkStart w:id="194" w:name="_Toc233033388"/>
      <w:bookmarkStart w:id="195" w:name="_Toc233041589"/>
      <w:bookmarkStart w:id="196" w:name="_Toc233044388"/>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4B4585" w:rsidRPr="004B4585" w:rsidRDefault="004B4585" w:rsidP="00AD45B1">
      <w:pPr>
        <w:pStyle w:val="Odstavecseseznamem"/>
        <w:numPr>
          <w:ilvl w:val="0"/>
          <w:numId w:val="6"/>
        </w:numPr>
        <w:spacing w:line="360" w:lineRule="auto"/>
        <w:contextualSpacing w:val="0"/>
        <w:jc w:val="both"/>
        <w:outlineLvl w:val="1"/>
        <w:rPr>
          <w:bCs/>
          <w:vanish/>
          <w:sz w:val="28"/>
          <w:szCs w:val="28"/>
        </w:rPr>
      </w:pPr>
      <w:bookmarkStart w:id="197" w:name="_Toc222366969"/>
      <w:bookmarkStart w:id="198" w:name="_Toc222408606"/>
      <w:bookmarkStart w:id="199" w:name="_Toc229767837"/>
      <w:bookmarkStart w:id="200" w:name="_Toc229768121"/>
      <w:bookmarkStart w:id="201" w:name="_Toc229768261"/>
      <w:bookmarkStart w:id="202" w:name="_Toc229768375"/>
      <w:bookmarkStart w:id="203" w:name="_Toc229768514"/>
      <w:bookmarkStart w:id="204" w:name="_Toc229768795"/>
      <w:bookmarkStart w:id="205" w:name="_Toc229768883"/>
      <w:bookmarkStart w:id="206" w:name="_Toc229768984"/>
      <w:bookmarkStart w:id="207" w:name="_Toc229769057"/>
      <w:bookmarkStart w:id="208" w:name="_Toc230692872"/>
      <w:bookmarkStart w:id="209" w:name="_Toc230692949"/>
      <w:bookmarkStart w:id="210" w:name="_Toc231023744"/>
      <w:bookmarkStart w:id="211" w:name="_Toc231023814"/>
      <w:bookmarkStart w:id="212" w:name="_Toc231034522"/>
      <w:bookmarkStart w:id="213" w:name="_Toc231034708"/>
      <w:bookmarkStart w:id="214" w:name="_Toc231034777"/>
      <w:bookmarkStart w:id="215" w:name="_Toc231034846"/>
      <w:bookmarkStart w:id="216" w:name="_Toc231102773"/>
      <w:bookmarkStart w:id="217" w:name="_Toc231103652"/>
      <w:bookmarkStart w:id="218" w:name="_Toc231111310"/>
      <w:bookmarkStart w:id="219" w:name="_Toc231112743"/>
      <w:bookmarkStart w:id="220" w:name="_Toc231112815"/>
      <w:bookmarkStart w:id="221" w:name="_Toc231113004"/>
      <w:bookmarkStart w:id="222" w:name="_Toc231113076"/>
      <w:bookmarkStart w:id="223" w:name="_Toc231189199"/>
      <w:bookmarkStart w:id="224" w:name="_Toc231452138"/>
      <w:bookmarkStart w:id="225" w:name="_Toc231453751"/>
      <w:bookmarkStart w:id="226" w:name="_Toc231454041"/>
      <w:bookmarkStart w:id="227" w:name="_Toc232689745"/>
      <w:bookmarkStart w:id="228" w:name="_Toc232695318"/>
      <w:bookmarkStart w:id="229" w:name="_Toc232739245"/>
      <w:bookmarkStart w:id="230" w:name="_Toc232745528"/>
      <w:bookmarkStart w:id="231" w:name="_Toc232821176"/>
      <w:bookmarkStart w:id="232" w:name="_Toc232821232"/>
      <w:bookmarkStart w:id="233" w:name="_Toc232856369"/>
      <w:bookmarkStart w:id="234" w:name="_Toc232856422"/>
      <w:bookmarkStart w:id="235" w:name="_Toc232856899"/>
      <w:bookmarkStart w:id="236" w:name="_Toc232923340"/>
      <w:bookmarkStart w:id="237" w:name="_Toc233006808"/>
      <w:bookmarkStart w:id="238" w:name="_Toc233033389"/>
      <w:bookmarkStart w:id="239" w:name="_Toc233041590"/>
      <w:bookmarkStart w:id="240" w:name="_Toc233044389"/>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rsidR="004D4274" w:rsidRDefault="006D6925" w:rsidP="004D4274">
      <w:pPr>
        <w:spacing w:line="360" w:lineRule="auto"/>
        <w:jc w:val="both"/>
      </w:pPr>
      <w:r>
        <w:t xml:space="preserve">    </w:t>
      </w:r>
      <w:r w:rsidR="0028794E">
        <w:t xml:space="preserve"> </w:t>
      </w:r>
      <w:r>
        <w:t xml:space="preserve">Klasifikaci </w:t>
      </w:r>
      <w:r w:rsidR="00E44F29">
        <w:t>investic</w:t>
      </w:r>
      <w:r w:rsidR="004D4274">
        <w:t xml:space="preserve"> nabízí hned řada autorů, nejucelenější pohled však zřejmě nabízí Fotr a Souček</w:t>
      </w:r>
      <w:r w:rsidR="004D4274">
        <w:rPr>
          <w:rStyle w:val="Znakapoznpodarou"/>
        </w:rPr>
        <w:footnoteReference w:id="13"/>
      </w:r>
      <w:r w:rsidR="004D4274">
        <w:t>, kteří klasifikují investiční projekty z níže uvedených hledisek:</w:t>
      </w:r>
    </w:p>
    <w:p w:rsidR="00305E2D" w:rsidRDefault="00305E2D" w:rsidP="004D4274">
      <w:pPr>
        <w:spacing w:line="360" w:lineRule="auto"/>
        <w:jc w:val="both"/>
      </w:pPr>
    </w:p>
    <w:p w:rsidR="004D4274" w:rsidRDefault="004D4274" w:rsidP="004D4274">
      <w:pPr>
        <w:spacing w:line="360" w:lineRule="auto"/>
        <w:jc w:val="both"/>
      </w:pPr>
      <w:r>
        <w:t xml:space="preserve">     Podle vztahu k rozvoji podniku:</w:t>
      </w:r>
    </w:p>
    <w:p w:rsidR="00305E2D" w:rsidRDefault="00305E2D" w:rsidP="004D4274">
      <w:pPr>
        <w:spacing w:line="360" w:lineRule="auto"/>
        <w:jc w:val="both"/>
      </w:pPr>
    </w:p>
    <w:p w:rsidR="00E81A5F" w:rsidRDefault="004D4274" w:rsidP="00AD45B1">
      <w:pPr>
        <w:pStyle w:val="Odstavecseseznamem"/>
        <w:numPr>
          <w:ilvl w:val="0"/>
          <w:numId w:val="7"/>
        </w:numPr>
        <w:spacing w:line="360" w:lineRule="auto"/>
        <w:ind w:left="754" w:hanging="357"/>
        <w:jc w:val="both"/>
      </w:pPr>
      <w:r>
        <w:t>rozvojové – orientované na expanzi spojenou se zvýšením produkce, zavedením nových výrobků, proniknutím na nové trhy a podobně,</w:t>
      </w:r>
    </w:p>
    <w:p w:rsidR="004D4274" w:rsidRDefault="004D4274" w:rsidP="00AD45B1">
      <w:pPr>
        <w:pStyle w:val="Odstavecseseznamem"/>
        <w:numPr>
          <w:ilvl w:val="0"/>
          <w:numId w:val="7"/>
        </w:numPr>
        <w:spacing w:line="360" w:lineRule="auto"/>
        <w:ind w:left="754" w:hanging="357"/>
        <w:jc w:val="both"/>
      </w:pPr>
      <w:r>
        <w:t>obnovy – kde dochází k obnově výrobního zařízení vynucené jeho fyzickou nebo ekonomickou životností,</w:t>
      </w:r>
    </w:p>
    <w:p w:rsidR="0028345D" w:rsidRDefault="004D4274" w:rsidP="00AD45B1">
      <w:pPr>
        <w:pStyle w:val="Odstavecseseznamem"/>
        <w:numPr>
          <w:ilvl w:val="0"/>
          <w:numId w:val="7"/>
        </w:numPr>
        <w:spacing w:line="360" w:lineRule="auto"/>
        <w:ind w:left="754" w:hanging="357"/>
        <w:jc w:val="both"/>
      </w:pPr>
      <w:r>
        <w:lastRenderedPageBreak/>
        <w:t xml:space="preserve">mandatorní – jejichž cílem nejsou ekonomické efekty, ale </w:t>
      </w:r>
      <w:r w:rsidR="0028345D">
        <w:t>splnění určitých norem upravujících příslušné oblasti podnikatelské činnosti.</w:t>
      </w:r>
    </w:p>
    <w:p w:rsidR="008D0820" w:rsidRDefault="008D0820" w:rsidP="008D0820">
      <w:pPr>
        <w:spacing w:line="360" w:lineRule="auto"/>
        <w:jc w:val="both"/>
      </w:pPr>
    </w:p>
    <w:p w:rsidR="008D0820" w:rsidRDefault="008D0820" w:rsidP="008D0820">
      <w:pPr>
        <w:spacing w:line="360" w:lineRule="auto"/>
        <w:jc w:val="both"/>
      </w:pPr>
      <w:r>
        <w:t xml:space="preserve">     K uvedenému členění je nezbytné učinit </w:t>
      </w:r>
      <w:r w:rsidR="00E44F29">
        <w:t xml:space="preserve">stručnou </w:t>
      </w:r>
      <w:r>
        <w:t>poznámku</w:t>
      </w:r>
      <w:r w:rsidR="00E44F29">
        <w:t>. Projekty obnovy, tedy projekty realizující obnovovací investice</w:t>
      </w:r>
      <w:r w:rsidR="00082A10">
        <w:t>, mohou být, jak upozorňuje Wöhe</w:t>
      </w:r>
      <w:r w:rsidR="00082A10">
        <w:rPr>
          <w:rStyle w:val="Znakapoznpodarou"/>
        </w:rPr>
        <w:footnoteReference w:id="14"/>
      </w:r>
      <w:r w:rsidR="00082A10">
        <w:t xml:space="preserve">, zároveň projekty racionalizačními, tedy projekty realizující racionalizační investice, kdy dochází k nahrazení opotřebovaného zařízení takovým, které beze změny kapacity produkuje s nižšími náklady.   </w:t>
      </w:r>
      <w:r w:rsidR="00E44F29">
        <w:t xml:space="preserve">  </w:t>
      </w:r>
    </w:p>
    <w:p w:rsidR="0028345D" w:rsidRDefault="0028345D" w:rsidP="0028345D">
      <w:pPr>
        <w:spacing w:line="360" w:lineRule="auto"/>
        <w:jc w:val="both"/>
      </w:pPr>
    </w:p>
    <w:p w:rsidR="0028345D" w:rsidRDefault="0028345D" w:rsidP="0028345D">
      <w:pPr>
        <w:spacing w:line="360" w:lineRule="auto"/>
        <w:jc w:val="both"/>
      </w:pPr>
      <w:r>
        <w:t xml:space="preserve">     Podle míry závislosti projektů:</w:t>
      </w:r>
    </w:p>
    <w:p w:rsidR="00305E2D" w:rsidRDefault="00305E2D" w:rsidP="0028345D">
      <w:pPr>
        <w:spacing w:line="360" w:lineRule="auto"/>
        <w:jc w:val="both"/>
      </w:pPr>
    </w:p>
    <w:p w:rsidR="0028345D" w:rsidRDefault="0028345D" w:rsidP="00AD45B1">
      <w:pPr>
        <w:pStyle w:val="Odstavecseseznamem"/>
        <w:numPr>
          <w:ilvl w:val="0"/>
          <w:numId w:val="8"/>
        </w:numPr>
        <w:spacing w:line="360" w:lineRule="auto"/>
        <w:ind w:left="754" w:hanging="357"/>
        <w:jc w:val="both"/>
      </w:pPr>
      <w:r>
        <w:t>vzájemně se vylučující projekty, jejichž současná realizace není možná,</w:t>
      </w:r>
    </w:p>
    <w:p w:rsidR="00D82B88" w:rsidRDefault="0028345D" w:rsidP="00AD45B1">
      <w:pPr>
        <w:pStyle w:val="Odstavecseseznamem"/>
        <w:numPr>
          <w:ilvl w:val="0"/>
          <w:numId w:val="8"/>
        </w:numPr>
        <w:spacing w:line="360" w:lineRule="auto"/>
        <w:ind w:left="709" w:hanging="312"/>
        <w:jc w:val="both"/>
      </w:pPr>
      <w:r>
        <w:t>plně závislé projekty</w:t>
      </w:r>
      <w:r w:rsidR="00D82B88">
        <w:t xml:space="preserve"> tvořící určitý soubor, kdy jednotlivé projekty souboru nelze posuzovat izolovaně,</w:t>
      </w:r>
    </w:p>
    <w:p w:rsidR="00D82B88" w:rsidRDefault="00D82B88" w:rsidP="00AD45B1">
      <w:pPr>
        <w:pStyle w:val="Odstavecseseznamem"/>
        <w:numPr>
          <w:ilvl w:val="0"/>
          <w:numId w:val="8"/>
        </w:numPr>
        <w:spacing w:line="360" w:lineRule="auto"/>
        <w:ind w:left="709" w:hanging="312"/>
        <w:jc w:val="both"/>
      </w:pPr>
      <w:r>
        <w:t>komplementární projekty, jejichž realizace podporuje některé další projekty a rovněž platí, že nelze provést izolované posouzení,</w:t>
      </w:r>
    </w:p>
    <w:p w:rsidR="00D82B88" w:rsidRDefault="00D82B88" w:rsidP="00AD45B1">
      <w:pPr>
        <w:pStyle w:val="Odstavecseseznamem"/>
        <w:numPr>
          <w:ilvl w:val="0"/>
          <w:numId w:val="8"/>
        </w:numPr>
        <w:spacing w:line="360" w:lineRule="auto"/>
        <w:ind w:left="709" w:hanging="312"/>
        <w:jc w:val="both"/>
      </w:pPr>
      <w:r>
        <w:t>ekonomicky závislé projekty, u kterých se může projevit substituční efekt, proto je nutné upravit peněžní toky z daných projektů o změny plynoucí ze substituce,</w:t>
      </w:r>
    </w:p>
    <w:p w:rsidR="00D82B88" w:rsidRDefault="00D82B88" w:rsidP="00AD45B1">
      <w:pPr>
        <w:pStyle w:val="Odstavecseseznamem"/>
        <w:numPr>
          <w:ilvl w:val="0"/>
          <w:numId w:val="8"/>
        </w:numPr>
        <w:spacing w:line="360" w:lineRule="auto"/>
        <w:ind w:left="709" w:hanging="312"/>
        <w:jc w:val="both"/>
      </w:pPr>
      <w:r>
        <w:t>statisticky (stochasticky) závislé projekty, kde u dvojice projektů platí, že růst či pokles jednoho projektu častěji doprovází růst či pokles jiného projektu.</w:t>
      </w:r>
    </w:p>
    <w:p w:rsidR="00D82B88" w:rsidRDefault="00D82B88" w:rsidP="00D82B88">
      <w:pPr>
        <w:spacing w:line="360" w:lineRule="auto"/>
        <w:jc w:val="both"/>
      </w:pPr>
    </w:p>
    <w:p w:rsidR="00525F34" w:rsidRDefault="00525F34" w:rsidP="00525F34">
      <w:pPr>
        <w:spacing w:line="360" w:lineRule="auto"/>
        <w:jc w:val="both"/>
      </w:pPr>
      <w:r>
        <w:t xml:space="preserve">     Podle charakteru peněžních toků:</w:t>
      </w:r>
    </w:p>
    <w:p w:rsidR="00305E2D" w:rsidRDefault="00305E2D" w:rsidP="00525F34">
      <w:pPr>
        <w:spacing w:line="360" w:lineRule="auto"/>
        <w:jc w:val="both"/>
      </w:pPr>
    </w:p>
    <w:p w:rsidR="00525F34" w:rsidRDefault="00525F34" w:rsidP="00AD45B1">
      <w:pPr>
        <w:pStyle w:val="Odstavecseseznamem"/>
        <w:numPr>
          <w:ilvl w:val="0"/>
          <w:numId w:val="9"/>
        </w:numPr>
        <w:spacing w:line="360" w:lineRule="auto"/>
        <w:ind w:left="709" w:hanging="312"/>
        <w:jc w:val="both"/>
      </w:pPr>
      <w:r>
        <w:t xml:space="preserve">se standardními (konvenčními) peněžními toky, </w:t>
      </w:r>
      <w:r w:rsidR="003407C4">
        <w:t xml:space="preserve">které mají záporný peněžní tok v období výstavby a kladný peněžní tok v období provozu, během života projektu tak dochází pouze k jedinému střídání znaménka jeho peněžního toku, což můžeme symbolicky zobrazit </w:t>
      </w:r>
      <m:oMath>
        <m:r>
          <w:rPr>
            <w:rFonts w:ascii="Cambria Math" w:hAnsi="Cambria Math"/>
          </w:rPr>
          <m:t>- - - + + + + + +</m:t>
        </m:r>
      </m:oMath>
      <w:r w:rsidR="003407C4">
        <w:t xml:space="preserve"> </w:t>
      </w:r>
    </w:p>
    <w:p w:rsidR="003407C4" w:rsidRDefault="003407C4" w:rsidP="00AD45B1">
      <w:pPr>
        <w:pStyle w:val="Odstavecseseznamem"/>
        <w:numPr>
          <w:ilvl w:val="0"/>
          <w:numId w:val="9"/>
        </w:numPr>
        <w:spacing w:line="360" w:lineRule="auto"/>
        <w:ind w:left="709" w:hanging="312"/>
        <w:jc w:val="both"/>
      </w:pPr>
      <w:r>
        <w:t xml:space="preserve">s nestandardními peněžními toky, které během svého života střídají častěji znaménko peněžního toku, jde například o projekty s vysokými výdaji na ukončení (dvojí střídání znaménka </w:t>
      </w:r>
      <m:oMath>
        <m:r>
          <w:rPr>
            <w:rFonts w:ascii="Cambria Math" w:hAnsi="Cambria Math"/>
          </w:rPr>
          <m:t>- - + + + + -</m:t>
        </m:r>
      </m:oMath>
      <w:r>
        <w:t xml:space="preserve">), respektive projekty </w:t>
      </w:r>
      <w:r w:rsidR="00094AC1">
        <w:t>s předpokládaným rozšířením v průběhu jejich života (</w:t>
      </w:r>
      <w:r>
        <w:t>trojí střídání znaménka</w:t>
      </w:r>
      <w:r w:rsidR="00094AC1">
        <w:t xml:space="preserve"> </w:t>
      </w:r>
      <m:oMath>
        <m:r>
          <w:rPr>
            <w:rFonts w:ascii="Cambria Math" w:hAnsi="Cambria Math"/>
          </w:rPr>
          <m:t>- - + + + - + + +</m:t>
        </m:r>
      </m:oMath>
      <w:r w:rsidR="00094AC1">
        <w:t>)</w:t>
      </w:r>
      <w:r>
        <w:t xml:space="preserve">   </w:t>
      </w:r>
    </w:p>
    <w:p w:rsidR="00E81A5F" w:rsidRDefault="00E81A5F" w:rsidP="002A10B0">
      <w:pPr>
        <w:spacing w:line="360" w:lineRule="auto"/>
      </w:pPr>
    </w:p>
    <w:p w:rsidR="00DD2ADE" w:rsidRDefault="00094AC1" w:rsidP="00DD2ADE">
      <w:pPr>
        <w:spacing w:line="360" w:lineRule="auto"/>
        <w:jc w:val="both"/>
      </w:pPr>
      <w:r>
        <w:lastRenderedPageBreak/>
        <w:t xml:space="preserve">     Podle velikosti projektu</w:t>
      </w:r>
      <w:r w:rsidR="00DD2ADE">
        <w:t>, kde klasifikačním hlediskem jsou kapitálové výdaje,</w:t>
      </w:r>
      <w:r>
        <w:t xml:space="preserve"> rozlišujeme </w:t>
      </w:r>
      <w:r w:rsidR="00DD2ADE">
        <w:t xml:space="preserve">velké projekty, </w:t>
      </w:r>
      <w:r w:rsidR="00521840">
        <w:t xml:space="preserve">projekty </w:t>
      </w:r>
      <w:r w:rsidR="00DD2ADE">
        <w:t xml:space="preserve">středního rozsahu a </w:t>
      </w:r>
      <w:r w:rsidR="00521840">
        <w:t xml:space="preserve">projekty </w:t>
      </w:r>
      <w:r w:rsidR="00DD2ADE">
        <w:t>malé, přičemž toto rozlišení je relativní a závisí na velikosti podniku. Rozlišování projektů podle velikosti je důležité pro určení úrovně řízení, která bude o přijetí nebo zamítnutí těchto projektů rozhodovat</w:t>
      </w:r>
      <w:r w:rsidR="006C1409">
        <w:t>, uzavírají zmínění autoři</w:t>
      </w:r>
      <w:r w:rsidR="00DD2ADE">
        <w:t>.</w:t>
      </w:r>
    </w:p>
    <w:p w:rsidR="00F23957" w:rsidRDefault="00DD2ADE" w:rsidP="00DD2ADE">
      <w:pPr>
        <w:spacing w:line="360" w:lineRule="auto"/>
        <w:jc w:val="both"/>
      </w:pPr>
      <w:r>
        <w:t xml:space="preserve">     Stejný postoj </w:t>
      </w:r>
      <w:r w:rsidR="00521840">
        <w:t>v rámci tohoto klasifikačního hlediska zastává i Synek</w:t>
      </w:r>
      <w:r w:rsidR="00521840">
        <w:rPr>
          <w:rStyle w:val="Znakapoznpodarou"/>
        </w:rPr>
        <w:footnoteReference w:id="15"/>
      </w:r>
      <w:r w:rsidR="00521840">
        <w:t>, který uvádí, že z hlediska schvalování investičních akcí v našich podn</w:t>
      </w:r>
      <w:r w:rsidR="00F23957">
        <w:t xml:space="preserve">icích toto kritérium převažuje. </w:t>
      </w:r>
    </w:p>
    <w:p w:rsidR="00EF015F" w:rsidRDefault="00547724" w:rsidP="00DD2ADE">
      <w:pPr>
        <w:spacing w:line="360" w:lineRule="auto"/>
        <w:jc w:val="both"/>
      </w:pPr>
      <w:r>
        <w:t xml:space="preserve">     Rozhodování je</w:t>
      </w:r>
      <w:r w:rsidR="007F0B8B">
        <w:t xml:space="preserve"> </w:t>
      </w:r>
      <w:r>
        <w:t xml:space="preserve">klíčovým prvkem řízení, </w:t>
      </w:r>
      <w:r w:rsidR="007F0B8B">
        <w:t xml:space="preserve">přičemž </w:t>
      </w:r>
      <w:r>
        <w:t>chybné rozhodnutí</w:t>
      </w:r>
      <w:r w:rsidR="007F0B8B">
        <w:t xml:space="preserve"> </w:t>
      </w:r>
      <w:r>
        <w:t xml:space="preserve">představuje nesprávný směr </w:t>
      </w:r>
      <w:r w:rsidR="007F0B8B">
        <w:t>následných kroků a aktivit.</w:t>
      </w:r>
      <w:r>
        <w:t xml:space="preserve"> </w:t>
      </w:r>
      <w:r w:rsidR="00F23957">
        <w:t xml:space="preserve">     </w:t>
      </w:r>
    </w:p>
    <w:p w:rsidR="007F0B8B" w:rsidRDefault="00185959" w:rsidP="00DD2ADE">
      <w:pPr>
        <w:spacing w:line="360" w:lineRule="auto"/>
        <w:jc w:val="both"/>
      </w:pPr>
      <w:r>
        <w:t xml:space="preserve">     </w:t>
      </w:r>
      <w:r w:rsidR="00F23957">
        <w:t xml:space="preserve">V souvislosti s organizační stránkou rozhodování zmiňme </w:t>
      </w:r>
      <w:r w:rsidR="007F0B8B">
        <w:t xml:space="preserve">alespoň </w:t>
      </w:r>
      <w:r w:rsidR="00F23957">
        <w:t>ve stručnosti některá základní teoretická doporučení.</w:t>
      </w:r>
      <w:r w:rsidR="00521840">
        <w:t xml:space="preserve"> </w:t>
      </w:r>
    </w:p>
    <w:p w:rsidR="00457BBB" w:rsidRDefault="007F0B8B" w:rsidP="00DD2ADE">
      <w:pPr>
        <w:spacing w:line="360" w:lineRule="auto"/>
        <w:jc w:val="both"/>
      </w:pPr>
      <w:r>
        <w:t xml:space="preserve">     </w:t>
      </w:r>
      <w:r w:rsidR="00457BBB">
        <w:t>Správné určení distribuce rozhodovací pravomoci v organizaci je podle Blažka</w:t>
      </w:r>
      <w:r w:rsidR="00457BBB">
        <w:rPr>
          <w:rStyle w:val="Znakapoznpodarou"/>
        </w:rPr>
        <w:footnoteReference w:id="16"/>
      </w:r>
      <w:r w:rsidR="00457BBB">
        <w:t xml:space="preserve"> pro úspěšné řízení nanejvýš důležité. U rozhodovacího subjektu je třeba posoudit:</w:t>
      </w:r>
    </w:p>
    <w:p w:rsidR="00305E2D" w:rsidRDefault="00305E2D" w:rsidP="00DD2ADE">
      <w:pPr>
        <w:spacing w:line="360" w:lineRule="auto"/>
        <w:jc w:val="both"/>
      </w:pPr>
    </w:p>
    <w:p w:rsidR="00457BBB" w:rsidRDefault="00457BBB" w:rsidP="00B329BD">
      <w:pPr>
        <w:pStyle w:val="Odstavecseseznamem"/>
        <w:numPr>
          <w:ilvl w:val="0"/>
          <w:numId w:val="43"/>
        </w:numPr>
        <w:spacing w:line="360" w:lineRule="auto"/>
        <w:ind w:left="754" w:hanging="357"/>
        <w:jc w:val="both"/>
      </w:pPr>
      <w:r>
        <w:t>informační zabezpečení,</w:t>
      </w:r>
    </w:p>
    <w:p w:rsidR="00457BBB" w:rsidRDefault="00457BBB" w:rsidP="00B329BD">
      <w:pPr>
        <w:pStyle w:val="Odstavecseseznamem"/>
        <w:numPr>
          <w:ilvl w:val="0"/>
          <w:numId w:val="43"/>
        </w:numPr>
        <w:spacing w:line="360" w:lineRule="auto"/>
        <w:ind w:left="754" w:hanging="357"/>
        <w:jc w:val="both"/>
      </w:pPr>
      <w:r>
        <w:t>kvalifikační předpoklady,</w:t>
      </w:r>
    </w:p>
    <w:p w:rsidR="00457BBB" w:rsidRDefault="00457BBB" w:rsidP="00B329BD">
      <w:pPr>
        <w:pStyle w:val="Odstavecseseznamem"/>
        <w:numPr>
          <w:ilvl w:val="0"/>
          <w:numId w:val="43"/>
        </w:numPr>
        <w:spacing w:line="360" w:lineRule="auto"/>
        <w:ind w:left="754" w:hanging="357"/>
        <w:jc w:val="both"/>
      </w:pPr>
      <w:r>
        <w:t>zájmovou orientaci.</w:t>
      </w:r>
    </w:p>
    <w:p w:rsidR="00E44F29" w:rsidRDefault="00E44F29" w:rsidP="00E44F29">
      <w:pPr>
        <w:spacing w:line="360" w:lineRule="auto"/>
        <w:jc w:val="both"/>
      </w:pPr>
    </w:p>
    <w:p w:rsidR="00EF015F" w:rsidRDefault="00457BBB" w:rsidP="00DD2ADE">
      <w:pPr>
        <w:spacing w:line="360" w:lineRule="auto"/>
        <w:jc w:val="both"/>
      </w:pPr>
      <w:r>
        <w:t xml:space="preserve"> </w:t>
      </w:r>
      <w:r w:rsidR="00185959">
        <w:t xml:space="preserve">     </w:t>
      </w:r>
      <w:r>
        <w:t>Na vyšších stupních řízení má</w:t>
      </w:r>
      <w:r w:rsidR="00E44F29">
        <w:t xml:space="preserve"> podle uvedeného autora</w:t>
      </w:r>
      <w:r>
        <w:t xml:space="preserve"> převládat strategické rozhodování, tedy rozhodování rámcové s dlouhodobým časovým horizontem. Na nižších stupních řízení potom rozhodování o dílčích a konkrétních záležitostech. </w:t>
      </w:r>
      <w:r w:rsidR="00185959">
        <w:t xml:space="preserve">Vedle </w:t>
      </w:r>
      <w:r w:rsidR="00826C3A">
        <w:t xml:space="preserve">individuelního </w:t>
      </w:r>
      <w:r w:rsidR="00185959">
        <w:t>rozhodování rozlišuje také rozhodování kolektivní, které se často uplatňuje podle demokratických principů zabezpečující participaci všech prvků daného celku.</w:t>
      </w:r>
      <w:r w:rsidR="00E44F29">
        <w:t xml:space="preserve"> </w:t>
      </w:r>
      <w:r w:rsidR="007F0B8B">
        <w:t xml:space="preserve">Vlastnímu rozhodnutí by vždy měla předcházet příprava rozhodnutí, aby si </w:t>
      </w:r>
      <w:r w:rsidR="003B56FE">
        <w:t xml:space="preserve">ten, kdo rozhoduje, </w:t>
      </w:r>
      <w:r w:rsidR="007F0B8B">
        <w:t xml:space="preserve">mohl dané rozhodnutí pečlivě promyslet a mohl zvážit různé okolnosti, v určitých případech se tak děje za podpory odborných týmů.  </w:t>
      </w:r>
    </w:p>
    <w:p w:rsidR="007F0B8B" w:rsidRDefault="007F0B8B" w:rsidP="00DD2ADE">
      <w:pPr>
        <w:spacing w:line="360" w:lineRule="auto"/>
        <w:jc w:val="both"/>
      </w:pPr>
    </w:p>
    <w:p w:rsidR="005D6734" w:rsidRDefault="005D6734" w:rsidP="00B44DD3">
      <w:pPr>
        <w:spacing w:line="360" w:lineRule="auto"/>
      </w:pPr>
    </w:p>
    <w:p w:rsidR="004D0238" w:rsidRDefault="004D0238" w:rsidP="00B44DD3">
      <w:pPr>
        <w:spacing w:line="360" w:lineRule="auto"/>
      </w:pPr>
    </w:p>
    <w:p w:rsidR="004D0238" w:rsidRDefault="004D0238" w:rsidP="00B44DD3">
      <w:pPr>
        <w:spacing w:line="360" w:lineRule="auto"/>
      </w:pPr>
    </w:p>
    <w:p w:rsidR="00082A10" w:rsidRDefault="00082A10" w:rsidP="00B44DD3">
      <w:pPr>
        <w:spacing w:line="360" w:lineRule="auto"/>
      </w:pPr>
    </w:p>
    <w:p w:rsidR="00082A10" w:rsidRDefault="00082A10" w:rsidP="00B44DD3">
      <w:pPr>
        <w:spacing w:line="360" w:lineRule="auto"/>
      </w:pPr>
    </w:p>
    <w:p w:rsidR="00082A10" w:rsidRPr="00116892" w:rsidRDefault="001B7560" w:rsidP="001B7560">
      <w:pPr>
        <w:pStyle w:val="Nadpis1"/>
        <w:ind w:left="0" w:firstLine="0"/>
        <w:rPr>
          <w:b w:val="0"/>
        </w:rPr>
      </w:pPr>
      <w:r>
        <w:rPr>
          <w:b w:val="0"/>
        </w:rPr>
        <w:lastRenderedPageBreak/>
        <w:t xml:space="preserve">  </w:t>
      </w:r>
      <w:bookmarkStart w:id="241" w:name="_Toc233044390"/>
      <w:r w:rsidR="00116892" w:rsidRPr="00116892">
        <w:rPr>
          <w:b w:val="0"/>
        </w:rPr>
        <w:t>Jednotlivé investiční fáze</w:t>
      </w:r>
      <w:bookmarkEnd w:id="241"/>
    </w:p>
    <w:p w:rsidR="00116892" w:rsidRDefault="00116892" w:rsidP="00B44DD3">
      <w:pPr>
        <w:spacing w:line="360" w:lineRule="auto"/>
      </w:pPr>
    </w:p>
    <w:p w:rsidR="009D4CF2" w:rsidRDefault="007536AA" w:rsidP="007536AA">
      <w:pPr>
        <w:spacing w:line="360" w:lineRule="auto"/>
        <w:jc w:val="both"/>
      </w:pPr>
      <w:r>
        <w:t xml:space="preserve">     Jednotlivé fáze investičních projektů vyjadřují vlastní proces přípravy a realizace podnikových investic, tedy logický sled jednotlivých fází života projektů. Podle </w:t>
      </w:r>
      <w:r w:rsidR="009D4CF2">
        <w:t>Fotra a Součka</w:t>
      </w:r>
      <w:r w:rsidR="009D4CF2">
        <w:rPr>
          <w:rStyle w:val="Znakapoznpodarou"/>
        </w:rPr>
        <w:footnoteReference w:id="17"/>
      </w:r>
      <w:r w:rsidR="009D4CF2">
        <w:t xml:space="preserve"> lze identifikovat </w:t>
      </w:r>
      <w:r w:rsidR="00133463">
        <w:t>tyto</w:t>
      </w:r>
      <w:r w:rsidR="009D4CF2">
        <w:t xml:space="preserve"> fáze života projektu:</w:t>
      </w:r>
    </w:p>
    <w:p w:rsidR="009D4CF2" w:rsidRDefault="009D4CF2" w:rsidP="007536AA">
      <w:pPr>
        <w:spacing w:line="360" w:lineRule="auto"/>
        <w:jc w:val="both"/>
      </w:pPr>
    </w:p>
    <w:p w:rsidR="009D4CF2" w:rsidRDefault="009D4CF2" w:rsidP="00B329BD">
      <w:pPr>
        <w:pStyle w:val="Odstavecseseznamem"/>
        <w:numPr>
          <w:ilvl w:val="0"/>
          <w:numId w:val="52"/>
        </w:numPr>
        <w:spacing w:line="360" w:lineRule="auto"/>
        <w:jc w:val="both"/>
      </w:pPr>
      <w:r>
        <w:t>předinvestiční fáze,</w:t>
      </w:r>
    </w:p>
    <w:p w:rsidR="009D4CF2" w:rsidRDefault="009D4CF2" w:rsidP="00B329BD">
      <w:pPr>
        <w:pStyle w:val="Odstavecseseznamem"/>
        <w:numPr>
          <w:ilvl w:val="0"/>
          <w:numId w:val="52"/>
        </w:numPr>
        <w:spacing w:line="360" w:lineRule="auto"/>
        <w:jc w:val="both"/>
      </w:pPr>
      <w:r>
        <w:t>investiční fáze,</w:t>
      </w:r>
    </w:p>
    <w:p w:rsidR="009D4CF2" w:rsidRDefault="009D4CF2" w:rsidP="00B329BD">
      <w:pPr>
        <w:pStyle w:val="Odstavecseseznamem"/>
        <w:numPr>
          <w:ilvl w:val="0"/>
          <w:numId w:val="52"/>
        </w:numPr>
        <w:spacing w:line="360" w:lineRule="auto"/>
        <w:jc w:val="both"/>
      </w:pPr>
      <w:r>
        <w:t>provozní fáze.</w:t>
      </w:r>
    </w:p>
    <w:p w:rsidR="00F56C21" w:rsidRDefault="009D4CF2" w:rsidP="007536AA">
      <w:pPr>
        <w:spacing w:line="360" w:lineRule="auto"/>
        <w:jc w:val="both"/>
      </w:pPr>
      <w:r>
        <w:t xml:space="preserve">     </w:t>
      </w:r>
    </w:p>
    <w:p w:rsidR="00B44DD3" w:rsidRPr="00116892" w:rsidRDefault="00B44DD3" w:rsidP="001B7560">
      <w:pPr>
        <w:pStyle w:val="Nadpis2"/>
        <w:ind w:left="0" w:firstLine="0"/>
        <w:rPr>
          <w:b w:val="0"/>
          <w:sz w:val="28"/>
          <w:szCs w:val="28"/>
        </w:rPr>
      </w:pPr>
      <w:r w:rsidRPr="00116892">
        <w:rPr>
          <w:b w:val="0"/>
          <w:sz w:val="28"/>
          <w:szCs w:val="28"/>
        </w:rPr>
        <w:t xml:space="preserve"> </w:t>
      </w:r>
      <w:r w:rsidR="00D70A84" w:rsidRPr="00116892">
        <w:rPr>
          <w:b w:val="0"/>
          <w:sz w:val="28"/>
          <w:szCs w:val="28"/>
        </w:rPr>
        <w:t xml:space="preserve"> </w:t>
      </w:r>
      <w:bookmarkStart w:id="242" w:name="_Toc233044391"/>
      <w:r w:rsidR="00507668" w:rsidRPr="00116892">
        <w:rPr>
          <w:b w:val="0"/>
          <w:sz w:val="28"/>
          <w:szCs w:val="28"/>
        </w:rPr>
        <w:t>Předinvestiční a investiční fáze</w:t>
      </w:r>
      <w:bookmarkEnd w:id="242"/>
    </w:p>
    <w:p w:rsidR="00B44DD3" w:rsidRDefault="00B44DD3" w:rsidP="00B60F85">
      <w:pPr>
        <w:spacing w:line="360" w:lineRule="auto"/>
      </w:pPr>
    </w:p>
    <w:p w:rsidR="00B77999" w:rsidRDefault="008702CB" w:rsidP="00B77999">
      <w:pPr>
        <w:spacing w:line="360" w:lineRule="auto"/>
        <w:jc w:val="both"/>
      </w:pPr>
      <w:r>
        <w:t xml:space="preserve">     Předinvestiční a investiční fáze jsou prvními dvěma fázemi života projektu. Jak upozorňují Fotr a Souček</w:t>
      </w:r>
      <w:r>
        <w:rPr>
          <w:rStyle w:val="Znakapoznpodarou"/>
        </w:rPr>
        <w:footnoteReference w:id="18"/>
      </w:r>
      <w:r>
        <w:t xml:space="preserve">, každá z fází přípravy a realizace projektu je z hlediska úspěšnosti projektu důležitá, přesto bychom však měli zvýšenou pozornost věnovat předinvestiční fázi, neboť </w:t>
      </w:r>
      <w:r w:rsidR="00482C92">
        <w:t>úspěch daného projektu bude záviset na informacích a poznatcích marketingové, technicko</w:t>
      </w:r>
      <w:r w:rsidR="00305E2D">
        <w:t>-</w:t>
      </w:r>
      <w:r w:rsidR="00482C92">
        <w:t>technologické, finanční a ekonomické povahy, které získáme v rámci zpracování technicko-ekonomické studie (feasibility study) projektu</w:t>
      </w:r>
      <w:r w:rsidR="00B77999">
        <w:rPr>
          <w:rStyle w:val="Znakapoznpodarou"/>
        </w:rPr>
        <w:footnoteReference w:id="19"/>
      </w:r>
      <w:r>
        <w:t>.</w:t>
      </w:r>
    </w:p>
    <w:p w:rsidR="00B77999" w:rsidRDefault="00B77999" w:rsidP="009D4CF2">
      <w:pPr>
        <w:spacing w:line="360" w:lineRule="auto"/>
        <w:jc w:val="both"/>
      </w:pPr>
      <w:r>
        <w:t xml:space="preserve">     Předinvestiční fáz</w:t>
      </w:r>
      <w:r w:rsidR="009D4CF2">
        <w:t>e</w:t>
      </w:r>
      <w:r>
        <w:t xml:space="preserve"> </w:t>
      </w:r>
      <w:r w:rsidR="009D4CF2">
        <w:t xml:space="preserve">se dle uvedených autorů </w:t>
      </w:r>
      <w:r>
        <w:t>obvykle členíme do tří dílčích etap, které tvoří:</w:t>
      </w:r>
    </w:p>
    <w:p w:rsidR="00305E2D" w:rsidRDefault="00305E2D" w:rsidP="00B60F85">
      <w:pPr>
        <w:spacing w:line="360" w:lineRule="auto"/>
      </w:pPr>
    </w:p>
    <w:p w:rsidR="00B60F85" w:rsidRDefault="00B77999" w:rsidP="00AD45B1">
      <w:pPr>
        <w:pStyle w:val="Odstavecseseznamem"/>
        <w:numPr>
          <w:ilvl w:val="0"/>
          <w:numId w:val="10"/>
        </w:numPr>
        <w:spacing w:line="360" w:lineRule="auto"/>
        <w:ind w:left="754" w:hanging="357"/>
      </w:pPr>
      <w:r>
        <w:t>identifikace podnikatelských příležitostí,</w:t>
      </w:r>
    </w:p>
    <w:p w:rsidR="00B77999" w:rsidRDefault="00EC5587" w:rsidP="00AD45B1">
      <w:pPr>
        <w:pStyle w:val="Odstavecseseznamem"/>
        <w:numPr>
          <w:ilvl w:val="0"/>
          <w:numId w:val="10"/>
        </w:numPr>
        <w:spacing w:line="360" w:lineRule="auto"/>
        <w:ind w:left="754" w:hanging="357"/>
      </w:pPr>
      <w:r>
        <w:t>předběžný výběr projektů a příprava projektu zahrnující analýzu jeho variant,</w:t>
      </w:r>
    </w:p>
    <w:p w:rsidR="00EC5587" w:rsidRDefault="00EC5587" w:rsidP="00AD45B1">
      <w:pPr>
        <w:pStyle w:val="Odstavecseseznamem"/>
        <w:numPr>
          <w:ilvl w:val="0"/>
          <w:numId w:val="10"/>
        </w:numPr>
        <w:spacing w:line="360" w:lineRule="auto"/>
        <w:ind w:left="754" w:hanging="357"/>
      </w:pPr>
      <w:r>
        <w:t xml:space="preserve">hodnocení projektu a rozhodnutí o jeho </w:t>
      </w:r>
      <w:r w:rsidR="004C66B6">
        <w:t>re</w:t>
      </w:r>
      <w:r>
        <w:t>alizaci či zamítnutí.</w:t>
      </w:r>
    </w:p>
    <w:p w:rsidR="004C66B6" w:rsidRDefault="004C66B6" w:rsidP="004C66B6">
      <w:pPr>
        <w:spacing w:line="360" w:lineRule="auto"/>
      </w:pPr>
    </w:p>
    <w:p w:rsidR="000F545E" w:rsidRDefault="0026794A" w:rsidP="0026794A">
      <w:pPr>
        <w:spacing w:line="360" w:lineRule="auto"/>
        <w:jc w:val="both"/>
      </w:pPr>
      <w:r>
        <w:t xml:space="preserve">     Identifikace podnikatelských příležitostí tvoří východisko předinvestiční fáze. Podněty pro podnikatelské příležitosti přináší neustálé sledování a vyhodnocování podnikatelského okolí. Takto získané podněty je však třeba před jejich </w:t>
      </w:r>
      <w:r w:rsidR="00E00E36">
        <w:t xml:space="preserve">detailním zpracováním do podoby investičního projektu posoudit. Určitou formou vyjasnění příležitostí jsou právě jejich studie (opportunity studies), které si kladou za cíl zpracovat příležitost do formy, která umožní posoudit efekty projektů, založených na těchto příležitostech. Takové studie by měly být </w:t>
      </w:r>
      <w:r w:rsidR="00E00E36">
        <w:lastRenderedPageBreak/>
        <w:t xml:space="preserve">stručné, málo nákladné a měly by obsahovat spíše agregované informace a odhady, než detailní analýzy, vždy by měly být konfrontovány s variantou nečinnosti. Výsledkem </w:t>
      </w:r>
      <w:r w:rsidR="000F545E">
        <w:t>tohoto úsilí je potom výběr příležitostí, kterým bude věnována pozornost, k takovým příležitostem bude zpracována technicko-ekonomická studie.</w:t>
      </w:r>
    </w:p>
    <w:p w:rsidR="00D7256F" w:rsidRDefault="00C51E44" w:rsidP="0026794A">
      <w:pPr>
        <w:spacing w:line="360" w:lineRule="auto"/>
        <w:jc w:val="both"/>
      </w:pPr>
      <w:r>
        <w:t xml:space="preserve">     </w:t>
      </w:r>
      <w:r w:rsidR="0094041E">
        <w:t xml:space="preserve">Technicko-ekonomická studie (feasibility study) poskytuje veškeré podklady, potřebné pro investiční rozhodnutí. </w:t>
      </w:r>
      <w:r w:rsidR="00D7256F">
        <w:t>V jejím rámci je třeba formulovat a kriticky vyšetřit základní komerční, technické, finanční a ekonomické požadavky, a to na základě variantních řešení. Technicko-ekonomická studie obsahuje</w:t>
      </w:r>
      <w:r w:rsidR="006C1409">
        <w:t xml:space="preserve"> dle uvedených autorů obvykle</w:t>
      </w:r>
      <w:r w:rsidR="00D7256F">
        <w:t xml:space="preserve"> tyto složky:</w:t>
      </w:r>
    </w:p>
    <w:p w:rsidR="00305E2D" w:rsidRDefault="00305E2D" w:rsidP="0026794A">
      <w:pPr>
        <w:spacing w:line="360" w:lineRule="auto"/>
        <w:jc w:val="both"/>
      </w:pPr>
    </w:p>
    <w:p w:rsidR="00D7256F" w:rsidRDefault="00D7256F" w:rsidP="00AD45B1">
      <w:pPr>
        <w:pStyle w:val="Odstavecseseznamem"/>
        <w:numPr>
          <w:ilvl w:val="0"/>
          <w:numId w:val="11"/>
        </w:numPr>
        <w:spacing w:line="360" w:lineRule="auto"/>
        <w:ind w:left="754" w:hanging="357"/>
        <w:jc w:val="both"/>
      </w:pPr>
      <w:r>
        <w:t>analýza trhu a marketingová strategie,</w:t>
      </w:r>
    </w:p>
    <w:p w:rsidR="00D7256F" w:rsidRDefault="00D7256F" w:rsidP="00AD45B1">
      <w:pPr>
        <w:pStyle w:val="Odstavecseseznamem"/>
        <w:numPr>
          <w:ilvl w:val="0"/>
          <w:numId w:val="11"/>
        </w:numPr>
        <w:spacing w:line="360" w:lineRule="auto"/>
        <w:ind w:left="754" w:hanging="357"/>
        <w:jc w:val="both"/>
      </w:pPr>
      <w:r>
        <w:t>popis technologie a velikost výrobní jednotky,</w:t>
      </w:r>
    </w:p>
    <w:p w:rsidR="00D7256F" w:rsidRDefault="00D7256F" w:rsidP="00AD45B1">
      <w:pPr>
        <w:pStyle w:val="Odstavecseseznamem"/>
        <w:numPr>
          <w:ilvl w:val="0"/>
          <w:numId w:val="11"/>
        </w:numPr>
        <w:spacing w:line="360" w:lineRule="auto"/>
        <w:ind w:left="754" w:hanging="357"/>
        <w:jc w:val="both"/>
      </w:pPr>
      <w:r>
        <w:t>materiálové vstupy a energie,</w:t>
      </w:r>
    </w:p>
    <w:p w:rsidR="00D7256F" w:rsidRDefault="00D7256F" w:rsidP="00AD45B1">
      <w:pPr>
        <w:pStyle w:val="Odstavecseseznamem"/>
        <w:numPr>
          <w:ilvl w:val="0"/>
          <w:numId w:val="11"/>
        </w:numPr>
        <w:spacing w:line="360" w:lineRule="auto"/>
        <w:ind w:left="754" w:hanging="357"/>
        <w:jc w:val="both"/>
      </w:pPr>
      <w:r>
        <w:t>umístění výrobní jednotky,</w:t>
      </w:r>
    </w:p>
    <w:p w:rsidR="00D7256F" w:rsidRDefault="00D7256F" w:rsidP="00AD45B1">
      <w:pPr>
        <w:pStyle w:val="Odstavecseseznamem"/>
        <w:numPr>
          <w:ilvl w:val="0"/>
          <w:numId w:val="11"/>
        </w:numPr>
        <w:spacing w:line="360" w:lineRule="auto"/>
        <w:ind w:left="754" w:hanging="357"/>
        <w:jc w:val="both"/>
      </w:pPr>
      <w:r>
        <w:t>pracovní síly (lidské zdroje),</w:t>
      </w:r>
    </w:p>
    <w:p w:rsidR="00D7256F" w:rsidRDefault="00D7256F" w:rsidP="00AD45B1">
      <w:pPr>
        <w:pStyle w:val="Odstavecseseznamem"/>
        <w:numPr>
          <w:ilvl w:val="0"/>
          <w:numId w:val="11"/>
        </w:numPr>
        <w:spacing w:line="360" w:lineRule="auto"/>
        <w:ind w:left="754" w:hanging="357"/>
        <w:jc w:val="both"/>
      </w:pPr>
      <w:r>
        <w:t>organizace a řízení,</w:t>
      </w:r>
    </w:p>
    <w:p w:rsidR="00D7256F" w:rsidRDefault="00D7256F" w:rsidP="00AD45B1">
      <w:pPr>
        <w:pStyle w:val="Odstavecseseznamem"/>
        <w:numPr>
          <w:ilvl w:val="0"/>
          <w:numId w:val="11"/>
        </w:numPr>
        <w:spacing w:line="360" w:lineRule="auto"/>
        <w:ind w:left="754" w:hanging="357"/>
        <w:jc w:val="both"/>
      </w:pPr>
      <w:r>
        <w:t>finanční analýza a hodnocení,</w:t>
      </w:r>
    </w:p>
    <w:p w:rsidR="00D7256F" w:rsidRDefault="00D7256F" w:rsidP="00AD45B1">
      <w:pPr>
        <w:pStyle w:val="Odstavecseseznamem"/>
        <w:numPr>
          <w:ilvl w:val="0"/>
          <w:numId w:val="11"/>
        </w:numPr>
        <w:spacing w:line="360" w:lineRule="auto"/>
        <w:ind w:left="754" w:hanging="357"/>
        <w:jc w:val="both"/>
      </w:pPr>
      <w:r>
        <w:t>analýza rizik,</w:t>
      </w:r>
    </w:p>
    <w:p w:rsidR="00EC7452" w:rsidRDefault="00D7256F" w:rsidP="00AD45B1">
      <w:pPr>
        <w:pStyle w:val="Odstavecseseznamem"/>
        <w:numPr>
          <w:ilvl w:val="0"/>
          <w:numId w:val="11"/>
        </w:numPr>
        <w:spacing w:line="360" w:lineRule="auto"/>
        <w:ind w:left="754" w:hanging="357"/>
        <w:jc w:val="both"/>
      </w:pPr>
      <w:r>
        <w:t>plán realizace.</w:t>
      </w:r>
    </w:p>
    <w:p w:rsidR="00EC7452" w:rsidRDefault="00EC7452" w:rsidP="00EC7452">
      <w:pPr>
        <w:spacing w:line="360" w:lineRule="auto"/>
        <w:jc w:val="both"/>
      </w:pPr>
    </w:p>
    <w:p w:rsidR="00EC7452" w:rsidRDefault="00EC7452" w:rsidP="00EC7452">
      <w:pPr>
        <w:spacing w:line="360" w:lineRule="auto"/>
        <w:jc w:val="both"/>
      </w:pPr>
      <w:r>
        <w:t xml:space="preserve">     Základním výsledkem je potom</w:t>
      </w:r>
      <w:r w:rsidR="009D4CF2">
        <w:t xml:space="preserve"> dle </w:t>
      </w:r>
      <w:r w:rsidR="006C1409">
        <w:t>stejných</w:t>
      </w:r>
      <w:r w:rsidR="009D4CF2">
        <w:t xml:space="preserve"> autorů</w:t>
      </w:r>
      <w:r>
        <w:t xml:space="preserve"> výběr nejvhodnější varianty, stanovení harmonogramu realizace a rámcového rozpočtu.</w:t>
      </w:r>
    </w:p>
    <w:p w:rsidR="00264946" w:rsidRDefault="001C4FC2" w:rsidP="00EC7452">
      <w:pPr>
        <w:spacing w:line="360" w:lineRule="auto"/>
        <w:jc w:val="both"/>
      </w:pPr>
      <w:r>
        <w:t xml:space="preserve">     </w:t>
      </w:r>
      <w:r w:rsidR="005329B9">
        <w:t>Investiční fáze zahrnuje</w:t>
      </w:r>
      <w:r w:rsidR="006C1409">
        <w:t xml:space="preserve">, jak dále pokračují autoři, </w:t>
      </w:r>
      <w:r w:rsidR="005329B9">
        <w:t xml:space="preserve">větší počet činností, které tvoří samotnou náplň realizace projektu. Investiční fázi lze zahájit, pokud je vytvořen právní, finanční a organizační rámec realizace daného projektu. </w:t>
      </w:r>
      <w:r w:rsidR="00264946">
        <w:t>Investiční fázi pak můžeme v obecné rovině chápat jako sled několika etap, kterými jsou:</w:t>
      </w:r>
    </w:p>
    <w:p w:rsidR="00305E2D" w:rsidRDefault="00305E2D" w:rsidP="00EC7452">
      <w:pPr>
        <w:spacing w:line="360" w:lineRule="auto"/>
        <w:jc w:val="both"/>
      </w:pPr>
    </w:p>
    <w:p w:rsidR="00D7256F" w:rsidRDefault="00264946" w:rsidP="00AD45B1">
      <w:pPr>
        <w:pStyle w:val="Odstavecseseznamem"/>
        <w:numPr>
          <w:ilvl w:val="0"/>
          <w:numId w:val="12"/>
        </w:numPr>
        <w:spacing w:line="360" w:lineRule="auto"/>
        <w:ind w:left="754" w:hanging="357"/>
        <w:jc w:val="both"/>
      </w:pPr>
      <w:r>
        <w:t>zpracování zadání a zpracování úvodní projektové dokumentace,</w:t>
      </w:r>
    </w:p>
    <w:p w:rsidR="00264946" w:rsidRDefault="00264946" w:rsidP="00AD45B1">
      <w:pPr>
        <w:pStyle w:val="Odstavecseseznamem"/>
        <w:numPr>
          <w:ilvl w:val="0"/>
          <w:numId w:val="12"/>
        </w:numPr>
        <w:spacing w:line="360" w:lineRule="auto"/>
        <w:ind w:left="754" w:hanging="357"/>
        <w:jc w:val="both"/>
      </w:pPr>
      <w:r>
        <w:t>zpracování realizační projektové dokumentace,</w:t>
      </w:r>
    </w:p>
    <w:p w:rsidR="00264946" w:rsidRDefault="00264946" w:rsidP="00AD45B1">
      <w:pPr>
        <w:pStyle w:val="Odstavecseseznamem"/>
        <w:numPr>
          <w:ilvl w:val="0"/>
          <w:numId w:val="12"/>
        </w:numPr>
        <w:spacing w:line="360" w:lineRule="auto"/>
        <w:ind w:left="754" w:hanging="357"/>
        <w:jc w:val="both"/>
      </w:pPr>
      <w:r>
        <w:t>faktická realizace projektu po stránce finančních a hmotných toků,</w:t>
      </w:r>
    </w:p>
    <w:p w:rsidR="00264946" w:rsidRDefault="00264946" w:rsidP="00AD45B1">
      <w:pPr>
        <w:pStyle w:val="Odstavecseseznamem"/>
        <w:numPr>
          <w:ilvl w:val="0"/>
          <w:numId w:val="12"/>
        </w:numPr>
        <w:spacing w:line="360" w:lineRule="auto"/>
        <w:ind w:left="754" w:hanging="357"/>
        <w:jc w:val="both"/>
      </w:pPr>
      <w:r>
        <w:t>příprava a uvedení do provozu,</w:t>
      </w:r>
    </w:p>
    <w:p w:rsidR="00264946" w:rsidRDefault="00264946" w:rsidP="00AD45B1">
      <w:pPr>
        <w:pStyle w:val="Odstavecseseznamem"/>
        <w:numPr>
          <w:ilvl w:val="0"/>
          <w:numId w:val="12"/>
        </w:numPr>
        <w:spacing w:line="360" w:lineRule="auto"/>
        <w:ind w:left="754" w:hanging="357"/>
        <w:jc w:val="both"/>
      </w:pPr>
      <w:r>
        <w:t>aktualizace dokumentace a systémů.</w:t>
      </w:r>
    </w:p>
    <w:p w:rsidR="00264946" w:rsidRDefault="00264946" w:rsidP="00264946">
      <w:pPr>
        <w:spacing w:line="360" w:lineRule="auto"/>
        <w:jc w:val="both"/>
      </w:pPr>
    </w:p>
    <w:p w:rsidR="00C16951" w:rsidRDefault="002B21CE" w:rsidP="00264946">
      <w:pPr>
        <w:spacing w:line="360" w:lineRule="auto"/>
        <w:jc w:val="both"/>
      </w:pPr>
      <w:r>
        <w:lastRenderedPageBreak/>
        <w:t xml:space="preserve">     Jak závěrem k</w:t>
      </w:r>
      <w:r w:rsidR="00C16951">
        <w:t> t</w:t>
      </w:r>
      <w:r w:rsidR="003831B6">
        <w:t>ěmto</w:t>
      </w:r>
      <w:r w:rsidR="00C16951">
        <w:t xml:space="preserve"> </w:t>
      </w:r>
      <w:r>
        <w:t>fáz</w:t>
      </w:r>
      <w:r w:rsidR="003831B6">
        <w:t>ím</w:t>
      </w:r>
      <w:r w:rsidR="00C16951">
        <w:t xml:space="preserve"> </w:t>
      </w:r>
      <w:r>
        <w:t>uvádí Fotr a Souček</w:t>
      </w:r>
      <w:r>
        <w:rPr>
          <w:rStyle w:val="Znakapoznpodarou"/>
        </w:rPr>
        <w:footnoteReference w:id="20"/>
      </w:r>
      <w:r w:rsidR="00C16951">
        <w:t>, základním předpokladem úspěšné realizace projektu je zpracování kvalitního plánu a účinné vlastní řízení realizace projektu. Tyto kroky pak musí společně zabezpečit, že klíčové aktivity realizace projektu, jako jsou výstavba, dodávka a montáž zařízení, získání a výcvik pracovníků i zajištění všech potřebných vstupů pro zahájení provozu proběhnou včas z pohledu jejich vzájemné návaznosti a v požadované kvalitě tak, aby nebyl ohrožen termín uvedení projektu do provozu.</w:t>
      </w:r>
    </w:p>
    <w:p w:rsidR="00902512" w:rsidRDefault="00C16951" w:rsidP="00264946">
      <w:pPr>
        <w:spacing w:line="360" w:lineRule="auto"/>
        <w:jc w:val="both"/>
      </w:pPr>
      <w:r>
        <w:t xml:space="preserve">     Důležitá je zejména pečlivá kontrola časového plánu realizace</w:t>
      </w:r>
      <w:r w:rsidR="00902512">
        <w:t>, včasná identifikace vzniklých odchylek a v neposlední řadě potom posouzení jejich vlivu na prodloužení termínu uvedení projektu do provozu nebo na růst investičních výdajů ve vazbě na zajištění dalších zdrojů financování.</w:t>
      </w:r>
    </w:p>
    <w:p w:rsidR="00902512" w:rsidRDefault="00902512" w:rsidP="00264946">
      <w:pPr>
        <w:spacing w:line="360" w:lineRule="auto"/>
        <w:jc w:val="both"/>
      </w:pPr>
      <w:r>
        <w:t xml:space="preserve">     V souvislosti s předinvestiční i investiční fází života projektu pak můžeme </w:t>
      </w:r>
      <w:r w:rsidR="003831B6">
        <w:t xml:space="preserve">ve shodě s uvedenými autory </w:t>
      </w:r>
      <w:r>
        <w:t xml:space="preserve">konstatovat, že zatímco v předinvestiční fázi je rozhodujícím faktorem kvalita a spolehlivost údajů, analýz a hodnocení, které tvoří náplň technicko-ekonomické studie, v investiční fázi je kritickým faktorem čas. </w:t>
      </w:r>
    </w:p>
    <w:p w:rsidR="00773713" w:rsidRDefault="00773713" w:rsidP="00264946">
      <w:pPr>
        <w:spacing w:line="360" w:lineRule="auto"/>
        <w:jc w:val="both"/>
      </w:pPr>
    </w:p>
    <w:p w:rsidR="00850314" w:rsidRPr="003831B6" w:rsidRDefault="00B44DD3" w:rsidP="001B7560">
      <w:pPr>
        <w:pStyle w:val="Nadpis2"/>
        <w:ind w:left="0" w:firstLine="0"/>
        <w:rPr>
          <w:b w:val="0"/>
          <w:sz w:val="28"/>
          <w:szCs w:val="28"/>
        </w:rPr>
      </w:pPr>
      <w:r w:rsidRPr="003831B6">
        <w:rPr>
          <w:b w:val="0"/>
          <w:sz w:val="28"/>
          <w:szCs w:val="28"/>
        </w:rPr>
        <w:t xml:space="preserve"> </w:t>
      </w:r>
      <w:r w:rsidR="00D70A84" w:rsidRPr="003831B6">
        <w:rPr>
          <w:b w:val="0"/>
          <w:sz w:val="28"/>
          <w:szCs w:val="28"/>
        </w:rPr>
        <w:t xml:space="preserve"> </w:t>
      </w:r>
      <w:bookmarkStart w:id="243" w:name="_Toc233044392"/>
      <w:r w:rsidR="00B60F85" w:rsidRPr="003831B6">
        <w:rPr>
          <w:b w:val="0"/>
          <w:sz w:val="28"/>
          <w:szCs w:val="28"/>
        </w:rPr>
        <w:t>Provozní fáze</w:t>
      </w:r>
      <w:bookmarkEnd w:id="243"/>
      <w:r w:rsidR="003831B6" w:rsidRPr="003831B6">
        <w:rPr>
          <w:b w:val="0"/>
          <w:sz w:val="28"/>
          <w:szCs w:val="28"/>
        </w:rPr>
        <w:t xml:space="preserve"> </w:t>
      </w:r>
      <w:r w:rsidR="00850314" w:rsidRPr="003831B6">
        <w:rPr>
          <w:b w:val="0"/>
          <w:sz w:val="28"/>
          <w:szCs w:val="28"/>
        </w:rPr>
        <w:t xml:space="preserve"> </w:t>
      </w:r>
    </w:p>
    <w:p w:rsidR="00781C5B" w:rsidRDefault="00781C5B" w:rsidP="002A10B0">
      <w:pPr>
        <w:spacing w:line="360" w:lineRule="auto"/>
      </w:pPr>
    </w:p>
    <w:p w:rsidR="00012883" w:rsidRDefault="00691736" w:rsidP="00571E18">
      <w:pPr>
        <w:spacing w:line="360" w:lineRule="auto"/>
        <w:jc w:val="both"/>
      </w:pPr>
      <w:r>
        <w:t xml:space="preserve">     </w:t>
      </w:r>
      <w:r w:rsidR="00571E18">
        <w:t>Provozní fázi charakterizují dle Fotra a Součka</w:t>
      </w:r>
      <w:r w:rsidR="00571E18">
        <w:rPr>
          <w:rStyle w:val="Znakapoznpodarou"/>
        </w:rPr>
        <w:footnoteReference w:id="21"/>
      </w:r>
      <w:r w:rsidR="00571E18">
        <w:t xml:space="preserve"> na jedné straně příjmy plynoucí z projektu, na druhé straně potom výdaje. Tyto položky mají přímí vztah k předpokladům, ze kterých se vycházelo při zpracovávání technicko-ekonomické studie projektu. K takovým předpokladům řadíme například očekávanou poptávku a její vývoj, dosažitelný podíl na trhu, velikost prodejních cen výrobků, nákupní ceny surovin, materiálů a energií. Platí, že čím p</w:t>
      </w:r>
      <w:r w:rsidR="00012883">
        <w:t>ravdivější</w:t>
      </w:r>
      <w:r w:rsidR="00571E18">
        <w:t xml:space="preserve"> předpoklady</w:t>
      </w:r>
      <w:r w:rsidR="00012883">
        <w:t>, tím snazší realizace případných korekčních či nápravných opatření</w:t>
      </w:r>
      <w:r w:rsidR="00571E18">
        <w:t xml:space="preserve"> </w:t>
      </w:r>
      <w:r w:rsidR="00012883">
        <w:t>s nižšími dodatečnými výdaji.</w:t>
      </w:r>
    </w:p>
    <w:p w:rsidR="00D77CE5" w:rsidRDefault="00012883" w:rsidP="00571E18">
      <w:pPr>
        <w:spacing w:line="360" w:lineRule="auto"/>
        <w:jc w:val="both"/>
      </w:pPr>
      <w:r>
        <w:t xml:space="preserve">     Podle zmíněných autorů by součástí provozní fáze projektu měl být i takzvaný postaudit, prováděný po jednom až třech letech standardního provozu projektu. Cílem tohoto postauditu je, jak již bylo naznačeno, srovnání původních předpokladů, ze kterých se vycházelo při tvorbě projektu, se skutečnou situací během jeho provozu. </w:t>
      </w:r>
      <w:r w:rsidR="00D77CE5">
        <w:t xml:space="preserve">Příprava a realizace investičních projektů je pro podnik cenným zdrojem poznatků a zkušeností pro tvorbu dalších projektů. K systematickému shromažďování a využívání těchto informací mohou významně přispívat </w:t>
      </w:r>
      <w:r w:rsidR="00D77CE5">
        <w:lastRenderedPageBreak/>
        <w:t>právě takzvané postaudity projektů, jejichž základem jsou retrospektivní analýzy a hodnocení po určitém období od jejich uvedení do provozu. Postaudity je</w:t>
      </w:r>
      <w:r w:rsidR="003831B6">
        <w:t xml:space="preserve"> podle zmíněných autorů</w:t>
      </w:r>
      <w:r w:rsidR="00D77CE5">
        <w:t xml:space="preserve"> vhodné zaměřit zejména na stanovení a zhodnocení:</w:t>
      </w:r>
    </w:p>
    <w:p w:rsidR="00305E2D" w:rsidRDefault="00305E2D" w:rsidP="00571E18">
      <w:pPr>
        <w:spacing w:line="360" w:lineRule="auto"/>
        <w:jc w:val="both"/>
      </w:pPr>
    </w:p>
    <w:p w:rsidR="00691736" w:rsidRDefault="00D77CE5" w:rsidP="00AD45B1">
      <w:pPr>
        <w:pStyle w:val="Odstavecseseznamem"/>
        <w:numPr>
          <w:ilvl w:val="0"/>
          <w:numId w:val="13"/>
        </w:numPr>
        <w:spacing w:line="360" w:lineRule="auto"/>
        <w:ind w:left="754" w:hanging="357"/>
        <w:jc w:val="both"/>
      </w:pPr>
      <w:r>
        <w:t>shody základních předpokladů,</w:t>
      </w:r>
    </w:p>
    <w:p w:rsidR="00D77CE5" w:rsidRDefault="00D77CE5" w:rsidP="00AD45B1">
      <w:pPr>
        <w:pStyle w:val="Odstavecseseznamem"/>
        <w:numPr>
          <w:ilvl w:val="0"/>
          <w:numId w:val="13"/>
        </w:numPr>
        <w:spacing w:line="360" w:lineRule="auto"/>
        <w:ind w:left="754" w:hanging="357"/>
        <w:jc w:val="both"/>
      </w:pPr>
      <w:r>
        <w:t xml:space="preserve">shody předpokládaných hospodářských výsledků, </w:t>
      </w:r>
    </w:p>
    <w:p w:rsidR="00D77CE5" w:rsidRDefault="00D77CE5" w:rsidP="00AD45B1">
      <w:pPr>
        <w:pStyle w:val="Odstavecseseznamem"/>
        <w:numPr>
          <w:ilvl w:val="0"/>
          <w:numId w:val="13"/>
        </w:numPr>
        <w:spacing w:line="360" w:lineRule="auto"/>
        <w:ind w:left="754" w:hanging="357"/>
        <w:jc w:val="both"/>
      </w:pPr>
      <w:r>
        <w:t>vý</w:t>
      </w:r>
      <w:r w:rsidR="00AA158C">
        <w:t>znamných faktorů negativně ovlivňujících fungování projektu,</w:t>
      </w:r>
    </w:p>
    <w:p w:rsidR="00AA158C" w:rsidRDefault="00AA158C" w:rsidP="00AD45B1">
      <w:pPr>
        <w:pStyle w:val="Odstavecseseznamem"/>
        <w:numPr>
          <w:ilvl w:val="0"/>
          <w:numId w:val="13"/>
        </w:numPr>
        <w:spacing w:line="360" w:lineRule="auto"/>
        <w:ind w:left="754" w:hanging="357"/>
        <w:jc w:val="both"/>
      </w:pPr>
      <w:r>
        <w:t>způsobů řešení případných krizových situací,</w:t>
      </w:r>
    </w:p>
    <w:p w:rsidR="00AA158C" w:rsidRDefault="00AA158C" w:rsidP="00AD45B1">
      <w:pPr>
        <w:pStyle w:val="Odstavecseseznamem"/>
        <w:numPr>
          <w:ilvl w:val="0"/>
          <w:numId w:val="13"/>
        </w:numPr>
        <w:spacing w:line="360" w:lineRule="auto"/>
        <w:ind w:left="754" w:hanging="357"/>
        <w:jc w:val="both"/>
      </w:pPr>
      <w:r>
        <w:t>podstatných faktorů pozitivně ovlivňujících projekt,</w:t>
      </w:r>
    </w:p>
    <w:p w:rsidR="00AA158C" w:rsidRDefault="00AA158C" w:rsidP="00AD45B1">
      <w:pPr>
        <w:pStyle w:val="Odstavecseseznamem"/>
        <w:numPr>
          <w:ilvl w:val="0"/>
          <w:numId w:val="13"/>
        </w:numPr>
        <w:spacing w:line="360" w:lineRule="auto"/>
        <w:ind w:left="754" w:hanging="357"/>
        <w:jc w:val="both"/>
      </w:pPr>
      <w:r>
        <w:t>přínos projektu pro realizaci celkové strategie podniku.</w:t>
      </w:r>
    </w:p>
    <w:p w:rsidR="00AA158C" w:rsidRDefault="00AA158C" w:rsidP="00AA158C">
      <w:pPr>
        <w:spacing w:line="360" w:lineRule="auto"/>
        <w:jc w:val="both"/>
      </w:pPr>
    </w:p>
    <w:p w:rsidR="00AA158C" w:rsidRDefault="00AA158C" w:rsidP="00AA158C">
      <w:pPr>
        <w:spacing w:line="360" w:lineRule="auto"/>
        <w:jc w:val="both"/>
      </w:pPr>
      <w:r>
        <w:t xml:space="preserve">     Takto koncipovaný postaudit může odpovědět na řadu otázek spojených s jednotlivými fázemi projektu, předvídatelnými a nepředvídatelnými faktory, chybami, omyly a podobně. V konečném důsledku je potom významným zdrojem poučení.</w:t>
      </w:r>
    </w:p>
    <w:p w:rsidR="00403C2A" w:rsidRDefault="00AA158C" w:rsidP="00AA158C">
      <w:pPr>
        <w:spacing w:line="360" w:lineRule="auto"/>
        <w:jc w:val="both"/>
      </w:pPr>
      <w:r>
        <w:t xml:space="preserve">     </w:t>
      </w:r>
    </w:p>
    <w:p w:rsidR="00403C2A" w:rsidRDefault="00403C2A" w:rsidP="00AA158C">
      <w:pPr>
        <w:spacing w:line="360" w:lineRule="auto"/>
        <w:jc w:val="both"/>
      </w:pPr>
    </w:p>
    <w:p w:rsidR="00403C2A" w:rsidRDefault="00403C2A" w:rsidP="00AA158C">
      <w:pPr>
        <w:spacing w:line="360" w:lineRule="auto"/>
        <w:jc w:val="both"/>
      </w:pPr>
    </w:p>
    <w:p w:rsidR="00403C2A" w:rsidRDefault="00403C2A" w:rsidP="00AA158C">
      <w:pPr>
        <w:spacing w:line="360" w:lineRule="auto"/>
        <w:jc w:val="both"/>
      </w:pPr>
    </w:p>
    <w:p w:rsidR="00403C2A" w:rsidRDefault="00403C2A" w:rsidP="00AA158C">
      <w:pPr>
        <w:spacing w:line="360" w:lineRule="auto"/>
        <w:jc w:val="both"/>
      </w:pPr>
    </w:p>
    <w:p w:rsidR="00305E2D" w:rsidRDefault="00305E2D" w:rsidP="00AA158C">
      <w:pPr>
        <w:spacing w:line="360" w:lineRule="auto"/>
        <w:jc w:val="both"/>
      </w:pPr>
    </w:p>
    <w:p w:rsidR="00305E2D" w:rsidRDefault="00305E2D" w:rsidP="00AA158C">
      <w:pPr>
        <w:spacing w:line="360" w:lineRule="auto"/>
        <w:jc w:val="both"/>
      </w:pPr>
    </w:p>
    <w:p w:rsidR="00305E2D" w:rsidRDefault="00305E2D" w:rsidP="00AA158C">
      <w:pPr>
        <w:spacing w:line="360" w:lineRule="auto"/>
        <w:jc w:val="both"/>
      </w:pPr>
    </w:p>
    <w:p w:rsidR="00A87D18" w:rsidRDefault="00A87D18" w:rsidP="00AA158C">
      <w:pPr>
        <w:spacing w:line="360" w:lineRule="auto"/>
        <w:jc w:val="both"/>
      </w:pPr>
    </w:p>
    <w:p w:rsidR="00A87D18" w:rsidRDefault="00A87D18" w:rsidP="00AA158C">
      <w:pPr>
        <w:spacing w:line="360" w:lineRule="auto"/>
        <w:jc w:val="both"/>
      </w:pPr>
    </w:p>
    <w:p w:rsidR="00A87D18" w:rsidRDefault="00A87D18" w:rsidP="00AA158C">
      <w:pPr>
        <w:spacing w:line="360" w:lineRule="auto"/>
        <w:jc w:val="both"/>
      </w:pPr>
    </w:p>
    <w:p w:rsidR="00A87D18" w:rsidRDefault="00A87D18" w:rsidP="00AA158C">
      <w:pPr>
        <w:spacing w:line="360" w:lineRule="auto"/>
        <w:jc w:val="both"/>
      </w:pPr>
    </w:p>
    <w:p w:rsidR="00C41E93" w:rsidRDefault="00C41E93" w:rsidP="00AA158C">
      <w:pPr>
        <w:spacing w:line="360" w:lineRule="auto"/>
        <w:jc w:val="both"/>
      </w:pPr>
    </w:p>
    <w:p w:rsidR="00C41E93" w:rsidRDefault="00C41E93" w:rsidP="00AA158C">
      <w:pPr>
        <w:spacing w:line="360" w:lineRule="auto"/>
        <w:jc w:val="both"/>
      </w:pPr>
    </w:p>
    <w:p w:rsidR="00C41E93" w:rsidRDefault="00C41E93" w:rsidP="00AA158C">
      <w:pPr>
        <w:spacing w:line="360" w:lineRule="auto"/>
        <w:jc w:val="both"/>
      </w:pPr>
    </w:p>
    <w:p w:rsidR="00C41E93" w:rsidRDefault="00C41E93" w:rsidP="00AA158C">
      <w:pPr>
        <w:spacing w:line="360" w:lineRule="auto"/>
        <w:jc w:val="both"/>
      </w:pPr>
    </w:p>
    <w:p w:rsidR="00C41E93" w:rsidRDefault="00C41E93" w:rsidP="00AA158C">
      <w:pPr>
        <w:spacing w:line="360" w:lineRule="auto"/>
        <w:jc w:val="both"/>
      </w:pPr>
    </w:p>
    <w:p w:rsidR="00A87D18" w:rsidRDefault="00A87D18" w:rsidP="00AA158C">
      <w:pPr>
        <w:spacing w:line="360" w:lineRule="auto"/>
        <w:jc w:val="both"/>
      </w:pPr>
    </w:p>
    <w:p w:rsidR="00305E2D" w:rsidRDefault="00305E2D" w:rsidP="00AA158C">
      <w:pPr>
        <w:spacing w:line="360" w:lineRule="auto"/>
        <w:jc w:val="both"/>
      </w:pPr>
    </w:p>
    <w:p w:rsidR="00F42B22" w:rsidRPr="00F42B22" w:rsidRDefault="00F42B22" w:rsidP="00AD45B1">
      <w:pPr>
        <w:pStyle w:val="Odstavecseseznamem"/>
        <w:keepNext/>
        <w:numPr>
          <w:ilvl w:val="0"/>
          <w:numId w:val="14"/>
        </w:numPr>
        <w:contextualSpacing w:val="0"/>
        <w:outlineLvl w:val="0"/>
        <w:rPr>
          <w:b/>
          <w:bCs/>
          <w:vanish/>
          <w:sz w:val="32"/>
        </w:rPr>
      </w:pPr>
      <w:bookmarkStart w:id="244" w:name="_Toc229767849"/>
      <w:bookmarkStart w:id="245" w:name="_Toc229768133"/>
      <w:bookmarkStart w:id="246" w:name="_Toc229768273"/>
      <w:bookmarkStart w:id="247" w:name="_Toc229768387"/>
      <w:bookmarkStart w:id="248" w:name="_Toc229768526"/>
      <w:bookmarkStart w:id="249" w:name="_Toc229768807"/>
      <w:bookmarkStart w:id="250" w:name="_Toc229768897"/>
      <w:bookmarkStart w:id="251" w:name="_Toc229768998"/>
      <w:bookmarkStart w:id="252" w:name="_Toc229769071"/>
      <w:bookmarkStart w:id="253" w:name="_Toc230692886"/>
      <w:bookmarkStart w:id="254" w:name="_Toc230692963"/>
      <w:bookmarkStart w:id="255" w:name="_Toc231023758"/>
      <w:bookmarkStart w:id="256" w:name="_Toc231023828"/>
      <w:bookmarkStart w:id="257" w:name="_Toc231034536"/>
      <w:bookmarkStart w:id="258" w:name="_Toc231034722"/>
      <w:bookmarkStart w:id="259" w:name="_Toc231034791"/>
      <w:bookmarkStart w:id="260" w:name="_Toc231034860"/>
      <w:bookmarkStart w:id="261" w:name="_Toc231102787"/>
      <w:bookmarkStart w:id="262" w:name="_Toc231103666"/>
      <w:bookmarkStart w:id="263" w:name="_Toc231111324"/>
      <w:bookmarkStart w:id="264" w:name="_Toc231112757"/>
      <w:bookmarkStart w:id="265" w:name="_Toc231112829"/>
      <w:bookmarkStart w:id="266" w:name="_Toc231113018"/>
      <w:bookmarkStart w:id="267" w:name="_Toc231113090"/>
      <w:bookmarkStart w:id="268" w:name="_Toc231189213"/>
      <w:bookmarkStart w:id="269" w:name="_Toc231452152"/>
      <w:bookmarkStart w:id="270" w:name="_Toc231453765"/>
      <w:bookmarkStart w:id="271" w:name="_Toc231454055"/>
      <w:bookmarkStart w:id="272" w:name="_Toc232689749"/>
      <w:bookmarkStart w:id="273" w:name="_Toc232695322"/>
      <w:bookmarkStart w:id="274" w:name="_Toc232739249"/>
      <w:bookmarkStart w:id="275" w:name="_Toc232745532"/>
      <w:bookmarkStart w:id="276" w:name="_Toc232821180"/>
      <w:bookmarkStart w:id="277" w:name="_Toc232821236"/>
      <w:bookmarkStart w:id="278" w:name="_Toc232856373"/>
      <w:bookmarkStart w:id="279" w:name="_Toc232856426"/>
      <w:bookmarkStart w:id="280" w:name="_Toc232856903"/>
      <w:bookmarkStart w:id="281" w:name="_Toc232923344"/>
      <w:bookmarkStart w:id="282" w:name="_Toc233006812"/>
      <w:bookmarkStart w:id="283" w:name="_Toc233033393"/>
      <w:bookmarkStart w:id="284" w:name="_Toc233041594"/>
      <w:bookmarkStart w:id="285" w:name="_Toc23304439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F42B22" w:rsidRPr="00F42B22" w:rsidRDefault="00F42B22" w:rsidP="00AD45B1">
      <w:pPr>
        <w:pStyle w:val="Odstavecseseznamem"/>
        <w:keepNext/>
        <w:numPr>
          <w:ilvl w:val="0"/>
          <w:numId w:val="14"/>
        </w:numPr>
        <w:contextualSpacing w:val="0"/>
        <w:outlineLvl w:val="0"/>
        <w:rPr>
          <w:b/>
          <w:bCs/>
          <w:vanish/>
          <w:sz w:val="32"/>
        </w:rPr>
      </w:pPr>
      <w:bookmarkStart w:id="286" w:name="_Toc229767850"/>
      <w:bookmarkStart w:id="287" w:name="_Toc229768134"/>
      <w:bookmarkStart w:id="288" w:name="_Toc229768274"/>
      <w:bookmarkStart w:id="289" w:name="_Toc229768388"/>
      <w:bookmarkStart w:id="290" w:name="_Toc229768527"/>
      <w:bookmarkStart w:id="291" w:name="_Toc229768808"/>
      <w:bookmarkStart w:id="292" w:name="_Toc229768898"/>
      <w:bookmarkStart w:id="293" w:name="_Toc229768999"/>
      <w:bookmarkStart w:id="294" w:name="_Toc229769072"/>
      <w:bookmarkStart w:id="295" w:name="_Toc230692887"/>
      <w:bookmarkStart w:id="296" w:name="_Toc230692964"/>
      <w:bookmarkStart w:id="297" w:name="_Toc231023759"/>
      <w:bookmarkStart w:id="298" w:name="_Toc231023829"/>
      <w:bookmarkStart w:id="299" w:name="_Toc231034537"/>
      <w:bookmarkStart w:id="300" w:name="_Toc231034723"/>
      <w:bookmarkStart w:id="301" w:name="_Toc231034792"/>
      <w:bookmarkStart w:id="302" w:name="_Toc231034861"/>
      <w:bookmarkStart w:id="303" w:name="_Toc231102788"/>
      <w:bookmarkStart w:id="304" w:name="_Toc231103667"/>
      <w:bookmarkStart w:id="305" w:name="_Toc231111325"/>
      <w:bookmarkStart w:id="306" w:name="_Toc231112758"/>
      <w:bookmarkStart w:id="307" w:name="_Toc231112830"/>
      <w:bookmarkStart w:id="308" w:name="_Toc231113019"/>
      <w:bookmarkStart w:id="309" w:name="_Toc231113091"/>
      <w:bookmarkStart w:id="310" w:name="_Toc231189214"/>
      <w:bookmarkStart w:id="311" w:name="_Toc231452153"/>
      <w:bookmarkStart w:id="312" w:name="_Toc231453766"/>
      <w:bookmarkStart w:id="313" w:name="_Toc231454056"/>
      <w:bookmarkStart w:id="314" w:name="_Toc232689750"/>
      <w:bookmarkStart w:id="315" w:name="_Toc232695323"/>
      <w:bookmarkStart w:id="316" w:name="_Toc232739250"/>
      <w:bookmarkStart w:id="317" w:name="_Toc232745533"/>
      <w:bookmarkStart w:id="318" w:name="_Toc232821181"/>
      <w:bookmarkStart w:id="319" w:name="_Toc232821237"/>
      <w:bookmarkStart w:id="320" w:name="_Toc232856374"/>
      <w:bookmarkStart w:id="321" w:name="_Toc232856427"/>
      <w:bookmarkStart w:id="322" w:name="_Toc232856904"/>
      <w:bookmarkStart w:id="323" w:name="_Toc232923345"/>
      <w:bookmarkStart w:id="324" w:name="_Toc233006813"/>
      <w:bookmarkStart w:id="325" w:name="_Toc233033394"/>
      <w:bookmarkStart w:id="326" w:name="_Toc233041595"/>
      <w:bookmarkStart w:id="327" w:name="_Toc233044394"/>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rsidR="00AA158C" w:rsidRPr="00B0544E" w:rsidRDefault="00F42B22" w:rsidP="001B7560">
      <w:pPr>
        <w:pStyle w:val="Nadpis1"/>
        <w:ind w:left="0" w:firstLine="0"/>
        <w:rPr>
          <w:b w:val="0"/>
        </w:rPr>
      </w:pPr>
      <w:r w:rsidRPr="00B0544E">
        <w:rPr>
          <w:b w:val="0"/>
        </w:rPr>
        <w:t xml:space="preserve"> </w:t>
      </w:r>
      <w:r w:rsidR="00D70A84" w:rsidRPr="00B0544E">
        <w:rPr>
          <w:b w:val="0"/>
        </w:rPr>
        <w:t xml:space="preserve"> </w:t>
      </w:r>
      <w:bookmarkStart w:id="328" w:name="_Toc233044395"/>
      <w:r w:rsidRPr="00B0544E">
        <w:rPr>
          <w:b w:val="0"/>
        </w:rPr>
        <w:t>Klíčové aspekty investičních projektů</w:t>
      </w:r>
      <w:bookmarkEnd w:id="328"/>
      <w:r w:rsidR="00AA158C" w:rsidRPr="00B0544E">
        <w:rPr>
          <w:b w:val="0"/>
        </w:rPr>
        <w:t xml:space="preserve">  </w:t>
      </w:r>
    </w:p>
    <w:p w:rsidR="00417C25" w:rsidRDefault="00417C25" w:rsidP="00072803">
      <w:pPr>
        <w:spacing w:line="360" w:lineRule="auto"/>
      </w:pPr>
    </w:p>
    <w:p w:rsidR="00912AEE" w:rsidRDefault="00443CE3" w:rsidP="00912AEE">
      <w:pPr>
        <w:spacing w:line="360" w:lineRule="auto"/>
        <w:ind w:left="142"/>
        <w:jc w:val="both"/>
      </w:pPr>
      <w:r>
        <w:t xml:space="preserve">     Investiční činnost, jak již bylo naznačeno, úzce souvisí se strategickými cíli podniku, </w:t>
      </w:r>
      <w:r w:rsidR="00B0544E">
        <w:t xml:space="preserve">především </w:t>
      </w:r>
      <w:r>
        <w:t>potom se strategickými finančními cíli.</w:t>
      </w:r>
      <w:r w:rsidR="00B0544E">
        <w:t xml:space="preserve"> </w:t>
      </w:r>
      <w:r>
        <w:t xml:space="preserve">Existenci této </w:t>
      </w:r>
      <w:r w:rsidR="00B0544E">
        <w:t>těsné</w:t>
      </w:r>
      <w:r>
        <w:t xml:space="preserve"> vazby zřejmě nejlépe </w:t>
      </w:r>
      <w:r w:rsidR="00912AEE">
        <w:t>vystihují Fotr a Souček</w:t>
      </w:r>
      <w:r w:rsidR="00912AEE">
        <w:rPr>
          <w:rStyle w:val="Znakapoznpodarou"/>
        </w:rPr>
        <w:footnoteReference w:id="22"/>
      </w:r>
      <w:r w:rsidR="00912AEE">
        <w:t>, kteří uvádí, že finanční analýza a hodnocení projektů zaujímají v technicko-ekonomické studii projektu ústřední postavení, neboť poskytují základní informace pro rozhodování o přijetí či zamítnutí projektu, respektive pro posouzení výhodnosti více variant a rozhodování o výběru varianty, která bude realizována.</w:t>
      </w:r>
    </w:p>
    <w:p w:rsidR="00044BD5" w:rsidRDefault="00912AEE" w:rsidP="00912AEE">
      <w:pPr>
        <w:spacing w:line="360" w:lineRule="auto"/>
        <w:ind w:left="142"/>
        <w:jc w:val="both"/>
      </w:pPr>
      <w:r>
        <w:t xml:space="preserve">     </w:t>
      </w:r>
      <w:r w:rsidR="00B144E2">
        <w:t xml:space="preserve">K provedení hodnocení ekonomické efektivnosti investičních projektů je možno, jak dále uvidíme, použít celou řadu hodnotících metod. </w:t>
      </w:r>
      <w:r w:rsidR="00044BD5">
        <w:t>Abychom však mohli příslušné metody pro tento účel použít, musíme nejprve definovat určité klíčové aspekty investičních projektů, bez jejichž přesného vymezení a práce s nimi by aplikace jakékoli hodnotící metody byla bezpředmětná.</w:t>
      </w:r>
    </w:p>
    <w:p w:rsidR="00FE471F" w:rsidRDefault="00044BD5" w:rsidP="00912AEE">
      <w:pPr>
        <w:spacing w:line="360" w:lineRule="auto"/>
        <w:ind w:left="142"/>
        <w:jc w:val="both"/>
      </w:pPr>
      <w:r>
        <w:t xml:space="preserve">     </w:t>
      </w:r>
      <w:r w:rsidR="00FE471F">
        <w:t>V tomto kontextu, j</w:t>
      </w:r>
      <w:r w:rsidR="00483F15">
        <w:t>ak uvádí Valach</w:t>
      </w:r>
      <w:r w:rsidR="00483F15">
        <w:rPr>
          <w:rStyle w:val="Znakapoznpodarou"/>
        </w:rPr>
        <w:footnoteReference w:id="23"/>
      </w:r>
      <w:r w:rsidR="00483F15">
        <w:t xml:space="preserve">, </w:t>
      </w:r>
      <w:r w:rsidR="00FE471F">
        <w:t xml:space="preserve">je stanovení předpokládaného peněžního toku z investičního projektu zřejmě </w:t>
      </w:r>
      <w:r w:rsidR="00483F15">
        <w:t>nejobtížnějším úkolem</w:t>
      </w:r>
      <w:r w:rsidR="00B0544E">
        <w:t>.</w:t>
      </w:r>
      <w:r w:rsidR="00FE471F">
        <w:t xml:space="preserve"> Tato obtížnost vyplývá především ze dvou důvodů:</w:t>
      </w:r>
    </w:p>
    <w:p w:rsidR="00D44C7A" w:rsidRDefault="00D44C7A" w:rsidP="00912AEE">
      <w:pPr>
        <w:spacing w:line="360" w:lineRule="auto"/>
        <w:ind w:left="142"/>
        <w:jc w:val="both"/>
      </w:pPr>
    </w:p>
    <w:p w:rsidR="00072803" w:rsidRDefault="00FE471F" w:rsidP="00AD45B1">
      <w:pPr>
        <w:numPr>
          <w:ilvl w:val="0"/>
          <w:numId w:val="16"/>
        </w:numPr>
        <w:spacing w:line="360" w:lineRule="auto"/>
        <w:ind w:left="754" w:hanging="357"/>
        <w:jc w:val="both"/>
      </w:pPr>
      <w:r>
        <w:t>jde o předvídání peněžních toků na delší časové období,</w:t>
      </w:r>
    </w:p>
    <w:p w:rsidR="00FE471F" w:rsidRDefault="00FE471F" w:rsidP="00AD45B1">
      <w:pPr>
        <w:numPr>
          <w:ilvl w:val="0"/>
          <w:numId w:val="16"/>
        </w:numPr>
        <w:spacing w:line="360" w:lineRule="auto"/>
        <w:ind w:left="754" w:hanging="357"/>
        <w:jc w:val="both"/>
      </w:pPr>
      <w:r>
        <w:t>velikost kapitálových výdajů, ale zejména peněžních příjmů je ovlivněna celou řadou faktorů, jejichž úplná a spolehlivá predikce je výjimečně obtížná.</w:t>
      </w:r>
    </w:p>
    <w:p w:rsidR="00FE471F" w:rsidRDefault="00FE471F" w:rsidP="00FE471F">
      <w:pPr>
        <w:spacing w:line="360" w:lineRule="auto"/>
        <w:jc w:val="both"/>
      </w:pPr>
    </w:p>
    <w:p w:rsidR="00286709" w:rsidRDefault="00FE471F" w:rsidP="00FE471F">
      <w:pPr>
        <w:spacing w:line="360" w:lineRule="auto"/>
        <w:jc w:val="both"/>
      </w:pPr>
      <w:r>
        <w:t xml:space="preserve">     Proto je třeba, dle uvedeného autora, </w:t>
      </w:r>
      <w:r w:rsidR="00286709">
        <w:t>při plánování peněžních toků z investičních projektů počítat s faktorem času a rizikem odchylného vývoje od předpokladu.</w:t>
      </w:r>
    </w:p>
    <w:p w:rsidR="00783F91" w:rsidRDefault="00286709" w:rsidP="00FE471F">
      <w:pPr>
        <w:spacing w:line="360" w:lineRule="auto"/>
        <w:jc w:val="both"/>
      </w:pPr>
      <w:r>
        <w:t xml:space="preserve">     U hodnotících metod založených na diskontování</w:t>
      </w:r>
      <w:r>
        <w:rPr>
          <w:rStyle w:val="Znakapoznpodarou"/>
        </w:rPr>
        <w:footnoteReference w:id="24"/>
      </w:r>
      <w:r>
        <w:t xml:space="preserve"> je zásadní úlohou určení podnikové diskontní </w:t>
      </w:r>
      <w:r w:rsidR="00783F91">
        <w:t xml:space="preserve">sazby, která vyjadřuje náklady užité struktury kapitálu, </w:t>
      </w:r>
      <w:r w:rsidR="00B0544E">
        <w:t>případně</w:t>
      </w:r>
      <w:r w:rsidR="00783F91">
        <w:t xml:space="preserve"> riziko spojené s užitím kapitálu v rámci daného investičního projektu.</w:t>
      </w:r>
    </w:p>
    <w:p w:rsidR="00A77589" w:rsidRDefault="00783F91" w:rsidP="00FE471F">
      <w:pPr>
        <w:spacing w:line="360" w:lineRule="auto"/>
        <w:jc w:val="both"/>
      </w:pPr>
      <w:r>
        <w:t xml:space="preserve">     </w:t>
      </w:r>
      <w:r w:rsidR="00A77589">
        <w:t>V neposlední řadě je třeba vzít v úvahu i další stěžejní aspekty investičních projektů, ke kterým můžeme řadit již zmíněné riziko nebo otázky spojené s inflac</w:t>
      </w:r>
      <w:r w:rsidR="00EB43F4">
        <w:t>í</w:t>
      </w:r>
      <w:r w:rsidR="00A77589">
        <w:t xml:space="preserve"> či </w:t>
      </w:r>
      <w:r w:rsidR="00EB43F4">
        <w:t>sazbou daně</w:t>
      </w:r>
      <w:r w:rsidR="00A77589">
        <w:t xml:space="preserve">. </w:t>
      </w:r>
    </w:p>
    <w:p w:rsidR="00A77589" w:rsidRDefault="00A77589" w:rsidP="00FE471F">
      <w:pPr>
        <w:spacing w:line="360" w:lineRule="auto"/>
        <w:jc w:val="both"/>
      </w:pPr>
      <w:r>
        <w:t xml:space="preserve">     </w:t>
      </w:r>
      <w:r w:rsidR="00EB43F4">
        <w:t xml:space="preserve">Jakkoli bude v další části práce provedeno definování jednotlivých aspektů investičních projektů odděleně, je třeba si uvědomit, že predikovaný i skutečně dosažený výsledek daného projektu je dán právě jejich vzájemným </w:t>
      </w:r>
      <w:r w:rsidR="009A477D">
        <w:t>ovlivňováním či vazbami mezi nimi.</w:t>
      </w:r>
      <w:r w:rsidR="00EB43F4">
        <w:t xml:space="preserve"> </w:t>
      </w:r>
    </w:p>
    <w:p w:rsidR="009A477D" w:rsidRPr="00B0544E" w:rsidRDefault="009A477D" w:rsidP="001B7560">
      <w:pPr>
        <w:pStyle w:val="Nadpis2"/>
        <w:ind w:left="0" w:firstLine="0"/>
        <w:rPr>
          <w:b w:val="0"/>
          <w:sz w:val="28"/>
          <w:szCs w:val="28"/>
        </w:rPr>
      </w:pPr>
      <w:bookmarkStart w:id="329" w:name="_Toc229767852"/>
      <w:bookmarkStart w:id="330" w:name="_Toc229768136"/>
      <w:bookmarkStart w:id="331" w:name="_Toc229768276"/>
      <w:bookmarkStart w:id="332" w:name="_Toc229768390"/>
      <w:bookmarkStart w:id="333" w:name="_Toc229768529"/>
      <w:bookmarkStart w:id="334" w:name="_Toc229768810"/>
      <w:bookmarkStart w:id="335" w:name="_Toc229768900"/>
      <w:bookmarkStart w:id="336" w:name="_Toc229769001"/>
      <w:bookmarkStart w:id="337" w:name="_Toc229769074"/>
      <w:bookmarkStart w:id="338" w:name="_Toc230692889"/>
      <w:bookmarkStart w:id="339" w:name="_Toc230692966"/>
      <w:bookmarkStart w:id="340" w:name="_Toc231023761"/>
      <w:bookmarkStart w:id="341" w:name="_Toc231023831"/>
      <w:bookmarkStart w:id="342" w:name="_Toc231034539"/>
      <w:bookmarkStart w:id="343" w:name="_Toc231034725"/>
      <w:bookmarkStart w:id="344" w:name="_Toc231034794"/>
      <w:bookmarkStart w:id="345" w:name="_Toc231034863"/>
      <w:bookmarkStart w:id="346" w:name="_Toc231102790"/>
      <w:bookmarkStart w:id="347" w:name="_Toc231103669"/>
      <w:bookmarkStart w:id="348" w:name="_Toc231111327"/>
      <w:bookmarkStart w:id="349" w:name="_Toc231112760"/>
      <w:bookmarkStart w:id="350" w:name="_Toc231112832"/>
      <w:bookmarkStart w:id="351" w:name="_Toc231113021"/>
      <w:bookmarkStart w:id="352" w:name="_Toc231113093"/>
      <w:bookmarkStart w:id="353" w:name="_Toc231189216"/>
      <w:bookmarkStart w:id="354" w:name="_Toc231452155"/>
      <w:bookmarkStart w:id="355" w:name="_Toc231453768"/>
      <w:bookmarkStart w:id="356" w:name="_Toc231454058"/>
      <w:bookmarkStart w:id="357" w:name="_Toc232689752"/>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sidRPr="00B0544E">
        <w:rPr>
          <w:b w:val="0"/>
          <w:sz w:val="28"/>
          <w:szCs w:val="28"/>
        </w:rPr>
        <w:lastRenderedPageBreak/>
        <w:t xml:space="preserve">  </w:t>
      </w:r>
      <w:bookmarkStart w:id="358" w:name="_Toc233044396"/>
      <w:r w:rsidRPr="00B0544E">
        <w:rPr>
          <w:b w:val="0"/>
          <w:sz w:val="28"/>
          <w:szCs w:val="28"/>
        </w:rPr>
        <w:t>Peněžní toky investičních projektů</w:t>
      </w:r>
      <w:bookmarkEnd w:id="358"/>
    </w:p>
    <w:p w:rsidR="008A2B99" w:rsidRDefault="008A2B99" w:rsidP="009A477D">
      <w:pPr>
        <w:spacing w:line="360" w:lineRule="auto"/>
      </w:pPr>
    </w:p>
    <w:p w:rsidR="00EE6D96" w:rsidRDefault="00EE6D96" w:rsidP="008D4C04">
      <w:pPr>
        <w:spacing w:line="360" w:lineRule="auto"/>
        <w:jc w:val="both"/>
      </w:pPr>
      <w:r>
        <w:t xml:space="preserve">     Podle Fotra a Součka</w:t>
      </w:r>
      <w:r>
        <w:rPr>
          <w:rStyle w:val="Znakapoznpodarou"/>
        </w:rPr>
        <w:footnoteReference w:id="25"/>
      </w:r>
      <w:r w:rsidR="00A77589">
        <w:t xml:space="preserve"> </w:t>
      </w:r>
      <w:r>
        <w:t>tvoří peněžní tok (cash flow) projektu pro hodnocení jeho ekonomické efektivnosti veškeré příjmy a výdaje, které tento projekt generuje, respektive vyvolává během celé své životnosti.</w:t>
      </w:r>
      <w:r w:rsidR="002235B1">
        <w:t xml:space="preserve"> </w:t>
      </w:r>
    </w:p>
    <w:p w:rsidR="008D4C04" w:rsidRDefault="00EE6D96" w:rsidP="008D4C04">
      <w:pPr>
        <w:spacing w:line="360" w:lineRule="auto"/>
        <w:jc w:val="both"/>
      </w:pPr>
      <w:r>
        <w:t xml:space="preserve">     Pro investiční fázi projektu je typické, že existují pouze výdaje investičního charakteru, které představují vynaložení prostředků dlouhodobě </w:t>
      </w:r>
      <w:r w:rsidR="008D4C04">
        <w:t>vázaných v projektu.</w:t>
      </w:r>
    </w:p>
    <w:p w:rsidR="006E729E" w:rsidRDefault="008D4C04" w:rsidP="008D4C04">
      <w:pPr>
        <w:spacing w:line="360" w:lineRule="auto"/>
        <w:jc w:val="both"/>
      </w:pPr>
      <w:r>
        <w:t xml:space="preserve">     Provozní fáze je spojena jak s příjmy, tak s výdaji. Příjmy představují především příjmy za prodej produkce nebo služeb, na které se projekt orientuje, výdaje potom mohou mít investiční nebo provozní charakter.</w:t>
      </w:r>
      <w:r w:rsidR="002235B1">
        <w:t xml:space="preserve"> </w:t>
      </w:r>
      <w:r w:rsidR="00B0544E">
        <w:t>Kapitálové výdaje</w:t>
      </w:r>
      <w:r w:rsidR="006E729E">
        <w:t xml:space="preserve"> představují jednak výdaje na finální dokončení investiční fáze po uvedení projektu do provozu, případně výdaje na rozšíření výrobních kapacit v případě příznivého vývoje poptávky, jednak výdaje na obnovu určitých složek dlouhodobého majetku s kratší životností, než je doba celého projektu. Provozní výdaje tvoří typicky výdaje na nákup </w:t>
      </w:r>
      <w:r w:rsidR="00912AD1">
        <w:t>surovin, materiálů a energií, výdaje za služby, vyplacené mzdy a platby sociálního a zdravotního pojištění.</w:t>
      </w:r>
    </w:p>
    <w:p w:rsidR="00912AD1" w:rsidRDefault="00912AD1" w:rsidP="008D4C04">
      <w:pPr>
        <w:spacing w:line="360" w:lineRule="auto"/>
        <w:jc w:val="both"/>
      </w:pPr>
      <w:r>
        <w:t xml:space="preserve">     Rovněž poslední fáze života projektu může být</w:t>
      </w:r>
      <w:r w:rsidR="002235B1">
        <w:t xml:space="preserve"> podle uvedených autorů</w:t>
      </w:r>
      <w:r>
        <w:t xml:space="preserve"> spojena jak s příjmy, tak s výdaji. Konkrétní situace pak rozhodne o tom, která z těchto položek bude převažovat.</w:t>
      </w:r>
    </w:p>
    <w:p w:rsidR="00F942B5" w:rsidRDefault="00912AD1" w:rsidP="008D4C04">
      <w:pPr>
        <w:spacing w:line="360" w:lineRule="auto"/>
        <w:jc w:val="both"/>
      </w:pPr>
      <w:r>
        <w:t xml:space="preserve">     </w:t>
      </w:r>
      <w:r w:rsidR="00F942B5">
        <w:t xml:space="preserve">Na obecné principy, které je třeba při predikci peněžních toků z investičních projektů respektovat, upozorňuje </w:t>
      </w:r>
      <w:r>
        <w:t>Valach</w:t>
      </w:r>
      <w:r>
        <w:rPr>
          <w:rStyle w:val="Znakapoznpodarou"/>
        </w:rPr>
        <w:footnoteReference w:id="26"/>
      </w:r>
      <w:r w:rsidR="00F942B5">
        <w:t>:</w:t>
      </w:r>
    </w:p>
    <w:p w:rsidR="00D44C7A" w:rsidRDefault="00D44C7A" w:rsidP="008D4C04">
      <w:pPr>
        <w:spacing w:line="360" w:lineRule="auto"/>
        <w:jc w:val="both"/>
      </w:pPr>
    </w:p>
    <w:p w:rsidR="00912AD1" w:rsidRDefault="00F942B5" w:rsidP="00AD45B1">
      <w:pPr>
        <w:numPr>
          <w:ilvl w:val="0"/>
          <w:numId w:val="17"/>
        </w:numPr>
        <w:spacing w:line="360" w:lineRule="auto"/>
        <w:ind w:left="709" w:hanging="312"/>
        <w:jc w:val="both"/>
      </w:pPr>
      <w:r>
        <w:t>peněžní toky by měli vycházet z přírůstkových veličin, což znamená, že peněžní tok by měl být stanoven jako rozdíl peněžního toku po investování a před investováním,</w:t>
      </w:r>
    </w:p>
    <w:p w:rsidR="00F942B5" w:rsidRDefault="00F942B5" w:rsidP="00AD45B1">
      <w:pPr>
        <w:numPr>
          <w:ilvl w:val="0"/>
          <w:numId w:val="17"/>
        </w:numPr>
        <w:spacing w:line="360" w:lineRule="auto"/>
        <w:ind w:left="709" w:hanging="312"/>
        <w:jc w:val="both"/>
      </w:pPr>
      <w:r>
        <w:t>odpisy majetku nemohou být zahrnovány do peněžních výdajů, podobně i jiné položky, které jsou náklady, ale nemají výdajový charakter,</w:t>
      </w:r>
    </w:p>
    <w:p w:rsidR="00F85D9D" w:rsidRDefault="00F85D9D" w:rsidP="00AD45B1">
      <w:pPr>
        <w:numPr>
          <w:ilvl w:val="0"/>
          <w:numId w:val="17"/>
        </w:numPr>
        <w:spacing w:line="360" w:lineRule="auto"/>
        <w:ind w:left="754" w:hanging="357"/>
        <w:jc w:val="both"/>
      </w:pPr>
      <w:r>
        <w:t>peněžní tok by měl zobrazovat zdanění,</w:t>
      </w:r>
    </w:p>
    <w:p w:rsidR="00F85D9D" w:rsidRDefault="00BC2124" w:rsidP="00AD45B1">
      <w:pPr>
        <w:numPr>
          <w:ilvl w:val="0"/>
          <w:numId w:val="17"/>
        </w:numPr>
        <w:spacing w:line="360" w:lineRule="auto"/>
        <w:ind w:left="754" w:hanging="357"/>
        <w:jc w:val="both"/>
      </w:pPr>
      <w:r>
        <w:t>d</w:t>
      </w:r>
      <w:r w:rsidR="00F85D9D">
        <w:t>o peněžních toků by měly být zahrnuty i veškeré nepřímé důsledky investování,</w:t>
      </w:r>
    </w:p>
    <w:p w:rsidR="00F85D9D" w:rsidRDefault="00F85D9D" w:rsidP="00AD45B1">
      <w:pPr>
        <w:numPr>
          <w:ilvl w:val="0"/>
          <w:numId w:val="17"/>
        </w:numPr>
        <w:spacing w:line="360" w:lineRule="auto"/>
        <w:ind w:left="754" w:hanging="357"/>
        <w:jc w:val="both"/>
      </w:pPr>
      <w:r>
        <w:t>peněžní toky z investičního projektu by měly zahrnovat alternativní náklady,</w:t>
      </w:r>
    </w:p>
    <w:p w:rsidR="00F85D9D" w:rsidRDefault="00F85D9D" w:rsidP="00AD45B1">
      <w:pPr>
        <w:numPr>
          <w:ilvl w:val="0"/>
          <w:numId w:val="17"/>
        </w:numPr>
        <w:spacing w:line="360" w:lineRule="auto"/>
        <w:ind w:left="754" w:hanging="357"/>
        <w:jc w:val="both"/>
      </w:pPr>
      <w:r>
        <w:t>v peněžních tocích je třeba zohlednit i míru inflace, a to u konkrétních položek,</w:t>
      </w:r>
    </w:p>
    <w:p w:rsidR="00F942B5" w:rsidRDefault="00F85D9D" w:rsidP="00AD45B1">
      <w:pPr>
        <w:numPr>
          <w:ilvl w:val="0"/>
          <w:numId w:val="17"/>
        </w:numPr>
        <w:spacing w:line="360" w:lineRule="auto"/>
        <w:ind w:left="754" w:hanging="357"/>
        <w:jc w:val="both"/>
      </w:pPr>
      <w:r>
        <w:t>úroky z cizího kapitálu by neměly být brány v úvahu při stanovení peněžních příjmů.</w:t>
      </w:r>
      <w:r w:rsidR="00F942B5">
        <w:t xml:space="preserve"> </w:t>
      </w:r>
    </w:p>
    <w:p w:rsidR="00433EF4" w:rsidRDefault="00433EF4" w:rsidP="00433EF4">
      <w:pPr>
        <w:spacing w:line="360" w:lineRule="auto"/>
        <w:jc w:val="both"/>
      </w:pPr>
    </w:p>
    <w:p w:rsidR="00F85D9D" w:rsidRPr="002235B1" w:rsidRDefault="00643AA4" w:rsidP="001B7560">
      <w:pPr>
        <w:pStyle w:val="Nadpis3"/>
        <w:ind w:left="0" w:firstLine="0"/>
        <w:jc w:val="left"/>
        <w:rPr>
          <w:b w:val="0"/>
          <w:sz w:val="28"/>
          <w:szCs w:val="28"/>
        </w:rPr>
      </w:pPr>
      <w:r w:rsidRPr="002235B1">
        <w:rPr>
          <w:b w:val="0"/>
          <w:sz w:val="28"/>
          <w:szCs w:val="28"/>
        </w:rPr>
        <w:lastRenderedPageBreak/>
        <w:t xml:space="preserve">  </w:t>
      </w:r>
      <w:bookmarkStart w:id="359" w:name="_Toc233044397"/>
      <w:r w:rsidRPr="002235B1">
        <w:rPr>
          <w:b w:val="0"/>
          <w:sz w:val="28"/>
          <w:szCs w:val="28"/>
        </w:rPr>
        <w:t>Kapitálové výdaje</w:t>
      </w:r>
      <w:bookmarkEnd w:id="359"/>
    </w:p>
    <w:p w:rsidR="00643AA4" w:rsidRDefault="00643AA4" w:rsidP="00C2459D">
      <w:pPr>
        <w:spacing w:line="360" w:lineRule="auto"/>
      </w:pPr>
    </w:p>
    <w:p w:rsidR="009F4198" w:rsidRDefault="00392755" w:rsidP="00C2459D">
      <w:pPr>
        <w:spacing w:line="360" w:lineRule="auto"/>
        <w:jc w:val="both"/>
      </w:pPr>
      <w:r>
        <w:t xml:space="preserve">     Pojetí pojmu kapitálové výdaje se u různých autorů zásadním způsobem neliší. Synek</w:t>
      </w:r>
      <w:r>
        <w:rPr>
          <w:rStyle w:val="Znakapoznpodarou"/>
        </w:rPr>
        <w:footnoteReference w:id="27"/>
      </w:r>
      <w:r>
        <w:t xml:space="preserve"> </w:t>
      </w:r>
      <w:r w:rsidR="00C2459D">
        <w:t>rozumí kapitálovými výdaji</w:t>
      </w:r>
      <w:r>
        <w:t xml:space="preserve"> </w:t>
      </w:r>
      <w:r w:rsidR="00C2459D">
        <w:t xml:space="preserve">pořizovací cenu investice, zvýšení čistého pracovního kapitálu jako rozdílu mezi zvýšením oběžného majetku a zvýšením krátkodobých závazků, výdaje spojené s prodejem a likvidací nahrazovaného investičního majetku snížené o případné příjmy a </w:t>
      </w:r>
      <w:r w:rsidR="009F4198">
        <w:t xml:space="preserve">dále pak </w:t>
      </w:r>
      <w:r w:rsidR="00C2459D">
        <w:t xml:space="preserve">daňové vlivy. Obdobně </w:t>
      </w:r>
      <w:r w:rsidR="006B035E">
        <w:t>definuje</w:t>
      </w:r>
      <w:r w:rsidR="00C2459D">
        <w:t xml:space="preserve"> </w:t>
      </w:r>
      <w:r w:rsidR="002235B1">
        <w:t>kapitálové</w:t>
      </w:r>
      <w:r w:rsidR="00C2459D">
        <w:t xml:space="preserve"> výdaje i Fotr a Souček</w:t>
      </w:r>
      <w:r w:rsidR="00C2459D">
        <w:rPr>
          <w:rStyle w:val="Znakapoznpodarou"/>
        </w:rPr>
        <w:footnoteReference w:id="28"/>
      </w:r>
      <w:r w:rsidR="00C2459D">
        <w:t xml:space="preserve">, kdy jejich pojetí je obecně založeno na třech </w:t>
      </w:r>
      <w:r w:rsidR="009F4198">
        <w:t>základních výdajových skupinách, výdaje na pořízení dlouhodobého majetku, výdaje na pořízení čistého pracovního kapitálu a ostatní výdaje kapitálového charakteru.</w:t>
      </w:r>
    </w:p>
    <w:p w:rsidR="00141120" w:rsidRDefault="009F4198" w:rsidP="00C2459D">
      <w:pPr>
        <w:spacing w:line="360" w:lineRule="auto"/>
        <w:jc w:val="both"/>
      </w:pPr>
      <w:r>
        <w:t xml:space="preserve">     </w:t>
      </w:r>
      <w:r w:rsidR="00141120">
        <w:t>Podobné pojetí uvádí i Valach</w:t>
      </w:r>
      <w:r w:rsidR="00141120">
        <w:rPr>
          <w:rStyle w:val="Znakapoznpodarou"/>
        </w:rPr>
        <w:footnoteReference w:id="29"/>
      </w:r>
      <w:r w:rsidR="00141120">
        <w:t>, podle kterého by kapitálové výdaje měly obsahovat:</w:t>
      </w:r>
    </w:p>
    <w:p w:rsidR="00D44C7A" w:rsidRDefault="00D44C7A" w:rsidP="00C2459D">
      <w:pPr>
        <w:spacing w:line="360" w:lineRule="auto"/>
        <w:jc w:val="both"/>
      </w:pPr>
    </w:p>
    <w:p w:rsidR="00E93CFC" w:rsidRDefault="00141120" w:rsidP="00AD45B1">
      <w:pPr>
        <w:numPr>
          <w:ilvl w:val="0"/>
          <w:numId w:val="18"/>
        </w:numPr>
        <w:spacing w:line="360" w:lineRule="auto"/>
        <w:ind w:left="709" w:hanging="312"/>
        <w:jc w:val="both"/>
      </w:pPr>
      <w:r>
        <w:t>výdaje na pořízení dlouhodobého majetku</w:t>
      </w:r>
      <w:r w:rsidR="00E93CFC">
        <w:t>, včetně výdajů spojených s předchozím výzkumem a vývojem, školením a zapracováním nových pracovníků, případně výdajů spojených s kursovými rozdíly a clem, pokud je pořízení realizováno z dovozu,</w:t>
      </w:r>
    </w:p>
    <w:p w:rsidR="00E93CFC" w:rsidRDefault="00E93CFC" w:rsidP="00AD45B1">
      <w:pPr>
        <w:numPr>
          <w:ilvl w:val="0"/>
          <w:numId w:val="18"/>
        </w:numPr>
        <w:spacing w:line="360" w:lineRule="auto"/>
        <w:ind w:left="709" w:hanging="312"/>
        <w:jc w:val="both"/>
      </w:pPr>
      <w:r>
        <w:t>výdaje na trvalý přírůstek čistého pracovního kapitálu vyvolaný novou investicí.</w:t>
      </w:r>
    </w:p>
    <w:p w:rsidR="00E93CFC" w:rsidRDefault="00E93CFC" w:rsidP="00E93CFC">
      <w:pPr>
        <w:spacing w:line="360" w:lineRule="auto"/>
        <w:jc w:val="both"/>
      </w:pPr>
    </w:p>
    <w:p w:rsidR="00E93CFC" w:rsidRDefault="00E93CFC" w:rsidP="00E93CFC">
      <w:pPr>
        <w:spacing w:line="360" w:lineRule="auto"/>
        <w:jc w:val="both"/>
      </w:pPr>
      <w:r>
        <w:t xml:space="preserve">     Výše uvedené výdaje na pořízení dlouhodobého majetku mohou být</w:t>
      </w:r>
      <w:r w:rsidR="002235B1">
        <w:t xml:space="preserve"> </w:t>
      </w:r>
      <w:r>
        <w:t>v některých případech upravovány o:</w:t>
      </w:r>
    </w:p>
    <w:p w:rsidR="00D44C7A" w:rsidRDefault="00D44C7A" w:rsidP="00E93CFC">
      <w:pPr>
        <w:spacing w:line="360" w:lineRule="auto"/>
        <w:jc w:val="both"/>
      </w:pPr>
    </w:p>
    <w:p w:rsidR="00643AA4" w:rsidRDefault="00E93CFC" w:rsidP="00AD45B1">
      <w:pPr>
        <w:numPr>
          <w:ilvl w:val="0"/>
          <w:numId w:val="19"/>
        </w:numPr>
        <w:spacing w:line="360" w:lineRule="auto"/>
        <w:ind w:left="754" w:hanging="357"/>
        <w:jc w:val="both"/>
      </w:pPr>
      <w:r>
        <w:t>příjmy z prodeje existujícího dlouhodobého majetku,</w:t>
      </w:r>
    </w:p>
    <w:p w:rsidR="00E93CFC" w:rsidRDefault="00E93CFC" w:rsidP="00AD45B1">
      <w:pPr>
        <w:numPr>
          <w:ilvl w:val="0"/>
          <w:numId w:val="19"/>
        </w:numPr>
        <w:spacing w:line="360" w:lineRule="auto"/>
        <w:ind w:left="754" w:hanging="357"/>
        <w:jc w:val="both"/>
      </w:pPr>
      <w:r>
        <w:t>různé daňové efekty.</w:t>
      </w:r>
    </w:p>
    <w:p w:rsidR="00E93CFC" w:rsidRDefault="00E93CFC" w:rsidP="00E93CFC">
      <w:pPr>
        <w:spacing w:line="360" w:lineRule="auto"/>
        <w:jc w:val="both"/>
      </w:pPr>
    </w:p>
    <w:p w:rsidR="00BD0199" w:rsidRPr="002235B1" w:rsidRDefault="00BC2124" w:rsidP="00BD0199">
      <w:pPr>
        <w:spacing w:line="360" w:lineRule="auto"/>
        <w:jc w:val="both"/>
      </w:pPr>
      <w:r>
        <w:t xml:space="preserve">     </w:t>
      </w:r>
      <w:r w:rsidR="00E93CFC">
        <w:t>Takto vymezené pojetí kapitálových výdajů je dle uvedeného autora uplatňováno ve většině vyspělých průmyslových zemí</w:t>
      </w:r>
      <w:r w:rsidR="002235B1">
        <w:t>.</w:t>
      </w:r>
      <w:r w:rsidR="00E93CFC">
        <w:t xml:space="preserve"> </w:t>
      </w:r>
      <w:r>
        <w:t>Modelově vyj</w:t>
      </w:r>
      <w:r w:rsidR="002235B1">
        <w:t>á</w:t>
      </w:r>
      <w:r>
        <w:t>dř</w:t>
      </w:r>
      <w:r w:rsidR="002235B1">
        <w:t>eno</w:t>
      </w:r>
      <w:r>
        <w:t>:</w:t>
      </w:r>
      <w:r w:rsidR="002235B1">
        <w:t xml:space="preserve"> </w:t>
      </w:r>
      <w:r w:rsidR="00BD0199" w:rsidRPr="00BD0199">
        <w:rPr>
          <w:i/>
        </w:rPr>
        <w:t>K = I + O – P ± D</w:t>
      </w:r>
      <w:r w:rsidR="00BD0199">
        <w:rPr>
          <w:i/>
        </w:rPr>
        <w:t xml:space="preserve"> </w:t>
      </w:r>
    </w:p>
    <w:p w:rsidR="00BD0199" w:rsidRPr="00BD0199" w:rsidRDefault="00BD0199" w:rsidP="00BD0199">
      <w:pPr>
        <w:spacing w:line="360" w:lineRule="auto"/>
        <w:jc w:val="both"/>
      </w:pPr>
    </w:p>
    <w:p w:rsidR="00BD0199" w:rsidRPr="00A27156" w:rsidRDefault="00BD0199" w:rsidP="00BD0199">
      <w:pPr>
        <w:spacing w:line="360" w:lineRule="auto"/>
        <w:jc w:val="both"/>
        <w:rPr>
          <w:i/>
          <w:sz w:val="20"/>
          <w:szCs w:val="20"/>
        </w:rPr>
      </w:pPr>
      <w:r>
        <w:t>kde:</w:t>
      </w:r>
      <w:r>
        <w:tab/>
      </w:r>
      <w:r>
        <w:tab/>
        <w:t xml:space="preserve"> </w:t>
      </w:r>
      <w:r w:rsidRPr="00BD0199">
        <w:rPr>
          <w:i/>
          <w:sz w:val="20"/>
          <w:szCs w:val="20"/>
        </w:rPr>
        <w:t>K = kapitálový výdaj,</w:t>
      </w:r>
      <w:r w:rsidRPr="00A27156">
        <w:rPr>
          <w:i/>
          <w:sz w:val="20"/>
          <w:szCs w:val="20"/>
        </w:rPr>
        <w:t xml:space="preserve"> </w:t>
      </w:r>
    </w:p>
    <w:p w:rsidR="00BD0199" w:rsidRPr="00A27156" w:rsidRDefault="00BD0199" w:rsidP="00BD0199">
      <w:pPr>
        <w:spacing w:line="360" w:lineRule="auto"/>
        <w:jc w:val="both"/>
        <w:rPr>
          <w:i/>
          <w:sz w:val="20"/>
          <w:szCs w:val="20"/>
        </w:rPr>
      </w:pPr>
      <w:r>
        <w:rPr>
          <w:i/>
          <w:sz w:val="20"/>
          <w:szCs w:val="20"/>
        </w:rPr>
        <w:tab/>
      </w:r>
      <w:r>
        <w:rPr>
          <w:i/>
          <w:sz w:val="20"/>
          <w:szCs w:val="20"/>
        </w:rPr>
        <w:tab/>
      </w:r>
      <w:r>
        <w:rPr>
          <w:i/>
          <w:sz w:val="20"/>
          <w:szCs w:val="20"/>
        </w:rPr>
        <w:tab/>
        <w:t xml:space="preserve">          I</w:t>
      </w:r>
      <w:r w:rsidRPr="00A27156">
        <w:rPr>
          <w:i/>
          <w:sz w:val="20"/>
          <w:szCs w:val="20"/>
        </w:rPr>
        <w:t xml:space="preserve"> = </w:t>
      </w:r>
      <w:r>
        <w:rPr>
          <w:i/>
          <w:sz w:val="20"/>
          <w:szCs w:val="20"/>
        </w:rPr>
        <w:t>výdaj na pořízení dlouhodobého majetku</w:t>
      </w:r>
      <w:r w:rsidRPr="00A27156">
        <w:rPr>
          <w:i/>
          <w:sz w:val="20"/>
          <w:szCs w:val="20"/>
        </w:rPr>
        <w:t>,</w:t>
      </w:r>
    </w:p>
    <w:p w:rsidR="00BD0199" w:rsidRDefault="00BD0199" w:rsidP="00BD0199">
      <w:pPr>
        <w:spacing w:line="360" w:lineRule="auto"/>
        <w:jc w:val="both"/>
        <w:rPr>
          <w:i/>
          <w:sz w:val="20"/>
          <w:szCs w:val="20"/>
        </w:rPr>
      </w:pPr>
      <w:r>
        <w:rPr>
          <w:i/>
          <w:sz w:val="20"/>
          <w:szCs w:val="20"/>
        </w:rPr>
        <w:tab/>
        <w:t xml:space="preserve">         O</w:t>
      </w:r>
      <w:r w:rsidRPr="00A27156">
        <w:rPr>
          <w:i/>
          <w:sz w:val="20"/>
          <w:szCs w:val="20"/>
        </w:rPr>
        <w:t xml:space="preserve"> = </w:t>
      </w:r>
      <w:r>
        <w:rPr>
          <w:i/>
          <w:sz w:val="20"/>
          <w:szCs w:val="20"/>
        </w:rPr>
        <w:t>výdaj na trvalý přírůstek čistého pracovního kapitálu,</w:t>
      </w:r>
    </w:p>
    <w:p w:rsidR="00BD0199" w:rsidRDefault="00BD0199" w:rsidP="00BD0199">
      <w:pPr>
        <w:spacing w:line="360" w:lineRule="auto"/>
        <w:jc w:val="both"/>
        <w:rPr>
          <w:i/>
          <w:sz w:val="20"/>
          <w:szCs w:val="20"/>
        </w:rPr>
      </w:pPr>
      <w:r>
        <w:rPr>
          <w:i/>
          <w:sz w:val="20"/>
          <w:szCs w:val="20"/>
        </w:rPr>
        <w:tab/>
      </w:r>
      <w:r>
        <w:rPr>
          <w:i/>
          <w:sz w:val="20"/>
          <w:szCs w:val="20"/>
        </w:rPr>
        <w:tab/>
        <w:t xml:space="preserve">         P = příjem z prodeje existujícího nahrazovaného dlouhodobého majetku,</w:t>
      </w:r>
    </w:p>
    <w:p w:rsidR="00BD0199" w:rsidRPr="00A27156" w:rsidRDefault="00BD0199" w:rsidP="00BD0199">
      <w:pPr>
        <w:spacing w:line="360" w:lineRule="auto"/>
        <w:jc w:val="both"/>
        <w:rPr>
          <w:i/>
          <w:sz w:val="20"/>
          <w:szCs w:val="20"/>
        </w:rPr>
      </w:pPr>
      <w:r>
        <w:rPr>
          <w:i/>
          <w:sz w:val="20"/>
          <w:szCs w:val="20"/>
        </w:rPr>
        <w:t xml:space="preserve">         D = daňový efekt (kladný či záporný).</w:t>
      </w:r>
    </w:p>
    <w:p w:rsidR="00912AD1" w:rsidRPr="00E36D82" w:rsidRDefault="00912AD1" w:rsidP="00CD2E6F">
      <w:pPr>
        <w:pStyle w:val="Nadpis3"/>
        <w:ind w:left="0" w:firstLine="0"/>
        <w:jc w:val="left"/>
        <w:rPr>
          <w:b w:val="0"/>
          <w:sz w:val="28"/>
          <w:szCs w:val="28"/>
        </w:rPr>
      </w:pPr>
      <w:r w:rsidRPr="00E36D82">
        <w:rPr>
          <w:b w:val="0"/>
          <w:sz w:val="28"/>
          <w:szCs w:val="28"/>
        </w:rPr>
        <w:lastRenderedPageBreak/>
        <w:t xml:space="preserve"> </w:t>
      </w:r>
      <w:r w:rsidR="00E36D82">
        <w:rPr>
          <w:b w:val="0"/>
          <w:sz w:val="28"/>
          <w:szCs w:val="28"/>
        </w:rPr>
        <w:t xml:space="preserve"> </w:t>
      </w:r>
      <w:bookmarkStart w:id="360" w:name="_Toc233044398"/>
      <w:r w:rsidR="00E36D82" w:rsidRPr="00E36D82">
        <w:rPr>
          <w:b w:val="0"/>
          <w:sz w:val="28"/>
          <w:szCs w:val="28"/>
        </w:rPr>
        <w:t>Peněžní příjmy</w:t>
      </w:r>
      <w:bookmarkEnd w:id="360"/>
      <w:r w:rsidRPr="00E36D82">
        <w:rPr>
          <w:b w:val="0"/>
          <w:sz w:val="28"/>
          <w:szCs w:val="28"/>
        </w:rPr>
        <w:t xml:space="preserve">  </w:t>
      </w:r>
    </w:p>
    <w:p w:rsidR="002D6C53" w:rsidRDefault="002D6C53" w:rsidP="002D6C53">
      <w:pPr>
        <w:spacing w:line="360" w:lineRule="auto"/>
      </w:pPr>
    </w:p>
    <w:p w:rsidR="00EB47B8" w:rsidRDefault="004F6B37" w:rsidP="004F6B37">
      <w:pPr>
        <w:spacing w:line="360" w:lineRule="auto"/>
        <w:jc w:val="both"/>
      </w:pPr>
      <w:r>
        <w:t xml:space="preserve">     Vymezení peněžních příjmů z investičních projektů je v odborné literatuře </w:t>
      </w:r>
      <w:r w:rsidR="006B035E">
        <w:t xml:space="preserve">rovněž </w:t>
      </w:r>
      <w:r>
        <w:t xml:space="preserve">v zásadě </w:t>
      </w:r>
      <w:r w:rsidR="002235B1">
        <w:t>shodné</w:t>
      </w:r>
      <w:r>
        <w:t xml:space="preserve">. Můžeme </w:t>
      </w:r>
      <w:r w:rsidR="00610136">
        <w:t xml:space="preserve">tak </w:t>
      </w:r>
      <w:r>
        <w:t>opět použít pojetí, které nabízí Valach</w:t>
      </w:r>
      <w:r>
        <w:rPr>
          <w:rStyle w:val="Znakapoznpodarou"/>
        </w:rPr>
        <w:footnoteReference w:id="30"/>
      </w:r>
      <w:r>
        <w:t xml:space="preserve">. Než zmíníme toto pojetí, je na místě </w:t>
      </w:r>
      <w:r w:rsidR="00B65E99">
        <w:t>přijmout poznámku uvedeného autora</w:t>
      </w:r>
      <w:r>
        <w:t xml:space="preserve">, že stanovení očekávaných peněžních příjmů z investičního projektu je </w:t>
      </w:r>
      <w:r w:rsidR="00B65E99">
        <w:t>daleko obtížnější, než stanovení jeho kapitálových výdajů. Jde prakticky o nejkritičtější místo celého</w:t>
      </w:r>
      <w:r w:rsidR="002235B1">
        <w:t xml:space="preserve"> investičního procesu</w:t>
      </w:r>
      <w:r w:rsidR="00B65E99">
        <w:t xml:space="preserve">. Tuto </w:t>
      </w:r>
      <w:r w:rsidR="00EB47B8">
        <w:t>souvislost</w:t>
      </w:r>
      <w:r w:rsidR="00B65E99">
        <w:t xml:space="preserve"> potvrzuje i Synek</w:t>
      </w:r>
      <w:r w:rsidR="00B65E99">
        <w:rPr>
          <w:rStyle w:val="Znakapoznpodarou"/>
        </w:rPr>
        <w:footnoteReference w:id="31"/>
      </w:r>
      <w:r w:rsidR="00B65E99">
        <w:t>, který uvádí, že odhadům peněžních příjmů musí být věnována velká pozornost napříč všemi dotčenými oblastmi podniku.</w:t>
      </w:r>
    </w:p>
    <w:p w:rsidR="009F754E" w:rsidRDefault="00EB47B8" w:rsidP="004F6B37">
      <w:pPr>
        <w:spacing w:line="360" w:lineRule="auto"/>
        <w:jc w:val="both"/>
      </w:pPr>
      <w:r>
        <w:t xml:space="preserve">     </w:t>
      </w:r>
      <w:r w:rsidR="009F754E">
        <w:t>Současná teorie finančního managementu za roční peněžní příjmy z investice považuje:</w:t>
      </w:r>
    </w:p>
    <w:p w:rsidR="00D44C7A" w:rsidRDefault="00D44C7A" w:rsidP="004F6B37">
      <w:pPr>
        <w:spacing w:line="360" w:lineRule="auto"/>
        <w:jc w:val="both"/>
      </w:pPr>
    </w:p>
    <w:p w:rsidR="00B65E99" w:rsidRDefault="002E280E" w:rsidP="00AD45B1">
      <w:pPr>
        <w:pStyle w:val="Odstavecseseznamem"/>
        <w:numPr>
          <w:ilvl w:val="0"/>
          <w:numId w:val="20"/>
        </w:numPr>
        <w:spacing w:line="360" w:lineRule="auto"/>
        <w:ind w:left="754" w:hanging="357"/>
        <w:jc w:val="both"/>
      </w:pPr>
      <w:r>
        <w:t>z</w:t>
      </w:r>
      <w:r w:rsidR="00EB47B8">
        <w:t>isk po zdanění, který projekt každý rok přináší,</w:t>
      </w:r>
    </w:p>
    <w:p w:rsidR="00EB47B8" w:rsidRDefault="002E280E" w:rsidP="00AD45B1">
      <w:pPr>
        <w:pStyle w:val="Odstavecseseznamem"/>
        <w:numPr>
          <w:ilvl w:val="0"/>
          <w:numId w:val="20"/>
        </w:numPr>
        <w:spacing w:line="360" w:lineRule="auto"/>
        <w:ind w:left="754" w:hanging="357"/>
        <w:jc w:val="both"/>
      </w:pPr>
      <w:r>
        <w:t>r</w:t>
      </w:r>
      <w:r w:rsidR="00EB47B8">
        <w:t>oční odpisy,</w:t>
      </w:r>
    </w:p>
    <w:p w:rsidR="002E280E" w:rsidRDefault="002E280E" w:rsidP="00AD45B1">
      <w:pPr>
        <w:pStyle w:val="Odstavecseseznamem"/>
        <w:numPr>
          <w:ilvl w:val="0"/>
          <w:numId w:val="20"/>
        </w:numPr>
        <w:spacing w:line="360" w:lineRule="auto"/>
        <w:ind w:left="754" w:hanging="357"/>
        <w:jc w:val="both"/>
      </w:pPr>
      <w:r>
        <w:t>z</w:t>
      </w:r>
      <w:r w:rsidR="00EB47B8">
        <w:t>měny čistého pracovního kapitálu,</w:t>
      </w:r>
      <w:r>
        <w:t xml:space="preserve"> kdy přírůstek snižuje příjmy a naopak,</w:t>
      </w:r>
    </w:p>
    <w:p w:rsidR="00EB47B8" w:rsidRDefault="002E280E" w:rsidP="00AD45B1">
      <w:pPr>
        <w:pStyle w:val="Odstavecseseznamem"/>
        <w:numPr>
          <w:ilvl w:val="0"/>
          <w:numId w:val="20"/>
        </w:numPr>
        <w:spacing w:line="360" w:lineRule="auto"/>
        <w:ind w:left="754" w:hanging="357"/>
        <w:jc w:val="both"/>
      </w:pPr>
      <w:r>
        <w:t>příjem z prodeje dlouhodobého majetku koncem životnosti, upravený o daň.</w:t>
      </w:r>
      <w:r w:rsidR="00EB47B8">
        <w:t xml:space="preserve"> </w:t>
      </w:r>
    </w:p>
    <w:p w:rsidR="004F6B37" w:rsidRDefault="004F6B37" w:rsidP="002E280E">
      <w:pPr>
        <w:spacing w:line="360" w:lineRule="auto"/>
        <w:ind w:left="754"/>
        <w:jc w:val="both"/>
      </w:pPr>
    </w:p>
    <w:p w:rsidR="002E280E" w:rsidRDefault="002E280E" w:rsidP="004F6B37">
      <w:pPr>
        <w:spacing w:line="360" w:lineRule="auto"/>
        <w:jc w:val="both"/>
      </w:pPr>
      <w:r>
        <w:t xml:space="preserve">     Zisk po zdanění se odvozuje od očekávaného přírůstku tržeb sníženého o očekávaný přírůstek provozních nákladů, přičemž do těchto nákladů by neměly být zahrnovány úrokové platby spojené s financováním projektu, což je zdůvodňováno dvěma argumenty:</w:t>
      </w:r>
    </w:p>
    <w:p w:rsidR="00D44C7A" w:rsidRDefault="00D44C7A" w:rsidP="004F6B37">
      <w:pPr>
        <w:spacing w:line="360" w:lineRule="auto"/>
        <w:jc w:val="both"/>
      </w:pPr>
    </w:p>
    <w:p w:rsidR="002E280E" w:rsidRDefault="002E280E" w:rsidP="00AD45B1">
      <w:pPr>
        <w:pStyle w:val="Odstavecseseznamem"/>
        <w:numPr>
          <w:ilvl w:val="0"/>
          <w:numId w:val="21"/>
        </w:numPr>
        <w:spacing w:line="360" w:lineRule="auto"/>
        <w:ind w:left="754" w:hanging="357"/>
        <w:jc w:val="both"/>
      </w:pPr>
      <w:r>
        <w:t>rozhodování o přijetí či nepřijetí projektu by mělo být nezávislé na struktuře zdrojů financování</w:t>
      </w:r>
      <w:r w:rsidR="00610136">
        <w:t>,</w:t>
      </w:r>
    </w:p>
    <w:p w:rsidR="00610136" w:rsidRDefault="00610136" w:rsidP="00AD45B1">
      <w:pPr>
        <w:pStyle w:val="Odstavecseseznamem"/>
        <w:numPr>
          <w:ilvl w:val="0"/>
          <w:numId w:val="21"/>
        </w:numPr>
        <w:spacing w:line="360" w:lineRule="auto"/>
        <w:ind w:left="754" w:hanging="357"/>
        <w:jc w:val="both"/>
      </w:pPr>
      <w:r>
        <w:t>pokud je pro hodnocení projektu použita metoda založená na diskontování, diskontní sazba v sobě již tyto náklady obsahuje</w:t>
      </w:r>
      <w:r>
        <w:rPr>
          <w:rStyle w:val="Znakapoznpodarou"/>
        </w:rPr>
        <w:footnoteReference w:id="32"/>
      </w:r>
      <w:r>
        <w:t xml:space="preserve">, zahrnutím úroku do provozních nákladů by tak došlo k dvojímu zahrnutí do nákladů. </w:t>
      </w:r>
    </w:p>
    <w:p w:rsidR="00DC479A" w:rsidRDefault="00DC479A" w:rsidP="00DC479A">
      <w:pPr>
        <w:pStyle w:val="Odstavecseseznamem"/>
        <w:spacing w:line="360" w:lineRule="auto"/>
        <w:ind w:left="754"/>
        <w:jc w:val="both"/>
      </w:pPr>
    </w:p>
    <w:p w:rsidR="009F754E" w:rsidRDefault="009F754E" w:rsidP="009F754E">
      <w:pPr>
        <w:spacing w:line="360" w:lineRule="auto"/>
        <w:jc w:val="both"/>
        <w:rPr>
          <w:i/>
        </w:rPr>
      </w:pPr>
      <w:r>
        <w:t xml:space="preserve">     Celkové pojetí peněžních příjmů lze</w:t>
      </w:r>
      <w:r w:rsidR="00C85E8C">
        <w:t xml:space="preserve"> tedy podle Valacha (shodné pojetí nabízí například Sedláček</w:t>
      </w:r>
      <w:r w:rsidR="00C85E8C">
        <w:rPr>
          <w:rStyle w:val="Znakapoznpodarou"/>
        </w:rPr>
        <w:footnoteReference w:id="33"/>
      </w:r>
      <w:r w:rsidR="00C85E8C">
        <w:t>)</w:t>
      </w:r>
      <w:r>
        <w:t xml:space="preserve"> formálně vyjádřit takto: </w:t>
      </w:r>
      <w:r>
        <w:rPr>
          <w:i/>
        </w:rPr>
        <w:t>P</w:t>
      </w:r>
      <w:r w:rsidRPr="00BD0199">
        <w:rPr>
          <w:i/>
        </w:rPr>
        <w:t xml:space="preserve"> = </w:t>
      </w:r>
      <w:r>
        <w:rPr>
          <w:i/>
        </w:rPr>
        <w:t>Z</w:t>
      </w:r>
      <w:r w:rsidRPr="00BD0199">
        <w:rPr>
          <w:i/>
        </w:rPr>
        <w:t xml:space="preserve"> +</w:t>
      </w:r>
      <w:r>
        <w:rPr>
          <w:i/>
        </w:rPr>
        <w:t xml:space="preserve"> A</w:t>
      </w:r>
      <w:r w:rsidRPr="00BD0199">
        <w:rPr>
          <w:i/>
        </w:rPr>
        <w:t xml:space="preserve"> </w:t>
      </w:r>
      <w:r>
        <w:rPr>
          <w:i/>
        </w:rPr>
        <w:t>+ O + P</w:t>
      </w:r>
      <w:r w:rsidRPr="009F754E">
        <w:rPr>
          <w:i/>
          <w:position w:val="-6"/>
          <w:sz w:val="20"/>
          <w:szCs w:val="20"/>
        </w:rPr>
        <w:t>M</w:t>
      </w:r>
      <w:r w:rsidRPr="009F754E">
        <w:rPr>
          <w:i/>
          <w:position w:val="-6"/>
        </w:rPr>
        <w:t xml:space="preserve"> </w:t>
      </w:r>
      <w:r>
        <w:rPr>
          <w:i/>
        </w:rPr>
        <w:t>+</w:t>
      </w:r>
      <w:r w:rsidRPr="00BD0199">
        <w:rPr>
          <w:i/>
        </w:rPr>
        <w:t xml:space="preserve"> D</w:t>
      </w:r>
      <w:r>
        <w:rPr>
          <w:i/>
        </w:rPr>
        <w:t xml:space="preserve"> </w:t>
      </w:r>
    </w:p>
    <w:p w:rsidR="009F754E" w:rsidRPr="00BD0199" w:rsidRDefault="009F754E" w:rsidP="009F754E">
      <w:pPr>
        <w:spacing w:line="360" w:lineRule="auto"/>
        <w:jc w:val="both"/>
      </w:pPr>
    </w:p>
    <w:p w:rsidR="009F754E" w:rsidRPr="00A27156" w:rsidRDefault="009F754E" w:rsidP="009F754E">
      <w:pPr>
        <w:spacing w:line="360" w:lineRule="auto"/>
        <w:jc w:val="both"/>
        <w:rPr>
          <w:i/>
          <w:sz w:val="20"/>
          <w:szCs w:val="20"/>
        </w:rPr>
      </w:pPr>
      <w:r>
        <w:t>kde:</w:t>
      </w:r>
      <w:r>
        <w:tab/>
      </w:r>
      <w:r>
        <w:tab/>
        <w:t xml:space="preserve"> </w:t>
      </w:r>
      <w:r>
        <w:rPr>
          <w:i/>
          <w:sz w:val="20"/>
          <w:szCs w:val="20"/>
        </w:rPr>
        <w:t>P</w:t>
      </w:r>
      <w:r w:rsidRPr="00BD0199">
        <w:rPr>
          <w:i/>
          <w:sz w:val="20"/>
          <w:szCs w:val="20"/>
        </w:rPr>
        <w:t xml:space="preserve"> = </w:t>
      </w:r>
      <w:r>
        <w:rPr>
          <w:i/>
          <w:sz w:val="20"/>
          <w:szCs w:val="20"/>
        </w:rPr>
        <w:t>celkový roční peněžní příjem z investičního projektu</w:t>
      </w:r>
      <w:r w:rsidRPr="00BD0199">
        <w:rPr>
          <w:i/>
          <w:sz w:val="20"/>
          <w:szCs w:val="20"/>
        </w:rPr>
        <w:t>,</w:t>
      </w:r>
      <w:r w:rsidRPr="00A27156">
        <w:rPr>
          <w:i/>
          <w:sz w:val="20"/>
          <w:szCs w:val="20"/>
        </w:rPr>
        <w:t xml:space="preserve"> </w:t>
      </w:r>
    </w:p>
    <w:p w:rsidR="009F754E" w:rsidRPr="00A27156" w:rsidRDefault="009F754E" w:rsidP="009F754E">
      <w:pPr>
        <w:spacing w:line="360" w:lineRule="auto"/>
        <w:jc w:val="both"/>
        <w:rPr>
          <w:i/>
          <w:sz w:val="20"/>
          <w:szCs w:val="20"/>
        </w:rPr>
      </w:pPr>
      <w:r>
        <w:rPr>
          <w:i/>
          <w:sz w:val="20"/>
          <w:szCs w:val="20"/>
        </w:rPr>
        <w:lastRenderedPageBreak/>
        <w:tab/>
      </w:r>
      <w:r>
        <w:rPr>
          <w:i/>
          <w:sz w:val="20"/>
          <w:szCs w:val="20"/>
        </w:rPr>
        <w:tab/>
      </w:r>
      <w:r>
        <w:rPr>
          <w:i/>
          <w:sz w:val="20"/>
          <w:szCs w:val="20"/>
        </w:rPr>
        <w:tab/>
        <w:t xml:space="preserve">          Z</w:t>
      </w:r>
      <w:r w:rsidRPr="00A27156">
        <w:rPr>
          <w:i/>
          <w:sz w:val="20"/>
          <w:szCs w:val="20"/>
        </w:rPr>
        <w:t xml:space="preserve"> = </w:t>
      </w:r>
      <w:r>
        <w:rPr>
          <w:i/>
          <w:sz w:val="20"/>
          <w:szCs w:val="20"/>
        </w:rPr>
        <w:t>roční přírůstek zisku</w:t>
      </w:r>
      <w:r w:rsidR="000E020F">
        <w:rPr>
          <w:i/>
          <w:sz w:val="20"/>
          <w:szCs w:val="20"/>
        </w:rPr>
        <w:t xml:space="preserve"> po </w:t>
      </w:r>
      <w:r>
        <w:rPr>
          <w:i/>
          <w:sz w:val="20"/>
          <w:szCs w:val="20"/>
        </w:rPr>
        <w:t xml:space="preserve"> zdanění</w:t>
      </w:r>
      <w:r w:rsidRPr="00A27156">
        <w:rPr>
          <w:i/>
          <w:sz w:val="20"/>
          <w:szCs w:val="20"/>
        </w:rPr>
        <w:t>,</w:t>
      </w:r>
      <w:r>
        <w:rPr>
          <w:i/>
          <w:sz w:val="20"/>
          <w:szCs w:val="20"/>
        </w:rPr>
        <w:t xml:space="preserve">který investice přináší, </w:t>
      </w:r>
    </w:p>
    <w:p w:rsidR="009F754E" w:rsidRDefault="009F754E" w:rsidP="009F754E">
      <w:pPr>
        <w:spacing w:line="360" w:lineRule="auto"/>
        <w:jc w:val="both"/>
        <w:rPr>
          <w:i/>
          <w:sz w:val="20"/>
          <w:szCs w:val="20"/>
        </w:rPr>
      </w:pPr>
      <w:r>
        <w:rPr>
          <w:i/>
          <w:sz w:val="20"/>
          <w:szCs w:val="20"/>
        </w:rPr>
        <w:tab/>
        <w:t xml:space="preserve">         A</w:t>
      </w:r>
      <w:r w:rsidRPr="00A27156">
        <w:rPr>
          <w:i/>
          <w:sz w:val="20"/>
          <w:szCs w:val="20"/>
        </w:rPr>
        <w:t xml:space="preserve"> = </w:t>
      </w:r>
      <w:r>
        <w:rPr>
          <w:i/>
          <w:sz w:val="20"/>
          <w:szCs w:val="20"/>
        </w:rPr>
        <w:t>přírůstek ročních odpisů v důsledku investice,</w:t>
      </w:r>
    </w:p>
    <w:p w:rsidR="009F754E" w:rsidRDefault="009F754E" w:rsidP="009F754E">
      <w:pPr>
        <w:spacing w:line="360" w:lineRule="auto"/>
        <w:jc w:val="both"/>
        <w:rPr>
          <w:i/>
          <w:sz w:val="20"/>
          <w:szCs w:val="20"/>
        </w:rPr>
      </w:pPr>
      <w:r>
        <w:rPr>
          <w:i/>
          <w:sz w:val="20"/>
          <w:szCs w:val="20"/>
        </w:rPr>
        <w:tab/>
      </w:r>
      <w:r>
        <w:rPr>
          <w:i/>
          <w:sz w:val="20"/>
          <w:szCs w:val="20"/>
        </w:rPr>
        <w:tab/>
        <w:t xml:space="preserve">         O = </w:t>
      </w:r>
      <w:r w:rsidR="00D55B41">
        <w:rPr>
          <w:i/>
          <w:sz w:val="20"/>
          <w:szCs w:val="20"/>
        </w:rPr>
        <w:t>změna čistého pracovního kapitálu (úbytek +, přírůstek -)</w:t>
      </w:r>
      <w:r>
        <w:rPr>
          <w:i/>
          <w:sz w:val="20"/>
          <w:szCs w:val="20"/>
        </w:rPr>
        <w:t>,</w:t>
      </w:r>
    </w:p>
    <w:p w:rsidR="009F754E" w:rsidRDefault="00D55B41" w:rsidP="009F754E">
      <w:pPr>
        <w:spacing w:line="360" w:lineRule="auto"/>
        <w:jc w:val="both"/>
        <w:rPr>
          <w:i/>
          <w:sz w:val="20"/>
          <w:szCs w:val="20"/>
        </w:rPr>
      </w:pPr>
      <w:r>
        <w:rPr>
          <w:i/>
          <w:sz w:val="20"/>
          <w:szCs w:val="20"/>
        </w:rPr>
        <w:t xml:space="preserve">         P</w:t>
      </w:r>
      <w:r w:rsidRPr="00D55B41">
        <w:rPr>
          <w:i/>
          <w:position w:val="-6"/>
          <w:sz w:val="20"/>
          <w:szCs w:val="20"/>
        </w:rPr>
        <w:t>M</w:t>
      </w:r>
      <w:r w:rsidR="009F754E">
        <w:rPr>
          <w:i/>
          <w:sz w:val="20"/>
          <w:szCs w:val="20"/>
        </w:rPr>
        <w:t xml:space="preserve"> =</w:t>
      </w:r>
      <w:r>
        <w:rPr>
          <w:i/>
          <w:sz w:val="20"/>
          <w:szCs w:val="20"/>
        </w:rPr>
        <w:t xml:space="preserve"> příjem z prodeje dlouhodobého majetku koncem životnosti,</w:t>
      </w:r>
      <w:r w:rsidR="009F754E">
        <w:rPr>
          <w:i/>
          <w:sz w:val="20"/>
          <w:szCs w:val="20"/>
        </w:rPr>
        <w:t xml:space="preserve"> </w:t>
      </w:r>
    </w:p>
    <w:p w:rsidR="0031313E" w:rsidRPr="0031313E" w:rsidRDefault="009F754E" w:rsidP="009F754E">
      <w:pPr>
        <w:spacing w:line="360" w:lineRule="auto"/>
        <w:jc w:val="both"/>
        <w:rPr>
          <w:i/>
          <w:sz w:val="20"/>
          <w:szCs w:val="20"/>
        </w:rPr>
      </w:pPr>
      <w:r>
        <w:rPr>
          <w:i/>
          <w:sz w:val="20"/>
          <w:szCs w:val="20"/>
        </w:rPr>
        <w:t xml:space="preserve">         D = daňový efekt </w:t>
      </w:r>
      <w:r w:rsidR="00D55B41">
        <w:rPr>
          <w:i/>
          <w:sz w:val="20"/>
          <w:szCs w:val="20"/>
        </w:rPr>
        <w:t>z prodeje dlouhodobého majetku koncem životnosti</w:t>
      </w:r>
      <w:r>
        <w:rPr>
          <w:i/>
          <w:sz w:val="20"/>
          <w:szCs w:val="20"/>
        </w:rPr>
        <w:t>.</w:t>
      </w:r>
    </w:p>
    <w:p w:rsidR="0031313E" w:rsidRPr="00D44C7A" w:rsidRDefault="0031313E" w:rsidP="009F754E">
      <w:pPr>
        <w:spacing w:line="360" w:lineRule="auto"/>
        <w:jc w:val="both"/>
      </w:pPr>
    </w:p>
    <w:p w:rsidR="009F754E" w:rsidRPr="00AA700E" w:rsidRDefault="00AA700E" w:rsidP="00CD2E6F">
      <w:pPr>
        <w:pStyle w:val="Nadpis2"/>
        <w:ind w:left="0" w:firstLine="0"/>
        <w:rPr>
          <w:b w:val="0"/>
          <w:sz w:val="28"/>
          <w:szCs w:val="28"/>
        </w:rPr>
      </w:pPr>
      <w:r>
        <w:rPr>
          <w:b w:val="0"/>
          <w:sz w:val="28"/>
          <w:szCs w:val="28"/>
        </w:rPr>
        <w:t xml:space="preserve">  </w:t>
      </w:r>
      <w:bookmarkStart w:id="361" w:name="_Toc233044399"/>
      <w:r w:rsidRPr="00AA700E">
        <w:rPr>
          <w:b w:val="0"/>
          <w:sz w:val="28"/>
          <w:szCs w:val="28"/>
        </w:rPr>
        <w:t>Určení podnikové diskontní sazby</w:t>
      </w:r>
      <w:bookmarkEnd w:id="361"/>
    </w:p>
    <w:p w:rsidR="009F754E" w:rsidRDefault="009F754E" w:rsidP="009F754E">
      <w:pPr>
        <w:spacing w:line="360" w:lineRule="auto"/>
        <w:jc w:val="both"/>
      </w:pPr>
    </w:p>
    <w:p w:rsidR="00BE4786" w:rsidRDefault="0050498E" w:rsidP="009F754E">
      <w:pPr>
        <w:spacing w:line="360" w:lineRule="auto"/>
        <w:jc w:val="both"/>
      </w:pPr>
      <w:r>
        <w:t xml:space="preserve">     Určení podnikové diskontní sazby představuje dle Fotra a Součka</w:t>
      </w:r>
      <w:r>
        <w:rPr>
          <w:rStyle w:val="Znakapoznpodarou"/>
        </w:rPr>
        <w:footnoteReference w:id="34"/>
      </w:r>
      <w:r>
        <w:t xml:space="preserve"> vedle určení peněžních toků druhý klíčový faktor hodnocení ekonomické efektivnosti investičních projektů.</w:t>
      </w:r>
      <w:r w:rsidR="00BE4786">
        <w:t xml:space="preserve"> To platí přirozeně pouze u takových metod hodnocení efektivnosti investičních projektů, které s diskontní sazbou pracují, </w:t>
      </w:r>
      <w:r w:rsidR="004040ED">
        <w:t>ty</w:t>
      </w:r>
      <w:r w:rsidR="00BE4786">
        <w:t xml:space="preserve"> jsou však v praxi nejhojněji využívány, proto určení diskontní sazby můžeme zařadit mezi základní úlohy investičního rozhodování. </w:t>
      </w:r>
    </w:p>
    <w:p w:rsidR="00AF3598" w:rsidRDefault="00BE4786" w:rsidP="009F754E">
      <w:pPr>
        <w:spacing w:line="360" w:lineRule="auto"/>
        <w:jc w:val="both"/>
      </w:pPr>
      <w:r>
        <w:t xml:space="preserve">     Jak dále uvádějí zmínění autoři, základem pro stanovení diskontní sazby investičních projektů je diskontní sazba </w:t>
      </w:r>
      <w:r w:rsidR="00C85E8C">
        <w:t>podniku</w:t>
      </w:r>
      <w:r>
        <w:t xml:space="preserve">, která zabezpečí </w:t>
      </w:r>
      <w:r w:rsidR="00AF3598">
        <w:t xml:space="preserve">jednat úhradu nákladů cizího kapitálu, tak odměnu vlastníkům </w:t>
      </w:r>
      <w:r w:rsidR="00F62FAA">
        <w:t>podniku</w:t>
      </w:r>
      <w:r w:rsidR="00AF3598">
        <w:t xml:space="preserve"> za vynaložený kapitál. Diskontní sazbu podniku tak můžeme ztotožnit s </w:t>
      </w:r>
      <w:r w:rsidR="00C85E8C">
        <w:t>podnikovými</w:t>
      </w:r>
      <w:r w:rsidR="00AF3598">
        <w:t xml:space="preserve"> náklady</w:t>
      </w:r>
      <w:r w:rsidR="00C85E8C">
        <w:t xml:space="preserve"> na</w:t>
      </w:r>
      <w:r w:rsidR="00AF3598">
        <w:t xml:space="preserve"> kapitálu, přičemž tyto náklady můžeme stanovit jako vážený aritmetický průměr podle vztahu: </w:t>
      </w:r>
      <m:oMath>
        <m:r>
          <w:rPr>
            <w:rFonts w:ascii="Cambria Math" w:hAnsi="Cambria Math"/>
          </w:rPr>
          <m:t>n</m:t>
        </m:r>
        <m:r>
          <w:rPr>
            <w:rFonts w:ascii="Cambria Math" w:hAnsi="Cambria Math"/>
            <w:position w:val="-6"/>
          </w:rPr>
          <m:t>k</m:t>
        </m:r>
        <m:r>
          <w:rPr>
            <w:rFonts w:ascii="Cambria Math" w:hAnsi="Cambria Math"/>
          </w:rPr>
          <m:t xml:space="preserve"> = </m:t>
        </m:r>
        <m:f>
          <m:fPr>
            <m:ctrlPr>
              <w:rPr>
                <w:rFonts w:ascii="Cambria Math" w:hAnsi="Cambria Math"/>
                <w:i/>
              </w:rPr>
            </m:ctrlPr>
          </m:fPr>
          <m:num>
            <m:r>
              <w:rPr>
                <w:rFonts w:ascii="Cambria Math" w:hAnsi="Cambria Math"/>
              </w:rPr>
              <m:t>VK</m:t>
            </m:r>
          </m:num>
          <m:den>
            <m:r>
              <w:rPr>
                <w:rFonts w:ascii="Cambria Math" w:hAnsi="Cambria Math"/>
              </w:rPr>
              <m:t>K</m:t>
            </m:r>
          </m:den>
        </m:f>
        <m:r>
          <w:rPr>
            <w:rFonts w:ascii="Cambria Math" w:hAnsi="Cambria Math"/>
          </w:rPr>
          <m:t xml:space="preserve"> ×n</m:t>
        </m:r>
        <m:r>
          <w:rPr>
            <w:rFonts w:ascii="Cambria Math" w:hAnsi="Cambria Math"/>
            <w:position w:val="-6"/>
          </w:rPr>
          <m:t>v</m:t>
        </m:r>
        <m:r>
          <w:rPr>
            <w:rFonts w:ascii="Cambria Math" w:hAnsi="Cambria Math"/>
          </w:rPr>
          <m:t xml:space="preserve"> + </m:t>
        </m:r>
        <m:f>
          <m:fPr>
            <m:ctrlPr>
              <w:rPr>
                <w:rFonts w:ascii="Cambria Math" w:hAnsi="Cambria Math"/>
                <w:i/>
              </w:rPr>
            </m:ctrlPr>
          </m:fPr>
          <m:num>
            <m:r>
              <w:rPr>
                <w:rFonts w:ascii="Cambria Math" w:hAnsi="Cambria Math"/>
              </w:rPr>
              <m:t>CK</m:t>
            </m:r>
          </m:num>
          <m:den>
            <m:r>
              <w:rPr>
                <w:rFonts w:ascii="Cambria Math" w:hAnsi="Cambria Math"/>
              </w:rPr>
              <m:t>K</m:t>
            </m:r>
          </m:den>
        </m:f>
        <m:r>
          <w:rPr>
            <w:rFonts w:ascii="Cambria Math" w:hAnsi="Cambria Math"/>
          </w:rPr>
          <m:t xml:space="preserve"> × </m:t>
        </m:r>
        <m:d>
          <m:dPr>
            <m:ctrlPr>
              <w:rPr>
                <w:rFonts w:ascii="Cambria Math" w:hAnsi="Cambria Math"/>
                <w:i/>
              </w:rPr>
            </m:ctrlPr>
          </m:dPr>
          <m:e>
            <m:r>
              <w:rPr>
                <w:rFonts w:ascii="Cambria Math" w:hAnsi="Cambria Math"/>
              </w:rPr>
              <m:t xml:space="preserve">1-s </m:t>
            </m:r>
            <m:r>
              <w:rPr>
                <w:rFonts w:ascii="Cambria Math" w:hAnsi="Cambria Math"/>
                <w:position w:val="-6"/>
              </w:rPr>
              <m:t>dp</m:t>
            </m:r>
          </m:e>
        </m:d>
        <m:r>
          <w:rPr>
            <w:rFonts w:ascii="Cambria Math" w:hAnsi="Cambria Math"/>
          </w:rPr>
          <m:t xml:space="preserve"> ×n</m:t>
        </m:r>
        <m:r>
          <w:rPr>
            <w:rFonts w:ascii="Cambria Math" w:hAnsi="Cambria Math"/>
            <w:position w:val="-6"/>
          </w:rPr>
          <m:t>c</m:t>
        </m:r>
      </m:oMath>
      <w:r w:rsidR="00AF3598">
        <w:t xml:space="preserve"> </w:t>
      </w:r>
    </w:p>
    <w:p w:rsidR="00B350B2" w:rsidRDefault="00B350B2" w:rsidP="00B350B2">
      <w:pPr>
        <w:spacing w:line="360" w:lineRule="auto"/>
        <w:jc w:val="both"/>
      </w:pPr>
    </w:p>
    <w:p w:rsidR="00B350B2" w:rsidRPr="00A27156" w:rsidRDefault="008268DA" w:rsidP="008268DA">
      <w:pPr>
        <w:tabs>
          <w:tab w:val="left" w:pos="567"/>
        </w:tabs>
        <w:spacing w:line="360" w:lineRule="auto"/>
        <w:jc w:val="both"/>
        <w:rPr>
          <w:i/>
          <w:sz w:val="20"/>
          <w:szCs w:val="20"/>
        </w:rPr>
      </w:pPr>
      <w:r>
        <w:t>kde:</w:t>
      </w:r>
      <w:r>
        <w:tab/>
      </w:r>
      <w:r>
        <w:tab/>
      </w:r>
      <w:r w:rsidR="00B350B2">
        <w:rPr>
          <w:i/>
          <w:sz w:val="20"/>
          <w:szCs w:val="20"/>
        </w:rPr>
        <w:t>n</w:t>
      </w:r>
      <w:r w:rsidR="00B350B2" w:rsidRPr="00B350B2">
        <w:rPr>
          <w:i/>
          <w:position w:val="-6"/>
          <w:sz w:val="20"/>
          <w:szCs w:val="20"/>
        </w:rPr>
        <w:t>k</w:t>
      </w:r>
      <w:r w:rsidR="00B350B2" w:rsidRPr="00BD0199">
        <w:rPr>
          <w:i/>
          <w:sz w:val="20"/>
          <w:szCs w:val="20"/>
        </w:rPr>
        <w:t xml:space="preserve"> = </w:t>
      </w:r>
      <w:r w:rsidR="00C85E8C">
        <w:rPr>
          <w:i/>
          <w:sz w:val="20"/>
          <w:szCs w:val="20"/>
        </w:rPr>
        <w:t>podnikové</w:t>
      </w:r>
      <w:r w:rsidR="00B350B2">
        <w:rPr>
          <w:i/>
          <w:sz w:val="20"/>
          <w:szCs w:val="20"/>
        </w:rPr>
        <w:t xml:space="preserve"> náklady</w:t>
      </w:r>
      <w:r w:rsidR="00C85E8C">
        <w:rPr>
          <w:i/>
          <w:sz w:val="20"/>
          <w:szCs w:val="20"/>
        </w:rPr>
        <w:t xml:space="preserve"> na </w:t>
      </w:r>
      <w:r w:rsidR="00B350B2">
        <w:rPr>
          <w:i/>
          <w:sz w:val="20"/>
          <w:szCs w:val="20"/>
        </w:rPr>
        <w:t xml:space="preserve"> kapitálu (%)</w:t>
      </w:r>
      <w:r w:rsidR="00B350B2" w:rsidRPr="00BD0199">
        <w:rPr>
          <w:i/>
          <w:sz w:val="20"/>
          <w:szCs w:val="20"/>
        </w:rPr>
        <w:t>,</w:t>
      </w:r>
      <w:r w:rsidR="00B350B2" w:rsidRPr="00A27156">
        <w:rPr>
          <w:i/>
          <w:sz w:val="20"/>
          <w:szCs w:val="20"/>
        </w:rPr>
        <w:t xml:space="preserve"> </w:t>
      </w:r>
    </w:p>
    <w:p w:rsidR="008268DA" w:rsidRDefault="008268DA" w:rsidP="008268DA">
      <w:pPr>
        <w:tabs>
          <w:tab w:val="left" w:pos="567"/>
        </w:tabs>
        <w:spacing w:line="360" w:lineRule="auto"/>
        <w:jc w:val="both"/>
        <w:rPr>
          <w:i/>
          <w:sz w:val="20"/>
          <w:szCs w:val="20"/>
        </w:rPr>
      </w:pPr>
      <w:r>
        <w:rPr>
          <w:i/>
          <w:sz w:val="20"/>
          <w:szCs w:val="20"/>
        </w:rPr>
        <w:tab/>
      </w:r>
      <w:r>
        <w:rPr>
          <w:i/>
          <w:sz w:val="20"/>
          <w:szCs w:val="20"/>
        </w:rPr>
        <w:tab/>
      </w:r>
      <w:r w:rsidR="00B350B2">
        <w:rPr>
          <w:i/>
          <w:sz w:val="20"/>
          <w:szCs w:val="20"/>
        </w:rPr>
        <w:t>n</w:t>
      </w:r>
      <w:r w:rsidR="00B350B2">
        <w:rPr>
          <w:i/>
          <w:position w:val="-6"/>
          <w:sz w:val="20"/>
          <w:szCs w:val="20"/>
        </w:rPr>
        <w:t>v</w:t>
      </w:r>
      <w:r w:rsidR="00B350B2" w:rsidRPr="00A27156">
        <w:rPr>
          <w:i/>
          <w:sz w:val="20"/>
          <w:szCs w:val="20"/>
        </w:rPr>
        <w:t xml:space="preserve"> = </w:t>
      </w:r>
      <w:r w:rsidR="00B350B2">
        <w:rPr>
          <w:i/>
          <w:sz w:val="20"/>
          <w:szCs w:val="20"/>
        </w:rPr>
        <w:t xml:space="preserve">náklady vlastního kapitálu (%), </w:t>
      </w:r>
    </w:p>
    <w:p w:rsidR="00B350B2" w:rsidRDefault="008268DA" w:rsidP="008268DA">
      <w:pPr>
        <w:tabs>
          <w:tab w:val="left" w:pos="567"/>
        </w:tabs>
        <w:spacing w:line="360" w:lineRule="auto"/>
        <w:jc w:val="both"/>
        <w:rPr>
          <w:i/>
          <w:sz w:val="20"/>
          <w:szCs w:val="20"/>
        </w:rPr>
      </w:pPr>
      <w:r>
        <w:rPr>
          <w:i/>
          <w:sz w:val="20"/>
          <w:szCs w:val="20"/>
        </w:rPr>
        <w:tab/>
      </w:r>
      <w:r w:rsidR="00B350B2">
        <w:rPr>
          <w:i/>
          <w:sz w:val="20"/>
          <w:szCs w:val="20"/>
        </w:rPr>
        <w:t xml:space="preserve"> n</w:t>
      </w:r>
      <w:r w:rsidR="00B350B2">
        <w:rPr>
          <w:i/>
          <w:position w:val="-6"/>
          <w:sz w:val="20"/>
          <w:szCs w:val="20"/>
        </w:rPr>
        <w:t>c</w:t>
      </w:r>
      <w:r w:rsidR="00B350B2" w:rsidRPr="00A27156">
        <w:rPr>
          <w:i/>
          <w:sz w:val="20"/>
          <w:szCs w:val="20"/>
        </w:rPr>
        <w:t xml:space="preserve"> = </w:t>
      </w:r>
      <w:r w:rsidR="00B350B2">
        <w:rPr>
          <w:i/>
          <w:sz w:val="20"/>
          <w:szCs w:val="20"/>
        </w:rPr>
        <w:t>náklady cizího kapitálu (%),</w:t>
      </w:r>
    </w:p>
    <w:p w:rsidR="00B350B2" w:rsidRDefault="008268DA" w:rsidP="008268DA">
      <w:pPr>
        <w:tabs>
          <w:tab w:val="left" w:pos="567"/>
        </w:tabs>
        <w:spacing w:line="360" w:lineRule="auto"/>
        <w:jc w:val="both"/>
        <w:rPr>
          <w:i/>
          <w:sz w:val="20"/>
          <w:szCs w:val="20"/>
        </w:rPr>
      </w:pPr>
      <w:r>
        <w:rPr>
          <w:i/>
          <w:sz w:val="20"/>
          <w:szCs w:val="20"/>
        </w:rPr>
        <w:tab/>
      </w:r>
      <w:r w:rsidR="00B350B2">
        <w:rPr>
          <w:i/>
          <w:sz w:val="20"/>
          <w:szCs w:val="20"/>
        </w:rPr>
        <w:t>CK = velikost zpoplatněného cizího kapitálu (Kč),</w:t>
      </w:r>
    </w:p>
    <w:p w:rsidR="00B350B2" w:rsidRDefault="00B350B2" w:rsidP="008268DA">
      <w:pPr>
        <w:tabs>
          <w:tab w:val="left" w:pos="567"/>
        </w:tabs>
        <w:spacing w:line="360" w:lineRule="auto"/>
        <w:jc w:val="both"/>
        <w:rPr>
          <w:i/>
          <w:sz w:val="20"/>
          <w:szCs w:val="20"/>
        </w:rPr>
      </w:pPr>
      <w:r>
        <w:rPr>
          <w:i/>
          <w:sz w:val="20"/>
          <w:szCs w:val="20"/>
        </w:rPr>
        <w:t xml:space="preserve">         </w:t>
      </w:r>
      <w:r w:rsidR="008268DA">
        <w:rPr>
          <w:i/>
          <w:sz w:val="20"/>
          <w:szCs w:val="20"/>
        </w:rPr>
        <w:tab/>
      </w:r>
      <w:r>
        <w:rPr>
          <w:i/>
          <w:sz w:val="20"/>
          <w:szCs w:val="20"/>
        </w:rPr>
        <w:t xml:space="preserve">VK = velikost vlastního kapitálu (Kč), </w:t>
      </w:r>
    </w:p>
    <w:p w:rsidR="00B350B2" w:rsidRDefault="00B350B2" w:rsidP="008268DA">
      <w:pPr>
        <w:tabs>
          <w:tab w:val="left" w:pos="567"/>
        </w:tabs>
        <w:spacing w:line="360" w:lineRule="auto"/>
        <w:jc w:val="both"/>
        <w:rPr>
          <w:i/>
          <w:sz w:val="20"/>
          <w:szCs w:val="20"/>
        </w:rPr>
      </w:pPr>
      <w:r>
        <w:rPr>
          <w:i/>
          <w:sz w:val="20"/>
          <w:szCs w:val="20"/>
        </w:rPr>
        <w:t xml:space="preserve">         </w:t>
      </w:r>
      <w:r w:rsidR="008268DA">
        <w:rPr>
          <w:i/>
          <w:sz w:val="20"/>
          <w:szCs w:val="20"/>
        </w:rPr>
        <w:tab/>
      </w:r>
      <w:r>
        <w:rPr>
          <w:i/>
          <w:sz w:val="20"/>
          <w:szCs w:val="20"/>
        </w:rPr>
        <w:t xml:space="preserve">K = </w:t>
      </w:r>
      <w:r w:rsidR="008268DA">
        <w:rPr>
          <w:i/>
          <w:sz w:val="20"/>
          <w:szCs w:val="20"/>
        </w:rPr>
        <w:t>součet vlastního a cizího zpoplatněného kapitálu (Kč),</w:t>
      </w:r>
    </w:p>
    <w:p w:rsidR="008268DA" w:rsidRDefault="008268DA" w:rsidP="008268DA">
      <w:pPr>
        <w:tabs>
          <w:tab w:val="left" w:pos="567"/>
        </w:tabs>
        <w:spacing w:line="360" w:lineRule="auto"/>
        <w:jc w:val="both"/>
        <w:rPr>
          <w:i/>
          <w:sz w:val="20"/>
          <w:szCs w:val="20"/>
        </w:rPr>
      </w:pPr>
      <w:r>
        <w:rPr>
          <w:i/>
          <w:sz w:val="20"/>
          <w:szCs w:val="20"/>
        </w:rPr>
        <w:tab/>
        <w:t>S </w:t>
      </w:r>
      <w:r w:rsidRPr="008268DA">
        <w:rPr>
          <w:i/>
          <w:position w:val="-6"/>
          <w:sz w:val="20"/>
          <w:szCs w:val="20"/>
        </w:rPr>
        <w:t>dp</w:t>
      </w:r>
      <w:r>
        <w:rPr>
          <w:i/>
          <w:sz w:val="20"/>
          <w:szCs w:val="20"/>
        </w:rPr>
        <w:t xml:space="preserve"> = sazba daně z příjmu.</w:t>
      </w:r>
    </w:p>
    <w:p w:rsidR="00C85E8C" w:rsidRPr="00C85E8C" w:rsidRDefault="00C85E8C" w:rsidP="008268DA">
      <w:pPr>
        <w:tabs>
          <w:tab w:val="left" w:pos="567"/>
        </w:tabs>
        <w:spacing w:line="360" w:lineRule="auto"/>
        <w:jc w:val="both"/>
      </w:pPr>
    </w:p>
    <w:p w:rsidR="008D034B" w:rsidRDefault="008D034B" w:rsidP="008268DA">
      <w:pPr>
        <w:tabs>
          <w:tab w:val="left" w:pos="567"/>
        </w:tabs>
        <w:spacing w:line="360" w:lineRule="auto"/>
        <w:jc w:val="both"/>
      </w:pPr>
      <w:r>
        <w:t xml:space="preserve">     Důležité je</w:t>
      </w:r>
      <w:r w:rsidR="006B035E">
        <w:t xml:space="preserve"> podle uvedených autorů</w:t>
      </w:r>
      <w:r>
        <w:t xml:space="preserve"> vyjádřit jak vlastní, tak cizí zpoplatněný kapitál v tržním ocenění. U cizího zpoplatněného kapitálu se jeho tržní ocenění příliš neodchyluje od ocenění účetního, u vlastního kapitálu mo</w:t>
      </w:r>
      <w:r w:rsidR="0047469E">
        <w:t>hou být odchylky dosti značné, v zájmu spolehlivého výsledku je tedy</w:t>
      </w:r>
      <w:r w:rsidR="00F56468">
        <w:t xml:space="preserve"> dle uvedených autorů</w:t>
      </w:r>
      <w:r w:rsidR="0047469E">
        <w:t xml:space="preserve"> třeba uvedené souvislosti respektovat. </w:t>
      </w:r>
    </w:p>
    <w:p w:rsidR="008268DA" w:rsidRDefault="008268DA" w:rsidP="008268DA">
      <w:pPr>
        <w:tabs>
          <w:tab w:val="left" w:pos="567"/>
        </w:tabs>
        <w:spacing w:line="360" w:lineRule="auto"/>
        <w:jc w:val="both"/>
        <w:rPr>
          <w:i/>
          <w:sz w:val="20"/>
          <w:szCs w:val="20"/>
        </w:rPr>
      </w:pPr>
      <w:r>
        <w:lastRenderedPageBreak/>
        <w:t xml:space="preserve">     Náklady vlastního kapitálu můžeme</w:t>
      </w:r>
      <w:r w:rsidR="00F56468">
        <w:t>, jak dále pokračují uvedení autoři,</w:t>
      </w:r>
      <w:r>
        <w:t xml:space="preserve"> chápat jako oportunitní náklady závis</w:t>
      </w:r>
      <w:r w:rsidR="00BC3A5C">
        <w:t>ej</w:t>
      </w:r>
      <w:r>
        <w:t>ící obecně na riziku</w:t>
      </w:r>
      <w:r w:rsidR="004040ED">
        <w:rPr>
          <w:rStyle w:val="Znakapoznpodarou"/>
        </w:rPr>
        <w:footnoteReference w:id="35"/>
      </w:r>
      <w:r>
        <w:t xml:space="preserve"> podnikatelské činnosti podniku. </w:t>
      </w:r>
      <w:r w:rsidR="00BC3A5C">
        <w:t>N</w:t>
      </w:r>
      <w:r>
        <w:t>áklady vlastního kapitálu podniku</w:t>
      </w:r>
      <w:r w:rsidR="00BC3A5C">
        <w:t xml:space="preserve"> tak můžeme vyjádřit</w:t>
      </w:r>
      <w:r>
        <w:t xml:space="preserve"> jako: PV = r</w:t>
      </w:r>
      <w:r w:rsidRPr="008268DA">
        <w:rPr>
          <w:position w:val="-6"/>
          <w:sz w:val="20"/>
          <w:szCs w:val="20"/>
        </w:rPr>
        <w:t>0</w:t>
      </w:r>
      <w:r>
        <w:t xml:space="preserve"> + RP </w:t>
      </w:r>
      <w:r>
        <w:rPr>
          <w:i/>
          <w:sz w:val="20"/>
          <w:szCs w:val="20"/>
        </w:rPr>
        <w:t xml:space="preserve"> </w:t>
      </w:r>
    </w:p>
    <w:p w:rsidR="008268DA" w:rsidRDefault="008268DA" w:rsidP="008268DA">
      <w:pPr>
        <w:tabs>
          <w:tab w:val="left" w:pos="567"/>
        </w:tabs>
        <w:spacing w:line="360" w:lineRule="auto"/>
        <w:jc w:val="both"/>
      </w:pPr>
    </w:p>
    <w:p w:rsidR="008268DA" w:rsidRPr="00A27156" w:rsidRDefault="008268DA" w:rsidP="008268DA">
      <w:pPr>
        <w:tabs>
          <w:tab w:val="left" w:pos="567"/>
        </w:tabs>
        <w:spacing w:line="360" w:lineRule="auto"/>
        <w:jc w:val="both"/>
        <w:rPr>
          <w:i/>
          <w:sz w:val="20"/>
          <w:szCs w:val="20"/>
        </w:rPr>
      </w:pPr>
      <w:r>
        <w:t>kde:</w:t>
      </w:r>
      <w:r>
        <w:tab/>
      </w:r>
      <w:r>
        <w:tab/>
      </w:r>
      <w:r>
        <w:rPr>
          <w:i/>
          <w:sz w:val="20"/>
          <w:szCs w:val="20"/>
        </w:rPr>
        <w:t>PV</w:t>
      </w:r>
      <w:r w:rsidRPr="00BD0199">
        <w:rPr>
          <w:i/>
          <w:sz w:val="20"/>
          <w:szCs w:val="20"/>
        </w:rPr>
        <w:t xml:space="preserve"> = </w:t>
      </w:r>
      <w:r>
        <w:rPr>
          <w:i/>
          <w:sz w:val="20"/>
          <w:szCs w:val="20"/>
        </w:rPr>
        <w:t>náklady vlastního kapitálu</w:t>
      </w:r>
      <w:r w:rsidRPr="00BD0199">
        <w:rPr>
          <w:i/>
          <w:sz w:val="20"/>
          <w:szCs w:val="20"/>
        </w:rPr>
        <w:t>,</w:t>
      </w:r>
      <w:r w:rsidRPr="00A27156">
        <w:rPr>
          <w:i/>
          <w:sz w:val="20"/>
          <w:szCs w:val="20"/>
        </w:rPr>
        <w:t xml:space="preserve"> </w:t>
      </w:r>
    </w:p>
    <w:p w:rsidR="008268DA" w:rsidRDefault="008268DA" w:rsidP="008268DA">
      <w:pPr>
        <w:tabs>
          <w:tab w:val="left" w:pos="567"/>
        </w:tabs>
        <w:spacing w:line="360" w:lineRule="auto"/>
        <w:jc w:val="both"/>
        <w:rPr>
          <w:i/>
          <w:sz w:val="20"/>
          <w:szCs w:val="20"/>
        </w:rPr>
      </w:pPr>
      <w:r>
        <w:rPr>
          <w:i/>
          <w:sz w:val="20"/>
          <w:szCs w:val="20"/>
        </w:rPr>
        <w:tab/>
      </w:r>
      <w:r>
        <w:rPr>
          <w:i/>
          <w:sz w:val="20"/>
          <w:szCs w:val="20"/>
        </w:rPr>
        <w:tab/>
        <w:t>r</w:t>
      </w:r>
      <w:r w:rsidRPr="008268DA">
        <w:rPr>
          <w:i/>
          <w:position w:val="-6"/>
          <w:sz w:val="16"/>
          <w:szCs w:val="16"/>
        </w:rPr>
        <w:t>0</w:t>
      </w:r>
      <w:r w:rsidRPr="00A27156">
        <w:rPr>
          <w:i/>
          <w:sz w:val="20"/>
          <w:szCs w:val="20"/>
        </w:rPr>
        <w:t xml:space="preserve"> = </w:t>
      </w:r>
      <w:r w:rsidR="0085337D">
        <w:rPr>
          <w:i/>
          <w:sz w:val="20"/>
          <w:szCs w:val="20"/>
        </w:rPr>
        <w:t>výnosnost zcela nerizikové investice</w:t>
      </w:r>
      <w:r>
        <w:rPr>
          <w:i/>
          <w:sz w:val="20"/>
          <w:szCs w:val="20"/>
        </w:rPr>
        <w:t xml:space="preserve">, </w:t>
      </w:r>
    </w:p>
    <w:p w:rsidR="008268DA" w:rsidRDefault="008268DA" w:rsidP="008268DA">
      <w:pPr>
        <w:tabs>
          <w:tab w:val="left" w:pos="567"/>
        </w:tabs>
        <w:spacing w:line="360" w:lineRule="auto"/>
        <w:jc w:val="both"/>
        <w:rPr>
          <w:i/>
          <w:sz w:val="20"/>
          <w:szCs w:val="20"/>
        </w:rPr>
      </w:pPr>
      <w:r>
        <w:rPr>
          <w:i/>
          <w:sz w:val="20"/>
          <w:szCs w:val="20"/>
        </w:rPr>
        <w:tab/>
        <w:t xml:space="preserve"> </w:t>
      </w:r>
      <w:r w:rsidR="0085337D">
        <w:rPr>
          <w:i/>
          <w:sz w:val="20"/>
          <w:szCs w:val="20"/>
        </w:rPr>
        <w:t>RP</w:t>
      </w:r>
      <w:r w:rsidRPr="00A27156">
        <w:rPr>
          <w:i/>
          <w:sz w:val="20"/>
          <w:szCs w:val="20"/>
        </w:rPr>
        <w:t xml:space="preserve"> = </w:t>
      </w:r>
      <w:r w:rsidR="0085337D">
        <w:rPr>
          <w:i/>
          <w:sz w:val="20"/>
          <w:szCs w:val="20"/>
        </w:rPr>
        <w:t>je riziková prémie.</w:t>
      </w:r>
    </w:p>
    <w:p w:rsidR="00D479C7" w:rsidRDefault="00D479C7" w:rsidP="008268DA">
      <w:pPr>
        <w:tabs>
          <w:tab w:val="left" w:pos="567"/>
        </w:tabs>
        <w:spacing w:line="360" w:lineRule="auto"/>
        <w:jc w:val="both"/>
        <w:rPr>
          <w:i/>
          <w:sz w:val="20"/>
          <w:szCs w:val="20"/>
        </w:rPr>
      </w:pPr>
    </w:p>
    <w:p w:rsidR="00BC3A5C" w:rsidRDefault="0085337D" w:rsidP="008268DA">
      <w:pPr>
        <w:tabs>
          <w:tab w:val="left" w:pos="567"/>
        </w:tabs>
        <w:spacing w:line="360" w:lineRule="auto"/>
        <w:jc w:val="both"/>
      </w:pPr>
      <w:r>
        <w:t xml:space="preserve">     </w:t>
      </w:r>
      <w:r w:rsidR="00BC3A5C">
        <w:t>Neriziková činnost podniku generuje nulovou rizikovou prémii a výnosnost vlastního kapitálu by byla dána výnosností státních dluhopisů, které se obecně považují za investice s minimálním rizikem. Taková výnosnost se někdy označuje termínem časová prémie.</w:t>
      </w:r>
    </w:p>
    <w:p w:rsidR="00243AA2" w:rsidRDefault="00BC3A5C" w:rsidP="008268DA">
      <w:pPr>
        <w:tabs>
          <w:tab w:val="left" w:pos="567"/>
        </w:tabs>
        <w:spacing w:line="360" w:lineRule="auto"/>
        <w:jc w:val="both"/>
      </w:pPr>
      <w:r>
        <w:t xml:space="preserve">     Podnikatelská činnost je však obvykle více či méně riziková, proto je nezbytné rizikovou prémii určit. </w:t>
      </w:r>
      <w:r w:rsidR="00243AA2">
        <w:t>Jeden z</w:t>
      </w:r>
      <w:r w:rsidR="00F7742A">
        <w:t> </w:t>
      </w:r>
      <w:r w:rsidR="00243AA2">
        <w:t>přístupů</w:t>
      </w:r>
      <w:r w:rsidR="00F7742A">
        <w:t xml:space="preserve"> jak </w:t>
      </w:r>
      <w:r w:rsidR="000F17A4">
        <w:t xml:space="preserve">dále </w:t>
      </w:r>
      <w:r w:rsidR="00F7742A">
        <w:t xml:space="preserve">vysvětlují zmínění autoři </w:t>
      </w:r>
      <w:r w:rsidR="00243AA2">
        <w:t xml:space="preserve">je založen na modelu oceňování kapitálových aktiv (capital assets pricing model), který vychází z funkčního kapitálového trhu: RP = β </w:t>
      </w:r>
      <m:oMath>
        <m:r>
          <w:rPr>
            <w:rFonts w:ascii="Cambria Math" w:hAnsi="Cambria Math"/>
          </w:rPr>
          <m:t>×</m:t>
        </m:r>
      </m:oMath>
      <w:r w:rsidR="00243AA2">
        <w:t xml:space="preserve"> </w:t>
      </w:r>
      <m:oMath>
        <m:d>
          <m:dPr>
            <m:ctrlPr>
              <w:rPr>
                <w:rFonts w:ascii="Cambria Math" w:hAnsi="Cambria Math"/>
                <w:i/>
              </w:rPr>
            </m:ctrlPr>
          </m:dPr>
          <m:e>
            <m:r>
              <w:rPr>
                <w:rFonts w:ascii="Cambria Math" w:hAnsi="Cambria Math"/>
              </w:rPr>
              <m:t>R</m:t>
            </m:r>
            <m:r>
              <w:rPr>
                <w:rFonts w:ascii="Cambria Math" w:hAnsi="Cambria Math"/>
                <w:position w:val="-6"/>
              </w:rPr>
              <m:t>m</m:t>
            </m:r>
            <m:r>
              <w:rPr>
                <w:rFonts w:ascii="Cambria Math" w:hAnsi="Cambria Math"/>
              </w:rPr>
              <m:t xml:space="preserve"> -R</m:t>
            </m:r>
            <m:r>
              <w:rPr>
                <w:rFonts w:ascii="Cambria Math" w:hAnsi="Cambria Math"/>
                <w:position w:val="-6"/>
              </w:rPr>
              <m:t>d</m:t>
            </m:r>
          </m:e>
        </m:d>
      </m:oMath>
      <w:r w:rsidR="00243AA2">
        <w:t xml:space="preserve"> </w:t>
      </w:r>
      <w:r>
        <w:t xml:space="preserve"> </w:t>
      </w:r>
    </w:p>
    <w:p w:rsidR="00243AA2" w:rsidRDefault="00243AA2" w:rsidP="008268DA">
      <w:pPr>
        <w:tabs>
          <w:tab w:val="left" w:pos="567"/>
        </w:tabs>
        <w:spacing w:line="360" w:lineRule="auto"/>
        <w:jc w:val="both"/>
      </w:pPr>
    </w:p>
    <w:p w:rsidR="00243AA2" w:rsidRPr="00A27156" w:rsidRDefault="00243AA2" w:rsidP="00243AA2">
      <w:pPr>
        <w:tabs>
          <w:tab w:val="left" w:pos="567"/>
        </w:tabs>
        <w:spacing w:line="360" w:lineRule="auto"/>
        <w:jc w:val="both"/>
        <w:rPr>
          <w:i/>
          <w:sz w:val="20"/>
          <w:szCs w:val="20"/>
        </w:rPr>
      </w:pPr>
      <w:r>
        <w:t>kde:</w:t>
      </w:r>
      <w:r>
        <w:tab/>
      </w:r>
      <w:r>
        <w:tab/>
      </w:r>
      <w:r w:rsidRPr="00243AA2">
        <w:rPr>
          <w:i/>
          <w:sz w:val="20"/>
          <w:szCs w:val="20"/>
        </w:rPr>
        <w:t>β</w:t>
      </w:r>
      <w:r w:rsidRPr="00BD0199">
        <w:rPr>
          <w:i/>
          <w:sz w:val="20"/>
          <w:szCs w:val="20"/>
        </w:rPr>
        <w:t xml:space="preserve"> = </w:t>
      </w:r>
      <w:r>
        <w:rPr>
          <w:i/>
          <w:sz w:val="20"/>
          <w:szCs w:val="20"/>
        </w:rPr>
        <w:t>koeficien</w:t>
      </w:r>
      <w:r w:rsidR="00DB4975">
        <w:rPr>
          <w:i/>
          <w:sz w:val="20"/>
          <w:szCs w:val="20"/>
        </w:rPr>
        <w:t xml:space="preserve">t (1= průměrné riziko, více než 1 = nadprůměrné riziko, méně než 1 = podprůměrné riziko),  </w:t>
      </w:r>
      <w:r>
        <w:rPr>
          <w:i/>
          <w:sz w:val="20"/>
          <w:szCs w:val="20"/>
        </w:rPr>
        <w:t xml:space="preserve"> </w:t>
      </w:r>
      <w:r w:rsidRPr="00A27156">
        <w:rPr>
          <w:i/>
          <w:sz w:val="20"/>
          <w:szCs w:val="20"/>
        </w:rPr>
        <w:t xml:space="preserve"> </w:t>
      </w:r>
    </w:p>
    <w:p w:rsidR="00243AA2" w:rsidRDefault="00243AA2" w:rsidP="00243AA2">
      <w:pPr>
        <w:tabs>
          <w:tab w:val="left" w:pos="567"/>
        </w:tabs>
        <w:spacing w:line="360" w:lineRule="auto"/>
        <w:jc w:val="both"/>
        <w:rPr>
          <w:i/>
          <w:sz w:val="20"/>
          <w:szCs w:val="20"/>
        </w:rPr>
      </w:pPr>
      <w:r>
        <w:rPr>
          <w:i/>
          <w:sz w:val="20"/>
          <w:szCs w:val="20"/>
        </w:rPr>
        <w:tab/>
      </w:r>
      <w:r>
        <w:rPr>
          <w:i/>
          <w:sz w:val="20"/>
          <w:szCs w:val="20"/>
        </w:rPr>
        <w:tab/>
      </w:r>
      <w:r w:rsidR="00DB4975">
        <w:rPr>
          <w:i/>
          <w:sz w:val="20"/>
          <w:szCs w:val="20"/>
        </w:rPr>
        <w:t>R</w:t>
      </w:r>
      <w:r w:rsidR="00DB4975" w:rsidRPr="00DB4975">
        <w:rPr>
          <w:i/>
          <w:position w:val="-6"/>
          <w:sz w:val="20"/>
          <w:szCs w:val="20"/>
        </w:rPr>
        <w:t>m</w:t>
      </w:r>
      <w:r w:rsidRPr="00A27156">
        <w:rPr>
          <w:i/>
          <w:sz w:val="20"/>
          <w:szCs w:val="20"/>
        </w:rPr>
        <w:t xml:space="preserve"> =</w:t>
      </w:r>
      <w:r w:rsidR="00DB4975">
        <w:rPr>
          <w:i/>
          <w:sz w:val="20"/>
          <w:szCs w:val="20"/>
        </w:rPr>
        <w:t>průměrná roční výnosnost tržního portfolia akcií (v ČR index PX-50)</w:t>
      </w:r>
      <w:r>
        <w:rPr>
          <w:i/>
          <w:sz w:val="20"/>
          <w:szCs w:val="20"/>
        </w:rPr>
        <w:t xml:space="preserve">, </w:t>
      </w:r>
    </w:p>
    <w:p w:rsidR="00243AA2" w:rsidRDefault="00243AA2" w:rsidP="00243AA2">
      <w:pPr>
        <w:tabs>
          <w:tab w:val="left" w:pos="567"/>
        </w:tabs>
        <w:spacing w:line="360" w:lineRule="auto"/>
        <w:jc w:val="both"/>
        <w:rPr>
          <w:i/>
          <w:sz w:val="20"/>
          <w:szCs w:val="20"/>
        </w:rPr>
      </w:pPr>
      <w:r>
        <w:rPr>
          <w:i/>
          <w:sz w:val="20"/>
          <w:szCs w:val="20"/>
        </w:rPr>
        <w:tab/>
      </w:r>
      <w:r w:rsidR="00DB4975">
        <w:rPr>
          <w:i/>
          <w:sz w:val="20"/>
          <w:szCs w:val="20"/>
        </w:rPr>
        <w:t>R</w:t>
      </w:r>
      <w:r w:rsidR="00DB4975" w:rsidRPr="00DB4975">
        <w:rPr>
          <w:i/>
          <w:position w:val="-6"/>
          <w:sz w:val="20"/>
          <w:szCs w:val="20"/>
        </w:rPr>
        <w:t>d</w:t>
      </w:r>
      <w:r w:rsidRPr="00A27156">
        <w:rPr>
          <w:i/>
          <w:sz w:val="20"/>
          <w:szCs w:val="20"/>
        </w:rPr>
        <w:t xml:space="preserve"> = </w:t>
      </w:r>
      <w:r w:rsidR="00DB4975">
        <w:rPr>
          <w:i/>
          <w:sz w:val="20"/>
          <w:szCs w:val="20"/>
        </w:rPr>
        <w:t>průměrná roční výnosnost státních dluhopisů</w:t>
      </w:r>
      <w:r>
        <w:rPr>
          <w:i/>
          <w:sz w:val="20"/>
          <w:szCs w:val="20"/>
        </w:rPr>
        <w:t>.</w:t>
      </w:r>
    </w:p>
    <w:p w:rsidR="00DB4975" w:rsidRDefault="00DB4975" w:rsidP="00243AA2">
      <w:pPr>
        <w:tabs>
          <w:tab w:val="left" w:pos="567"/>
        </w:tabs>
        <w:spacing w:line="360" w:lineRule="auto"/>
        <w:jc w:val="both"/>
      </w:pPr>
    </w:p>
    <w:p w:rsidR="00F7742A" w:rsidRDefault="00F7742A" w:rsidP="00243AA2">
      <w:pPr>
        <w:tabs>
          <w:tab w:val="left" w:pos="567"/>
        </w:tabs>
        <w:spacing w:line="360" w:lineRule="auto"/>
        <w:jc w:val="both"/>
      </w:pPr>
      <w:r>
        <w:t xml:space="preserve">     Stejný model uvádí v souvislosti s náklady vlastního kapitálu i Kislingerová</w:t>
      </w:r>
      <w:r w:rsidR="00DC7F6F">
        <w:rPr>
          <w:rStyle w:val="Znakapoznpodarou"/>
        </w:rPr>
        <w:footnoteReference w:id="36"/>
      </w:r>
      <w:r>
        <w:t xml:space="preserve">. </w:t>
      </w:r>
    </w:p>
    <w:p w:rsidR="004101CE" w:rsidRDefault="00DB4975" w:rsidP="004101CE">
      <w:pPr>
        <w:tabs>
          <w:tab w:val="left" w:pos="567"/>
        </w:tabs>
        <w:spacing w:line="360" w:lineRule="auto"/>
        <w:jc w:val="both"/>
        <w:rPr>
          <w:i/>
          <w:sz w:val="20"/>
          <w:szCs w:val="20"/>
        </w:rPr>
      </w:pPr>
      <w:r>
        <w:t xml:space="preserve">     </w:t>
      </w:r>
      <w:r w:rsidR="00F46FC7">
        <w:t>Alternativní způsob stanovení nákladů vlastního kapitálu nabízí Synek</w:t>
      </w:r>
      <w:r w:rsidR="00F46FC7">
        <w:rPr>
          <w:rStyle w:val="Znakapoznpodarou"/>
        </w:rPr>
        <w:footnoteReference w:id="37"/>
      </w:r>
      <w:r w:rsidR="00F46FC7">
        <w:t xml:space="preserve">, kdy vycházíme z minulé výše </w:t>
      </w:r>
      <w:r w:rsidR="004101CE">
        <w:t xml:space="preserve">dividendy a předpokládaného růstu ceny akcií nebo růstu dividend. Počítáme takto: PV = dividenda/cena akcie + růst ceny akcií nebo růst dividend. </w:t>
      </w:r>
      <w:r w:rsidR="004101CE">
        <w:rPr>
          <w:i/>
          <w:sz w:val="20"/>
          <w:szCs w:val="20"/>
        </w:rPr>
        <w:t xml:space="preserve"> </w:t>
      </w:r>
    </w:p>
    <w:p w:rsidR="00A409A2" w:rsidRDefault="00E10A58" w:rsidP="004101CE">
      <w:pPr>
        <w:tabs>
          <w:tab w:val="left" w:pos="567"/>
        </w:tabs>
        <w:spacing w:line="360" w:lineRule="auto"/>
        <w:jc w:val="both"/>
      </w:pPr>
      <w:r>
        <w:t xml:space="preserve">     U růstu ceny akcií můžeme vycházet z údajů kapitálového trhu a růst ceny akcie ztotožnit s kapitálovým výnosem akcie, který je dán rozdílem ceny akcie ve sledovaném období. Pokud tedy máme k dispozici výnosy akcie za m období v celkové délce </w:t>
      </w:r>
      <w:r w:rsidR="00A409A2">
        <w:t>n časových jednotek, pak jako průměrný výnos za časovou jednotku většinou bereme geometrický průměr, použijeme tedy vztah</w:t>
      </w:r>
      <w:r w:rsidR="00A409A2">
        <w:rPr>
          <w:rStyle w:val="Znakapoznpodarou"/>
        </w:rPr>
        <w:footnoteReference w:id="38"/>
      </w:r>
      <w:r w:rsidR="00A409A2">
        <w:t>: r</w:t>
      </w:r>
      <w:r w:rsidR="00A409A2" w:rsidRPr="00A409A2">
        <w:rPr>
          <w:position w:val="-6"/>
        </w:rPr>
        <w:t>g</w:t>
      </w:r>
      <w:r w:rsidR="00A409A2">
        <w:t xml:space="preserve"> = </w:t>
      </w:r>
      <m:oMath>
        <m:sSup>
          <m:sSupPr>
            <m:ctrlPr>
              <w:rPr>
                <w:rFonts w:ascii="Cambria Math" w:hAnsi="Cambria Math"/>
                <w:i/>
              </w:rPr>
            </m:ctrlPr>
          </m:sSupPr>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t=1</m:t>
                    </m:r>
                  </m:sub>
                  <m:sup>
                    <m:r>
                      <w:rPr>
                        <w:rFonts w:ascii="Cambria Math" w:hAnsi="Cambria Math"/>
                      </w:rPr>
                      <m:t>m</m:t>
                    </m:r>
                  </m:sup>
                  <m:e>
                    <m:d>
                      <m:dPr>
                        <m:ctrlPr>
                          <w:rPr>
                            <w:rFonts w:ascii="Cambria Math" w:hAnsi="Cambria Math"/>
                            <w:i/>
                          </w:rPr>
                        </m:ctrlPr>
                      </m:dPr>
                      <m:e>
                        <m:r>
                          <w:rPr>
                            <w:rFonts w:ascii="Cambria Math" w:hAnsi="Cambria Math"/>
                          </w:rPr>
                          <m:t>1+r</m:t>
                        </m:r>
                        <m:r>
                          <w:rPr>
                            <w:rFonts w:ascii="Cambria Math" w:hAnsi="Cambria Math"/>
                            <w:position w:val="-6"/>
                          </w:rPr>
                          <m:t>t</m:t>
                        </m:r>
                      </m:e>
                    </m:d>
                  </m:e>
                </m:nary>
              </m:e>
            </m:d>
          </m:e>
          <m:sup>
            <m:r>
              <w:rPr>
                <w:rFonts w:ascii="Cambria Math" w:hAnsi="Cambria Math"/>
              </w:rPr>
              <m:t>1/n</m:t>
            </m:r>
          </m:sup>
        </m:sSup>
        <m:r>
          <w:rPr>
            <w:rFonts w:ascii="Cambria Math" w:hAnsi="Cambria Math"/>
          </w:rPr>
          <m:t xml:space="preserve"> -1</m:t>
        </m:r>
      </m:oMath>
      <w:r w:rsidR="0093046F">
        <w:t xml:space="preserve"> , přičemž r</w:t>
      </w:r>
      <w:r w:rsidR="0093046F" w:rsidRPr="0093046F">
        <w:rPr>
          <w:position w:val="-6"/>
        </w:rPr>
        <w:t>t</w:t>
      </w:r>
      <w:r w:rsidR="0093046F">
        <w:t xml:space="preserve"> = </w:t>
      </w:r>
      <m:oMath>
        <m:f>
          <m:fPr>
            <m:ctrlPr>
              <w:rPr>
                <w:rFonts w:ascii="Cambria Math" w:hAnsi="Cambria Math"/>
                <w:i/>
                <w:sz w:val="28"/>
              </w:rPr>
            </m:ctrlPr>
          </m:fPr>
          <m:num>
            <m:r>
              <w:rPr>
                <w:rFonts w:ascii="Cambria Math" w:hAnsi="Cambria Math"/>
                <w:sz w:val="28"/>
              </w:rPr>
              <m:t>P</m:t>
            </m:r>
            <m:r>
              <w:rPr>
                <w:rFonts w:ascii="Cambria Math" w:hAnsi="Cambria Math"/>
                <w:position w:val="-6"/>
                <w:sz w:val="28"/>
              </w:rPr>
              <m:t>t</m:t>
            </m:r>
            <m:r>
              <w:rPr>
                <w:rFonts w:ascii="Cambria Math" w:hAnsi="Cambria Math"/>
                <w:sz w:val="28"/>
              </w:rPr>
              <m:t>-P</m:t>
            </m:r>
            <m:r>
              <w:rPr>
                <w:rFonts w:ascii="Cambria Math" w:hAnsi="Cambria Math"/>
                <w:position w:val="-6"/>
                <w:sz w:val="28"/>
              </w:rPr>
              <m:t>t</m:t>
            </m:r>
            <m:r>
              <w:rPr>
                <w:rFonts w:ascii="Cambria Math" w:hAnsi="Cambria Math"/>
                <w:position w:val="-2"/>
                <w:sz w:val="28"/>
              </w:rPr>
              <m:t>-</m:t>
            </m:r>
            <m:r>
              <w:rPr>
                <w:rFonts w:ascii="Cambria Math" w:hAnsi="Cambria Math"/>
                <w:position w:val="-6"/>
                <w:sz w:val="28"/>
              </w:rPr>
              <m:t>1</m:t>
            </m:r>
          </m:num>
          <m:den>
            <m:r>
              <w:rPr>
                <w:rFonts w:ascii="Cambria Math" w:hAnsi="Cambria Math"/>
                <w:sz w:val="28"/>
              </w:rPr>
              <m:t>P</m:t>
            </m:r>
            <m:r>
              <w:rPr>
                <w:rFonts w:ascii="Cambria Math" w:hAnsi="Cambria Math"/>
                <w:position w:val="-6"/>
                <w:sz w:val="28"/>
              </w:rPr>
              <m:t>t</m:t>
            </m:r>
            <m:r>
              <w:rPr>
                <w:rFonts w:ascii="Cambria Math" w:hAnsi="Cambria Math"/>
                <w:position w:val="-2"/>
                <w:sz w:val="28"/>
              </w:rPr>
              <m:t>-</m:t>
            </m:r>
            <m:r>
              <w:rPr>
                <w:rFonts w:ascii="Cambria Math" w:hAnsi="Cambria Math"/>
                <w:position w:val="-6"/>
                <w:sz w:val="28"/>
              </w:rPr>
              <m:t>1</m:t>
            </m:r>
          </m:den>
        </m:f>
      </m:oMath>
      <w:r w:rsidR="0093046F">
        <w:t xml:space="preserve">  </w:t>
      </w:r>
    </w:p>
    <w:p w:rsidR="0010110A" w:rsidRDefault="00A409A2" w:rsidP="0010110A">
      <w:pPr>
        <w:tabs>
          <w:tab w:val="left" w:pos="567"/>
        </w:tabs>
        <w:spacing w:line="360" w:lineRule="auto"/>
        <w:jc w:val="both"/>
        <w:rPr>
          <w:i/>
          <w:sz w:val="20"/>
          <w:szCs w:val="20"/>
        </w:rPr>
      </w:pPr>
      <w:r>
        <w:t xml:space="preserve"> </w:t>
      </w:r>
      <w:r w:rsidR="0010110A">
        <w:t>kde:</w:t>
      </w:r>
      <w:r w:rsidR="0010110A">
        <w:tab/>
      </w:r>
      <w:r w:rsidR="0010110A">
        <w:tab/>
      </w:r>
      <w:r w:rsidR="0010110A">
        <w:rPr>
          <w:i/>
          <w:sz w:val="20"/>
          <w:szCs w:val="20"/>
        </w:rPr>
        <w:t>r</w:t>
      </w:r>
      <w:r w:rsidR="0010110A" w:rsidRPr="0010110A">
        <w:rPr>
          <w:i/>
          <w:position w:val="-6"/>
          <w:sz w:val="20"/>
          <w:szCs w:val="20"/>
        </w:rPr>
        <w:t>g</w:t>
      </w:r>
      <w:r w:rsidR="0010110A" w:rsidRPr="00BD0199">
        <w:rPr>
          <w:i/>
          <w:sz w:val="20"/>
          <w:szCs w:val="20"/>
        </w:rPr>
        <w:t xml:space="preserve"> = </w:t>
      </w:r>
      <w:r w:rsidR="0010110A">
        <w:rPr>
          <w:i/>
          <w:sz w:val="20"/>
          <w:szCs w:val="20"/>
        </w:rPr>
        <w:t xml:space="preserve">průměrná výnosnost za časovou jednotku, </w:t>
      </w:r>
    </w:p>
    <w:p w:rsidR="0010110A" w:rsidRPr="00A27156" w:rsidRDefault="0010110A" w:rsidP="0010110A">
      <w:pPr>
        <w:tabs>
          <w:tab w:val="left" w:pos="567"/>
        </w:tabs>
        <w:spacing w:line="360" w:lineRule="auto"/>
        <w:jc w:val="both"/>
        <w:rPr>
          <w:i/>
          <w:sz w:val="20"/>
          <w:szCs w:val="20"/>
        </w:rPr>
      </w:pPr>
      <w:r>
        <w:rPr>
          <w:i/>
          <w:sz w:val="20"/>
          <w:szCs w:val="20"/>
        </w:rPr>
        <w:tab/>
        <w:t>r</w:t>
      </w:r>
      <w:r>
        <w:rPr>
          <w:i/>
          <w:position w:val="-6"/>
          <w:sz w:val="20"/>
          <w:szCs w:val="20"/>
        </w:rPr>
        <w:t>t</w:t>
      </w:r>
      <w:r w:rsidRPr="00BD0199">
        <w:rPr>
          <w:i/>
          <w:sz w:val="20"/>
          <w:szCs w:val="20"/>
        </w:rPr>
        <w:t xml:space="preserve">= </w:t>
      </w:r>
      <w:r>
        <w:rPr>
          <w:i/>
          <w:sz w:val="20"/>
          <w:szCs w:val="20"/>
        </w:rPr>
        <w:t xml:space="preserve">průměrná výnosnost za </w:t>
      </w:r>
      <w:r w:rsidR="00A301F9">
        <w:rPr>
          <w:i/>
          <w:sz w:val="20"/>
          <w:szCs w:val="20"/>
        </w:rPr>
        <w:t>dílčí</w:t>
      </w:r>
      <w:r>
        <w:rPr>
          <w:i/>
          <w:sz w:val="20"/>
          <w:szCs w:val="20"/>
        </w:rPr>
        <w:t xml:space="preserve"> období,   </w:t>
      </w:r>
      <w:r w:rsidRPr="00A27156">
        <w:rPr>
          <w:i/>
          <w:sz w:val="20"/>
          <w:szCs w:val="20"/>
        </w:rPr>
        <w:t xml:space="preserve"> </w:t>
      </w:r>
    </w:p>
    <w:p w:rsidR="004101CE" w:rsidRDefault="0010110A" w:rsidP="00243AA2">
      <w:pPr>
        <w:tabs>
          <w:tab w:val="left" w:pos="567"/>
        </w:tabs>
        <w:spacing w:line="360" w:lineRule="auto"/>
        <w:jc w:val="both"/>
        <w:rPr>
          <w:i/>
          <w:sz w:val="20"/>
          <w:szCs w:val="20"/>
        </w:rPr>
      </w:pPr>
      <w:r w:rsidRPr="0010110A">
        <w:rPr>
          <w:i/>
        </w:rPr>
        <w:lastRenderedPageBreak/>
        <w:tab/>
      </w:r>
      <w:r w:rsidRPr="0010110A">
        <w:rPr>
          <w:i/>
        </w:rPr>
        <w:tab/>
        <w:t>P</w:t>
      </w:r>
      <w:r w:rsidRPr="0010110A">
        <w:rPr>
          <w:i/>
          <w:position w:val="-6"/>
          <w:sz w:val="20"/>
          <w:szCs w:val="20"/>
        </w:rPr>
        <w:t>t</w:t>
      </w:r>
      <w:r>
        <w:rPr>
          <w:i/>
          <w:position w:val="-6"/>
          <w:sz w:val="20"/>
          <w:szCs w:val="20"/>
        </w:rPr>
        <w:t>-1</w:t>
      </w:r>
      <w:r w:rsidRPr="0010110A">
        <w:rPr>
          <w:i/>
          <w:sz w:val="20"/>
          <w:szCs w:val="20"/>
        </w:rPr>
        <w:t xml:space="preserve"> = </w:t>
      </w:r>
      <w:r>
        <w:rPr>
          <w:i/>
          <w:sz w:val="20"/>
          <w:szCs w:val="20"/>
        </w:rPr>
        <w:t>cena akcie na začátku období</w:t>
      </w:r>
      <w:r w:rsidRPr="0010110A">
        <w:rPr>
          <w:i/>
          <w:sz w:val="20"/>
          <w:szCs w:val="20"/>
        </w:rPr>
        <w:t>,</w:t>
      </w:r>
    </w:p>
    <w:p w:rsidR="004101CE" w:rsidRDefault="0010110A" w:rsidP="00243AA2">
      <w:pPr>
        <w:tabs>
          <w:tab w:val="left" w:pos="567"/>
        </w:tabs>
        <w:spacing w:line="360" w:lineRule="auto"/>
        <w:jc w:val="both"/>
        <w:rPr>
          <w:i/>
          <w:sz w:val="20"/>
          <w:szCs w:val="20"/>
        </w:rPr>
      </w:pPr>
      <w:r>
        <w:rPr>
          <w:i/>
          <w:sz w:val="20"/>
          <w:szCs w:val="20"/>
        </w:rPr>
        <w:tab/>
      </w:r>
      <w:r w:rsidRPr="0010110A">
        <w:rPr>
          <w:i/>
        </w:rPr>
        <w:tab/>
      </w:r>
      <w:r w:rsidRPr="0010110A">
        <w:rPr>
          <w:i/>
        </w:rPr>
        <w:tab/>
        <w:t>P</w:t>
      </w:r>
      <w:r w:rsidRPr="0010110A">
        <w:rPr>
          <w:i/>
          <w:position w:val="-6"/>
          <w:sz w:val="20"/>
          <w:szCs w:val="20"/>
        </w:rPr>
        <w:t>t</w:t>
      </w:r>
      <w:r w:rsidRPr="0010110A">
        <w:rPr>
          <w:i/>
          <w:sz w:val="20"/>
          <w:szCs w:val="20"/>
        </w:rPr>
        <w:t xml:space="preserve"> = </w:t>
      </w:r>
      <w:r>
        <w:rPr>
          <w:i/>
          <w:sz w:val="20"/>
          <w:szCs w:val="20"/>
        </w:rPr>
        <w:t>cena akcie na konci období.</w:t>
      </w:r>
    </w:p>
    <w:p w:rsidR="0010110A" w:rsidRDefault="0010110A" w:rsidP="00243AA2">
      <w:pPr>
        <w:tabs>
          <w:tab w:val="left" w:pos="567"/>
        </w:tabs>
        <w:spacing w:line="360" w:lineRule="auto"/>
        <w:jc w:val="both"/>
        <w:rPr>
          <w:i/>
          <w:sz w:val="20"/>
          <w:szCs w:val="20"/>
        </w:rPr>
      </w:pPr>
    </w:p>
    <w:p w:rsidR="0010110A" w:rsidRPr="00A301F9" w:rsidRDefault="00A301F9" w:rsidP="00243AA2">
      <w:pPr>
        <w:tabs>
          <w:tab w:val="left" w:pos="567"/>
        </w:tabs>
        <w:spacing w:line="360" w:lineRule="auto"/>
        <w:jc w:val="both"/>
      </w:pPr>
      <w:r>
        <w:t xml:space="preserve">     Růst ceny dividend lze odvodit z minulých dividend, respektive z aktuální dividendové politiky podniku.</w:t>
      </w:r>
    </w:p>
    <w:p w:rsidR="0030447D" w:rsidRDefault="00F46FC7" w:rsidP="00243AA2">
      <w:pPr>
        <w:tabs>
          <w:tab w:val="left" w:pos="567"/>
        </w:tabs>
        <w:spacing w:line="360" w:lineRule="auto"/>
        <w:jc w:val="both"/>
      </w:pPr>
      <w:r>
        <w:t xml:space="preserve">  </w:t>
      </w:r>
      <w:r w:rsidR="00DB4975">
        <w:t xml:space="preserve"> </w:t>
      </w:r>
      <w:r w:rsidR="00403C2A">
        <w:t xml:space="preserve"> </w:t>
      </w:r>
      <w:r w:rsidR="00A11ED6">
        <w:t xml:space="preserve"> Stanovení nákladů cizího kapitálu je značně jednodušší, jejich náklady určuje úroková sazba. </w:t>
      </w:r>
      <w:r w:rsidR="00CB16A9">
        <w:t>Jak však správně upozorňuje Synek</w:t>
      </w:r>
      <w:r w:rsidR="00CB16A9">
        <w:rPr>
          <w:rStyle w:val="Znakapoznpodarou"/>
        </w:rPr>
        <w:footnoteReference w:id="39"/>
      </w:r>
      <w:r w:rsidR="00CB16A9">
        <w:t xml:space="preserve">, nesmíme zapomenout na skutečnost, že úroky z úvěrů musíme upravit na úroky po zdanění. Uvedená souvislost je známá pod pojmem daňový štít a </w:t>
      </w:r>
      <w:r w:rsidR="0030447D">
        <w:t xml:space="preserve">je dobře patrná i ze samotného vztahu pro výpočet </w:t>
      </w:r>
      <w:r w:rsidR="00DC479A">
        <w:t>podnikových</w:t>
      </w:r>
      <w:r w:rsidR="0030447D">
        <w:t xml:space="preserve"> nákladů</w:t>
      </w:r>
      <w:r w:rsidR="00DC479A">
        <w:t xml:space="preserve"> na</w:t>
      </w:r>
      <w:r w:rsidR="0030447D">
        <w:t xml:space="preserve"> kapitál.</w:t>
      </w:r>
      <w:r w:rsidR="005114E0">
        <w:t xml:space="preserve"> V případě použití více cizích zpoplatněných zdrojů se náklady cizího kapitálu stanoví analogicky ke stanovení </w:t>
      </w:r>
      <w:r w:rsidR="00DC479A">
        <w:t>podnikových</w:t>
      </w:r>
      <w:r w:rsidR="005114E0">
        <w:t xml:space="preserve"> nákladů</w:t>
      </w:r>
      <w:r w:rsidR="00DC479A">
        <w:t xml:space="preserve"> na</w:t>
      </w:r>
      <w:r w:rsidR="005114E0">
        <w:t xml:space="preserve"> kapitál.</w:t>
      </w:r>
    </w:p>
    <w:p w:rsidR="00A301F9" w:rsidRDefault="0030447D" w:rsidP="00243AA2">
      <w:pPr>
        <w:tabs>
          <w:tab w:val="left" w:pos="567"/>
        </w:tabs>
        <w:spacing w:line="360" w:lineRule="auto"/>
        <w:jc w:val="both"/>
      </w:pPr>
      <w:r>
        <w:t xml:space="preserve">     V souvislosti s užitím takto stanovené diskontní sazby upozorňují Fotr a Souček</w:t>
      </w:r>
      <w:r>
        <w:rPr>
          <w:rStyle w:val="Znakapoznpodarou"/>
        </w:rPr>
        <w:footnoteReference w:id="40"/>
      </w:r>
      <w:r>
        <w:t xml:space="preserve"> na závažn</w:t>
      </w:r>
      <w:r w:rsidR="00126BA8">
        <w:t>é</w:t>
      </w:r>
      <w:r>
        <w:t xml:space="preserve"> </w:t>
      </w:r>
      <w:r w:rsidR="00126BA8">
        <w:t>skutečnosti</w:t>
      </w:r>
      <w:r>
        <w:t xml:space="preserve">. </w:t>
      </w:r>
    </w:p>
    <w:p w:rsidR="0030447D" w:rsidRDefault="00A301F9" w:rsidP="00243AA2">
      <w:pPr>
        <w:tabs>
          <w:tab w:val="left" w:pos="567"/>
        </w:tabs>
        <w:spacing w:line="360" w:lineRule="auto"/>
        <w:jc w:val="both"/>
      </w:pPr>
      <w:r>
        <w:t xml:space="preserve">     </w:t>
      </w:r>
      <w:r w:rsidR="00DC479A">
        <w:t>Podnikové</w:t>
      </w:r>
      <w:r w:rsidR="0030447D">
        <w:t xml:space="preserve"> náklady</w:t>
      </w:r>
      <w:r w:rsidR="00DC479A">
        <w:t xml:space="preserve"> na</w:t>
      </w:r>
      <w:r w:rsidR="0030447D">
        <w:t xml:space="preserve"> kapitál je možné použít jako diskontní sazbu investičních projektů pouze v případě, že:</w:t>
      </w:r>
    </w:p>
    <w:p w:rsidR="00D479C7" w:rsidRDefault="00D479C7" w:rsidP="00243AA2">
      <w:pPr>
        <w:tabs>
          <w:tab w:val="left" w:pos="567"/>
        </w:tabs>
        <w:spacing w:line="360" w:lineRule="auto"/>
        <w:jc w:val="both"/>
      </w:pPr>
    </w:p>
    <w:p w:rsidR="00A11ED6" w:rsidRDefault="00126BA8" w:rsidP="00AD45B1">
      <w:pPr>
        <w:pStyle w:val="Odstavecseseznamem"/>
        <w:numPr>
          <w:ilvl w:val="0"/>
          <w:numId w:val="22"/>
        </w:numPr>
        <w:spacing w:line="360" w:lineRule="auto"/>
        <w:ind w:left="754" w:hanging="357"/>
        <w:jc w:val="both"/>
      </w:pPr>
      <w:r>
        <w:t xml:space="preserve">míra rizika projektu je přibližně stejná, jako riziko podnikatelské činnosti </w:t>
      </w:r>
      <w:r w:rsidR="00F62FAA">
        <w:t>podniku</w:t>
      </w:r>
      <w:r>
        <w:t>, kdy projekt představuje v jistém smyslu určitou kopii celé</w:t>
      </w:r>
      <w:r w:rsidR="00F62FAA">
        <w:t>ho</w:t>
      </w:r>
      <w:r>
        <w:t xml:space="preserve"> </w:t>
      </w:r>
      <w:r w:rsidR="00F62FAA">
        <w:t>podniku</w:t>
      </w:r>
      <w:r>
        <w:t>, pokud toto pravidlo není splněno, je třeba diskontní sazbu korigovat,</w:t>
      </w:r>
    </w:p>
    <w:p w:rsidR="00126BA8" w:rsidRDefault="00126BA8" w:rsidP="00AD45B1">
      <w:pPr>
        <w:pStyle w:val="Odstavecseseznamem"/>
        <w:numPr>
          <w:ilvl w:val="0"/>
          <w:numId w:val="22"/>
        </w:numPr>
        <w:spacing w:line="360" w:lineRule="auto"/>
        <w:ind w:left="754" w:hanging="357"/>
        <w:jc w:val="both"/>
      </w:pPr>
      <w:r>
        <w:t xml:space="preserve">způsob financování projektu příliš neovlivní kapitálovou strukturu </w:t>
      </w:r>
      <w:r w:rsidR="00DC479A">
        <w:t>podniku</w:t>
      </w:r>
      <w:r>
        <w:t xml:space="preserve">, ze které vycházejí </w:t>
      </w:r>
      <w:r w:rsidR="00DC479A">
        <w:t>podnikové</w:t>
      </w:r>
      <w:r>
        <w:t xml:space="preserve"> náklady</w:t>
      </w:r>
      <w:r w:rsidR="00DC479A">
        <w:t xml:space="preserve"> na</w:t>
      </w:r>
      <w:r>
        <w:t xml:space="preserve"> kapitál, pokud by k takové změně došlo, změnily by se i </w:t>
      </w:r>
      <w:r w:rsidR="00DC479A">
        <w:t>podnikové</w:t>
      </w:r>
      <w:r>
        <w:t xml:space="preserve"> náklady</w:t>
      </w:r>
      <w:r w:rsidR="00DC479A">
        <w:t xml:space="preserve"> na</w:t>
      </w:r>
      <w:r>
        <w:t xml:space="preserve"> kapitál, a to pro všechny </w:t>
      </w:r>
      <w:r w:rsidR="00DC479A">
        <w:t>podnikové</w:t>
      </w:r>
      <w:r w:rsidR="00D350BF">
        <w:t xml:space="preserve"> projekty</w:t>
      </w:r>
      <w:r>
        <w:t xml:space="preserve">. </w:t>
      </w:r>
    </w:p>
    <w:p w:rsidR="00D350BF" w:rsidRDefault="00D350BF" w:rsidP="00D350BF">
      <w:pPr>
        <w:spacing w:line="360" w:lineRule="auto"/>
        <w:jc w:val="both"/>
      </w:pPr>
    </w:p>
    <w:p w:rsidR="004040ED" w:rsidRDefault="00D350BF" w:rsidP="00D350BF">
      <w:pPr>
        <w:spacing w:line="360" w:lineRule="auto"/>
        <w:jc w:val="both"/>
      </w:pPr>
      <w:r>
        <w:t xml:space="preserve">     Jak bylo uvedeno, diskontní sazbu projektu je třeba korigovat, pokud se riziko projektu odchyluje od rizika </w:t>
      </w:r>
      <w:r w:rsidR="00F62FAA">
        <w:t>podniku</w:t>
      </w:r>
      <w:r w:rsidR="004040ED">
        <w:t>. Výši korekce můžeme</w:t>
      </w:r>
      <w:r w:rsidR="000F17A4">
        <w:t xml:space="preserve"> dle uvedených autorů</w:t>
      </w:r>
      <w:r w:rsidR="004040ED">
        <w:t xml:space="preserve"> znázornit na jednoduchém příkladě, kdy projekty rozčleníme pouze do tří skupin a to na projekty s:</w:t>
      </w:r>
    </w:p>
    <w:p w:rsidR="00D479C7" w:rsidRDefault="00D479C7" w:rsidP="00D350BF">
      <w:pPr>
        <w:spacing w:line="360" w:lineRule="auto"/>
        <w:jc w:val="both"/>
      </w:pPr>
    </w:p>
    <w:p w:rsidR="004040ED" w:rsidRDefault="004040ED" w:rsidP="00AD45B1">
      <w:pPr>
        <w:pStyle w:val="Odstavecseseznamem"/>
        <w:numPr>
          <w:ilvl w:val="0"/>
          <w:numId w:val="23"/>
        </w:numPr>
        <w:spacing w:line="360" w:lineRule="auto"/>
        <w:ind w:left="754" w:hanging="357"/>
        <w:jc w:val="both"/>
      </w:pPr>
      <w:r>
        <w:t>nízkým rizikem (</w:t>
      </w:r>
      <w:r w:rsidR="00FA2379">
        <w:t>diskontní sazbu můžeme snížit o 1% až 3%),</w:t>
      </w:r>
    </w:p>
    <w:p w:rsidR="00FA2379" w:rsidRDefault="00FA2379" w:rsidP="00AD45B1">
      <w:pPr>
        <w:pStyle w:val="Odstavecseseznamem"/>
        <w:numPr>
          <w:ilvl w:val="0"/>
          <w:numId w:val="23"/>
        </w:numPr>
        <w:spacing w:line="360" w:lineRule="auto"/>
        <w:ind w:left="754" w:hanging="357"/>
        <w:jc w:val="both"/>
      </w:pPr>
      <w:r>
        <w:t xml:space="preserve">průměrným rizikem (diskontní sazba odpovídá </w:t>
      </w:r>
      <w:r w:rsidR="00DC479A">
        <w:t>podnikovým</w:t>
      </w:r>
      <w:r>
        <w:t xml:space="preserve"> nákladům </w:t>
      </w:r>
      <w:r w:rsidR="00DC479A">
        <w:t xml:space="preserve">na </w:t>
      </w:r>
      <w:r>
        <w:t>kapitál),</w:t>
      </w:r>
    </w:p>
    <w:p w:rsidR="00FA2379" w:rsidRDefault="00FA2379" w:rsidP="00AD45B1">
      <w:pPr>
        <w:pStyle w:val="Odstavecseseznamem"/>
        <w:numPr>
          <w:ilvl w:val="0"/>
          <w:numId w:val="23"/>
        </w:numPr>
        <w:spacing w:line="360" w:lineRule="auto"/>
        <w:ind w:left="754" w:hanging="357"/>
        <w:jc w:val="both"/>
      </w:pPr>
      <w:r>
        <w:t>vysokým rizikem (diskontní sazbu můžeme zvýšit o 2% až 5%).</w:t>
      </w:r>
    </w:p>
    <w:p w:rsidR="00FA2379" w:rsidRDefault="00885E30" w:rsidP="00FA2379">
      <w:pPr>
        <w:spacing w:line="360" w:lineRule="auto"/>
        <w:jc w:val="both"/>
      </w:pPr>
      <w:r>
        <w:t xml:space="preserve">     </w:t>
      </w:r>
    </w:p>
    <w:p w:rsidR="00885E30" w:rsidRDefault="00FA2379" w:rsidP="00D350BF">
      <w:pPr>
        <w:spacing w:line="360" w:lineRule="auto"/>
        <w:jc w:val="both"/>
      </w:pPr>
      <w:r>
        <w:lastRenderedPageBreak/>
        <w:t xml:space="preserve"> </w:t>
      </w:r>
      <w:r w:rsidR="00885E30">
        <w:t xml:space="preserve">    Někteří autoři zvyšování diskontní sazby vlivem zvýšeného rizika projektu nepodporují, namísto toho doporučují pracovat s několika scénáři peněžního toku projektu.</w:t>
      </w:r>
    </w:p>
    <w:p w:rsidR="008D034B" w:rsidRDefault="00885E30" w:rsidP="00D350BF">
      <w:pPr>
        <w:spacing w:line="360" w:lineRule="auto"/>
        <w:jc w:val="both"/>
      </w:pPr>
      <w:r>
        <w:t xml:space="preserve">     </w:t>
      </w:r>
      <w:r w:rsidR="00FA2379">
        <w:t>Pokud způsob financování investičního projektu</w:t>
      </w:r>
      <w:r w:rsidR="00BA1A85">
        <w:t xml:space="preserve"> jak autoři uzavírají</w:t>
      </w:r>
      <w:r w:rsidR="00FA2379">
        <w:t xml:space="preserve"> způsobí </w:t>
      </w:r>
      <w:r w:rsidR="003E1C54">
        <w:t xml:space="preserve">jen méně významné změny kapitálové struktury </w:t>
      </w:r>
      <w:r w:rsidR="00F62FAA">
        <w:t>podniku</w:t>
      </w:r>
      <w:r w:rsidR="003E1C54">
        <w:t xml:space="preserve">, není třeba těmto změnám věnovat větší pozornost. Pokud by však došlo ke změnám významnějšího </w:t>
      </w:r>
      <w:r w:rsidR="00AD0D47">
        <w:t xml:space="preserve">a dlouhodobého </w:t>
      </w:r>
      <w:r w:rsidR="003E1C54">
        <w:t xml:space="preserve">charakteru, </w:t>
      </w:r>
      <w:r w:rsidR="00AD0D47">
        <w:t>je třeba na tuto změnu reagovat a provést přepočet vážených průměrných nákladů kapitálu podle již zavedeného vztahu.</w:t>
      </w:r>
    </w:p>
    <w:p w:rsidR="004040ED" w:rsidRDefault="00AD0D47" w:rsidP="00D350BF">
      <w:pPr>
        <w:spacing w:line="360" w:lineRule="auto"/>
        <w:jc w:val="both"/>
      </w:pPr>
      <w:r>
        <w:t xml:space="preserve">     </w:t>
      </w:r>
      <w:r w:rsidR="009365E7">
        <w:t>V souvislosti s určením diskontní sazby projektu</w:t>
      </w:r>
      <w:r w:rsidR="00557666">
        <w:t xml:space="preserve"> je na místě zmínit pojem diskontování. </w:t>
      </w:r>
      <w:r w:rsidR="00E5012B">
        <w:t>Diskontováním</w:t>
      </w:r>
      <w:r w:rsidR="00E5012B">
        <w:rPr>
          <w:rStyle w:val="Znakapoznpodarou"/>
        </w:rPr>
        <w:footnoteReference w:id="41"/>
      </w:r>
      <w:r w:rsidR="00E5012B">
        <w:t xml:space="preserve"> můžeme obecně rozumět výpočet současné hodnoty z hodnoty budoucí. </w:t>
      </w:r>
      <w:r w:rsidR="007A659F">
        <w:t>Například p</w:t>
      </w:r>
      <w:r w:rsidR="00F15514">
        <w:t xml:space="preserve">ro určení současné hodnoty budoucího příjmu </w:t>
      </w:r>
      <w:r w:rsidR="007A659F">
        <w:t xml:space="preserve">(analogicky lze postupovat u výdajů) </w:t>
      </w:r>
      <w:r w:rsidR="00F15514">
        <w:t xml:space="preserve">můžeme užít vzorec: </w:t>
      </w:r>
      <m:oMath>
        <m:r>
          <w:rPr>
            <w:rFonts w:ascii="Cambria Math" w:hAnsi="Cambria Math"/>
          </w:rPr>
          <m:t>P</m:t>
        </m:r>
        <m:r>
          <w:rPr>
            <w:rFonts w:ascii="Cambria Math" w:hAnsi="Cambria Math"/>
            <w:position w:val="-6"/>
          </w:rPr>
          <m:t>0</m:t>
        </m:r>
        <m:r>
          <w:rPr>
            <w:rFonts w:ascii="Cambria Math" w:hAnsi="Cambria Math"/>
          </w:rPr>
          <m:t xml:space="preserve"> = P</m:t>
        </m:r>
        <m:r>
          <w:rPr>
            <w:rFonts w:ascii="Cambria Math" w:hAnsi="Cambria Math"/>
            <w:position w:val="-6"/>
          </w:rPr>
          <m:t>n</m:t>
        </m:r>
        <m:r>
          <w:rPr>
            <w:rFonts w:ascii="Cambria Math" w:hAnsi="Cambria Math"/>
          </w:rPr>
          <m:t xml:space="preserve"> × </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1+d</m:t>
                    </m:r>
                  </m:e>
                </m:d>
              </m:e>
              <m:sup>
                <m:r>
                  <w:rPr>
                    <w:rFonts w:ascii="Cambria Math" w:hAnsi="Cambria Math"/>
                  </w:rPr>
                  <m:t>n</m:t>
                </m:r>
              </m:sup>
            </m:sSup>
          </m:den>
        </m:f>
      </m:oMath>
      <w:r w:rsidR="00F15514">
        <w:t xml:space="preserve"> </w:t>
      </w:r>
      <w:r w:rsidR="00E5012B">
        <w:t xml:space="preserve"> </w:t>
      </w:r>
      <w:r w:rsidR="003E1C54">
        <w:t xml:space="preserve"> </w:t>
      </w:r>
    </w:p>
    <w:p w:rsidR="00500D89" w:rsidRDefault="00500D89" w:rsidP="00D350BF">
      <w:pPr>
        <w:spacing w:line="360" w:lineRule="auto"/>
        <w:jc w:val="both"/>
      </w:pPr>
    </w:p>
    <w:p w:rsidR="00237372" w:rsidRDefault="00500D89" w:rsidP="00237372">
      <w:pPr>
        <w:tabs>
          <w:tab w:val="left" w:pos="567"/>
        </w:tabs>
        <w:spacing w:line="360" w:lineRule="auto"/>
        <w:jc w:val="both"/>
        <w:rPr>
          <w:i/>
          <w:sz w:val="20"/>
          <w:szCs w:val="20"/>
        </w:rPr>
      </w:pPr>
      <w:r>
        <w:t>kde:</w:t>
      </w:r>
      <w:r w:rsidR="00237372">
        <w:t xml:space="preserve"> </w:t>
      </w:r>
      <w:r w:rsidR="00237372">
        <w:tab/>
      </w:r>
      <w:r w:rsidR="00237372">
        <w:rPr>
          <w:i/>
          <w:sz w:val="20"/>
          <w:szCs w:val="20"/>
        </w:rPr>
        <w:t>P</w:t>
      </w:r>
      <w:r w:rsidR="00237372" w:rsidRPr="008268DA">
        <w:rPr>
          <w:i/>
          <w:position w:val="-6"/>
          <w:sz w:val="16"/>
          <w:szCs w:val="16"/>
        </w:rPr>
        <w:t>0</w:t>
      </w:r>
      <w:r w:rsidR="00237372" w:rsidRPr="00A27156">
        <w:rPr>
          <w:i/>
          <w:sz w:val="20"/>
          <w:szCs w:val="20"/>
        </w:rPr>
        <w:t xml:space="preserve"> =</w:t>
      </w:r>
      <w:r w:rsidR="00237372">
        <w:rPr>
          <w:i/>
          <w:sz w:val="20"/>
          <w:szCs w:val="20"/>
        </w:rPr>
        <w:t xml:space="preserve"> současná hodnota peněžního příjmu, </w:t>
      </w:r>
    </w:p>
    <w:p w:rsidR="00500D89" w:rsidRPr="00A27156" w:rsidRDefault="00237372" w:rsidP="00500D89">
      <w:pPr>
        <w:tabs>
          <w:tab w:val="left" w:pos="567"/>
        </w:tabs>
        <w:spacing w:line="360" w:lineRule="auto"/>
        <w:jc w:val="both"/>
        <w:rPr>
          <w:i/>
          <w:sz w:val="20"/>
          <w:szCs w:val="20"/>
        </w:rPr>
      </w:pPr>
      <w:r>
        <w:rPr>
          <w:i/>
          <w:sz w:val="20"/>
          <w:szCs w:val="20"/>
        </w:rPr>
        <w:tab/>
      </w:r>
      <w:r w:rsidR="00500D89">
        <w:rPr>
          <w:i/>
          <w:sz w:val="20"/>
          <w:szCs w:val="20"/>
        </w:rPr>
        <w:t>P</w:t>
      </w:r>
      <w:r w:rsidR="00500D89" w:rsidRPr="00500D89">
        <w:rPr>
          <w:i/>
          <w:position w:val="-6"/>
          <w:sz w:val="20"/>
          <w:szCs w:val="20"/>
        </w:rPr>
        <w:t>n</w:t>
      </w:r>
      <w:r w:rsidR="00500D89" w:rsidRPr="00BD0199">
        <w:rPr>
          <w:i/>
          <w:sz w:val="20"/>
          <w:szCs w:val="20"/>
        </w:rPr>
        <w:t xml:space="preserve"> =</w:t>
      </w:r>
      <w:r>
        <w:rPr>
          <w:i/>
          <w:sz w:val="20"/>
          <w:szCs w:val="20"/>
        </w:rPr>
        <w:t xml:space="preserve"> </w:t>
      </w:r>
      <w:r w:rsidR="006E4E5F">
        <w:rPr>
          <w:i/>
          <w:sz w:val="20"/>
          <w:szCs w:val="20"/>
        </w:rPr>
        <w:t xml:space="preserve">budoucí </w:t>
      </w:r>
      <w:r w:rsidR="00500D89" w:rsidRPr="00BD0199">
        <w:rPr>
          <w:i/>
          <w:sz w:val="20"/>
          <w:szCs w:val="20"/>
        </w:rPr>
        <w:t xml:space="preserve"> </w:t>
      </w:r>
      <w:r w:rsidR="00500D89">
        <w:rPr>
          <w:i/>
          <w:sz w:val="20"/>
          <w:szCs w:val="20"/>
        </w:rPr>
        <w:t>peněžní příjem</w:t>
      </w:r>
      <w:r w:rsidR="00500D89" w:rsidRPr="00BD0199">
        <w:rPr>
          <w:i/>
          <w:sz w:val="20"/>
          <w:szCs w:val="20"/>
        </w:rPr>
        <w:t>,</w:t>
      </w:r>
      <w:r w:rsidR="00500D89" w:rsidRPr="00A27156">
        <w:rPr>
          <w:i/>
          <w:sz w:val="20"/>
          <w:szCs w:val="20"/>
        </w:rPr>
        <w:t xml:space="preserve"> </w:t>
      </w:r>
    </w:p>
    <w:p w:rsidR="00500D89" w:rsidRDefault="00500D89" w:rsidP="00500D89">
      <w:pPr>
        <w:tabs>
          <w:tab w:val="left" w:pos="567"/>
        </w:tabs>
        <w:spacing w:line="360" w:lineRule="auto"/>
        <w:jc w:val="both"/>
        <w:rPr>
          <w:i/>
          <w:sz w:val="20"/>
          <w:szCs w:val="20"/>
        </w:rPr>
      </w:pPr>
      <w:r>
        <w:rPr>
          <w:i/>
          <w:sz w:val="20"/>
          <w:szCs w:val="20"/>
        </w:rPr>
        <w:tab/>
      </w:r>
      <w:r w:rsidR="00237372">
        <w:rPr>
          <w:i/>
          <w:sz w:val="20"/>
          <w:szCs w:val="20"/>
        </w:rPr>
        <w:t>d</w:t>
      </w:r>
      <w:r>
        <w:rPr>
          <w:i/>
          <w:sz w:val="20"/>
          <w:szCs w:val="20"/>
        </w:rPr>
        <w:t xml:space="preserve"> = diskontní sazba</w:t>
      </w:r>
      <w:r w:rsidR="00237372">
        <w:rPr>
          <w:i/>
          <w:sz w:val="20"/>
          <w:szCs w:val="20"/>
        </w:rPr>
        <w:t xml:space="preserve"> </w:t>
      </w:r>
      <w:r w:rsidR="00B86F08">
        <w:rPr>
          <w:i/>
          <w:sz w:val="20"/>
          <w:szCs w:val="20"/>
        </w:rPr>
        <w:t xml:space="preserve">(%/100), </w:t>
      </w:r>
      <w:r w:rsidR="00237372">
        <w:rPr>
          <w:i/>
          <w:sz w:val="20"/>
          <w:szCs w:val="20"/>
        </w:rPr>
        <w:t>případně lze užít  upravenou diskontní sazbu viz níže,</w:t>
      </w:r>
      <w:r>
        <w:rPr>
          <w:i/>
          <w:sz w:val="20"/>
          <w:szCs w:val="20"/>
        </w:rPr>
        <w:t xml:space="preserve"> </w:t>
      </w:r>
    </w:p>
    <w:p w:rsidR="00500D89" w:rsidRDefault="00500D89" w:rsidP="006C037C">
      <w:pPr>
        <w:tabs>
          <w:tab w:val="left" w:pos="567"/>
        </w:tabs>
        <w:spacing w:line="360" w:lineRule="auto"/>
        <w:jc w:val="both"/>
        <w:rPr>
          <w:i/>
          <w:sz w:val="20"/>
          <w:szCs w:val="20"/>
        </w:rPr>
      </w:pPr>
      <w:r>
        <w:rPr>
          <w:i/>
          <w:sz w:val="20"/>
          <w:szCs w:val="20"/>
        </w:rPr>
        <w:tab/>
        <w:t>n</w:t>
      </w:r>
      <w:r w:rsidRPr="00A27156">
        <w:rPr>
          <w:i/>
          <w:sz w:val="20"/>
          <w:szCs w:val="20"/>
        </w:rPr>
        <w:t xml:space="preserve"> = </w:t>
      </w:r>
      <w:r>
        <w:rPr>
          <w:i/>
          <w:sz w:val="20"/>
          <w:szCs w:val="20"/>
        </w:rPr>
        <w:t>jednotliv</w:t>
      </w:r>
      <w:r w:rsidR="00237372">
        <w:rPr>
          <w:i/>
          <w:sz w:val="20"/>
          <w:szCs w:val="20"/>
        </w:rPr>
        <w:t>é</w:t>
      </w:r>
      <w:r>
        <w:rPr>
          <w:i/>
          <w:sz w:val="20"/>
          <w:szCs w:val="20"/>
        </w:rPr>
        <w:t xml:space="preserve"> </w:t>
      </w:r>
      <w:r w:rsidR="00237372">
        <w:rPr>
          <w:i/>
          <w:sz w:val="20"/>
          <w:szCs w:val="20"/>
        </w:rPr>
        <w:t>roky či období</w:t>
      </w:r>
      <w:r>
        <w:rPr>
          <w:i/>
          <w:sz w:val="20"/>
          <w:szCs w:val="20"/>
        </w:rPr>
        <w:t xml:space="preserve"> </w:t>
      </w:r>
      <w:r w:rsidR="00DD5C89">
        <w:rPr>
          <w:i/>
          <w:sz w:val="20"/>
          <w:szCs w:val="20"/>
        </w:rPr>
        <w:t xml:space="preserve"> </w:t>
      </w:r>
      <w:r>
        <w:rPr>
          <w:i/>
          <w:sz w:val="20"/>
          <w:szCs w:val="20"/>
        </w:rPr>
        <w:t>života projektu.</w:t>
      </w:r>
    </w:p>
    <w:p w:rsidR="007A659F" w:rsidRDefault="007A659F" w:rsidP="00500D89">
      <w:pPr>
        <w:tabs>
          <w:tab w:val="left" w:pos="567"/>
        </w:tabs>
        <w:spacing w:line="360" w:lineRule="auto"/>
        <w:jc w:val="both"/>
      </w:pPr>
    </w:p>
    <w:p w:rsidR="007A659F" w:rsidRPr="007A659F" w:rsidRDefault="006E4E5F" w:rsidP="00500D89">
      <w:pPr>
        <w:tabs>
          <w:tab w:val="left" w:pos="567"/>
        </w:tabs>
        <w:spacing w:line="360" w:lineRule="auto"/>
        <w:jc w:val="both"/>
      </w:pPr>
      <w:r>
        <w:t xml:space="preserve">     </w:t>
      </w:r>
      <w:r w:rsidR="007A659F">
        <w:t xml:space="preserve">Význam současné hodnoty spočívá v tom, že umožňuje navzájem porovnat </w:t>
      </w:r>
      <w:r>
        <w:t xml:space="preserve">hodnotu peněz v čase. Tím otevírá prostor pro relevantní rozhodnutí učiněná na jejím základě. </w:t>
      </w:r>
    </w:p>
    <w:p w:rsidR="00DD5C89" w:rsidRDefault="006C037C" w:rsidP="00D350BF">
      <w:pPr>
        <w:spacing w:line="360" w:lineRule="auto"/>
        <w:jc w:val="both"/>
      </w:pPr>
      <w:r>
        <w:t xml:space="preserve">     Diskontní sazba projektu je koncipována jako roční. </w:t>
      </w:r>
      <w:r w:rsidR="00DD5C89">
        <w:t xml:space="preserve">Budoucí peněžní toky projektu jsou však často vyjádřeny v pololetním či kvartálním souhrnu, a tak </w:t>
      </w:r>
      <w:r>
        <w:t>vyvst</w:t>
      </w:r>
      <w:r w:rsidR="00DD5C89">
        <w:t xml:space="preserve">ává potřeba i diskontní sazbu vyjádřit v odpovídající formě. Tím je v konečném důsledku dosaženo i věrohodnějšího výpočtu současné hodnoty těchto toků. </w:t>
      </w:r>
    </w:p>
    <w:p w:rsidR="00D350BF" w:rsidRDefault="00DD5C89" w:rsidP="00D350BF">
      <w:pPr>
        <w:spacing w:line="360" w:lineRule="auto"/>
        <w:jc w:val="both"/>
      </w:pPr>
      <w:r>
        <w:t xml:space="preserve">     </w:t>
      </w:r>
      <w:r w:rsidR="00ED6727">
        <w:t xml:space="preserve">K úpravě roční diskontní </w:t>
      </w:r>
      <w:r w:rsidR="00237372">
        <w:t xml:space="preserve">sazby </w:t>
      </w:r>
      <w:r w:rsidR="00ED6727">
        <w:t xml:space="preserve">můžeme </w:t>
      </w:r>
      <w:r w:rsidR="00BA1A85">
        <w:t xml:space="preserve">ve shodě s uvedenými autory </w:t>
      </w:r>
      <w:r w:rsidR="00ED6727">
        <w:t xml:space="preserve">použít vzorec: </w:t>
      </w:r>
      <m:oMath>
        <m:r>
          <w:rPr>
            <w:rFonts w:ascii="Cambria Math" w:hAnsi="Cambria Math"/>
          </w:rPr>
          <m:t>d</m:t>
        </m:r>
        <m:r>
          <w:rPr>
            <w:rFonts w:ascii="Cambria Math" w:hAnsi="Cambria Math"/>
            <w:position w:val="-6"/>
          </w:rPr>
          <m:t>u</m:t>
        </m:r>
        <m:r>
          <w:rPr>
            <w:rFonts w:ascii="Cambria Math" w:hAnsi="Cambria Math"/>
          </w:rPr>
          <m:t xml:space="preserve"> = </m:t>
        </m:r>
        <m:rad>
          <m:radPr>
            <m:ctrlPr>
              <w:rPr>
                <w:rFonts w:ascii="Cambria Math" w:hAnsi="Cambria Math"/>
                <w:i/>
              </w:rPr>
            </m:ctrlPr>
          </m:radPr>
          <m:deg>
            <m:r>
              <w:rPr>
                <w:rFonts w:ascii="Cambria Math" w:hAnsi="Cambria Math"/>
              </w:rPr>
              <m:t>n</m:t>
            </m:r>
          </m:deg>
          <m:e>
            <m:r>
              <w:rPr>
                <w:rFonts w:ascii="Cambria Math" w:hAnsi="Cambria Math"/>
              </w:rPr>
              <m:t xml:space="preserve">1 +d </m:t>
            </m:r>
          </m:e>
        </m:rad>
        <m:r>
          <w:rPr>
            <w:rFonts w:ascii="Cambria Math" w:hAnsi="Cambria Math"/>
          </w:rPr>
          <m:t xml:space="preserve"> -1</m:t>
        </m:r>
      </m:oMath>
      <w:r w:rsidR="00ED6727">
        <w:t xml:space="preserve"> </w:t>
      </w:r>
      <w:r>
        <w:t xml:space="preserve">  </w:t>
      </w:r>
      <w:r w:rsidR="006C037C">
        <w:t xml:space="preserve"> </w:t>
      </w:r>
      <w:r w:rsidR="004040ED">
        <w:t xml:space="preserve">  </w:t>
      </w:r>
      <w:r w:rsidR="00D350BF">
        <w:t xml:space="preserve"> </w:t>
      </w:r>
    </w:p>
    <w:p w:rsidR="00126BA8" w:rsidRDefault="00126BA8" w:rsidP="00126BA8">
      <w:pPr>
        <w:spacing w:line="360" w:lineRule="auto"/>
        <w:jc w:val="both"/>
      </w:pPr>
    </w:p>
    <w:p w:rsidR="00ED6727" w:rsidRDefault="00ED6727" w:rsidP="00ED6727">
      <w:pPr>
        <w:tabs>
          <w:tab w:val="left" w:pos="567"/>
        </w:tabs>
        <w:spacing w:line="360" w:lineRule="auto"/>
        <w:jc w:val="both"/>
        <w:rPr>
          <w:i/>
          <w:sz w:val="20"/>
          <w:szCs w:val="20"/>
        </w:rPr>
      </w:pPr>
      <w:r>
        <w:t>kde:</w:t>
      </w:r>
      <w:r>
        <w:tab/>
      </w:r>
      <w:r>
        <w:tab/>
      </w:r>
      <w:r w:rsidR="00237372">
        <w:rPr>
          <w:i/>
          <w:sz w:val="20"/>
          <w:szCs w:val="20"/>
        </w:rPr>
        <w:t>d</w:t>
      </w:r>
      <w:r w:rsidR="00237372">
        <w:rPr>
          <w:i/>
          <w:position w:val="-6"/>
          <w:sz w:val="20"/>
          <w:szCs w:val="20"/>
        </w:rPr>
        <w:t>u</w:t>
      </w:r>
      <w:r w:rsidRPr="00BD0199">
        <w:rPr>
          <w:i/>
          <w:sz w:val="20"/>
          <w:szCs w:val="20"/>
        </w:rPr>
        <w:t xml:space="preserve"> =</w:t>
      </w:r>
      <w:r w:rsidR="00237372">
        <w:rPr>
          <w:i/>
          <w:sz w:val="20"/>
          <w:szCs w:val="20"/>
        </w:rPr>
        <w:t xml:space="preserve"> </w:t>
      </w:r>
      <w:r>
        <w:rPr>
          <w:i/>
          <w:sz w:val="20"/>
          <w:szCs w:val="20"/>
        </w:rPr>
        <w:t>upravená</w:t>
      </w:r>
      <w:r w:rsidR="00237372">
        <w:rPr>
          <w:i/>
          <w:sz w:val="20"/>
          <w:szCs w:val="20"/>
        </w:rPr>
        <w:t xml:space="preserve"> diskontní sazba</w:t>
      </w:r>
      <w:r w:rsidR="00B86F08">
        <w:rPr>
          <w:i/>
          <w:sz w:val="20"/>
          <w:szCs w:val="20"/>
        </w:rPr>
        <w:t xml:space="preserve"> (%/100)</w:t>
      </w:r>
      <w:r w:rsidRPr="00BD0199">
        <w:rPr>
          <w:i/>
          <w:sz w:val="20"/>
          <w:szCs w:val="20"/>
        </w:rPr>
        <w:t>,</w:t>
      </w:r>
      <w:r w:rsidRPr="00A27156">
        <w:rPr>
          <w:i/>
          <w:sz w:val="20"/>
          <w:szCs w:val="20"/>
        </w:rPr>
        <w:t xml:space="preserve"> </w:t>
      </w:r>
    </w:p>
    <w:p w:rsidR="00237372" w:rsidRPr="00A27156" w:rsidRDefault="00237372" w:rsidP="00ED6727">
      <w:pPr>
        <w:tabs>
          <w:tab w:val="left" w:pos="567"/>
        </w:tabs>
        <w:spacing w:line="360" w:lineRule="auto"/>
        <w:jc w:val="both"/>
        <w:rPr>
          <w:i/>
          <w:sz w:val="20"/>
          <w:szCs w:val="20"/>
        </w:rPr>
      </w:pPr>
      <w:r>
        <w:rPr>
          <w:i/>
          <w:sz w:val="20"/>
          <w:szCs w:val="20"/>
        </w:rPr>
        <w:tab/>
        <w:t>n = počet období v rámci roku (2 = pololetní, 4 = kvartální, 12 = měsíční),</w:t>
      </w:r>
    </w:p>
    <w:p w:rsidR="00ED6727" w:rsidRDefault="00ED6727" w:rsidP="00ED6727">
      <w:pPr>
        <w:tabs>
          <w:tab w:val="left" w:pos="567"/>
        </w:tabs>
        <w:spacing w:line="360" w:lineRule="auto"/>
        <w:jc w:val="both"/>
        <w:rPr>
          <w:i/>
          <w:sz w:val="20"/>
          <w:szCs w:val="20"/>
        </w:rPr>
      </w:pPr>
      <w:r>
        <w:rPr>
          <w:i/>
          <w:sz w:val="20"/>
          <w:szCs w:val="20"/>
        </w:rPr>
        <w:tab/>
      </w:r>
      <w:r w:rsidR="00237372">
        <w:rPr>
          <w:i/>
          <w:sz w:val="20"/>
          <w:szCs w:val="20"/>
        </w:rPr>
        <w:t>d</w:t>
      </w:r>
      <w:r w:rsidRPr="00A27156">
        <w:rPr>
          <w:i/>
          <w:sz w:val="20"/>
          <w:szCs w:val="20"/>
        </w:rPr>
        <w:t xml:space="preserve"> =</w:t>
      </w:r>
      <w:r w:rsidR="00237372">
        <w:rPr>
          <w:i/>
          <w:sz w:val="20"/>
          <w:szCs w:val="20"/>
        </w:rPr>
        <w:t xml:space="preserve"> diskontní sazba</w:t>
      </w:r>
      <w:r w:rsidR="00B86F08">
        <w:rPr>
          <w:i/>
          <w:sz w:val="20"/>
          <w:szCs w:val="20"/>
        </w:rPr>
        <w:t xml:space="preserve"> (%/100)</w:t>
      </w:r>
      <w:r w:rsidR="00237372">
        <w:rPr>
          <w:i/>
          <w:sz w:val="20"/>
          <w:szCs w:val="20"/>
        </w:rPr>
        <w:t>.</w:t>
      </w:r>
      <w:r>
        <w:rPr>
          <w:i/>
          <w:sz w:val="20"/>
          <w:szCs w:val="20"/>
        </w:rPr>
        <w:t xml:space="preserve"> </w:t>
      </w:r>
    </w:p>
    <w:p w:rsidR="00237372" w:rsidRDefault="00237372" w:rsidP="00243AA2">
      <w:pPr>
        <w:tabs>
          <w:tab w:val="left" w:pos="567"/>
        </w:tabs>
        <w:spacing w:line="360" w:lineRule="auto"/>
        <w:jc w:val="both"/>
      </w:pPr>
    </w:p>
    <w:p w:rsidR="00A301F9" w:rsidRDefault="00A301F9" w:rsidP="00243AA2">
      <w:pPr>
        <w:tabs>
          <w:tab w:val="left" w:pos="567"/>
        </w:tabs>
        <w:spacing w:line="360" w:lineRule="auto"/>
        <w:jc w:val="both"/>
      </w:pPr>
    </w:p>
    <w:p w:rsidR="00E12DE0" w:rsidRDefault="00E12DE0" w:rsidP="00243AA2">
      <w:pPr>
        <w:tabs>
          <w:tab w:val="left" w:pos="567"/>
        </w:tabs>
        <w:spacing w:line="360" w:lineRule="auto"/>
        <w:jc w:val="both"/>
      </w:pPr>
    </w:p>
    <w:p w:rsidR="0053283B" w:rsidRPr="00833AFB" w:rsidRDefault="001B7560" w:rsidP="001B7560">
      <w:pPr>
        <w:pStyle w:val="Nadpis2"/>
        <w:ind w:left="0" w:firstLine="0"/>
        <w:jc w:val="left"/>
        <w:rPr>
          <w:b w:val="0"/>
          <w:sz w:val="28"/>
          <w:szCs w:val="28"/>
        </w:rPr>
      </w:pPr>
      <w:r>
        <w:rPr>
          <w:b w:val="0"/>
          <w:sz w:val="28"/>
          <w:szCs w:val="28"/>
        </w:rPr>
        <w:lastRenderedPageBreak/>
        <w:t xml:space="preserve">  </w:t>
      </w:r>
      <w:bookmarkStart w:id="362" w:name="_Toc233044400"/>
      <w:r w:rsidR="0053283B" w:rsidRPr="00833AFB">
        <w:rPr>
          <w:b w:val="0"/>
          <w:sz w:val="28"/>
          <w:szCs w:val="28"/>
        </w:rPr>
        <w:t>Inflace v investičním rozhodování</w:t>
      </w:r>
      <w:bookmarkEnd w:id="362"/>
    </w:p>
    <w:p w:rsidR="0053283B" w:rsidRDefault="0053283B" w:rsidP="0053283B">
      <w:pPr>
        <w:spacing w:line="360" w:lineRule="auto"/>
        <w:jc w:val="both"/>
      </w:pPr>
    </w:p>
    <w:p w:rsidR="0053283B" w:rsidRDefault="0053283B" w:rsidP="0053283B">
      <w:pPr>
        <w:spacing w:line="360" w:lineRule="auto"/>
        <w:jc w:val="both"/>
      </w:pPr>
      <w:r>
        <w:t xml:space="preserve">     Pokud jde o cenovou úroveň, pak v souladu s Fotrem a Součkem</w:t>
      </w:r>
      <w:r>
        <w:rPr>
          <w:rStyle w:val="Znakapoznpodarou"/>
        </w:rPr>
        <w:footnoteReference w:id="42"/>
      </w:r>
      <w:r>
        <w:t xml:space="preserve"> lze peněžní toky investičních projektů vyjádřit buď v běžných cenách nebo v takzvaných stálých cenách. Běžnými cenami rozumíme ceny jednotlivých let, stálými cenami potom ceny určitého základního období, například období prvního roku provozu. </w:t>
      </w:r>
    </w:p>
    <w:p w:rsidR="0053283B" w:rsidRDefault="0053283B" w:rsidP="0053283B">
      <w:pPr>
        <w:spacing w:line="360" w:lineRule="auto"/>
        <w:jc w:val="both"/>
      </w:pPr>
      <w:r>
        <w:t xml:space="preserve">   Užití stálých cen je vhodné v případě nízkého tempa inflace (1 až 2% ročně), můžeme je rovněž použít i v případě, že tempo inflace týkající se výstupů i vstupů projektu je stejné, hovoříme o stabilitě relativních cen vstupů a výstupů. Práce se stálými cenami je zřejmě snadnější, neboť peněžní toky ovlivňují pouze změny hmotných toků a není třeba prognózovat vývoj prodejních a nákupních cen, měnových kurzů, průměrných mezd a podobně. </w:t>
      </w:r>
    </w:p>
    <w:p w:rsidR="0053283B" w:rsidRDefault="0053283B" w:rsidP="0053283B">
      <w:pPr>
        <w:spacing w:line="360" w:lineRule="auto"/>
        <w:jc w:val="both"/>
      </w:pPr>
      <w:r>
        <w:t xml:space="preserve">     Pokud se však tempo inflace vstupů a výstupů projektů liší, je vhodnější</w:t>
      </w:r>
      <w:r w:rsidR="00FC78B6">
        <w:t xml:space="preserve"> podle uvedených autorů</w:t>
      </w:r>
      <w:r>
        <w:t xml:space="preserve"> pracovat s běžnými cenami</w:t>
      </w:r>
      <w:r w:rsidR="00FA7F5C">
        <w:t>, které určíme obvyklým způsobem, tedy vynásobením odhadovaným budoucích cen mírami inflací do daného roku včetně</w:t>
      </w:r>
      <w:r>
        <w:t>.</w:t>
      </w:r>
    </w:p>
    <w:p w:rsidR="0053283B" w:rsidRDefault="0053283B" w:rsidP="0053283B">
      <w:pPr>
        <w:spacing w:line="360" w:lineRule="auto"/>
        <w:jc w:val="both"/>
      </w:pPr>
      <w:r>
        <w:t xml:space="preserve">     Volba typu ceny</w:t>
      </w:r>
      <w:r w:rsidR="00FC78B6">
        <w:t>, jak dále autoři upozorňují,</w:t>
      </w:r>
      <w:r>
        <w:t xml:space="preserve"> však musí být v souladu s použitou diskontní sazbou projektu. Peněžní toky vyjádřené v běžných cenách (nominální peněžní toky) je třeba diskontovat nominální diskontní sazbou, naproti tomu peněžní toky vyjádřené ve stálých cenách (reálné peněžní toky) je třeba diskontovat reálnou diskontní sazbou. Reálnou diskontní sazbu získáme úpravou nominální diskontní sazby. Pokud je velikost inflace ustálená a bude během doby života projektu přibližně na stejné úrovni, stanovíme reálnou diskontní sazbu podle následujícího vztahu: </w:t>
      </w:r>
      <m:oMath>
        <m:r>
          <w:rPr>
            <w:rFonts w:ascii="Cambria Math" w:hAnsi="Cambria Math"/>
          </w:rPr>
          <m:t>r</m:t>
        </m:r>
        <m:r>
          <w:rPr>
            <w:rFonts w:ascii="Cambria Math" w:hAnsi="Cambria Math"/>
            <w:position w:val="-6"/>
          </w:rPr>
          <m:t>k</m:t>
        </m:r>
        <m:r>
          <w:rPr>
            <w:rFonts w:ascii="Cambria Math" w:hAnsi="Cambria Math"/>
          </w:rPr>
          <m:t xml:space="preserve"> = </m:t>
        </m:r>
        <m:d>
          <m:dPr>
            <m:ctrlPr>
              <w:rPr>
                <w:rFonts w:ascii="Cambria Math" w:hAnsi="Cambria Math"/>
                <w:i/>
              </w:rPr>
            </m:ctrlPr>
          </m:dPr>
          <m:e>
            <m:f>
              <m:fPr>
                <m:ctrlPr>
                  <w:rPr>
                    <w:rFonts w:ascii="Cambria Math" w:hAnsi="Cambria Math"/>
                    <w:i/>
                  </w:rPr>
                </m:ctrlPr>
              </m:fPr>
              <m:num>
                <m:r>
                  <w:rPr>
                    <w:rFonts w:ascii="Cambria Math" w:hAnsi="Cambria Math"/>
                  </w:rPr>
                  <m:t>1 +r</m:t>
                </m:r>
              </m:num>
              <m:den>
                <m:r>
                  <w:rPr>
                    <w:rFonts w:ascii="Cambria Math" w:hAnsi="Cambria Math"/>
                  </w:rPr>
                  <m:t>1 +m</m:t>
                </m:r>
              </m:den>
            </m:f>
            <m:r>
              <w:rPr>
                <w:rFonts w:ascii="Cambria Math" w:hAnsi="Cambria Math"/>
              </w:rPr>
              <m:t xml:space="preserve"> -1</m:t>
            </m:r>
          </m:e>
        </m:d>
        <m:r>
          <w:rPr>
            <w:rFonts w:ascii="Cambria Math" w:hAnsi="Cambria Math"/>
          </w:rPr>
          <m:t xml:space="preserve"> ×100 </m:t>
        </m:r>
      </m:oMath>
      <w:r>
        <w:t xml:space="preserve">          </w:t>
      </w:r>
    </w:p>
    <w:p w:rsidR="0053283B" w:rsidRDefault="0053283B" w:rsidP="0053283B">
      <w:pPr>
        <w:spacing w:line="360" w:lineRule="auto"/>
        <w:jc w:val="both"/>
      </w:pPr>
    </w:p>
    <w:p w:rsidR="0053283B" w:rsidRDefault="0053283B" w:rsidP="0053283B">
      <w:pPr>
        <w:tabs>
          <w:tab w:val="left" w:pos="567"/>
        </w:tabs>
        <w:spacing w:line="360" w:lineRule="auto"/>
        <w:jc w:val="both"/>
        <w:rPr>
          <w:sz w:val="20"/>
          <w:szCs w:val="20"/>
        </w:rPr>
      </w:pPr>
      <w:r>
        <w:t>kde:</w:t>
      </w:r>
      <w:r>
        <w:tab/>
      </w:r>
      <w:r>
        <w:rPr>
          <w:i/>
          <w:sz w:val="20"/>
          <w:szCs w:val="20"/>
        </w:rPr>
        <w:t>r</w:t>
      </w:r>
      <w:r w:rsidRPr="00453ECB">
        <w:rPr>
          <w:i/>
          <w:position w:val="-6"/>
          <w:sz w:val="20"/>
          <w:szCs w:val="20"/>
        </w:rPr>
        <w:t xml:space="preserve">k </w:t>
      </w:r>
      <w:r w:rsidRPr="00EF0383">
        <w:rPr>
          <w:i/>
          <w:sz w:val="20"/>
          <w:szCs w:val="20"/>
        </w:rPr>
        <w:t>=</w:t>
      </w:r>
      <w:r>
        <w:rPr>
          <w:i/>
          <w:sz w:val="20"/>
          <w:szCs w:val="20"/>
        </w:rPr>
        <w:t xml:space="preserve">  reálná diskontní sazba (%),</w:t>
      </w:r>
      <w:r w:rsidRPr="00EF0383">
        <w:rPr>
          <w:i/>
          <w:sz w:val="20"/>
          <w:szCs w:val="20"/>
        </w:rPr>
        <w:t xml:space="preserve"> </w:t>
      </w:r>
      <w:r>
        <w:rPr>
          <w:sz w:val="20"/>
          <w:szCs w:val="20"/>
        </w:rPr>
        <w:t xml:space="preserve"> </w:t>
      </w:r>
    </w:p>
    <w:p w:rsidR="0053283B" w:rsidRPr="00EF0383" w:rsidRDefault="0053283B" w:rsidP="0053283B">
      <w:pPr>
        <w:tabs>
          <w:tab w:val="left" w:pos="567"/>
        </w:tabs>
        <w:spacing w:line="360" w:lineRule="auto"/>
        <w:jc w:val="both"/>
        <w:rPr>
          <w:i/>
          <w:sz w:val="20"/>
          <w:szCs w:val="20"/>
        </w:rPr>
      </w:pPr>
      <w:r>
        <w:rPr>
          <w:sz w:val="20"/>
          <w:szCs w:val="20"/>
        </w:rPr>
        <w:tab/>
      </w:r>
      <w:r>
        <w:rPr>
          <w:i/>
          <w:sz w:val="20"/>
          <w:szCs w:val="20"/>
        </w:rPr>
        <w:tab/>
      </w:r>
      <w:r>
        <w:rPr>
          <w:i/>
          <w:sz w:val="20"/>
          <w:szCs w:val="20"/>
        </w:rPr>
        <w:tab/>
        <w:t>r</w:t>
      </w:r>
      <w:r>
        <w:rPr>
          <w:i/>
          <w:position w:val="-6"/>
          <w:sz w:val="20"/>
          <w:szCs w:val="20"/>
        </w:rPr>
        <w:t xml:space="preserve"> </w:t>
      </w:r>
      <w:r w:rsidRPr="00A27156">
        <w:rPr>
          <w:i/>
          <w:sz w:val="20"/>
          <w:szCs w:val="20"/>
        </w:rPr>
        <w:t xml:space="preserve"> =</w:t>
      </w:r>
      <w:r>
        <w:rPr>
          <w:i/>
          <w:sz w:val="20"/>
          <w:szCs w:val="20"/>
        </w:rPr>
        <w:t xml:space="preserve">  nominální diskontní sazba( %/100), </w:t>
      </w:r>
      <w:r>
        <w:rPr>
          <w:sz w:val="20"/>
          <w:szCs w:val="20"/>
        </w:rPr>
        <w:t xml:space="preserve">       </w:t>
      </w:r>
    </w:p>
    <w:p w:rsidR="0053283B" w:rsidRPr="00A27156" w:rsidRDefault="0053283B" w:rsidP="0053283B">
      <w:pPr>
        <w:tabs>
          <w:tab w:val="left" w:pos="567"/>
        </w:tabs>
        <w:spacing w:line="360" w:lineRule="auto"/>
        <w:jc w:val="both"/>
        <w:rPr>
          <w:i/>
          <w:sz w:val="20"/>
          <w:szCs w:val="20"/>
        </w:rPr>
      </w:pPr>
      <w:r w:rsidRPr="00970629">
        <w:rPr>
          <w:i/>
        </w:rPr>
        <w:tab/>
      </w:r>
      <w:r w:rsidRPr="00453ECB">
        <w:rPr>
          <w:i/>
          <w:sz w:val="20"/>
          <w:szCs w:val="20"/>
        </w:rPr>
        <w:t>m</w:t>
      </w:r>
      <w:r>
        <w:rPr>
          <w:i/>
          <w:position w:val="-6"/>
          <w:sz w:val="20"/>
          <w:szCs w:val="20"/>
        </w:rPr>
        <w:t xml:space="preserve"> </w:t>
      </w:r>
      <w:r w:rsidRPr="00BD0199">
        <w:rPr>
          <w:i/>
          <w:sz w:val="20"/>
          <w:szCs w:val="20"/>
        </w:rPr>
        <w:t>=</w:t>
      </w:r>
      <w:r>
        <w:rPr>
          <w:i/>
          <w:sz w:val="20"/>
          <w:szCs w:val="20"/>
        </w:rPr>
        <w:t xml:space="preserve"> průměrná roční míra inflace.</w:t>
      </w:r>
      <w:r w:rsidRPr="00A27156">
        <w:rPr>
          <w:i/>
          <w:sz w:val="20"/>
          <w:szCs w:val="20"/>
        </w:rPr>
        <w:t xml:space="preserve"> </w:t>
      </w:r>
    </w:p>
    <w:p w:rsidR="0053283B" w:rsidRDefault="0053283B" w:rsidP="00FC78B6">
      <w:pPr>
        <w:spacing w:line="360" w:lineRule="auto"/>
        <w:jc w:val="both"/>
      </w:pPr>
      <w:r>
        <w:t xml:space="preserve">     </w:t>
      </w:r>
    </w:p>
    <w:p w:rsidR="0053283B" w:rsidRDefault="0053283B" w:rsidP="0053283B">
      <w:pPr>
        <w:tabs>
          <w:tab w:val="left" w:pos="567"/>
        </w:tabs>
        <w:spacing w:line="360" w:lineRule="auto"/>
        <w:jc w:val="both"/>
      </w:pPr>
      <w:r>
        <w:t xml:space="preserve">     V souvislosti s peněžními toky z investičních projektů a cenovou úrovní uvádí Fotr a Souček</w:t>
      </w:r>
      <w:r>
        <w:rPr>
          <w:rStyle w:val="Znakapoznpodarou"/>
        </w:rPr>
        <w:footnoteReference w:id="43"/>
      </w:r>
      <w:r>
        <w:t xml:space="preserve"> závěrečné shrnutí:</w:t>
      </w:r>
    </w:p>
    <w:p w:rsidR="00FC78B6" w:rsidRDefault="00FC78B6" w:rsidP="0053283B">
      <w:pPr>
        <w:tabs>
          <w:tab w:val="left" w:pos="567"/>
        </w:tabs>
        <w:spacing w:line="360" w:lineRule="auto"/>
        <w:jc w:val="both"/>
      </w:pPr>
    </w:p>
    <w:p w:rsidR="0053283B" w:rsidRDefault="0053283B" w:rsidP="00B329BD">
      <w:pPr>
        <w:pStyle w:val="Odstavecseseznamem"/>
        <w:numPr>
          <w:ilvl w:val="0"/>
          <w:numId w:val="26"/>
        </w:numPr>
        <w:spacing w:line="360" w:lineRule="auto"/>
        <w:ind w:left="754" w:hanging="357"/>
        <w:jc w:val="both"/>
      </w:pPr>
      <w:r>
        <w:lastRenderedPageBreak/>
        <w:t>nerespektování cenové úrovně a typu diskontní sazby může vést k zásadním chybám při hodnocení investičních projektů,</w:t>
      </w:r>
    </w:p>
    <w:p w:rsidR="0053283B" w:rsidRDefault="0053283B" w:rsidP="00B329BD">
      <w:pPr>
        <w:pStyle w:val="Odstavecseseznamem"/>
        <w:numPr>
          <w:ilvl w:val="0"/>
          <w:numId w:val="26"/>
        </w:numPr>
        <w:spacing w:line="360" w:lineRule="auto"/>
        <w:ind w:left="754" w:hanging="357"/>
        <w:jc w:val="both"/>
      </w:pPr>
      <w:r>
        <w:t>v případě korektnosti cenové úrovně peněžních toků i diskontní sazby by měla být čistá současná hodnota projektu při užití stálých i běžných cen stejná,</w:t>
      </w:r>
    </w:p>
    <w:p w:rsidR="0053283B" w:rsidRDefault="0053283B" w:rsidP="00B329BD">
      <w:pPr>
        <w:pStyle w:val="Odstavecseseznamem"/>
        <w:numPr>
          <w:ilvl w:val="0"/>
          <w:numId w:val="26"/>
        </w:numPr>
        <w:spacing w:line="360" w:lineRule="auto"/>
        <w:ind w:left="754" w:hanging="357"/>
        <w:jc w:val="both"/>
      </w:pPr>
      <w:r>
        <w:t>při užití vnitřního výnosového procenta</w:t>
      </w:r>
      <w:r>
        <w:rPr>
          <w:rStyle w:val="Znakapoznpodarou"/>
        </w:rPr>
        <w:footnoteReference w:id="44"/>
      </w:r>
      <w:r>
        <w:t xml:space="preserve"> dostáváme reálnou diskontní sazbu, použijeme-li peněžní toky ve stálých cenách, respektive nominální diskontní sazbu při použití peněžních toků v cenách běžných, </w:t>
      </w:r>
    </w:p>
    <w:p w:rsidR="0053283B" w:rsidRDefault="0053283B" w:rsidP="00B329BD">
      <w:pPr>
        <w:pStyle w:val="Odstavecseseznamem"/>
        <w:numPr>
          <w:ilvl w:val="0"/>
          <w:numId w:val="26"/>
        </w:numPr>
        <w:spacing w:line="360" w:lineRule="auto"/>
        <w:ind w:left="754" w:hanging="357"/>
        <w:jc w:val="both"/>
      </w:pPr>
      <w:r>
        <w:t>stanovení ročních nebo průměrných temp inflace musí vycházet z inflace oborů, kam investiční projekty svojí povahou patří, ne z inflace na úrovni celé ekonomiky.</w:t>
      </w:r>
    </w:p>
    <w:p w:rsidR="0053283B" w:rsidRDefault="0053283B" w:rsidP="00243AA2">
      <w:pPr>
        <w:tabs>
          <w:tab w:val="left" w:pos="567"/>
        </w:tabs>
        <w:spacing w:line="360" w:lineRule="auto"/>
        <w:jc w:val="both"/>
      </w:pPr>
    </w:p>
    <w:p w:rsidR="00243AA2" w:rsidRPr="00CA5C0A" w:rsidRDefault="00CA5C0A" w:rsidP="00CD2E6F">
      <w:pPr>
        <w:pStyle w:val="Nadpis2"/>
        <w:ind w:left="0" w:firstLine="0"/>
        <w:rPr>
          <w:b w:val="0"/>
          <w:sz w:val="28"/>
          <w:szCs w:val="28"/>
        </w:rPr>
      </w:pPr>
      <w:r>
        <w:rPr>
          <w:b w:val="0"/>
          <w:sz w:val="28"/>
          <w:szCs w:val="28"/>
        </w:rPr>
        <w:t xml:space="preserve"> </w:t>
      </w:r>
      <w:r w:rsidR="00104029">
        <w:rPr>
          <w:b w:val="0"/>
          <w:sz w:val="28"/>
          <w:szCs w:val="28"/>
        </w:rPr>
        <w:t xml:space="preserve"> </w:t>
      </w:r>
      <w:bookmarkStart w:id="363" w:name="_Toc233044401"/>
      <w:r w:rsidR="00104029">
        <w:rPr>
          <w:b w:val="0"/>
          <w:sz w:val="28"/>
          <w:szCs w:val="28"/>
        </w:rPr>
        <w:t>Riziko v investičním rozhodování</w:t>
      </w:r>
      <w:bookmarkEnd w:id="363"/>
      <w:r w:rsidR="00104029">
        <w:rPr>
          <w:b w:val="0"/>
          <w:sz w:val="28"/>
          <w:szCs w:val="28"/>
        </w:rPr>
        <w:t xml:space="preserve"> </w:t>
      </w:r>
      <w:r>
        <w:rPr>
          <w:b w:val="0"/>
          <w:sz w:val="28"/>
          <w:szCs w:val="28"/>
        </w:rPr>
        <w:t xml:space="preserve"> </w:t>
      </w:r>
    </w:p>
    <w:p w:rsidR="0085337D" w:rsidRDefault="0085337D" w:rsidP="008268DA">
      <w:pPr>
        <w:tabs>
          <w:tab w:val="left" w:pos="567"/>
        </w:tabs>
        <w:spacing w:line="360" w:lineRule="auto"/>
        <w:jc w:val="both"/>
      </w:pPr>
    </w:p>
    <w:p w:rsidR="009A180C" w:rsidRDefault="009A180C" w:rsidP="008268DA">
      <w:pPr>
        <w:tabs>
          <w:tab w:val="left" w:pos="567"/>
        </w:tabs>
        <w:spacing w:line="360" w:lineRule="auto"/>
        <w:jc w:val="both"/>
      </w:pPr>
      <w:r>
        <w:t xml:space="preserve">     Respektování rizika je podle Valacha</w:t>
      </w:r>
      <w:r>
        <w:rPr>
          <w:rStyle w:val="Znakapoznpodarou"/>
        </w:rPr>
        <w:footnoteReference w:id="45"/>
      </w:r>
      <w:r>
        <w:t xml:space="preserve"> nutným základním atributem správného investičního rozhodování, přičemž podnikatelské riziko můžeme definovat jako nebezpečí, že se dosažené výsledky podnikání budou odchylovat od výsledků předpokládaných. Tyto odchylky mohou </w:t>
      </w:r>
      <w:r w:rsidR="00436C69">
        <w:t>být</w:t>
      </w:r>
      <w:r>
        <w:t>:</w:t>
      </w:r>
    </w:p>
    <w:p w:rsidR="00D479C7" w:rsidRDefault="00D479C7" w:rsidP="008268DA">
      <w:pPr>
        <w:tabs>
          <w:tab w:val="left" w:pos="567"/>
        </w:tabs>
        <w:spacing w:line="360" w:lineRule="auto"/>
        <w:jc w:val="both"/>
      </w:pPr>
    </w:p>
    <w:p w:rsidR="009A180C" w:rsidRDefault="009A180C" w:rsidP="00AD45B1">
      <w:pPr>
        <w:pStyle w:val="Odstavecseseznamem"/>
        <w:numPr>
          <w:ilvl w:val="0"/>
          <w:numId w:val="24"/>
        </w:numPr>
        <w:spacing w:line="360" w:lineRule="auto"/>
        <w:ind w:left="754" w:hanging="357"/>
        <w:jc w:val="both"/>
      </w:pPr>
      <w:r>
        <w:t>přízniv</w:t>
      </w:r>
      <w:r w:rsidR="00436C69">
        <w:t>é</w:t>
      </w:r>
      <w:r>
        <w:t xml:space="preserve"> nebo nepřízniv</w:t>
      </w:r>
      <w:r w:rsidR="00436C69">
        <w:t>é</w:t>
      </w:r>
      <w:r>
        <w:t>,</w:t>
      </w:r>
    </w:p>
    <w:p w:rsidR="009A180C" w:rsidRDefault="009A180C" w:rsidP="00AD45B1">
      <w:pPr>
        <w:pStyle w:val="Odstavecseseznamem"/>
        <w:numPr>
          <w:ilvl w:val="0"/>
          <w:numId w:val="24"/>
        </w:numPr>
        <w:spacing w:line="360" w:lineRule="auto"/>
        <w:ind w:left="754" w:hanging="357"/>
        <w:jc w:val="both"/>
      </w:pPr>
      <w:r>
        <w:t>různ</w:t>
      </w:r>
      <w:r w:rsidR="00436C69">
        <w:t>ě</w:t>
      </w:r>
      <w:r>
        <w:t xml:space="preserve"> intenzi</w:t>
      </w:r>
      <w:r w:rsidR="00436C69">
        <w:t>vní</w:t>
      </w:r>
      <w:r>
        <w:t>.</w:t>
      </w:r>
    </w:p>
    <w:p w:rsidR="00D479C7" w:rsidRDefault="00D479C7" w:rsidP="00D479C7">
      <w:pPr>
        <w:spacing w:line="360" w:lineRule="auto"/>
        <w:ind w:left="397"/>
        <w:jc w:val="both"/>
      </w:pPr>
    </w:p>
    <w:p w:rsidR="009A180C" w:rsidRDefault="009A180C" w:rsidP="009A180C">
      <w:pPr>
        <w:spacing w:line="360" w:lineRule="auto"/>
        <w:jc w:val="both"/>
      </w:pPr>
      <w:r>
        <w:t xml:space="preserve">     Jestliže nejistotu chápeme jako neurčitost, náhodnost podmínek či výsledků nějakých jevů či procesů, můžeme naproti tomu chápat riziko jako takový druh nejistoty, kdy je možné pomocí obvyklých statistických metod kvantifikovat pravděpodobnosti vzniku odchylných alternativ.</w:t>
      </w:r>
    </w:p>
    <w:p w:rsidR="001415C6" w:rsidRDefault="009A180C" w:rsidP="005C6F3C">
      <w:pPr>
        <w:spacing w:line="360" w:lineRule="auto"/>
        <w:jc w:val="both"/>
      </w:pPr>
      <w:r>
        <w:t xml:space="preserve">     </w:t>
      </w:r>
      <w:r w:rsidR="001415C6">
        <w:t>Členění rizik podle jejich věcné náplně nabízí Fotr a Souček</w:t>
      </w:r>
      <w:r w:rsidR="001415C6">
        <w:rPr>
          <w:rStyle w:val="Znakapoznpodarou"/>
        </w:rPr>
        <w:footnoteReference w:id="46"/>
      </w:r>
      <w:r w:rsidR="001415C6">
        <w:t>. Z tohoto hlediska rozlišují rizika</w:t>
      </w:r>
      <w:r w:rsidR="005C6F3C">
        <w:t xml:space="preserve"> </w:t>
      </w:r>
      <w:r w:rsidR="001415C6">
        <w:t>technicko-technologická,</w:t>
      </w:r>
      <w:r w:rsidR="005C6F3C">
        <w:t xml:space="preserve"> </w:t>
      </w:r>
      <w:r w:rsidR="001415C6">
        <w:t>výrobní,</w:t>
      </w:r>
      <w:r w:rsidR="005C6F3C">
        <w:t xml:space="preserve"> </w:t>
      </w:r>
      <w:r w:rsidR="001415C6">
        <w:t>ekonomická, tržní,</w:t>
      </w:r>
      <w:r w:rsidR="005C6F3C">
        <w:t xml:space="preserve"> </w:t>
      </w:r>
      <w:r w:rsidR="001415C6">
        <w:t>finanční,</w:t>
      </w:r>
      <w:r w:rsidR="005C6F3C">
        <w:t xml:space="preserve"> </w:t>
      </w:r>
      <w:r w:rsidR="001415C6">
        <w:t>legislativní,</w:t>
      </w:r>
      <w:r w:rsidR="005C6F3C">
        <w:t xml:space="preserve"> </w:t>
      </w:r>
      <w:r w:rsidR="001415C6">
        <w:t>politická,</w:t>
      </w:r>
      <w:r w:rsidR="005C6F3C">
        <w:t xml:space="preserve"> </w:t>
      </w:r>
      <w:r w:rsidR="001415C6">
        <w:t>environmentální,</w:t>
      </w:r>
      <w:r w:rsidR="005C6F3C">
        <w:t xml:space="preserve"> </w:t>
      </w:r>
      <w:r w:rsidR="001415C6">
        <w:t>spojená s lidský</w:t>
      </w:r>
      <w:r w:rsidR="001B7A76">
        <w:t>m</w:t>
      </w:r>
      <w:r w:rsidR="001415C6">
        <w:t xml:space="preserve"> činitelem,</w:t>
      </w:r>
      <w:r w:rsidR="005C6F3C">
        <w:t xml:space="preserve"> </w:t>
      </w:r>
      <w:r w:rsidR="001415C6">
        <w:t>informační</w:t>
      </w:r>
      <w:r w:rsidR="00CF2248">
        <w:t xml:space="preserve"> rizika</w:t>
      </w:r>
      <w:r w:rsidR="001415C6">
        <w:t>,</w:t>
      </w:r>
      <w:r w:rsidR="00CF2248">
        <w:t xml:space="preserve"> případně </w:t>
      </w:r>
      <w:r w:rsidR="001415C6">
        <w:t>rizika spojená s</w:t>
      </w:r>
      <w:r w:rsidR="00CF2248">
        <w:t> haváriemi nebo živelnými pohromami</w:t>
      </w:r>
      <w:r w:rsidR="001415C6">
        <w:t>.</w:t>
      </w:r>
    </w:p>
    <w:p w:rsidR="00CF2248" w:rsidRDefault="001449C7" w:rsidP="00CF2248">
      <w:pPr>
        <w:spacing w:line="360" w:lineRule="auto"/>
        <w:jc w:val="both"/>
      </w:pPr>
      <w:r>
        <w:t xml:space="preserve">     </w:t>
      </w:r>
    </w:p>
    <w:p w:rsidR="001449C7" w:rsidRDefault="001449C7" w:rsidP="00CF2248">
      <w:pPr>
        <w:widowControl w:val="0"/>
        <w:spacing w:line="360" w:lineRule="auto"/>
        <w:jc w:val="both"/>
      </w:pPr>
      <w:r>
        <w:lastRenderedPageBreak/>
        <w:t>Jak dále uvádí Valach</w:t>
      </w:r>
      <w:r w:rsidR="00CF2248">
        <w:rPr>
          <w:rStyle w:val="Znakapoznpodarou"/>
        </w:rPr>
        <w:footnoteReference w:id="47"/>
      </w:r>
      <w:r>
        <w:t>, analýzou rizika investičních projektů můžeme rozumět určitý systematický postup práce s rizikem v souvislosti s investováním. Tento postup zahrnuje tyto základní fáze:</w:t>
      </w:r>
    </w:p>
    <w:p w:rsidR="00D479C7" w:rsidRDefault="00D479C7" w:rsidP="00CF2248">
      <w:pPr>
        <w:widowControl w:val="0"/>
        <w:spacing w:line="360" w:lineRule="auto"/>
        <w:jc w:val="both"/>
      </w:pPr>
    </w:p>
    <w:p w:rsidR="00CA5C0A" w:rsidRDefault="001449C7" w:rsidP="00AD45B1">
      <w:pPr>
        <w:pStyle w:val="Odstavecseseznamem"/>
        <w:widowControl w:val="0"/>
        <w:numPr>
          <w:ilvl w:val="0"/>
          <w:numId w:val="25"/>
        </w:numPr>
        <w:spacing w:line="360" w:lineRule="auto"/>
        <w:ind w:left="754" w:hanging="357"/>
        <w:jc w:val="both"/>
      </w:pPr>
      <w:r>
        <w:t>určení kritických faktorů rizika investičního projektu,</w:t>
      </w:r>
    </w:p>
    <w:p w:rsidR="001449C7" w:rsidRDefault="001449C7" w:rsidP="00AD45B1">
      <w:pPr>
        <w:pStyle w:val="Odstavecseseznamem"/>
        <w:numPr>
          <w:ilvl w:val="0"/>
          <w:numId w:val="25"/>
        </w:numPr>
        <w:spacing w:line="360" w:lineRule="auto"/>
        <w:ind w:left="754" w:hanging="357"/>
        <w:jc w:val="both"/>
      </w:pPr>
      <w:r>
        <w:t>stanovení bodu zvratu investičního projektu,</w:t>
      </w:r>
    </w:p>
    <w:p w:rsidR="001449C7" w:rsidRDefault="001449C7" w:rsidP="00AD45B1">
      <w:pPr>
        <w:pStyle w:val="Odstavecseseznamem"/>
        <w:numPr>
          <w:ilvl w:val="0"/>
          <w:numId w:val="25"/>
        </w:numPr>
        <w:spacing w:line="360" w:lineRule="auto"/>
        <w:ind w:left="754" w:hanging="357"/>
        <w:jc w:val="both"/>
      </w:pPr>
      <w:r>
        <w:t>kvantifikace rizika pomocí různých statistických metod a jeho důsledků na ekonomická kritéria investičních projektů,</w:t>
      </w:r>
    </w:p>
    <w:p w:rsidR="001449C7" w:rsidRDefault="001449C7" w:rsidP="00AD45B1">
      <w:pPr>
        <w:pStyle w:val="Odstavecseseznamem"/>
        <w:numPr>
          <w:ilvl w:val="0"/>
          <w:numId w:val="25"/>
        </w:numPr>
        <w:spacing w:line="360" w:lineRule="auto"/>
        <w:ind w:left="754" w:hanging="357"/>
        <w:jc w:val="both"/>
      </w:pPr>
      <w:r>
        <w:t>příprava a realizace různých způsobů snížení rizika,</w:t>
      </w:r>
    </w:p>
    <w:p w:rsidR="001449C7" w:rsidRDefault="001449C7" w:rsidP="00AD45B1">
      <w:pPr>
        <w:pStyle w:val="Odstavecseseznamem"/>
        <w:numPr>
          <w:ilvl w:val="0"/>
          <w:numId w:val="25"/>
        </w:numPr>
        <w:spacing w:line="360" w:lineRule="auto"/>
        <w:ind w:left="754" w:hanging="357"/>
        <w:jc w:val="both"/>
      </w:pPr>
      <w:r>
        <w:t>příprava plánů korekčních opatření pro určité vybrané budoucí kritické situace.</w:t>
      </w:r>
    </w:p>
    <w:p w:rsidR="00A478F0" w:rsidRDefault="00A478F0" w:rsidP="00A478F0">
      <w:pPr>
        <w:pStyle w:val="Odstavecseseznamem"/>
        <w:spacing w:line="360" w:lineRule="auto"/>
        <w:ind w:left="754"/>
        <w:jc w:val="both"/>
      </w:pPr>
    </w:p>
    <w:p w:rsidR="006C38FC" w:rsidRDefault="001449C7" w:rsidP="001449C7">
      <w:pPr>
        <w:spacing w:line="360" w:lineRule="auto"/>
        <w:jc w:val="both"/>
      </w:pPr>
      <w:r>
        <w:t xml:space="preserve">     </w:t>
      </w:r>
      <w:r w:rsidR="00CF2248">
        <w:t>Určením kritických faktorů rizika rozumíme výběr rozhodujících faktorů, které determinují celý investiční projekt. Změny těchto faktorů způsobují velké změny v efektivnosti investičního projektu. Kritické faktory můžeme vybrat pomocí analýzy citlivosti</w:t>
      </w:r>
      <w:r w:rsidR="006C38FC">
        <w:t xml:space="preserve"> a těmto faktorům pak musíme věnovat zvýšenou pozornost</w:t>
      </w:r>
      <w:r w:rsidR="00CF2248">
        <w:t>.</w:t>
      </w:r>
      <w:r w:rsidR="006C38FC">
        <w:t xml:space="preserve"> Účelem analýzy citlivosti je obecně zjistit závislost peněžního toku projektu na změně vybraných faktorů.</w:t>
      </w:r>
      <w:r w:rsidR="001B379A">
        <w:t xml:space="preserve"> Budeme-li uvažovat zisk, který projekt přináší, pak pokud</w:t>
      </w:r>
      <w:r w:rsidR="006C38FC">
        <w:t xml:space="preserve"> například 10% změna faktoru A způsobí 40% poklesu zisku, 10% změna faktoru B způsobí 5% pokles zisku a 10% změna faktoru C způsobí 3% pokles zisku, pak je zřejmé, že kritickým faktorem je faktor A.</w:t>
      </w:r>
    </w:p>
    <w:p w:rsidR="001449C7" w:rsidRPr="008268DA" w:rsidRDefault="006C38FC" w:rsidP="001449C7">
      <w:pPr>
        <w:spacing w:line="360" w:lineRule="auto"/>
        <w:jc w:val="both"/>
      </w:pPr>
      <w:r>
        <w:t xml:space="preserve">     </w:t>
      </w:r>
      <w:r w:rsidR="001B379A">
        <w:t>Stanovením bodu zvratu investičního projektu rozumíme vymezení nějaké veličiny, nejčastěji objemu produkce nebo ceny, od níž se projekt stává nevýhodným. Bod zvratu se stanoví tak, že se kvantifikuje čistá současná hodnota projektu</w:t>
      </w:r>
      <w:r w:rsidR="001B379A">
        <w:rPr>
          <w:rStyle w:val="Znakapoznpodarou"/>
        </w:rPr>
        <w:footnoteReference w:id="48"/>
      </w:r>
      <w:r w:rsidR="001B379A">
        <w:t xml:space="preserve"> pro různé úrovně vybrané veličiny, bodem zvratu je pak taková úroveň, při níž se čistá současná hodnota rovná 0.  </w:t>
      </w:r>
      <w:r w:rsidR="00CF2248">
        <w:t xml:space="preserve">   </w:t>
      </w:r>
    </w:p>
    <w:p w:rsidR="00BE4786" w:rsidRDefault="00AF3598" w:rsidP="008268DA">
      <w:pPr>
        <w:tabs>
          <w:tab w:val="left" w:pos="567"/>
        </w:tabs>
        <w:spacing w:line="360" w:lineRule="auto"/>
        <w:jc w:val="both"/>
      </w:pPr>
      <w:r>
        <w:t xml:space="preserve">     </w:t>
      </w:r>
      <w:r w:rsidR="007A120E">
        <w:t xml:space="preserve">U kvantifikace rizika jde o vymezení takových veličin, jakými jsou pravděpodobnost rizikových situací, očekávané peněžní příjmy nebo rozptyl peněžních toků. Jestliže tedy dovedeme </w:t>
      </w:r>
      <w:r w:rsidR="00FD1D89">
        <w:t xml:space="preserve">vymezit jednotlivé varianty peněžních toků a stupeň jejich pravděpodobnosti, můžeme na jejich základě určit takzvanou průměrnou očekávanou hodnotu peněžních toků (příjmů či výdajů). Například očekávanou průměrnou hodnotu peněžních příjmů z projektu můžeme modelově vyjádřit takto: </w:t>
      </w:r>
      <m:oMath>
        <m:acc>
          <m:accPr>
            <m:chr m:val="̅"/>
            <m:ctrlPr>
              <w:rPr>
                <w:rFonts w:ascii="Cambria Math" w:hAnsi="Cambria Math"/>
                <w:i/>
              </w:rPr>
            </m:ctrlPr>
          </m:accPr>
          <m:e>
            <m:r>
              <w:rPr>
                <w:rFonts w:ascii="Cambria Math" w:hAnsi="Cambria Math"/>
              </w:rPr>
              <m:t xml:space="preserve">P </m:t>
            </m:r>
          </m:e>
        </m:acc>
        <m:r>
          <w:rPr>
            <w:rFonts w:ascii="Cambria Math" w:hAnsi="Cambria Math"/>
          </w:rPr>
          <m:t xml:space="preserve">= </m:t>
        </m:r>
        <m:nary>
          <m:naryPr>
            <m:chr m:val="∑"/>
            <m:ctrlPr>
              <w:rPr>
                <w:rFonts w:ascii="Cambria Math" w:hAnsi="Cambria Math"/>
                <w:i/>
              </w:rPr>
            </m:ctrlPr>
          </m:naryPr>
          <m:sub>
            <m:r>
              <w:rPr>
                <w:rFonts w:ascii="Cambria Math" w:hAnsi="Cambria Math"/>
              </w:rPr>
              <m:t>j=1</m:t>
            </m:r>
          </m:sub>
          <m:sup>
            <m:r>
              <w:rPr>
                <w:rFonts w:ascii="Cambria Math" w:hAnsi="Cambria Math"/>
              </w:rPr>
              <m:t>N</m:t>
            </m:r>
          </m:sup>
          <m:e>
            <m:r>
              <w:rPr>
                <w:rFonts w:ascii="Cambria Math" w:hAnsi="Cambria Math"/>
              </w:rPr>
              <m:t>P</m:t>
            </m:r>
            <m:r>
              <w:rPr>
                <w:rFonts w:ascii="Cambria Math" w:hAnsi="Cambria Math"/>
                <w:position w:val="-6"/>
              </w:rPr>
              <m:t>j</m:t>
            </m:r>
            <m:r>
              <w:rPr>
                <w:rFonts w:ascii="Cambria Math" w:hAnsi="Cambria Math"/>
              </w:rPr>
              <m:t xml:space="preserve"> ×p</m:t>
            </m:r>
            <m:r>
              <w:rPr>
                <w:rFonts w:ascii="Cambria Math" w:hAnsi="Cambria Math"/>
                <w:position w:val="-6"/>
              </w:rPr>
              <m:t>j</m:t>
            </m:r>
          </m:e>
        </m:nary>
        <m:r>
          <w:rPr>
            <w:rFonts w:ascii="Cambria Math" w:hAnsi="Cambria Math"/>
          </w:rPr>
          <m:t xml:space="preserve"> </m:t>
        </m:r>
      </m:oMath>
      <w:r w:rsidR="00FD1D89">
        <w:t xml:space="preserve">   </w:t>
      </w:r>
      <w:r w:rsidR="00B414BB">
        <w:t xml:space="preserve">   </w:t>
      </w:r>
      <w:r>
        <w:t xml:space="preserve">  </w:t>
      </w:r>
      <w:r w:rsidR="00BE4786">
        <w:t xml:space="preserve"> </w:t>
      </w:r>
    </w:p>
    <w:p w:rsidR="00970629" w:rsidRDefault="00970629" w:rsidP="00970629">
      <w:pPr>
        <w:tabs>
          <w:tab w:val="left" w:pos="567"/>
        </w:tabs>
        <w:spacing w:line="360" w:lineRule="auto"/>
        <w:jc w:val="both"/>
      </w:pPr>
    </w:p>
    <w:p w:rsidR="00970629" w:rsidRPr="00A27156" w:rsidRDefault="00970629" w:rsidP="00970629">
      <w:pPr>
        <w:tabs>
          <w:tab w:val="left" w:pos="567"/>
        </w:tabs>
        <w:spacing w:line="360" w:lineRule="auto"/>
        <w:jc w:val="both"/>
        <w:rPr>
          <w:i/>
          <w:sz w:val="20"/>
          <w:szCs w:val="20"/>
        </w:rPr>
      </w:pPr>
      <w:r>
        <w:t>kde:</w:t>
      </w:r>
      <w:r>
        <w:tab/>
      </w:r>
      <w:r w:rsidRPr="00970629">
        <w:rPr>
          <w:i/>
        </w:rPr>
        <w:tab/>
      </w:r>
      <m:oMath>
        <m:acc>
          <m:accPr>
            <m:chr m:val="̅"/>
            <m:ctrlPr>
              <w:rPr>
                <w:rFonts w:ascii="Cambria Math" w:hAnsi="Cambria Math"/>
                <w:i/>
                <w:sz w:val="20"/>
                <w:szCs w:val="20"/>
              </w:rPr>
            </m:ctrlPr>
          </m:accPr>
          <m:e>
            <m:r>
              <w:rPr>
                <w:rFonts w:ascii="Cambria Math" w:hAnsi="Cambria Math"/>
                <w:sz w:val="20"/>
                <w:szCs w:val="20"/>
              </w:rPr>
              <m:t>P</m:t>
            </m:r>
          </m:e>
        </m:acc>
      </m:oMath>
      <w:r w:rsidRPr="00BD0199">
        <w:rPr>
          <w:i/>
          <w:sz w:val="20"/>
          <w:szCs w:val="20"/>
        </w:rPr>
        <w:t xml:space="preserve"> =</w:t>
      </w:r>
      <w:r>
        <w:rPr>
          <w:i/>
          <w:sz w:val="20"/>
          <w:szCs w:val="20"/>
        </w:rPr>
        <w:t>průměrná očekávaná hodnota peněžních příjmů z projektu</w:t>
      </w:r>
      <w:r w:rsidRPr="00BD0199">
        <w:rPr>
          <w:i/>
          <w:sz w:val="20"/>
          <w:szCs w:val="20"/>
        </w:rPr>
        <w:t>,</w:t>
      </w:r>
      <w:r w:rsidRPr="00A27156">
        <w:rPr>
          <w:i/>
          <w:sz w:val="20"/>
          <w:szCs w:val="20"/>
        </w:rPr>
        <w:t xml:space="preserve"> </w:t>
      </w:r>
    </w:p>
    <w:p w:rsidR="00970629" w:rsidRDefault="00970629" w:rsidP="00970629">
      <w:pPr>
        <w:tabs>
          <w:tab w:val="left" w:pos="567"/>
        </w:tabs>
        <w:spacing w:line="360" w:lineRule="auto"/>
        <w:jc w:val="both"/>
        <w:rPr>
          <w:i/>
          <w:sz w:val="20"/>
          <w:szCs w:val="20"/>
        </w:rPr>
      </w:pPr>
      <w:r>
        <w:rPr>
          <w:i/>
          <w:sz w:val="20"/>
          <w:szCs w:val="20"/>
        </w:rPr>
        <w:lastRenderedPageBreak/>
        <w:tab/>
      </w:r>
      <w:r>
        <w:rPr>
          <w:i/>
          <w:sz w:val="20"/>
          <w:szCs w:val="20"/>
        </w:rPr>
        <w:tab/>
        <w:t>P</w:t>
      </w:r>
      <w:r>
        <w:rPr>
          <w:i/>
          <w:position w:val="-6"/>
          <w:sz w:val="20"/>
          <w:szCs w:val="20"/>
        </w:rPr>
        <w:t>j</w:t>
      </w:r>
      <w:r w:rsidRPr="00A27156">
        <w:rPr>
          <w:i/>
          <w:sz w:val="20"/>
          <w:szCs w:val="20"/>
        </w:rPr>
        <w:t xml:space="preserve"> = </w:t>
      </w:r>
      <w:r>
        <w:rPr>
          <w:i/>
          <w:sz w:val="20"/>
          <w:szCs w:val="20"/>
        </w:rPr>
        <w:t xml:space="preserve">jednotlivé peněžní příjmy u různých variant, </w:t>
      </w:r>
    </w:p>
    <w:p w:rsidR="00970629" w:rsidRDefault="00970629" w:rsidP="00970629">
      <w:pPr>
        <w:tabs>
          <w:tab w:val="left" w:pos="567"/>
        </w:tabs>
        <w:spacing w:line="360" w:lineRule="auto"/>
        <w:jc w:val="both"/>
        <w:rPr>
          <w:i/>
          <w:sz w:val="20"/>
          <w:szCs w:val="20"/>
        </w:rPr>
      </w:pPr>
      <w:r>
        <w:rPr>
          <w:i/>
          <w:sz w:val="20"/>
          <w:szCs w:val="20"/>
        </w:rPr>
        <w:tab/>
        <w:t>p</w:t>
      </w:r>
      <w:r>
        <w:rPr>
          <w:i/>
          <w:position w:val="-6"/>
          <w:sz w:val="20"/>
          <w:szCs w:val="20"/>
        </w:rPr>
        <w:t>j</w:t>
      </w:r>
      <w:r w:rsidRPr="00A27156">
        <w:rPr>
          <w:i/>
          <w:sz w:val="20"/>
          <w:szCs w:val="20"/>
        </w:rPr>
        <w:t xml:space="preserve"> = </w:t>
      </w:r>
      <w:r>
        <w:rPr>
          <w:i/>
          <w:sz w:val="20"/>
          <w:szCs w:val="20"/>
        </w:rPr>
        <w:t>pravděpodobnost, že daný peněžní příjem nastane,</w:t>
      </w:r>
    </w:p>
    <w:p w:rsidR="00970629" w:rsidRDefault="00970629" w:rsidP="00970629">
      <w:pPr>
        <w:tabs>
          <w:tab w:val="left" w:pos="567"/>
        </w:tabs>
        <w:spacing w:line="360" w:lineRule="auto"/>
        <w:jc w:val="both"/>
        <w:rPr>
          <w:i/>
          <w:sz w:val="20"/>
          <w:szCs w:val="20"/>
        </w:rPr>
      </w:pPr>
      <w:r>
        <w:rPr>
          <w:i/>
          <w:sz w:val="20"/>
          <w:szCs w:val="20"/>
        </w:rPr>
        <w:tab/>
        <w:t>N = počet variant očekávaných peněžních příjmů,</w:t>
      </w:r>
    </w:p>
    <w:p w:rsidR="00970629" w:rsidRDefault="00970629" w:rsidP="00970629">
      <w:pPr>
        <w:tabs>
          <w:tab w:val="left" w:pos="567"/>
        </w:tabs>
        <w:spacing w:line="360" w:lineRule="auto"/>
        <w:jc w:val="both"/>
        <w:rPr>
          <w:i/>
          <w:sz w:val="20"/>
          <w:szCs w:val="20"/>
        </w:rPr>
      </w:pPr>
      <w:r>
        <w:rPr>
          <w:i/>
          <w:sz w:val="20"/>
          <w:szCs w:val="20"/>
        </w:rPr>
        <w:t xml:space="preserve">            j = jednotlivé varianty očekávaných peněžních příjmů. </w:t>
      </w:r>
    </w:p>
    <w:p w:rsidR="00F162F5" w:rsidRDefault="00F162F5" w:rsidP="009F754E">
      <w:pPr>
        <w:spacing w:line="360" w:lineRule="auto"/>
        <w:jc w:val="both"/>
      </w:pPr>
    </w:p>
    <w:p w:rsidR="00BE4786" w:rsidRDefault="00BE4786" w:rsidP="009F754E">
      <w:pPr>
        <w:spacing w:line="360" w:lineRule="auto"/>
        <w:jc w:val="both"/>
      </w:pPr>
      <w:r>
        <w:t xml:space="preserve">     </w:t>
      </w:r>
      <w:r w:rsidR="00970629">
        <w:t xml:space="preserve">Pro plné vyjádření stupně rizika investičních projektů musíme porovnávat odchylky jednotlivých peněžních </w:t>
      </w:r>
      <w:r w:rsidR="00F162F5">
        <w:t xml:space="preserve">příjmů od průměrné očekávané hodnoty. Protože každá jednotlivá odchylka má jinou pravděpodobnost, je třeba vyjádřit průměrný stupeň odchylek od průměrné očekávané hodnoty. K tomu slouží nejlépe statistická metoda směrodatné odchylky, která představuje druhou druhou odmocninu rozptylu peněžních příjmů, rozptylem je pak součet druhých mocnin odchylek jednotlivých peněžních příjmů od průměrného příjmu násobený mírou pravděpodobnosti těchto příjmů. Matematicky vyjádřeno: </w:t>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 xml:space="preserve"> = </m:t>
        </m:r>
        <m:nary>
          <m:naryPr>
            <m:chr m:val="∑"/>
            <m:ctrlPr>
              <w:rPr>
                <w:rFonts w:ascii="Cambria Math" w:hAnsi="Cambria Math"/>
                <w:i/>
              </w:rPr>
            </m:ctrlPr>
          </m:naryPr>
          <m:sub>
            <m:r>
              <w:rPr>
                <w:rFonts w:ascii="Cambria Math" w:hAnsi="Cambria Math"/>
              </w:rPr>
              <m:t>j=1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r>
                      <w:rPr>
                        <w:rFonts w:ascii="Cambria Math" w:hAnsi="Cambria Math"/>
                      </w:rPr>
                      <m:t>P</m:t>
                    </m:r>
                    <m:r>
                      <w:rPr>
                        <w:rFonts w:ascii="Cambria Math" w:hAnsi="Cambria Math"/>
                        <w:position w:val="-6"/>
                      </w:rPr>
                      <m:t xml:space="preserve">j </m:t>
                    </m:r>
                    <m:r>
                      <w:rPr>
                        <w:rFonts w:ascii="Cambria Math" w:hAnsi="Cambria Math"/>
                      </w:rPr>
                      <m:t xml:space="preserve">- </m:t>
                    </m:r>
                    <m:acc>
                      <m:accPr>
                        <m:chr m:val="̅"/>
                        <m:ctrlPr>
                          <w:rPr>
                            <w:rFonts w:ascii="Cambria Math" w:hAnsi="Cambria Math"/>
                            <w:i/>
                          </w:rPr>
                        </m:ctrlPr>
                      </m:accPr>
                      <m:e>
                        <m:r>
                          <w:rPr>
                            <w:rFonts w:ascii="Cambria Math" w:hAnsi="Cambria Math"/>
                          </w:rPr>
                          <m:t>P</m:t>
                        </m:r>
                      </m:e>
                    </m:acc>
                  </m:e>
                </m:d>
              </m:e>
              <m:sup>
                <m:r>
                  <w:rPr>
                    <w:rFonts w:ascii="Cambria Math" w:hAnsi="Cambria Math"/>
                  </w:rPr>
                  <m:t>2</m:t>
                </m:r>
              </m:sup>
            </m:sSup>
          </m:e>
        </m:nary>
        <m:r>
          <w:rPr>
            <w:rFonts w:ascii="Cambria Math" w:hAnsi="Cambria Math"/>
          </w:rPr>
          <m:t xml:space="preserve"> ×p</m:t>
        </m:r>
        <m:r>
          <w:rPr>
            <w:rFonts w:ascii="Cambria Math" w:hAnsi="Cambria Math"/>
            <w:position w:val="-6"/>
          </w:rPr>
          <m:t>j</m:t>
        </m:r>
      </m:oMath>
      <w:r w:rsidR="00F162F5">
        <w:t xml:space="preserve"> </w:t>
      </w:r>
      <w:r w:rsidR="00970629">
        <w:t xml:space="preserve"> </w:t>
      </w:r>
    </w:p>
    <w:p w:rsidR="00EF0383" w:rsidRDefault="00EF0383" w:rsidP="009F754E">
      <w:pPr>
        <w:spacing w:line="360" w:lineRule="auto"/>
        <w:jc w:val="both"/>
      </w:pPr>
    </w:p>
    <w:p w:rsidR="00EF0383" w:rsidRDefault="00EF0383" w:rsidP="00EF0383">
      <w:pPr>
        <w:tabs>
          <w:tab w:val="left" w:pos="567"/>
        </w:tabs>
        <w:spacing w:line="360" w:lineRule="auto"/>
        <w:jc w:val="both"/>
        <w:rPr>
          <w:sz w:val="20"/>
          <w:szCs w:val="20"/>
        </w:rPr>
      </w:pPr>
      <w:r>
        <w:t>kde:</w:t>
      </w:r>
      <w:r>
        <w:tab/>
      </w:r>
      <m:oMath>
        <m:sSup>
          <m:sSupPr>
            <m:ctrlPr>
              <w:rPr>
                <w:rFonts w:ascii="Cambria Math" w:hAnsi="Cambria Math"/>
                <w:i/>
                <w:sz w:val="20"/>
                <w:szCs w:val="20"/>
              </w:rPr>
            </m:ctrlPr>
          </m:sSupPr>
          <m:e>
            <m:r>
              <w:rPr>
                <w:rFonts w:ascii="Cambria Math" w:hAnsi="Cambria Math"/>
                <w:sz w:val="20"/>
                <w:szCs w:val="20"/>
              </w:rPr>
              <m:t>σ</m:t>
            </m:r>
          </m:e>
          <m:sup>
            <m:r>
              <w:rPr>
                <w:rFonts w:ascii="Cambria Math" w:hAnsi="Cambria Math"/>
                <w:sz w:val="20"/>
                <w:szCs w:val="20"/>
              </w:rPr>
              <m:t>2</m:t>
            </m:r>
          </m:sup>
        </m:sSup>
      </m:oMath>
      <w:r>
        <w:rPr>
          <w:sz w:val="20"/>
          <w:szCs w:val="20"/>
        </w:rPr>
        <w:t xml:space="preserve"> </w:t>
      </w:r>
      <w:r w:rsidRPr="00EF0383">
        <w:rPr>
          <w:i/>
          <w:sz w:val="20"/>
          <w:szCs w:val="20"/>
        </w:rPr>
        <w:t>=</w:t>
      </w:r>
      <w:r>
        <w:rPr>
          <w:i/>
          <w:sz w:val="20"/>
          <w:szCs w:val="20"/>
        </w:rPr>
        <w:t xml:space="preserve"> rozptyl očekávaných peněžních příjmů z investičních variant,</w:t>
      </w:r>
      <w:r w:rsidRPr="00EF0383">
        <w:rPr>
          <w:i/>
          <w:sz w:val="20"/>
          <w:szCs w:val="20"/>
        </w:rPr>
        <w:t xml:space="preserve"> </w:t>
      </w:r>
      <w:r>
        <w:rPr>
          <w:sz w:val="20"/>
          <w:szCs w:val="20"/>
        </w:rPr>
        <w:t xml:space="preserve"> </w:t>
      </w:r>
    </w:p>
    <w:p w:rsidR="00EF0383" w:rsidRPr="00EF0383" w:rsidRDefault="00EF0383" w:rsidP="00EF0383">
      <w:pPr>
        <w:tabs>
          <w:tab w:val="left" w:pos="567"/>
        </w:tabs>
        <w:spacing w:line="360" w:lineRule="auto"/>
        <w:jc w:val="both"/>
        <w:rPr>
          <w:i/>
          <w:sz w:val="20"/>
          <w:szCs w:val="20"/>
        </w:rPr>
      </w:pPr>
      <w:r>
        <w:rPr>
          <w:sz w:val="20"/>
          <w:szCs w:val="20"/>
        </w:rPr>
        <w:tab/>
      </w:r>
      <w:r>
        <w:rPr>
          <w:i/>
          <w:sz w:val="20"/>
          <w:szCs w:val="20"/>
        </w:rPr>
        <w:tab/>
      </w:r>
      <w:r>
        <w:rPr>
          <w:i/>
          <w:sz w:val="20"/>
          <w:szCs w:val="20"/>
        </w:rPr>
        <w:tab/>
        <w:t>P</w:t>
      </w:r>
      <w:r>
        <w:rPr>
          <w:i/>
          <w:position w:val="-6"/>
          <w:sz w:val="20"/>
          <w:szCs w:val="20"/>
        </w:rPr>
        <w:t>j</w:t>
      </w:r>
      <w:r w:rsidRPr="00A27156">
        <w:rPr>
          <w:i/>
          <w:sz w:val="20"/>
          <w:szCs w:val="20"/>
        </w:rPr>
        <w:t xml:space="preserve"> = </w:t>
      </w:r>
      <w:r>
        <w:rPr>
          <w:i/>
          <w:sz w:val="20"/>
          <w:szCs w:val="20"/>
        </w:rPr>
        <w:t xml:space="preserve">jednotlivé očekávané  peněžní příjmy u různých variant, </w:t>
      </w:r>
      <w:r>
        <w:rPr>
          <w:sz w:val="20"/>
          <w:szCs w:val="20"/>
        </w:rPr>
        <w:t xml:space="preserve">       </w:t>
      </w:r>
    </w:p>
    <w:p w:rsidR="00EF0383" w:rsidRPr="00A27156" w:rsidRDefault="00EF0383" w:rsidP="00EF0383">
      <w:pPr>
        <w:tabs>
          <w:tab w:val="left" w:pos="567"/>
        </w:tabs>
        <w:spacing w:line="360" w:lineRule="auto"/>
        <w:jc w:val="both"/>
        <w:rPr>
          <w:i/>
          <w:sz w:val="20"/>
          <w:szCs w:val="20"/>
        </w:rPr>
      </w:pPr>
      <w:r w:rsidRPr="00970629">
        <w:rPr>
          <w:i/>
        </w:rPr>
        <w:tab/>
      </w:r>
      <m:oMath>
        <m:acc>
          <m:accPr>
            <m:chr m:val="̅"/>
            <m:ctrlPr>
              <w:rPr>
                <w:rFonts w:ascii="Cambria Math" w:hAnsi="Cambria Math"/>
                <w:i/>
                <w:sz w:val="20"/>
                <w:szCs w:val="20"/>
              </w:rPr>
            </m:ctrlPr>
          </m:accPr>
          <m:e>
            <m:r>
              <w:rPr>
                <w:rFonts w:ascii="Cambria Math" w:hAnsi="Cambria Math"/>
                <w:sz w:val="20"/>
                <w:szCs w:val="20"/>
              </w:rPr>
              <m:t>P</m:t>
            </m:r>
          </m:e>
        </m:acc>
      </m:oMath>
      <w:r w:rsidRPr="00BD0199">
        <w:rPr>
          <w:i/>
          <w:sz w:val="20"/>
          <w:szCs w:val="20"/>
        </w:rPr>
        <w:t xml:space="preserve"> =</w:t>
      </w:r>
      <w:r>
        <w:rPr>
          <w:i/>
          <w:sz w:val="20"/>
          <w:szCs w:val="20"/>
        </w:rPr>
        <w:t>průměrná očekávaná hodnota peněžních příjmů z projektu</w:t>
      </w:r>
      <w:r w:rsidRPr="00BD0199">
        <w:rPr>
          <w:i/>
          <w:sz w:val="20"/>
          <w:szCs w:val="20"/>
        </w:rPr>
        <w:t>,</w:t>
      </w:r>
      <w:r w:rsidRPr="00A27156">
        <w:rPr>
          <w:i/>
          <w:sz w:val="20"/>
          <w:szCs w:val="20"/>
        </w:rPr>
        <w:t xml:space="preserve"> </w:t>
      </w:r>
    </w:p>
    <w:p w:rsidR="00EF0383" w:rsidRDefault="00EF0383" w:rsidP="00EF0383">
      <w:pPr>
        <w:tabs>
          <w:tab w:val="left" w:pos="567"/>
        </w:tabs>
        <w:spacing w:line="360" w:lineRule="auto"/>
        <w:jc w:val="both"/>
        <w:rPr>
          <w:i/>
          <w:sz w:val="20"/>
          <w:szCs w:val="20"/>
        </w:rPr>
      </w:pPr>
      <w:r>
        <w:rPr>
          <w:i/>
          <w:sz w:val="20"/>
          <w:szCs w:val="20"/>
        </w:rPr>
        <w:tab/>
        <w:t>p</w:t>
      </w:r>
      <w:r>
        <w:rPr>
          <w:i/>
          <w:position w:val="-6"/>
          <w:sz w:val="20"/>
          <w:szCs w:val="20"/>
        </w:rPr>
        <w:t>j</w:t>
      </w:r>
      <w:r w:rsidRPr="00A27156">
        <w:rPr>
          <w:i/>
          <w:sz w:val="20"/>
          <w:szCs w:val="20"/>
        </w:rPr>
        <w:t xml:space="preserve"> = </w:t>
      </w:r>
      <w:r>
        <w:rPr>
          <w:i/>
          <w:sz w:val="20"/>
          <w:szCs w:val="20"/>
        </w:rPr>
        <w:t>pravděpodobnost vzniku jednotlivých očekávaných příjmů,</w:t>
      </w:r>
    </w:p>
    <w:p w:rsidR="00EF0383" w:rsidRDefault="00EF0383" w:rsidP="00EF0383">
      <w:pPr>
        <w:tabs>
          <w:tab w:val="left" w:pos="567"/>
        </w:tabs>
        <w:spacing w:line="360" w:lineRule="auto"/>
        <w:jc w:val="both"/>
        <w:rPr>
          <w:i/>
          <w:sz w:val="20"/>
          <w:szCs w:val="20"/>
        </w:rPr>
      </w:pPr>
      <w:r>
        <w:rPr>
          <w:i/>
          <w:sz w:val="20"/>
          <w:szCs w:val="20"/>
        </w:rPr>
        <w:t xml:space="preserve">            j = jednotlivé varianty očekávaných peněžních příjmů, </w:t>
      </w:r>
    </w:p>
    <w:p w:rsidR="00EF0383" w:rsidRDefault="00EF0383" w:rsidP="00EF0383">
      <w:pPr>
        <w:tabs>
          <w:tab w:val="left" w:pos="567"/>
        </w:tabs>
        <w:spacing w:line="360" w:lineRule="auto"/>
        <w:jc w:val="both"/>
        <w:rPr>
          <w:i/>
          <w:sz w:val="20"/>
          <w:szCs w:val="20"/>
        </w:rPr>
      </w:pPr>
      <w:r>
        <w:rPr>
          <w:i/>
          <w:sz w:val="20"/>
          <w:szCs w:val="20"/>
        </w:rPr>
        <w:tab/>
      </w:r>
      <w:r>
        <w:rPr>
          <w:i/>
          <w:sz w:val="20"/>
          <w:szCs w:val="20"/>
        </w:rPr>
        <w:tab/>
        <w:t>N = počet variant očekávaných peněžních příjmů.</w:t>
      </w:r>
    </w:p>
    <w:p w:rsidR="001346D8" w:rsidRDefault="001346D8" w:rsidP="009F754E">
      <w:pPr>
        <w:spacing w:line="360" w:lineRule="auto"/>
        <w:jc w:val="both"/>
      </w:pPr>
    </w:p>
    <w:p w:rsidR="00EF0383" w:rsidRDefault="00EF0383" w:rsidP="009F754E">
      <w:pPr>
        <w:spacing w:line="360" w:lineRule="auto"/>
        <w:jc w:val="both"/>
      </w:pPr>
      <w:r>
        <w:t xml:space="preserve">     Vyjádření směrodatné odchylky je potom:</w:t>
      </w:r>
      <m:oMath>
        <m:r>
          <w:rPr>
            <w:rFonts w:ascii="Cambria Math" w:hAnsi="Cambria Math"/>
          </w:rPr>
          <m:t xml:space="preserve"> σ= √  </m:t>
        </m:r>
        <m:nary>
          <m:naryPr>
            <m:chr m:val="∑"/>
            <m:ctrlPr>
              <w:rPr>
                <w:rFonts w:ascii="Cambria Math" w:hAnsi="Cambria Math"/>
                <w:i/>
              </w:rPr>
            </m:ctrlPr>
          </m:naryPr>
          <m:sub>
            <m:r>
              <w:rPr>
                <w:rFonts w:ascii="Cambria Math" w:hAnsi="Cambria Math"/>
              </w:rPr>
              <m:t>j=1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r>
                      <w:rPr>
                        <w:rFonts w:ascii="Cambria Math" w:hAnsi="Cambria Math"/>
                      </w:rPr>
                      <m:t>P</m:t>
                    </m:r>
                    <m:r>
                      <w:rPr>
                        <w:rFonts w:ascii="Cambria Math" w:hAnsi="Cambria Math"/>
                        <w:position w:val="-6"/>
                      </w:rPr>
                      <m:t xml:space="preserve">j </m:t>
                    </m:r>
                    <m:r>
                      <w:rPr>
                        <w:rFonts w:ascii="Cambria Math" w:hAnsi="Cambria Math"/>
                      </w:rPr>
                      <m:t xml:space="preserve">- </m:t>
                    </m:r>
                    <m:acc>
                      <m:accPr>
                        <m:chr m:val="̅"/>
                        <m:ctrlPr>
                          <w:rPr>
                            <w:rFonts w:ascii="Cambria Math" w:hAnsi="Cambria Math"/>
                            <w:i/>
                          </w:rPr>
                        </m:ctrlPr>
                      </m:accPr>
                      <m:e>
                        <m:r>
                          <w:rPr>
                            <w:rFonts w:ascii="Cambria Math" w:hAnsi="Cambria Math"/>
                          </w:rPr>
                          <m:t>P</m:t>
                        </m:r>
                      </m:e>
                    </m:acc>
                  </m:e>
                </m:d>
              </m:e>
              <m:sup>
                <m:r>
                  <w:rPr>
                    <w:rFonts w:ascii="Cambria Math" w:hAnsi="Cambria Math"/>
                  </w:rPr>
                  <m:t>2</m:t>
                </m:r>
              </m:sup>
            </m:sSup>
          </m:e>
        </m:nary>
        <m:r>
          <w:rPr>
            <w:rFonts w:ascii="Cambria Math" w:hAnsi="Cambria Math"/>
          </w:rPr>
          <m:t xml:space="preserve"> ×p</m:t>
        </m:r>
        <m:r>
          <w:rPr>
            <w:rFonts w:ascii="Cambria Math" w:hAnsi="Cambria Math"/>
            <w:position w:val="-6"/>
          </w:rPr>
          <m:t>j</m:t>
        </m:r>
      </m:oMath>
      <w:r>
        <w:t xml:space="preserve"> nebo zkráceně pouze:</w:t>
      </w:r>
      <w:r w:rsidR="00C911A1">
        <w:t xml:space="preserve"> </w:t>
      </w:r>
      <m:oMath>
        <m:r>
          <w:rPr>
            <w:rFonts w:ascii="Cambria Math" w:hAnsi="Cambria Math"/>
          </w:rPr>
          <m:t>σ =√</m:t>
        </m:r>
        <m:sSup>
          <m:sSupPr>
            <m:ctrlPr>
              <w:rPr>
                <w:rFonts w:ascii="Cambria Math" w:hAnsi="Cambria Math"/>
                <w:i/>
              </w:rPr>
            </m:ctrlPr>
          </m:sSupPr>
          <m:e>
            <m:r>
              <w:rPr>
                <w:rFonts w:ascii="Cambria Math" w:hAnsi="Cambria Math"/>
              </w:rPr>
              <m:t xml:space="preserve"> σ</m:t>
            </m:r>
          </m:e>
          <m:sup>
            <m:r>
              <w:rPr>
                <w:rFonts w:ascii="Cambria Math" w:hAnsi="Cambria Math"/>
              </w:rPr>
              <m:t>2</m:t>
            </m:r>
          </m:sup>
        </m:sSup>
        <m:r>
          <w:rPr>
            <w:rFonts w:ascii="Cambria Math" w:hAnsi="Cambria Math"/>
          </w:rPr>
          <m:t xml:space="preserve">  </m:t>
        </m:r>
      </m:oMath>
      <w:r>
        <w:t xml:space="preserve"> </w:t>
      </w:r>
      <w:r w:rsidR="00C911A1">
        <w:t xml:space="preserve"> </w:t>
      </w:r>
      <w:r>
        <w:t xml:space="preserve">  </w:t>
      </w:r>
    </w:p>
    <w:p w:rsidR="00C911A1" w:rsidRDefault="00C911A1" w:rsidP="009F754E">
      <w:pPr>
        <w:spacing w:line="360" w:lineRule="auto"/>
        <w:jc w:val="both"/>
      </w:pPr>
    </w:p>
    <w:p w:rsidR="00C911A1" w:rsidRDefault="00C911A1" w:rsidP="00C911A1">
      <w:pPr>
        <w:tabs>
          <w:tab w:val="left" w:pos="567"/>
        </w:tabs>
        <w:spacing w:line="360" w:lineRule="auto"/>
        <w:jc w:val="both"/>
        <w:rPr>
          <w:i/>
          <w:sz w:val="20"/>
          <w:szCs w:val="20"/>
        </w:rPr>
      </w:pPr>
      <w:r>
        <w:t>kde:</w:t>
      </w:r>
      <w:r>
        <w:tab/>
      </w:r>
      <m:oMath>
        <m:r>
          <w:rPr>
            <w:rFonts w:ascii="Cambria Math" w:hAnsi="Cambria Math"/>
          </w:rPr>
          <m:t>σ</m:t>
        </m:r>
      </m:oMath>
      <w:r>
        <w:t xml:space="preserve"> </w:t>
      </w:r>
      <w:r w:rsidRPr="00EF0383">
        <w:rPr>
          <w:i/>
          <w:sz w:val="20"/>
          <w:szCs w:val="20"/>
        </w:rPr>
        <w:t>=</w:t>
      </w:r>
      <w:r>
        <w:rPr>
          <w:i/>
          <w:sz w:val="20"/>
          <w:szCs w:val="20"/>
        </w:rPr>
        <w:t xml:space="preserve"> směrodatná odchylka peněžních příjmů investičního projektu.</w:t>
      </w:r>
    </w:p>
    <w:p w:rsidR="00C911A1" w:rsidRDefault="00C911A1" w:rsidP="00C911A1">
      <w:pPr>
        <w:tabs>
          <w:tab w:val="left" w:pos="567"/>
        </w:tabs>
        <w:spacing w:line="360" w:lineRule="auto"/>
        <w:jc w:val="both"/>
      </w:pPr>
    </w:p>
    <w:p w:rsidR="005C6F3C" w:rsidRDefault="005C6F3C" w:rsidP="005C6F3C">
      <w:pPr>
        <w:tabs>
          <w:tab w:val="left" w:pos="567"/>
        </w:tabs>
        <w:spacing w:line="360" w:lineRule="auto"/>
        <w:jc w:val="both"/>
      </w:pPr>
      <w:r>
        <w:t xml:space="preserve">          Čím větší směrodatnou odchylku peněžních příjmů příslušný projekt vykazuje, tím větší je jeho riziko.</w:t>
      </w:r>
    </w:p>
    <w:p w:rsidR="00B10B8C" w:rsidRDefault="00031929" w:rsidP="00C911A1">
      <w:pPr>
        <w:tabs>
          <w:tab w:val="left" w:pos="567"/>
        </w:tabs>
        <w:spacing w:line="360" w:lineRule="auto"/>
        <w:jc w:val="both"/>
      </w:pPr>
      <w:r>
        <w:t xml:space="preserve">     Pomocí směrodatné odchylky můžeme riziko projektů porovnávat pouze v případě, kdy srovnávané projekty mají přibližně stejné očekávané průměrné hodnoty peněžních příjmů. Směrodatná odchylka, jako absolutní ukazatel vyjádření míry rizika, není vhodná pro porovnání rizikovosti projektů s podstatně odlišnými očekávanými průměrnými hodnotami peněžních příjmů. K vyjádření relativní míry rizika slouží variační koeficient, který lze formálně vyjádřit takto:  </w:t>
      </w:r>
      <m:oMath>
        <m:r>
          <w:rPr>
            <w:rFonts w:ascii="Cambria Math" w:hAnsi="Cambria Math"/>
          </w:rPr>
          <m:t xml:space="preserve">V= </m:t>
        </m:r>
        <m:f>
          <m:fPr>
            <m:ctrlPr>
              <w:rPr>
                <w:rFonts w:ascii="Cambria Math" w:hAnsi="Cambria Math"/>
                <w:i/>
                <w:sz w:val="28"/>
                <w:szCs w:val="28"/>
              </w:rPr>
            </m:ctrlPr>
          </m:fPr>
          <m:num>
            <m:r>
              <w:rPr>
                <w:rFonts w:ascii="Cambria Math" w:hAnsi="Cambria Math"/>
                <w:sz w:val="28"/>
                <w:szCs w:val="28"/>
              </w:rPr>
              <m:t>σ</m:t>
            </m:r>
          </m:num>
          <m:den>
            <m:acc>
              <m:accPr>
                <m:chr m:val="̅"/>
                <m:ctrlPr>
                  <w:rPr>
                    <w:rFonts w:ascii="Cambria Math" w:hAnsi="Cambria Math"/>
                    <w:i/>
                    <w:sz w:val="28"/>
                    <w:szCs w:val="28"/>
                  </w:rPr>
                </m:ctrlPr>
              </m:accPr>
              <m:e>
                <m:r>
                  <w:rPr>
                    <w:rFonts w:ascii="Cambria Math" w:hAnsi="Cambria Math"/>
                    <w:sz w:val="28"/>
                    <w:szCs w:val="28"/>
                  </w:rPr>
                  <m:t>P</m:t>
                </m:r>
              </m:e>
            </m:acc>
          </m:den>
        </m:f>
      </m:oMath>
    </w:p>
    <w:p w:rsidR="00B10B8C" w:rsidRDefault="00B10B8C" w:rsidP="00C911A1">
      <w:pPr>
        <w:tabs>
          <w:tab w:val="left" w:pos="567"/>
        </w:tabs>
        <w:spacing w:line="360" w:lineRule="auto"/>
        <w:jc w:val="both"/>
      </w:pPr>
    </w:p>
    <w:p w:rsidR="005C6F3C" w:rsidRDefault="005C6F3C" w:rsidP="005C6F3C">
      <w:pPr>
        <w:tabs>
          <w:tab w:val="left" w:pos="567"/>
        </w:tabs>
        <w:spacing w:line="360" w:lineRule="auto"/>
        <w:jc w:val="both"/>
        <w:rPr>
          <w:i/>
          <w:sz w:val="20"/>
          <w:szCs w:val="20"/>
        </w:rPr>
      </w:pPr>
      <w:r>
        <w:lastRenderedPageBreak/>
        <w:t>kde:</w:t>
      </w:r>
      <w:r>
        <w:tab/>
      </w:r>
      <w:r w:rsidRPr="005C6F3C">
        <w:rPr>
          <w:i/>
          <w:sz w:val="20"/>
          <w:szCs w:val="20"/>
        </w:rPr>
        <w:t xml:space="preserve">V = </w:t>
      </w:r>
      <w:r>
        <w:rPr>
          <w:i/>
          <w:sz w:val="20"/>
          <w:szCs w:val="20"/>
        </w:rPr>
        <w:t>variační koeficient,</w:t>
      </w:r>
    </w:p>
    <w:p w:rsidR="005C6F3C" w:rsidRPr="005C6F3C" w:rsidRDefault="005C6F3C" w:rsidP="005C6F3C">
      <w:pPr>
        <w:tabs>
          <w:tab w:val="left" w:pos="567"/>
        </w:tabs>
        <w:spacing w:line="360" w:lineRule="auto"/>
        <w:jc w:val="both"/>
        <w:rPr>
          <w:i/>
          <w:sz w:val="20"/>
          <w:szCs w:val="20"/>
        </w:rPr>
      </w:pPr>
      <w:r>
        <w:rPr>
          <w:i/>
          <w:sz w:val="20"/>
          <w:szCs w:val="20"/>
        </w:rPr>
        <w:tab/>
        <w:t>ostatní symboly stejné jako v předchozích vzorcích.</w:t>
      </w:r>
    </w:p>
    <w:p w:rsidR="00B10B8C" w:rsidRDefault="00B10B8C" w:rsidP="00C911A1">
      <w:pPr>
        <w:tabs>
          <w:tab w:val="left" w:pos="567"/>
        </w:tabs>
        <w:spacing w:line="360" w:lineRule="auto"/>
        <w:jc w:val="both"/>
      </w:pPr>
    </w:p>
    <w:p w:rsidR="00B10B8C" w:rsidRDefault="005C6F3C" w:rsidP="00C911A1">
      <w:pPr>
        <w:tabs>
          <w:tab w:val="left" w:pos="567"/>
        </w:tabs>
        <w:spacing w:line="360" w:lineRule="auto"/>
        <w:jc w:val="both"/>
      </w:pPr>
      <w:r>
        <w:t xml:space="preserve">     Čím je variační koeficient vyšší, tím je riziko investičního projektu vyšší.</w:t>
      </w:r>
    </w:p>
    <w:p w:rsidR="00B10B8C" w:rsidRDefault="00C911A1" w:rsidP="00C911A1">
      <w:pPr>
        <w:tabs>
          <w:tab w:val="left" w:pos="567"/>
        </w:tabs>
        <w:spacing w:line="360" w:lineRule="auto"/>
        <w:jc w:val="both"/>
      </w:pPr>
      <w:r>
        <w:t xml:space="preserve">     Příprava a realizace různých způsobů snížení rizika zahrnuje postupy spojené například s prostým omezováním rizika, kdy podnik stanoví takzvané rizikové meze, diverzifikací, dělením či přesunem rizika, pojištěním rizika, etapovou realizací projektu či </w:t>
      </w:r>
      <w:r w:rsidR="00B10B8C">
        <w:t>tvorbou rezerv.</w:t>
      </w:r>
    </w:p>
    <w:p w:rsidR="00C911A1" w:rsidRPr="00C911A1" w:rsidRDefault="00B10B8C" w:rsidP="00C911A1">
      <w:pPr>
        <w:tabs>
          <w:tab w:val="left" w:pos="567"/>
        </w:tabs>
        <w:spacing w:line="360" w:lineRule="auto"/>
        <w:jc w:val="both"/>
      </w:pPr>
      <w:r>
        <w:t xml:space="preserve">     Příprava plánů korekčních opatření pro určité vybrané budoucí kritické situace spočívá ve  znalosti rizikových faktorů, které tyto situace i přes dočasné snížení rizika v budoucnu znovu vyvolají a přípravě finanční rezervy na zvládnutí takové situace</w:t>
      </w:r>
      <w:r w:rsidR="00BA1A85">
        <w:t>, uzavírá zmíněný autor</w:t>
      </w:r>
      <w:r>
        <w:t xml:space="preserve">. </w:t>
      </w:r>
      <w:r w:rsidR="00C911A1">
        <w:t xml:space="preserve">  </w:t>
      </w:r>
    </w:p>
    <w:p w:rsidR="00A301F9" w:rsidRDefault="00A301F9" w:rsidP="0053283B">
      <w:pPr>
        <w:pStyle w:val="Nadpis2"/>
        <w:numPr>
          <w:ilvl w:val="0"/>
          <w:numId w:val="0"/>
        </w:numPr>
        <w:rPr>
          <w:b w:val="0"/>
          <w:bCs w:val="0"/>
        </w:rPr>
      </w:pPr>
    </w:p>
    <w:p w:rsidR="0053283B" w:rsidRPr="0053283B" w:rsidRDefault="0053283B" w:rsidP="0053283B"/>
    <w:p w:rsidR="00440393" w:rsidRDefault="00440393" w:rsidP="008514BC">
      <w:pPr>
        <w:pStyle w:val="Nadpis2"/>
        <w:numPr>
          <w:ilvl w:val="0"/>
          <w:numId w:val="0"/>
        </w:numPr>
        <w:ind w:left="576"/>
        <w:jc w:val="left"/>
      </w:pPr>
    </w:p>
    <w:p w:rsidR="00440393" w:rsidRDefault="00440393" w:rsidP="00440393">
      <w:pPr>
        <w:spacing w:line="360" w:lineRule="auto"/>
        <w:jc w:val="both"/>
      </w:pPr>
    </w:p>
    <w:p w:rsidR="00440393" w:rsidRDefault="00440393" w:rsidP="00440393">
      <w:pPr>
        <w:spacing w:line="360" w:lineRule="auto"/>
        <w:jc w:val="both"/>
      </w:pPr>
    </w:p>
    <w:p w:rsidR="00440393" w:rsidRDefault="00440393"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FC78B6" w:rsidRDefault="00FC78B6" w:rsidP="00440393">
      <w:pPr>
        <w:spacing w:line="360" w:lineRule="auto"/>
        <w:jc w:val="both"/>
      </w:pPr>
    </w:p>
    <w:p w:rsidR="00440393" w:rsidRDefault="00440393" w:rsidP="00440393">
      <w:pPr>
        <w:spacing w:line="360" w:lineRule="auto"/>
        <w:jc w:val="both"/>
      </w:pPr>
    </w:p>
    <w:p w:rsidR="00440393" w:rsidRDefault="00440393" w:rsidP="00440393">
      <w:pPr>
        <w:spacing w:line="360" w:lineRule="auto"/>
        <w:jc w:val="both"/>
      </w:pPr>
    </w:p>
    <w:p w:rsidR="00E12DE0" w:rsidRDefault="00E12DE0" w:rsidP="00440393">
      <w:pPr>
        <w:spacing w:line="360" w:lineRule="auto"/>
        <w:jc w:val="both"/>
      </w:pPr>
    </w:p>
    <w:p w:rsidR="00472E36" w:rsidRPr="00472E36" w:rsidRDefault="00693472" w:rsidP="001B7560">
      <w:pPr>
        <w:pStyle w:val="Nadpis1"/>
        <w:ind w:left="0" w:firstLine="0"/>
        <w:rPr>
          <w:b w:val="0"/>
          <w:szCs w:val="32"/>
        </w:rPr>
      </w:pPr>
      <w:r w:rsidRPr="00472E36">
        <w:rPr>
          <w:b w:val="0"/>
          <w:szCs w:val="32"/>
        </w:rPr>
        <w:lastRenderedPageBreak/>
        <w:t xml:space="preserve"> </w:t>
      </w:r>
      <w:r w:rsidR="0053187C" w:rsidRPr="00472E36">
        <w:rPr>
          <w:b w:val="0"/>
          <w:szCs w:val="32"/>
        </w:rPr>
        <w:t xml:space="preserve"> </w:t>
      </w:r>
      <w:bookmarkStart w:id="364" w:name="_Toc233044402"/>
      <w:r w:rsidR="00472E36" w:rsidRPr="00472E36">
        <w:rPr>
          <w:b w:val="0"/>
          <w:szCs w:val="32"/>
        </w:rPr>
        <w:t>Metody hodnocení ekonomické efektivnosti investičních projektů</w:t>
      </w:r>
      <w:bookmarkEnd w:id="364"/>
    </w:p>
    <w:p w:rsidR="00453ECB" w:rsidRDefault="00453ECB" w:rsidP="00472E36">
      <w:pPr>
        <w:pStyle w:val="Nadpis1"/>
        <w:numPr>
          <w:ilvl w:val="0"/>
          <w:numId w:val="0"/>
        </w:numPr>
        <w:rPr>
          <w:sz w:val="24"/>
        </w:rPr>
      </w:pPr>
    </w:p>
    <w:p w:rsidR="00933856" w:rsidRDefault="00933856" w:rsidP="00CD2E6F">
      <w:pPr>
        <w:pStyle w:val="Nadpis2"/>
        <w:ind w:left="0" w:firstLine="0"/>
        <w:rPr>
          <w:b w:val="0"/>
          <w:sz w:val="28"/>
          <w:szCs w:val="28"/>
        </w:rPr>
      </w:pPr>
      <w:r>
        <w:rPr>
          <w:b w:val="0"/>
          <w:sz w:val="28"/>
          <w:szCs w:val="28"/>
        </w:rPr>
        <w:t xml:space="preserve">  </w:t>
      </w:r>
      <w:bookmarkStart w:id="365" w:name="_Toc233044403"/>
      <w:r w:rsidRPr="00933856">
        <w:rPr>
          <w:b w:val="0"/>
          <w:sz w:val="28"/>
          <w:szCs w:val="28"/>
        </w:rPr>
        <w:t>Obecné souvislosti členění hodnotících metod</w:t>
      </w:r>
      <w:bookmarkEnd w:id="365"/>
    </w:p>
    <w:p w:rsidR="00933856" w:rsidRDefault="00933856" w:rsidP="0011560F">
      <w:pPr>
        <w:spacing w:line="360" w:lineRule="auto"/>
      </w:pPr>
    </w:p>
    <w:p w:rsidR="00C1324C" w:rsidRDefault="00933856" w:rsidP="0011560F">
      <w:pPr>
        <w:spacing w:line="360" w:lineRule="auto"/>
        <w:jc w:val="both"/>
      </w:pPr>
      <w:r>
        <w:t xml:space="preserve">     </w:t>
      </w:r>
      <w:r w:rsidR="006F16CA">
        <w:t>Obe</w:t>
      </w:r>
      <w:r w:rsidR="0011560F">
        <w:t xml:space="preserve">cné souvislosti a souhrnné charakteristiky metod, které se používají k hodnocení ekonomické efektivnosti investičních projektů, </w:t>
      </w:r>
      <w:r w:rsidR="006F16CA">
        <w:t>se v odborné literatuře výrazně neliší</w:t>
      </w:r>
      <w:r w:rsidR="0011560F">
        <w:t xml:space="preserve">. </w:t>
      </w:r>
      <w:r w:rsidR="002C6825">
        <w:t>U</w:t>
      </w:r>
      <w:r w:rsidR="00C1324C">
        <w:t>celen</w:t>
      </w:r>
      <w:r w:rsidR="002C6825">
        <w:t>ý</w:t>
      </w:r>
      <w:r w:rsidR="00C1324C">
        <w:t xml:space="preserve"> a přehledn</w:t>
      </w:r>
      <w:r w:rsidR="002C6825">
        <w:t>ý</w:t>
      </w:r>
      <w:r w:rsidR="00C1324C">
        <w:t xml:space="preserve"> výčet podává Valach</w:t>
      </w:r>
      <w:r w:rsidR="00C1324C">
        <w:rPr>
          <w:rStyle w:val="Znakapoznpodarou"/>
        </w:rPr>
        <w:footnoteReference w:id="49"/>
      </w:r>
      <w:r w:rsidR="00C1324C">
        <w:t>, který podobně jako jiní autoři uvádí, že základní členění hodnotících metod vychází ze skutečnosti, zda příslušná metoda přihlíží k faktoru času či nikoli. Z tohoto pohledu potom provádí členění na:</w:t>
      </w:r>
    </w:p>
    <w:p w:rsidR="001B719C" w:rsidRDefault="001B719C" w:rsidP="0011560F">
      <w:pPr>
        <w:spacing w:line="360" w:lineRule="auto"/>
        <w:jc w:val="both"/>
      </w:pPr>
    </w:p>
    <w:p w:rsidR="009E7686" w:rsidRDefault="00C1324C" w:rsidP="00B329BD">
      <w:pPr>
        <w:pStyle w:val="Odstavecseseznamem"/>
        <w:numPr>
          <w:ilvl w:val="0"/>
          <w:numId w:val="27"/>
        </w:numPr>
        <w:spacing w:line="360" w:lineRule="auto"/>
        <w:ind w:left="754" w:hanging="357"/>
        <w:jc w:val="both"/>
      </w:pPr>
      <w:r>
        <w:t>statické metody, které nereflektují faktor času,</w:t>
      </w:r>
    </w:p>
    <w:p w:rsidR="00C1324C" w:rsidRDefault="00C1324C" w:rsidP="00B329BD">
      <w:pPr>
        <w:pStyle w:val="Odstavecseseznamem"/>
        <w:numPr>
          <w:ilvl w:val="0"/>
          <w:numId w:val="27"/>
        </w:numPr>
        <w:spacing w:line="360" w:lineRule="auto"/>
        <w:ind w:left="754" w:hanging="357"/>
        <w:jc w:val="both"/>
      </w:pPr>
      <w:r>
        <w:t xml:space="preserve">dynamické metody, </w:t>
      </w:r>
      <w:r w:rsidR="00B357B7">
        <w:t>které reflektují faktor času.</w:t>
      </w:r>
    </w:p>
    <w:p w:rsidR="00B357B7" w:rsidRDefault="00B357B7" w:rsidP="00B357B7">
      <w:pPr>
        <w:spacing w:line="360" w:lineRule="auto"/>
        <w:jc w:val="both"/>
      </w:pPr>
    </w:p>
    <w:p w:rsidR="00B357B7" w:rsidRDefault="00B357B7" w:rsidP="00B357B7">
      <w:pPr>
        <w:spacing w:line="360" w:lineRule="auto"/>
        <w:jc w:val="both"/>
      </w:pPr>
      <w:r>
        <w:t xml:space="preserve">     Statické metody použijeme přirozeně pouze v takové situaci, kdy faktor času nemá podstatný vliv na rozhodování o investicích. Typicky tedy v situaci, kdy se jedná o projekt s krátkou dobou životnosti a velmi nízkou diskontní sazbou. Možnosti využití těchto metod jsou v souvislosti s uvedenými specifiky značně omezení, nicméně pro svou jednoduchost mohou dobře sloužit jako první přiblížení k celkovému rozhodnutí.</w:t>
      </w:r>
    </w:p>
    <w:p w:rsidR="003F6270" w:rsidRDefault="00B357B7" w:rsidP="00B357B7">
      <w:pPr>
        <w:spacing w:line="360" w:lineRule="auto"/>
        <w:jc w:val="both"/>
      </w:pPr>
      <w:r>
        <w:t xml:space="preserve">     Dynamické metody použijeme všude, kde počítáme s delším obdobím pořízení dlouhodobého majetku a také delší dobou jeho ekonomické životnosti, uvedená charakteristika odpovídá většině projektů v hospodářské praxi. </w:t>
      </w:r>
      <w:r w:rsidR="003F6270">
        <w:t>Respektování času v propočtech ekonomické efektivnosti investičních projektů podstatně ovlivňuje přijímané rozhodnutí, nedochází v daných případech ke zkreslování pohledu a nesprávnému rozhodnutí.</w:t>
      </w:r>
    </w:p>
    <w:p w:rsidR="003F6270" w:rsidRDefault="003F6270" w:rsidP="00B357B7">
      <w:pPr>
        <w:spacing w:line="360" w:lineRule="auto"/>
        <w:jc w:val="both"/>
      </w:pPr>
      <w:r>
        <w:t xml:space="preserve">     Odlišným hlediskem pro členění hodnotících metod může být</w:t>
      </w:r>
      <w:r w:rsidR="00C114B0">
        <w:t>, jak dále pokračuje uvedený autor,</w:t>
      </w:r>
      <w:r>
        <w:t xml:space="preserve"> pojetí efektů z investičních projektů. Podle tohoto hlediska pak můžeme příslušné hodnotící metody rozdělit na:</w:t>
      </w:r>
    </w:p>
    <w:p w:rsidR="001B719C" w:rsidRDefault="001B719C" w:rsidP="00B357B7">
      <w:pPr>
        <w:spacing w:line="360" w:lineRule="auto"/>
        <w:jc w:val="both"/>
      </w:pPr>
    </w:p>
    <w:p w:rsidR="00B357B7" w:rsidRDefault="003775D3" w:rsidP="00B329BD">
      <w:pPr>
        <w:pStyle w:val="Odstavecseseznamem"/>
        <w:numPr>
          <w:ilvl w:val="0"/>
          <w:numId w:val="28"/>
        </w:numPr>
        <w:spacing w:line="360" w:lineRule="auto"/>
        <w:ind w:left="754" w:hanging="357"/>
        <w:jc w:val="both"/>
      </w:pPr>
      <w:r>
        <w:t>metody, u nichž jako kritérium hodnocení vystupuje očekávaná úspora nákladů (nákladová kritéria hodnocení ekonomické efektivnosti),</w:t>
      </w:r>
    </w:p>
    <w:p w:rsidR="003775D3" w:rsidRDefault="003775D3" w:rsidP="00B329BD">
      <w:pPr>
        <w:pStyle w:val="Odstavecseseznamem"/>
        <w:numPr>
          <w:ilvl w:val="0"/>
          <w:numId w:val="28"/>
        </w:numPr>
        <w:spacing w:line="360" w:lineRule="auto"/>
        <w:ind w:left="754" w:hanging="357"/>
        <w:jc w:val="both"/>
      </w:pPr>
      <w:r>
        <w:t>metody, u nichž je kritériem hodnocení očekávaný účetní zisk (zisková kritéria hodnocení ekonomické efektivnosti),</w:t>
      </w:r>
    </w:p>
    <w:p w:rsidR="003775D3" w:rsidRDefault="003775D3" w:rsidP="00B329BD">
      <w:pPr>
        <w:pStyle w:val="Odstavecseseznamem"/>
        <w:numPr>
          <w:ilvl w:val="0"/>
          <w:numId w:val="28"/>
        </w:numPr>
        <w:spacing w:line="360" w:lineRule="auto"/>
        <w:ind w:left="754" w:hanging="357"/>
        <w:jc w:val="both"/>
      </w:pPr>
      <w:r>
        <w:lastRenderedPageBreak/>
        <w:t>metody, u nichž je kritériem hodnocení očekávaný peněžní tok z projektu (čistý peněžní příjem z projektu).</w:t>
      </w:r>
    </w:p>
    <w:p w:rsidR="00CD7648" w:rsidRDefault="00CD7648" w:rsidP="003775D3">
      <w:pPr>
        <w:spacing w:line="360" w:lineRule="auto"/>
        <w:jc w:val="both"/>
      </w:pPr>
      <w:r>
        <w:t xml:space="preserve">     U metod opírajících se o nákladová kritéria vystupuje jako efekt investování úspora nákladů, a to jak nákladů investičních, tak nákladů provozních. Musíme tedy brát v úvahu oba tyto nákladové druhy, neboť se často můžeme setkat se situací, kdy se mezi jejich výší musíme rozhodnout.</w:t>
      </w:r>
    </w:p>
    <w:p w:rsidR="00CD7648" w:rsidRDefault="00CD7648" w:rsidP="003775D3">
      <w:pPr>
        <w:spacing w:line="360" w:lineRule="auto"/>
        <w:jc w:val="both"/>
      </w:pPr>
      <w:r>
        <w:t xml:space="preserve">     </w:t>
      </w:r>
      <w:r w:rsidR="00602BA1">
        <w:t>Zisková kritéria chápou jako efekt investování zisk snížený o daň ze zisku. Z hlediska finančního však účetní zisk nepředstavuje celkový tok peněžních příjmů z projektu, protože neobsahuje příjmy ve formě odpisů, eventuelně jiné peněžní příjmy v souvislosti s investováním.</w:t>
      </w:r>
      <w:r>
        <w:t xml:space="preserve">   </w:t>
      </w:r>
    </w:p>
    <w:p w:rsidR="003775D3" w:rsidRDefault="003775D3" w:rsidP="003775D3">
      <w:pPr>
        <w:spacing w:line="360" w:lineRule="auto"/>
        <w:jc w:val="both"/>
      </w:pPr>
      <w:r>
        <w:t xml:space="preserve">     </w:t>
      </w:r>
      <w:r w:rsidR="00602BA1">
        <w:t xml:space="preserve">Proto se v současné </w:t>
      </w:r>
      <w:r>
        <w:t>teorii vyhodnocování investičních projektů dává jednoznačná přednost kritériím opírajícím se o peněžní příjem z projektu.</w:t>
      </w:r>
    </w:p>
    <w:p w:rsidR="003775D3" w:rsidRDefault="003775D3" w:rsidP="003775D3">
      <w:pPr>
        <w:spacing w:line="360" w:lineRule="auto"/>
        <w:jc w:val="both"/>
      </w:pPr>
      <w:r>
        <w:t xml:space="preserve">     V teorii i praxi </w:t>
      </w:r>
      <w:r w:rsidR="006E72F4">
        <w:t>s</w:t>
      </w:r>
      <w:r>
        <w:t>e</w:t>
      </w:r>
      <w:r w:rsidR="006E72F4">
        <w:t xml:space="preserve"> dle Valacha</w:t>
      </w:r>
      <w:r w:rsidR="006E72F4">
        <w:rPr>
          <w:rStyle w:val="Znakapoznpodarou"/>
        </w:rPr>
        <w:footnoteReference w:id="50"/>
      </w:r>
      <w:r>
        <w:t xml:space="preserve"> nejčastěji setkáváme s těmito metodami vyhodnocování ekonomické efektivnosti investičních projektů, respektive investičních variant:</w:t>
      </w:r>
    </w:p>
    <w:p w:rsidR="001B719C" w:rsidRDefault="001B719C" w:rsidP="003775D3">
      <w:pPr>
        <w:spacing w:line="360" w:lineRule="auto"/>
        <w:jc w:val="both"/>
      </w:pPr>
    </w:p>
    <w:p w:rsidR="003775D3" w:rsidRDefault="003775D3" w:rsidP="00B329BD">
      <w:pPr>
        <w:pStyle w:val="Odstavecseseznamem"/>
        <w:numPr>
          <w:ilvl w:val="0"/>
          <w:numId w:val="29"/>
        </w:numPr>
        <w:spacing w:line="360" w:lineRule="auto"/>
        <w:ind w:left="754" w:hanging="357"/>
        <w:jc w:val="both"/>
      </w:pPr>
      <w:r>
        <w:t>průměrné roční náklady (annual cost, equivalent annual charge),</w:t>
      </w:r>
    </w:p>
    <w:p w:rsidR="003775D3" w:rsidRDefault="003775D3" w:rsidP="00B329BD">
      <w:pPr>
        <w:pStyle w:val="Odstavecseseznamem"/>
        <w:numPr>
          <w:ilvl w:val="0"/>
          <w:numId w:val="29"/>
        </w:numPr>
        <w:spacing w:line="360" w:lineRule="auto"/>
        <w:ind w:left="754" w:hanging="357"/>
        <w:jc w:val="both"/>
      </w:pPr>
      <w:r>
        <w:t>diskontované náklady (</w:t>
      </w:r>
      <w:r w:rsidR="00CD7648">
        <w:t>discounted cost),</w:t>
      </w:r>
    </w:p>
    <w:p w:rsidR="00CD7648" w:rsidRDefault="00CD7648" w:rsidP="00B329BD">
      <w:pPr>
        <w:pStyle w:val="Odstavecseseznamem"/>
        <w:numPr>
          <w:ilvl w:val="0"/>
          <w:numId w:val="29"/>
        </w:numPr>
        <w:spacing w:line="360" w:lineRule="auto"/>
        <w:ind w:left="754" w:hanging="357"/>
        <w:jc w:val="both"/>
      </w:pPr>
      <w:r>
        <w:t>čistá současná hodnota (net present value),</w:t>
      </w:r>
    </w:p>
    <w:p w:rsidR="00CD7648" w:rsidRDefault="00CD7648" w:rsidP="00B329BD">
      <w:pPr>
        <w:pStyle w:val="Odstavecseseznamem"/>
        <w:numPr>
          <w:ilvl w:val="0"/>
          <w:numId w:val="29"/>
        </w:numPr>
        <w:spacing w:line="360" w:lineRule="auto"/>
        <w:ind w:left="754" w:hanging="357"/>
        <w:jc w:val="both"/>
      </w:pPr>
      <w:r>
        <w:t>index rentability (profitability index),</w:t>
      </w:r>
    </w:p>
    <w:p w:rsidR="00CD7648" w:rsidRDefault="00CD7648" w:rsidP="00B329BD">
      <w:pPr>
        <w:pStyle w:val="Odstavecseseznamem"/>
        <w:numPr>
          <w:ilvl w:val="0"/>
          <w:numId w:val="29"/>
        </w:numPr>
        <w:spacing w:line="360" w:lineRule="auto"/>
        <w:ind w:left="754" w:hanging="357"/>
        <w:jc w:val="both"/>
      </w:pPr>
      <w:r>
        <w:t>vnitřní výnosové procento (internal rate of return),</w:t>
      </w:r>
    </w:p>
    <w:p w:rsidR="00CD7648" w:rsidRDefault="00CD7648" w:rsidP="00B329BD">
      <w:pPr>
        <w:pStyle w:val="Odstavecseseznamem"/>
        <w:numPr>
          <w:ilvl w:val="0"/>
          <w:numId w:val="29"/>
        </w:numPr>
        <w:spacing w:line="360" w:lineRule="auto"/>
        <w:ind w:left="754" w:hanging="357"/>
        <w:jc w:val="both"/>
      </w:pPr>
      <w:r>
        <w:t>průměrná výnosnost (average rate of return),</w:t>
      </w:r>
    </w:p>
    <w:p w:rsidR="00CD7648" w:rsidRDefault="00CD7648" w:rsidP="00B329BD">
      <w:pPr>
        <w:pStyle w:val="Odstavecseseznamem"/>
        <w:numPr>
          <w:ilvl w:val="0"/>
          <w:numId w:val="29"/>
        </w:numPr>
        <w:spacing w:line="360" w:lineRule="auto"/>
        <w:ind w:left="754" w:hanging="357"/>
        <w:jc w:val="both"/>
      </w:pPr>
      <w:r>
        <w:t>doba návratnosti (payback period).</w:t>
      </w:r>
    </w:p>
    <w:p w:rsidR="00602BA1" w:rsidRDefault="00602BA1" w:rsidP="00602BA1">
      <w:pPr>
        <w:spacing w:line="360" w:lineRule="auto"/>
        <w:jc w:val="both"/>
      </w:pPr>
    </w:p>
    <w:p w:rsidR="00602BA1" w:rsidRDefault="00602BA1" w:rsidP="00602BA1">
      <w:pPr>
        <w:spacing w:line="360" w:lineRule="auto"/>
        <w:jc w:val="both"/>
      </w:pPr>
      <w:r>
        <w:t xml:space="preserve">     Existují i další metody vyhodnocování ekonomické efektivnosti investičních projektů</w:t>
      </w:r>
      <w:r w:rsidR="000A2E95">
        <w:t>,</w:t>
      </w:r>
      <w:r>
        <w:t xml:space="preserve"> například upravená čistá současná hodnota, doba návratnosti</w:t>
      </w:r>
      <w:r w:rsidR="00C114B0">
        <w:t xml:space="preserve"> upravená diskontováním</w:t>
      </w:r>
      <w:r>
        <w:t xml:space="preserve"> a </w:t>
      </w:r>
      <w:r w:rsidR="000A2E95">
        <w:t>jiné</w:t>
      </w:r>
      <w:r>
        <w:t xml:space="preserve">. Obvykle se však </w:t>
      </w:r>
      <w:r w:rsidR="006E72F4">
        <w:t xml:space="preserve">podle </w:t>
      </w:r>
      <w:r w:rsidR="005F7F55">
        <w:t>zmíněného</w:t>
      </w:r>
      <w:r w:rsidR="006E72F4">
        <w:t xml:space="preserve"> autora </w:t>
      </w:r>
      <w:r>
        <w:t>jedná o odvozené přístupy uvedených základních metod.</w:t>
      </w:r>
    </w:p>
    <w:p w:rsidR="003F49B9" w:rsidRDefault="00125599" w:rsidP="00602BA1">
      <w:pPr>
        <w:spacing w:line="360" w:lineRule="auto"/>
        <w:jc w:val="both"/>
      </w:pPr>
      <w:r>
        <w:t xml:space="preserve">     </w:t>
      </w:r>
      <w:r w:rsidR="001B719C">
        <w:t>Podobné</w:t>
      </w:r>
      <w:r w:rsidR="00E02C2D">
        <w:t xml:space="preserve"> členění kritérií hodnocení investičních projektů nabízí Dluhošová</w:t>
      </w:r>
      <w:r w:rsidR="002C6825">
        <w:rPr>
          <w:rStyle w:val="Znakapoznpodarou"/>
        </w:rPr>
        <w:footnoteReference w:id="51"/>
      </w:r>
      <w:r w:rsidR="00E02C2D">
        <w:t xml:space="preserve">, která ke statickým metodám řadí </w:t>
      </w:r>
      <w:r w:rsidR="002C6825">
        <w:t>rentabilitu investovaného kapitálu a dobu úhrady, k dynamickým potom čistou současnou hodnotu, vnitřní výnosové procento, index rentabil</w:t>
      </w:r>
      <w:r w:rsidR="003F49B9">
        <w:t xml:space="preserve">ity a diskontovanou dobu úhrady. </w:t>
      </w:r>
      <w:r w:rsidR="001B719C">
        <w:t>Popsané</w:t>
      </w:r>
      <w:r w:rsidR="003F49B9">
        <w:t xml:space="preserve"> souvislosti </w:t>
      </w:r>
      <w:r w:rsidR="001B719C">
        <w:t xml:space="preserve">pak zmíněná autorka </w:t>
      </w:r>
      <w:r w:rsidR="003F49B9">
        <w:t>vyjadřuje graf</w:t>
      </w:r>
      <w:r w:rsidR="001B719C">
        <w:t>em</w:t>
      </w:r>
      <w:r w:rsidR="003F49B9">
        <w:t>.</w:t>
      </w:r>
    </w:p>
    <w:p w:rsidR="0039781A" w:rsidRPr="00CA662C" w:rsidRDefault="003F49B9" w:rsidP="001346D8">
      <w:pPr>
        <w:pStyle w:val="Titulek"/>
      </w:pPr>
      <w:r>
        <w:lastRenderedPageBreak/>
        <w:t xml:space="preserve"> </w:t>
      </w:r>
      <w:bookmarkStart w:id="366" w:name="_Toc231112078"/>
      <w:bookmarkStart w:id="367" w:name="_Toc231112332"/>
      <w:bookmarkStart w:id="368" w:name="_Toc233044456"/>
      <w:r w:rsidRPr="00CA662C">
        <w:t>Graf</w:t>
      </w:r>
      <w:r w:rsidR="0039781A" w:rsidRPr="00CA662C">
        <w:t xml:space="preserve"> č. 1 – Ekonomická kritéria hodnocení investičních projektů</w:t>
      </w:r>
      <w:bookmarkEnd w:id="366"/>
      <w:bookmarkEnd w:id="367"/>
      <w:bookmarkEnd w:id="368"/>
    </w:p>
    <w:p w:rsidR="00201CBF" w:rsidRDefault="003F0163" w:rsidP="00602BA1">
      <w:pPr>
        <w:spacing w:line="360" w:lineRule="auto"/>
        <w:jc w:val="both"/>
      </w:pPr>
      <w:r>
        <w:rPr>
          <w:noProof/>
        </w:rPr>
        <w:drawing>
          <wp:anchor distT="0" distB="0" distL="114300" distR="114300" simplePos="0" relativeHeight="251659264" behindDoc="0" locked="0" layoutInCell="1" allowOverlap="1">
            <wp:simplePos x="0" y="0"/>
            <wp:positionH relativeFrom="column">
              <wp:posOffset>-69850</wp:posOffset>
            </wp:positionH>
            <wp:positionV relativeFrom="paragraph">
              <wp:posOffset>168275</wp:posOffset>
            </wp:positionV>
            <wp:extent cx="5772150" cy="4076700"/>
            <wp:effectExtent l="1905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5772150" cy="4076700"/>
                    </a:xfrm>
                    <a:prstGeom prst="rect">
                      <a:avLst/>
                    </a:prstGeom>
                    <a:noFill/>
                    <a:ln w="9525">
                      <a:noFill/>
                      <a:miter lim="800000"/>
                      <a:headEnd/>
                      <a:tailEnd/>
                    </a:ln>
                  </pic:spPr>
                </pic:pic>
              </a:graphicData>
            </a:graphic>
          </wp:anchor>
        </w:drawing>
      </w:r>
    </w:p>
    <w:p w:rsidR="001F47AB" w:rsidRDefault="001F47AB"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2C6825" w:rsidRDefault="002C6825" w:rsidP="00602BA1">
      <w:pPr>
        <w:spacing w:line="360" w:lineRule="auto"/>
        <w:jc w:val="both"/>
      </w:pPr>
    </w:p>
    <w:p w:rsidR="004D0238" w:rsidRDefault="004D0238" w:rsidP="00602BA1">
      <w:pPr>
        <w:spacing w:line="360" w:lineRule="auto"/>
        <w:jc w:val="both"/>
        <w:rPr>
          <w:sz w:val="18"/>
          <w:szCs w:val="18"/>
        </w:rPr>
      </w:pPr>
    </w:p>
    <w:p w:rsidR="00423A71" w:rsidRDefault="00423A71" w:rsidP="00602BA1">
      <w:pPr>
        <w:spacing w:line="360" w:lineRule="auto"/>
        <w:jc w:val="both"/>
        <w:rPr>
          <w:sz w:val="18"/>
          <w:szCs w:val="18"/>
        </w:rPr>
      </w:pPr>
    </w:p>
    <w:p w:rsidR="00977DEE" w:rsidRPr="00BA1A85" w:rsidRDefault="002C6825" w:rsidP="00602BA1">
      <w:pPr>
        <w:spacing w:line="360" w:lineRule="auto"/>
        <w:jc w:val="both"/>
        <w:rPr>
          <w:i/>
          <w:sz w:val="18"/>
          <w:szCs w:val="18"/>
        </w:rPr>
      </w:pPr>
      <w:r w:rsidRPr="00BA1A85">
        <w:rPr>
          <w:i/>
          <w:sz w:val="18"/>
          <w:szCs w:val="18"/>
        </w:rPr>
        <w:t>Zdroj:</w:t>
      </w:r>
      <w:r w:rsidR="0039781A" w:rsidRPr="00BA1A85">
        <w:rPr>
          <w:i/>
          <w:sz w:val="18"/>
          <w:szCs w:val="18"/>
        </w:rPr>
        <w:t xml:space="preserve"> DLUHOŠOVÁ, D. Porovnání způsobů hodnocení investičních projektů - příspěvek v rámci 3. mezinárodní konference Řízení a modelování finančních rizik, Ostrava září 2006, str. 53.</w:t>
      </w:r>
      <w:r w:rsidR="00977DEE" w:rsidRPr="00BA1A85">
        <w:rPr>
          <w:i/>
          <w:sz w:val="18"/>
          <w:szCs w:val="18"/>
        </w:rPr>
        <w:t xml:space="preserve">, dostupné na: </w:t>
      </w:r>
      <w:hyperlink r:id="rId14" w:history="1">
        <w:r w:rsidR="00977DEE" w:rsidRPr="00BA1A85">
          <w:rPr>
            <w:rStyle w:val="Hypertextovodkaz"/>
            <w:i/>
            <w:sz w:val="18"/>
            <w:szCs w:val="18"/>
          </w:rPr>
          <w:t>http://www.ekf.vsb.cz/shared/uploadedfiles/cul33/Dana.Dluhosova.pdf</w:t>
        </w:r>
      </w:hyperlink>
    </w:p>
    <w:p w:rsidR="002C6825" w:rsidRDefault="0039781A" w:rsidP="00602BA1">
      <w:pPr>
        <w:spacing w:line="360" w:lineRule="auto"/>
        <w:jc w:val="both"/>
        <w:rPr>
          <w:sz w:val="18"/>
          <w:szCs w:val="18"/>
        </w:rPr>
      </w:pPr>
      <w:r w:rsidRPr="0039781A">
        <w:rPr>
          <w:sz w:val="18"/>
          <w:szCs w:val="18"/>
        </w:rPr>
        <w:t xml:space="preserve"> </w:t>
      </w:r>
      <w:r w:rsidR="002C6825" w:rsidRPr="0039781A">
        <w:rPr>
          <w:sz w:val="18"/>
          <w:szCs w:val="18"/>
        </w:rPr>
        <w:t xml:space="preserve"> </w:t>
      </w:r>
    </w:p>
    <w:p w:rsidR="001B719C" w:rsidRDefault="001B719C" w:rsidP="00602BA1">
      <w:pPr>
        <w:spacing w:line="360" w:lineRule="auto"/>
        <w:jc w:val="both"/>
      </w:pPr>
      <w:r>
        <w:t xml:space="preserve">     Fotr a Souček</w:t>
      </w:r>
      <w:r>
        <w:rPr>
          <w:rStyle w:val="Znakapoznpodarou"/>
        </w:rPr>
        <w:footnoteReference w:id="52"/>
      </w:r>
      <w:r>
        <w:t xml:space="preserve"> </w:t>
      </w:r>
      <w:r w:rsidR="00B35BD7">
        <w:t xml:space="preserve">zmiňují navíc i metodu </w:t>
      </w:r>
      <w:r>
        <w:t xml:space="preserve">reálných opcí, která </w:t>
      </w:r>
      <w:r w:rsidR="00B35BD7">
        <w:t xml:space="preserve">odstraňuje nedostatky klasického přístupu oceňování investičních projektů založeného na diskontovaných peněžních tocích tím, že respektuje projektovou flexibilitu.  </w:t>
      </w:r>
    </w:p>
    <w:p w:rsidR="002B265A" w:rsidRDefault="002B265A" w:rsidP="002B265A">
      <w:pPr>
        <w:spacing w:line="360" w:lineRule="auto"/>
        <w:jc w:val="both"/>
      </w:pPr>
      <w:r>
        <w:t xml:space="preserve">     V souvislosti s provedením výpočtů hodnocení ekonomické efektivnosti investic zmiňuje Synek</w:t>
      </w:r>
      <w:r>
        <w:rPr>
          <w:rStyle w:val="Znakapoznpodarou"/>
        </w:rPr>
        <w:footnoteReference w:id="53"/>
      </w:r>
      <w:r>
        <w:t xml:space="preserve"> skutečnost, že většinou postačují všeobecně používané tabulkové procesory (Excel, Quattro, Lotus, a další). </w:t>
      </w:r>
      <w:r w:rsidR="00FB12D6">
        <w:t xml:space="preserve"> </w:t>
      </w:r>
      <w:r>
        <w:t xml:space="preserve">  </w:t>
      </w:r>
    </w:p>
    <w:p w:rsidR="00472303" w:rsidRDefault="00602BA1" w:rsidP="00602BA1">
      <w:pPr>
        <w:spacing w:line="360" w:lineRule="auto"/>
        <w:jc w:val="both"/>
      </w:pPr>
      <w:r>
        <w:t xml:space="preserve">     </w:t>
      </w:r>
      <w:r w:rsidR="00472303">
        <w:t xml:space="preserve">V další části práce budou </w:t>
      </w:r>
      <w:r w:rsidR="00C169D2">
        <w:t>vybrané</w:t>
      </w:r>
      <w:r w:rsidR="00472303">
        <w:t xml:space="preserve"> hodnotící metody konkretizovány, pozornost bude věnována zejména podrobné identifikaci každé metody</w:t>
      </w:r>
      <w:r w:rsidR="00C169D2">
        <w:t xml:space="preserve"> a</w:t>
      </w:r>
      <w:r w:rsidR="00472303">
        <w:t xml:space="preserve"> její specifické charakteristice ve vazbě na možnosti jejího užití.</w:t>
      </w:r>
    </w:p>
    <w:p w:rsidR="006D485D" w:rsidRDefault="00F513AE" w:rsidP="00602BA1">
      <w:pPr>
        <w:spacing w:line="360" w:lineRule="auto"/>
        <w:jc w:val="both"/>
      </w:pPr>
      <w:r>
        <w:lastRenderedPageBreak/>
        <w:t xml:space="preserve">     Neboť někteří autoři používají k vyjádření stejných veličin různá označení, je třeba, než přistoupíme k popisu jednotlivých metod hodnocení investičních projektů, nadefinovat jednotná označení, kter</w:t>
      </w:r>
      <w:r w:rsidR="00FB12D6">
        <w:t>á</w:t>
      </w:r>
      <w:r>
        <w:t xml:space="preserve"> budou v dalším textu použit</w:t>
      </w:r>
      <w:r w:rsidR="00FB12D6">
        <w:t>a</w:t>
      </w:r>
      <w:r>
        <w:t xml:space="preserve">. </w:t>
      </w:r>
      <w:r w:rsidR="006D485D">
        <w:t>Do vzorců pro vyjádření příslušné hodnotící metody potom budeme dosazovat tato jednotná označení.</w:t>
      </w:r>
    </w:p>
    <w:p w:rsidR="006D485D" w:rsidRDefault="006D485D" w:rsidP="00602BA1">
      <w:pPr>
        <w:spacing w:line="360" w:lineRule="auto"/>
        <w:jc w:val="both"/>
      </w:pPr>
      <w:r>
        <w:t xml:space="preserve">     Symbolem</w:t>
      </w:r>
      <w:r w:rsidR="00684DB2">
        <w:t xml:space="preserve"> </w:t>
      </w:r>
      <w:r w:rsidR="00684DB2" w:rsidRPr="001F47AB">
        <w:rPr>
          <w:i/>
        </w:rPr>
        <w:t>Ø</w:t>
      </w:r>
      <w:r w:rsidR="00684DB2">
        <w:rPr>
          <w:i/>
        </w:rPr>
        <w:t xml:space="preserve">N </w:t>
      </w:r>
      <w:r w:rsidR="00684DB2">
        <w:t xml:space="preserve">budeme značit roční průměrné náklady, </w:t>
      </w:r>
      <w:r w:rsidR="00684DB2" w:rsidRPr="00684DB2">
        <w:rPr>
          <w:i/>
        </w:rPr>
        <w:t>DN</w:t>
      </w:r>
      <w:r w:rsidR="00684DB2">
        <w:t xml:space="preserve"> diskontované náklady,</w:t>
      </w:r>
      <w:r>
        <w:t xml:space="preserve"> </w:t>
      </w:r>
      <w:r w:rsidR="001F47AB" w:rsidRPr="001F47AB">
        <w:rPr>
          <w:i/>
        </w:rPr>
        <w:t>Ø</w:t>
      </w:r>
      <w:r w:rsidRPr="001F47AB">
        <w:rPr>
          <w:i/>
        </w:rPr>
        <w:t>Z</w:t>
      </w:r>
      <w:r>
        <w:t> </w:t>
      </w:r>
      <w:r w:rsidR="001F47AB">
        <w:t xml:space="preserve">průměrný </w:t>
      </w:r>
      <w:r>
        <w:t>zisk</w:t>
      </w:r>
      <w:r w:rsidR="001F47AB">
        <w:t xml:space="preserve"> po zdanění plynoucí z investice. Peněžní příjem z investice, jak již byl v této práci definován, budeme značit </w:t>
      </w:r>
      <w:r w:rsidR="001F47AB" w:rsidRPr="001F47AB">
        <w:rPr>
          <w:i/>
        </w:rPr>
        <w:t>P</w:t>
      </w:r>
      <w:r w:rsidR="001F47AB">
        <w:t xml:space="preserve">, </w:t>
      </w:r>
      <w:r w:rsidR="00201CBF">
        <w:t xml:space="preserve">podobně již dříve definovaný </w:t>
      </w:r>
      <w:r w:rsidR="001F47AB">
        <w:t>kapitálový výdaj</w:t>
      </w:r>
      <w:r w:rsidR="00EB5E82">
        <w:t xml:space="preserve"> symbolem</w:t>
      </w:r>
      <w:r w:rsidR="001F47AB">
        <w:t xml:space="preserve"> </w:t>
      </w:r>
      <w:r w:rsidR="001F47AB" w:rsidRPr="001F47AB">
        <w:rPr>
          <w:i/>
        </w:rPr>
        <w:t>K</w:t>
      </w:r>
      <w:r w:rsidR="00684DB2">
        <w:t xml:space="preserve">, provozní náklady potom </w:t>
      </w:r>
      <w:r w:rsidR="00684DB2" w:rsidRPr="00684DB2">
        <w:rPr>
          <w:i/>
        </w:rPr>
        <w:t>PN</w:t>
      </w:r>
      <w:r w:rsidR="001F47AB">
        <w:t>. Symbol</w:t>
      </w:r>
      <w:r w:rsidR="00462CDB">
        <w:t>em</w:t>
      </w:r>
      <w:r w:rsidR="001F47AB">
        <w:t xml:space="preserve"> </w:t>
      </w:r>
      <w:r w:rsidR="001F47AB" w:rsidRPr="001F47AB">
        <w:rPr>
          <w:i/>
        </w:rPr>
        <w:t>O</w:t>
      </w:r>
      <w:r w:rsidR="001F47AB">
        <w:t xml:space="preserve"> </w:t>
      </w:r>
      <w:r w:rsidR="00462CDB">
        <w:t xml:space="preserve">budeme </w:t>
      </w:r>
      <w:r w:rsidR="001F47AB">
        <w:t>označ</w:t>
      </w:r>
      <w:r w:rsidR="00462CDB">
        <w:t>ovat</w:t>
      </w:r>
      <w:r w:rsidR="001F47AB">
        <w:t xml:space="preserve"> odpisy, </w:t>
      </w:r>
      <w:r w:rsidR="001F47AB" w:rsidRPr="001F47AB">
        <w:rPr>
          <w:i/>
        </w:rPr>
        <w:t>n</w:t>
      </w:r>
      <w:r w:rsidR="001F47AB">
        <w:t xml:space="preserve"> jednotlivé roky trvání investice nebo jednotlivá období</w:t>
      </w:r>
      <w:r w:rsidR="006E20D2">
        <w:t>,</w:t>
      </w:r>
      <w:r w:rsidR="007130D1">
        <w:t xml:space="preserve"> </w:t>
      </w:r>
      <w:r w:rsidR="007130D1" w:rsidRPr="007130D1">
        <w:rPr>
          <w:i/>
        </w:rPr>
        <w:t>N</w:t>
      </w:r>
      <w:r w:rsidR="007130D1">
        <w:t xml:space="preserve"> dobu životnosti,</w:t>
      </w:r>
      <w:r w:rsidR="001F47AB">
        <w:t xml:space="preserve"> </w:t>
      </w:r>
      <w:r w:rsidR="006E20D2" w:rsidRPr="006E20D2">
        <w:rPr>
          <w:i/>
        </w:rPr>
        <w:t>a</w:t>
      </w:r>
      <w:r w:rsidR="006E20D2">
        <w:t xml:space="preserve"> dobu návratnosti a </w:t>
      </w:r>
      <w:r w:rsidR="001F47AB" w:rsidRPr="001F47AB">
        <w:rPr>
          <w:i/>
        </w:rPr>
        <w:t xml:space="preserve">i </w:t>
      </w:r>
      <w:r w:rsidR="00201CBF">
        <w:t xml:space="preserve">diskontní sazbu projektu. </w:t>
      </w:r>
      <w:r w:rsidR="001F47AB">
        <w:t xml:space="preserve"> </w:t>
      </w:r>
      <w:r>
        <w:t xml:space="preserve"> </w:t>
      </w:r>
    </w:p>
    <w:p w:rsidR="003F49B9" w:rsidRDefault="003F49B9" w:rsidP="00602BA1">
      <w:pPr>
        <w:spacing w:line="360" w:lineRule="auto"/>
        <w:jc w:val="both"/>
      </w:pPr>
    </w:p>
    <w:p w:rsidR="00DD60E8" w:rsidRPr="00472303" w:rsidRDefault="00472303" w:rsidP="001B7560">
      <w:pPr>
        <w:pStyle w:val="Nadpis2"/>
        <w:ind w:left="0" w:firstLine="0"/>
        <w:rPr>
          <w:b w:val="0"/>
          <w:sz w:val="28"/>
          <w:szCs w:val="28"/>
        </w:rPr>
      </w:pPr>
      <w:r>
        <w:rPr>
          <w:b w:val="0"/>
          <w:sz w:val="28"/>
          <w:szCs w:val="28"/>
        </w:rPr>
        <w:t xml:space="preserve">  </w:t>
      </w:r>
      <w:bookmarkStart w:id="369" w:name="_Toc233044404"/>
      <w:r w:rsidRPr="00472303">
        <w:rPr>
          <w:b w:val="0"/>
          <w:sz w:val="28"/>
          <w:szCs w:val="28"/>
        </w:rPr>
        <w:t>Metody hodnocení investičních projektů</w:t>
      </w:r>
      <w:bookmarkEnd w:id="369"/>
    </w:p>
    <w:p w:rsidR="00F769C4" w:rsidRDefault="00F769C4" w:rsidP="00774528">
      <w:pPr>
        <w:spacing w:line="360" w:lineRule="auto"/>
        <w:jc w:val="both"/>
      </w:pPr>
    </w:p>
    <w:p w:rsidR="00B35BD7" w:rsidRPr="00E75A23" w:rsidRDefault="00E75A23" w:rsidP="00CD2E6F">
      <w:pPr>
        <w:pStyle w:val="Nadpis3"/>
        <w:ind w:left="0" w:firstLine="0"/>
        <w:jc w:val="left"/>
        <w:rPr>
          <w:b w:val="0"/>
          <w:sz w:val="28"/>
          <w:szCs w:val="28"/>
        </w:rPr>
      </w:pPr>
      <w:r>
        <w:rPr>
          <w:b w:val="0"/>
          <w:sz w:val="28"/>
          <w:szCs w:val="28"/>
        </w:rPr>
        <w:t xml:space="preserve">  </w:t>
      </w:r>
      <w:bookmarkStart w:id="370" w:name="_Toc233044405"/>
      <w:r w:rsidR="00B35BD7" w:rsidRPr="00E75A23">
        <w:rPr>
          <w:b w:val="0"/>
          <w:sz w:val="28"/>
          <w:szCs w:val="28"/>
        </w:rPr>
        <w:t xml:space="preserve">Statické metody </w:t>
      </w:r>
      <w:r w:rsidRPr="00E75A23">
        <w:rPr>
          <w:b w:val="0"/>
          <w:sz w:val="28"/>
          <w:szCs w:val="28"/>
        </w:rPr>
        <w:t>hodnocení investičních projektů</w:t>
      </w:r>
      <w:bookmarkEnd w:id="370"/>
    </w:p>
    <w:p w:rsidR="00B35BD7" w:rsidRDefault="00B35BD7" w:rsidP="00774528">
      <w:pPr>
        <w:spacing w:line="360" w:lineRule="auto"/>
        <w:jc w:val="both"/>
      </w:pPr>
    </w:p>
    <w:p w:rsidR="00821CB8" w:rsidRPr="00E75A23" w:rsidRDefault="00821CB8" w:rsidP="00CD2E6F">
      <w:pPr>
        <w:pStyle w:val="Nadpis4"/>
        <w:ind w:left="0" w:firstLine="0"/>
        <w:rPr>
          <w:sz w:val="28"/>
          <w:szCs w:val="28"/>
        </w:rPr>
      </w:pPr>
      <w:r w:rsidRPr="00E75A23">
        <w:rPr>
          <w:sz w:val="28"/>
          <w:szCs w:val="28"/>
        </w:rPr>
        <w:t xml:space="preserve">  </w:t>
      </w:r>
      <w:bookmarkStart w:id="371" w:name="_Toc233044406"/>
      <w:r w:rsidRPr="00E75A23">
        <w:rPr>
          <w:sz w:val="28"/>
          <w:szCs w:val="28"/>
        </w:rPr>
        <w:t>Metoda průměrných ročních nákladů</w:t>
      </w:r>
      <w:bookmarkEnd w:id="371"/>
    </w:p>
    <w:p w:rsidR="00821CB8" w:rsidRPr="00821CB8" w:rsidRDefault="00821CB8" w:rsidP="00821CB8">
      <w:pPr>
        <w:pStyle w:val="Nadpis3"/>
        <w:numPr>
          <w:ilvl w:val="0"/>
          <w:numId w:val="0"/>
        </w:numPr>
        <w:jc w:val="left"/>
        <w:rPr>
          <w:sz w:val="24"/>
        </w:rPr>
      </w:pPr>
    </w:p>
    <w:p w:rsidR="0037314D" w:rsidRDefault="0037314D" w:rsidP="00774528">
      <w:pPr>
        <w:spacing w:line="360" w:lineRule="auto"/>
        <w:jc w:val="both"/>
      </w:pPr>
      <w:r>
        <w:t xml:space="preserve">     Jak uvádí Valach</w:t>
      </w:r>
      <w:r w:rsidR="003A2EB4">
        <w:rPr>
          <w:rStyle w:val="Znakapoznpodarou"/>
        </w:rPr>
        <w:footnoteReference w:id="54"/>
      </w:r>
      <w:r>
        <w:t>, nákladové metody posuzování investičních projektů hodnotí projekty podle výše kapitálových a provozních nákladů, nevyjadřují tak komplexně celkový přínos investic a nemohou tak vyjádřit efektivnost projektu jako takového. Můžeme je však využít, stejně jako některé jiné metody, jako doplňkové kritérium, a to v případě, že srovnávané projekty zajišťují stejný objem produkce a stejné realizační ceny.</w:t>
      </w:r>
      <w:r w:rsidR="00395B04">
        <w:t xml:space="preserve"> </w:t>
      </w:r>
    </w:p>
    <w:p w:rsidR="00395B04" w:rsidRDefault="0037314D" w:rsidP="000938C4">
      <w:pPr>
        <w:spacing w:line="360" w:lineRule="auto"/>
        <w:jc w:val="both"/>
      </w:pPr>
      <w:r>
        <w:t xml:space="preserve">     </w:t>
      </w:r>
      <w:r w:rsidR="00684DB2">
        <w:t xml:space="preserve">Roční průměrné náklady zahrnují roční odpisy, požadovaný výnos z dlouhodobého majetku a ostatní provozní náklady. </w:t>
      </w:r>
      <w:r w:rsidR="008968E6">
        <w:t>V</w:t>
      </w:r>
      <w:r w:rsidR="00684DB2">
        <w:t>yjádřit</w:t>
      </w:r>
      <w:r w:rsidR="008968E6">
        <w:t xml:space="preserve"> můžeme</w:t>
      </w:r>
      <w:r w:rsidR="00684DB2">
        <w:t xml:space="preserve"> </w:t>
      </w:r>
      <w:r w:rsidR="008968E6">
        <w:t>vztahem</w:t>
      </w:r>
      <w:r w:rsidR="00684DB2">
        <w:t xml:space="preserve">: </w:t>
      </w:r>
      <m:oMath>
        <m:r>
          <m:rPr>
            <m:sty m:val="p"/>
          </m:rPr>
          <w:rPr>
            <w:rFonts w:ascii="Cambria Math" w:hAnsi="Cambria Math"/>
          </w:rPr>
          <m:t>ØN</m:t>
        </m:r>
        <m:r>
          <w:rPr>
            <w:rFonts w:ascii="Cambria Math"/>
          </w:rPr>
          <m:t xml:space="preserve"> </m:t>
        </m:r>
        <m:r>
          <w:rPr>
            <w:rFonts w:ascii="Cambria Math" w:hAnsi="Cambria Math"/>
          </w:rPr>
          <m:t>=</m:t>
        </m:r>
        <m:r>
          <w:rPr>
            <w:rFonts w:ascii="Cambria Math"/>
          </w:rPr>
          <m:t>O+ i</m:t>
        </m:r>
        <m:r>
          <w:rPr>
            <w:rFonts w:ascii="Cambria Math" w:hAnsi="Cambria Math"/>
          </w:rPr>
          <m:t>×</m:t>
        </m:r>
        <m:r>
          <w:rPr>
            <w:rFonts w:ascii="Cambria Math"/>
          </w:rPr>
          <m:t xml:space="preserve">K+  </m:t>
        </m:r>
        <m:r>
          <m:rPr>
            <m:sty m:val="p"/>
          </m:rPr>
          <w:rPr>
            <w:rFonts w:ascii="Cambria Math" w:hAnsi="Cambria Math"/>
          </w:rPr>
          <m:t>PN</m:t>
        </m:r>
        <m:r>
          <w:rPr>
            <w:rFonts w:ascii="Cambria Math"/>
          </w:rPr>
          <m:t xml:space="preserve"> </m:t>
        </m:r>
      </m:oMath>
      <w:r w:rsidR="009C78B0">
        <w:t>, ten však není přesný, neboť požadovaná výnosnost je uvažována stále z pořizovací ceny</w:t>
      </w:r>
      <w:r w:rsidR="008968E6">
        <w:t>.</w:t>
      </w:r>
      <w:r w:rsidR="003A2EB4">
        <w:t xml:space="preserve"> Požadujeme-li respektování klesající zůstatkové ceny vyjadřující vázanost kapitálu, můžeme uvedený vztah modifikovat: </w:t>
      </w:r>
      <m:oMath>
        <m:r>
          <m:rPr>
            <m:sty m:val="p"/>
          </m:rPr>
          <w:rPr>
            <w:rFonts w:ascii="Cambria Math" w:hAnsi="Cambria Math"/>
          </w:rPr>
          <m:t>ØN</m:t>
        </m:r>
        <m:r>
          <w:rPr>
            <w:rFonts w:ascii="Cambria Math"/>
          </w:rPr>
          <m:t xml:space="preserve"> </m:t>
        </m:r>
        <m:r>
          <w:rPr>
            <w:rFonts w:ascii="Cambria Math" w:hAnsi="Cambria Math"/>
          </w:rPr>
          <m:t>=</m:t>
        </m:r>
      </m:oMath>
      <w:r w:rsidR="003A2EB4">
        <w:t xml:space="preserve"> </w:t>
      </w:r>
      <m:oMath>
        <m:f>
          <m:fPr>
            <m:ctrlPr>
              <w:rPr>
                <w:rFonts w:ascii="Cambria Math" w:hAnsi="Cambria Math"/>
                <w:i/>
                <w:sz w:val="28"/>
                <w:szCs w:val="28"/>
              </w:rPr>
            </m:ctrlPr>
          </m:fPr>
          <m:num>
            <m:r>
              <w:rPr>
                <w:rFonts w:ascii="Cambria Math" w:hAnsi="Cambria Math"/>
                <w:sz w:val="28"/>
                <w:szCs w:val="28"/>
              </w:rPr>
              <m:t xml:space="preserve">K × i </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 +i</m:t>
                    </m:r>
                  </m:e>
                </m:d>
              </m:e>
              <m:sup>
                <m:r>
                  <w:rPr>
                    <w:rFonts w:ascii="Cambria Math" w:hAnsi="Cambria Math"/>
                    <w:sz w:val="28"/>
                    <w:szCs w:val="28"/>
                  </w:rPr>
                  <m:t>n</m:t>
                </m:r>
              </m:sup>
            </m:sSup>
          </m:num>
          <m:den>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 +i</m:t>
                    </m:r>
                  </m:e>
                </m:d>
              </m:e>
              <m:sup>
                <m:r>
                  <w:rPr>
                    <w:rFonts w:ascii="Cambria Math" w:hAnsi="Cambria Math"/>
                    <w:sz w:val="28"/>
                    <w:szCs w:val="28"/>
                  </w:rPr>
                  <m:t>n</m:t>
                </m:r>
              </m:sup>
            </m:sSup>
            <m:r>
              <w:rPr>
                <w:rFonts w:ascii="Cambria Math" w:hAnsi="Cambria Math"/>
                <w:sz w:val="28"/>
                <w:szCs w:val="28"/>
              </w:rPr>
              <m:t xml:space="preserve"> -1</m:t>
            </m:r>
          </m:den>
        </m:f>
      </m:oMath>
      <w:r w:rsidR="003A2EB4">
        <w:rPr>
          <w:sz w:val="28"/>
          <w:szCs w:val="28"/>
        </w:rPr>
        <w:t xml:space="preserve"> </w:t>
      </w:r>
      <m:oMath>
        <m:r>
          <w:rPr>
            <w:rFonts w:ascii="Cambria Math" w:hAnsi="Cambria Math"/>
          </w:rPr>
          <m:t>+ PN</m:t>
        </m:r>
      </m:oMath>
      <w:r w:rsidR="002C21BF">
        <w:t xml:space="preserve"> . Uvedený vztah předpokládá rovnoměrné roční odpisy a rovnoměrné provozní náklady, to však v praxi většinou neplatí. </w:t>
      </w:r>
      <w:r w:rsidR="009C78B0">
        <w:t>Při výpočtu průměrných ročních odpisů a požadovaného výnosu však dostáváme stejný výsledek jak při rovnoměrném, tak nerovnoměrném odepisování</w:t>
      </w:r>
      <w:r w:rsidR="00A846C4">
        <w:t>, můžeme tedy pro jejich výpočet obecně použít zlomku ve výše uvedeném vztahu</w:t>
      </w:r>
      <w:r w:rsidR="009C78B0">
        <w:t>.</w:t>
      </w:r>
      <w:r w:rsidR="00A846C4">
        <w:t xml:space="preserve"> Jestliže ostatní provozní náklady nejsou </w:t>
      </w:r>
      <w:r w:rsidR="00A846C4">
        <w:lastRenderedPageBreak/>
        <w:t>během doby životnosti stejné, potom jejich průměrnou roční hodnotu určíme tak, že nerovnoměrné provozní náklady aktualizujeme pomocí odúročitele</w:t>
      </w:r>
      <w:r w:rsidR="00560812">
        <w:t xml:space="preserve"> </w:t>
      </w:r>
      <m:oMath>
        <m:f>
          <m:fPr>
            <m:ctrlPr>
              <w:rPr>
                <w:rFonts w:ascii="Cambria Math" w:hAnsi="Cambria Math"/>
                <w:i/>
                <w:sz w:val="28"/>
                <w:szCs w:val="28"/>
              </w:rPr>
            </m:ctrlPr>
          </m:fPr>
          <m:num>
            <m:r>
              <w:rPr>
                <w:rFonts w:ascii="Cambria Math" w:hAnsi="Cambria Math"/>
                <w:sz w:val="28"/>
                <w:szCs w:val="28"/>
              </w:rPr>
              <m:t>1</m:t>
            </m:r>
          </m:num>
          <m:den>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 +i</m:t>
                    </m:r>
                  </m:e>
                </m:d>
              </m:e>
              <m:sup>
                <m:r>
                  <w:rPr>
                    <w:rFonts w:ascii="Cambria Math" w:hAnsi="Cambria Math"/>
                    <w:sz w:val="28"/>
                    <w:szCs w:val="28"/>
                  </w:rPr>
                  <m:t>n</m:t>
                </m:r>
              </m:sup>
            </m:sSup>
          </m:den>
        </m:f>
      </m:oMath>
      <w:r w:rsidR="00A846C4">
        <w:t xml:space="preserve"> a celkový souhrn těchto aktualizovaných provozních nákladů násobíme umořovatelem</w:t>
      </w:r>
      <w:r w:rsidR="00560812">
        <w:t xml:space="preserve"> </w:t>
      </w:r>
      <m:oMath>
        <m:f>
          <m:fPr>
            <m:ctrlPr>
              <w:rPr>
                <w:rFonts w:ascii="Cambria Math" w:hAnsi="Cambria Math"/>
                <w:i/>
                <w:sz w:val="28"/>
                <w:szCs w:val="28"/>
              </w:rPr>
            </m:ctrlPr>
          </m:fPr>
          <m:num>
            <m:r>
              <w:rPr>
                <w:rFonts w:ascii="Cambria Math" w:hAnsi="Cambria Math"/>
                <w:sz w:val="28"/>
                <w:szCs w:val="28"/>
              </w:rPr>
              <m:t xml:space="preserve">i </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 +i</m:t>
                    </m:r>
                  </m:e>
                </m:d>
              </m:e>
              <m:sup>
                <m:r>
                  <w:rPr>
                    <w:rFonts w:ascii="Cambria Math" w:hAnsi="Cambria Math"/>
                    <w:sz w:val="28"/>
                    <w:szCs w:val="28"/>
                  </w:rPr>
                  <m:t>n</m:t>
                </m:r>
              </m:sup>
            </m:sSup>
          </m:num>
          <m:den>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 +i</m:t>
                    </m:r>
                  </m:e>
                </m:d>
              </m:e>
              <m:sup>
                <m:r>
                  <w:rPr>
                    <w:rFonts w:ascii="Cambria Math" w:hAnsi="Cambria Math"/>
                    <w:sz w:val="28"/>
                    <w:szCs w:val="28"/>
                  </w:rPr>
                  <m:t>n</m:t>
                </m:r>
              </m:sup>
            </m:sSup>
            <m:r>
              <w:rPr>
                <w:rFonts w:ascii="Cambria Math" w:hAnsi="Cambria Math"/>
                <w:sz w:val="28"/>
                <w:szCs w:val="28"/>
              </w:rPr>
              <m:t xml:space="preserve"> -1</m:t>
            </m:r>
          </m:den>
        </m:f>
      </m:oMath>
      <w:r w:rsidR="00A846C4">
        <w:t xml:space="preserve"> </w:t>
      </w:r>
      <w:r w:rsidR="00560812">
        <w:t xml:space="preserve"> .</w:t>
      </w:r>
      <w:r w:rsidR="00A846C4">
        <w:t xml:space="preserve"> </w:t>
      </w:r>
      <w:r w:rsidR="00560812">
        <w:t>Metoda průměrných ročních nákladů může být využity jak pro srovnání investičních varia</w:t>
      </w:r>
      <w:r w:rsidR="00395B04">
        <w:t>nt se stejnou dobou životnosti, tak s různou dobou životnosti.</w:t>
      </w:r>
      <w:r w:rsidR="00E62053">
        <w:t xml:space="preserve"> </w:t>
      </w:r>
      <w:r w:rsidR="00954853">
        <w:t>Varianta s nejnižšími průměrnými ročními náklady je považována za nejvhodnější</w:t>
      </w:r>
      <w:r w:rsidR="00BA1A85">
        <w:t>, uzavírá autor.</w:t>
      </w:r>
    </w:p>
    <w:p w:rsidR="008968E6" w:rsidRDefault="00395B04" w:rsidP="000938C4">
      <w:pPr>
        <w:spacing w:line="360" w:lineRule="auto"/>
        <w:jc w:val="both"/>
      </w:pPr>
      <w:r>
        <w:t xml:space="preserve">     </w:t>
      </w:r>
      <w:r w:rsidR="00560812">
        <w:t xml:space="preserve">     </w:t>
      </w:r>
      <w:r w:rsidR="009C78B0">
        <w:t xml:space="preserve">   </w:t>
      </w:r>
      <w:r w:rsidR="002C21BF">
        <w:t xml:space="preserve">  </w:t>
      </w:r>
    </w:p>
    <w:p w:rsidR="0039781A" w:rsidRPr="008D1142" w:rsidRDefault="00146AC5" w:rsidP="00CD2E6F">
      <w:pPr>
        <w:pStyle w:val="Nadpis4"/>
        <w:ind w:left="0" w:hanging="13"/>
        <w:rPr>
          <w:sz w:val="28"/>
          <w:szCs w:val="28"/>
        </w:rPr>
      </w:pPr>
      <w:r w:rsidRPr="008D1142">
        <w:rPr>
          <w:sz w:val="28"/>
          <w:szCs w:val="28"/>
        </w:rPr>
        <w:t xml:space="preserve">  </w:t>
      </w:r>
      <w:bookmarkStart w:id="372" w:name="_Toc233044407"/>
      <w:r w:rsidRPr="008D1142">
        <w:rPr>
          <w:sz w:val="28"/>
          <w:szCs w:val="28"/>
        </w:rPr>
        <w:t>Metoda doby návratnosti</w:t>
      </w:r>
      <w:bookmarkEnd w:id="372"/>
      <w:r w:rsidR="00F62C76" w:rsidRPr="008D1142">
        <w:rPr>
          <w:sz w:val="28"/>
          <w:szCs w:val="28"/>
        </w:rPr>
        <w:t xml:space="preserve"> </w:t>
      </w:r>
      <w:r w:rsidRPr="008D1142">
        <w:rPr>
          <w:sz w:val="28"/>
          <w:szCs w:val="28"/>
        </w:rPr>
        <w:t xml:space="preserve"> </w:t>
      </w:r>
      <w:r w:rsidR="00462CDB" w:rsidRPr="008D1142">
        <w:rPr>
          <w:sz w:val="28"/>
          <w:szCs w:val="28"/>
        </w:rPr>
        <w:t xml:space="preserve">   </w:t>
      </w:r>
      <w:r w:rsidR="0039781A" w:rsidRPr="008D1142">
        <w:rPr>
          <w:sz w:val="28"/>
          <w:szCs w:val="28"/>
        </w:rPr>
        <w:t xml:space="preserve">     </w:t>
      </w:r>
    </w:p>
    <w:p w:rsidR="00472303" w:rsidRDefault="00472303" w:rsidP="00462CDB">
      <w:pPr>
        <w:spacing w:line="360" w:lineRule="auto"/>
      </w:pPr>
    </w:p>
    <w:p w:rsidR="0074480D" w:rsidRDefault="00146AC5" w:rsidP="006E20D2">
      <w:pPr>
        <w:spacing w:line="360" w:lineRule="auto"/>
        <w:jc w:val="both"/>
      </w:pPr>
      <w:r>
        <w:t xml:space="preserve">     </w:t>
      </w:r>
      <w:r w:rsidR="006E20D2">
        <w:t>Jak uvádí Valach</w:t>
      </w:r>
      <w:r w:rsidR="006E20D2">
        <w:rPr>
          <w:rStyle w:val="Znakapoznpodarou"/>
        </w:rPr>
        <w:footnoteReference w:id="55"/>
      </w:r>
      <w:r w:rsidR="006E20D2">
        <w:t>, doba návratnosti je obecně dobou, za kterou se projekt splatí z peněžních příjmů, které zajistí. Čím je tato doba kratší, tím je projekt hodnocen příznivěji. Přirozeně musí být doba návratnosti kratší, než doba životnosti projektu.</w:t>
      </w:r>
      <w:r w:rsidR="0074480D">
        <w:t xml:space="preserve"> Pro výpočet doby návratnosti můžeme použít tento vztah:</w:t>
      </w:r>
      <w:r w:rsidR="000E57A3">
        <w:t xml:space="preserve"> </w:t>
      </w:r>
      <m:oMath>
        <m:r>
          <w:rPr>
            <w:rFonts w:ascii="Cambria Math" w:hAnsi="Cambria Math"/>
          </w:rPr>
          <m:t>K =</m:t>
        </m:r>
      </m:oMath>
      <w:r w:rsidR="0074480D">
        <w:t xml:space="preserve"> </w:t>
      </w:r>
      <m:oMath>
        <m:r>
          <w:rPr>
            <w:rFonts w:ascii="Cambria Math" w:hAnsi="Cambria Math"/>
          </w:rPr>
          <m:t xml:space="preserve"> </m:t>
        </m:r>
        <m:nary>
          <m:naryPr>
            <m:chr m:val="∑"/>
            <m:ctrlPr>
              <w:rPr>
                <w:rFonts w:ascii="Cambria Math" w:hAnsi="Cambria Math"/>
                <w:i/>
              </w:rPr>
            </m:ctrlPr>
          </m:naryPr>
          <m:sub>
            <m:r>
              <w:rPr>
                <w:rFonts w:ascii="Cambria Math" w:hAnsi="Cambria Math"/>
              </w:rPr>
              <m:t>n=1</m:t>
            </m:r>
          </m:sub>
          <m:sup>
            <m:r>
              <w:rPr>
                <w:rFonts w:ascii="Cambria Math" w:hAnsi="Cambria Math"/>
              </w:rPr>
              <m:t>a</m:t>
            </m:r>
          </m:sup>
          <m:e>
            <m:r>
              <w:rPr>
                <w:rFonts w:ascii="Cambria Math" w:hAnsi="Cambria Math"/>
              </w:rPr>
              <m:t>P</m:t>
            </m:r>
            <m:r>
              <w:rPr>
                <w:rFonts w:ascii="Cambria Math" w:hAnsi="Cambria Math"/>
                <w:position w:val="-6"/>
              </w:rPr>
              <m:t>n</m:t>
            </m:r>
          </m:e>
        </m:nary>
      </m:oMath>
      <w:r w:rsidR="0074480D">
        <w:t xml:space="preserve"> .</w:t>
      </w:r>
    </w:p>
    <w:p w:rsidR="00146AC5" w:rsidRDefault="0074480D" w:rsidP="006E20D2">
      <w:pPr>
        <w:spacing w:line="360" w:lineRule="auto"/>
        <w:jc w:val="both"/>
      </w:pPr>
      <w:r>
        <w:t xml:space="preserve">     Návratnost je dána okamžikem, kdy platí požadovaná rovnost, to je okamžikem, kdy se kumulativně sčítané peněžní příjmy z investice rovnají kapitálovému výdaji. </w:t>
      </w:r>
      <w:r w:rsidR="006E20D2">
        <w:t xml:space="preserve">    </w:t>
      </w:r>
    </w:p>
    <w:p w:rsidR="008B71C3" w:rsidRDefault="0074480D" w:rsidP="006E20D2">
      <w:pPr>
        <w:spacing w:line="360" w:lineRule="auto"/>
        <w:jc w:val="both"/>
      </w:pPr>
      <w:r>
        <w:t xml:space="preserve">     Protože doba návratnosti vyjadřuje pouze dobu, která </w:t>
      </w:r>
      <w:r w:rsidR="008B71C3">
        <w:t xml:space="preserve">je </w:t>
      </w:r>
      <w:r>
        <w:t xml:space="preserve">nutná k pokrytí kapitálového výdaje peněžními příjmy, nemůžeme jí samu o sobě považovat za měřítko efektivnosti investic, ale </w:t>
      </w:r>
      <w:r w:rsidR="008B71C3">
        <w:t xml:space="preserve">spíše </w:t>
      </w:r>
      <w:r>
        <w:t>za měřítko očekávané likvidity projektu.</w:t>
      </w:r>
      <w:r w:rsidR="008B71C3">
        <w:t xml:space="preserve"> Z tohoto pohledu se jeví jako vhodný doplněk jiných kritérií posuzování ekonomické efektivnosti investičních projektů.</w:t>
      </w:r>
    </w:p>
    <w:p w:rsidR="008B71C3" w:rsidRDefault="008B71C3" w:rsidP="006E20D2">
      <w:pPr>
        <w:spacing w:line="360" w:lineRule="auto"/>
        <w:jc w:val="both"/>
      </w:pPr>
      <w:r>
        <w:t xml:space="preserve">     Základní argumenty proti této metodě</w:t>
      </w:r>
      <w:r w:rsidR="00EB55CD">
        <w:t xml:space="preserve">, které zmíněný autor uvádí, </w:t>
      </w:r>
      <w:r>
        <w:t>jsou následující:</w:t>
      </w:r>
    </w:p>
    <w:p w:rsidR="008D1142" w:rsidRDefault="008D1142" w:rsidP="006E20D2">
      <w:pPr>
        <w:spacing w:line="360" w:lineRule="auto"/>
        <w:jc w:val="both"/>
      </w:pPr>
    </w:p>
    <w:p w:rsidR="00472303" w:rsidRDefault="008B71C3" w:rsidP="00B329BD">
      <w:pPr>
        <w:pStyle w:val="Odstavecseseznamem"/>
        <w:numPr>
          <w:ilvl w:val="0"/>
          <w:numId w:val="30"/>
        </w:numPr>
        <w:spacing w:line="360" w:lineRule="auto"/>
        <w:ind w:left="754" w:hanging="357"/>
        <w:jc w:val="both"/>
      </w:pPr>
      <w:r>
        <w:t>nebere v úvahu faktor času,</w:t>
      </w:r>
    </w:p>
    <w:p w:rsidR="008B71C3" w:rsidRDefault="008B71C3" w:rsidP="00B329BD">
      <w:pPr>
        <w:pStyle w:val="Odstavecseseznamem"/>
        <w:numPr>
          <w:ilvl w:val="0"/>
          <w:numId w:val="30"/>
        </w:numPr>
        <w:spacing w:line="360" w:lineRule="auto"/>
        <w:ind w:left="754" w:hanging="357"/>
        <w:jc w:val="both"/>
      </w:pPr>
      <w:r>
        <w:t>nebere v úvahu příjmy z investičního projektu, které vznikají po době návratnosti až do konce ekonomické životnosti,</w:t>
      </w:r>
    </w:p>
    <w:p w:rsidR="008B71C3" w:rsidRDefault="008B71C3" w:rsidP="00B329BD">
      <w:pPr>
        <w:pStyle w:val="Odstavecseseznamem"/>
        <w:numPr>
          <w:ilvl w:val="0"/>
          <w:numId w:val="30"/>
        </w:numPr>
        <w:spacing w:line="360" w:lineRule="auto"/>
        <w:ind w:left="754" w:hanging="357"/>
        <w:jc w:val="both"/>
      </w:pPr>
      <w:r>
        <w:t>problematická zdůvodnění případné předem stanovené doby návratnosti používané podnikem v souvislosti s hodnocením přijatelnosti projektu,</w:t>
      </w:r>
    </w:p>
    <w:p w:rsidR="000E57A3" w:rsidRDefault="000E57A3" w:rsidP="00B329BD">
      <w:pPr>
        <w:pStyle w:val="Odstavecseseznamem"/>
        <w:numPr>
          <w:ilvl w:val="0"/>
          <w:numId w:val="30"/>
        </w:numPr>
        <w:spacing w:line="360" w:lineRule="auto"/>
        <w:ind w:left="754" w:hanging="357"/>
        <w:jc w:val="both"/>
      </w:pPr>
      <w:r>
        <w:t>vyjadřuje jen likviditu projektu, nevyjadřuje likviditu podniku jako celku.</w:t>
      </w:r>
    </w:p>
    <w:p w:rsidR="000E57A3" w:rsidRDefault="000E57A3" w:rsidP="000E57A3">
      <w:pPr>
        <w:spacing w:line="360" w:lineRule="auto"/>
        <w:jc w:val="both"/>
      </w:pPr>
    </w:p>
    <w:p w:rsidR="008D1142" w:rsidRDefault="008D1142" w:rsidP="000E57A3">
      <w:pPr>
        <w:spacing w:line="360" w:lineRule="auto"/>
        <w:jc w:val="both"/>
      </w:pPr>
      <w:r>
        <w:t xml:space="preserve">     O odstranění některých nedostatků bude pojednáno v souvislosti s metodou doby návratnosti</w:t>
      </w:r>
      <w:r w:rsidR="004C454E">
        <w:t xml:space="preserve"> upravené diskontováním</w:t>
      </w:r>
      <w:r>
        <w:t xml:space="preserve">. </w:t>
      </w:r>
    </w:p>
    <w:p w:rsidR="00F769C4" w:rsidRDefault="000E57A3" w:rsidP="006E20D2">
      <w:pPr>
        <w:spacing w:line="360" w:lineRule="auto"/>
        <w:jc w:val="both"/>
      </w:pPr>
      <w:r>
        <w:t xml:space="preserve">     </w:t>
      </w:r>
    </w:p>
    <w:p w:rsidR="008D1142" w:rsidRDefault="008D1142" w:rsidP="006E20D2">
      <w:pPr>
        <w:spacing w:line="360" w:lineRule="auto"/>
        <w:jc w:val="both"/>
      </w:pPr>
    </w:p>
    <w:p w:rsidR="00C66CE5" w:rsidRPr="003901C2" w:rsidRDefault="00C66CE5" w:rsidP="00CD2E6F">
      <w:pPr>
        <w:pStyle w:val="Nadpis4"/>
        <w:ind w:left="0" w:firstLine="0"/>
        <w:rPr>
          <w:sz w:val="28"/>
          <w:szCs w:val="28"/>
        </w:rPr>
      </w:pPr>
      <w:r w:rsidRPr="003901C2">
        <w:rPr>
          <w:sz w:val="28"/>
          <w:szCs w:val="28"/>
        </w:rPr>
        <w:t xml:space="preserve">  </w:t>
      </w:r>
      <w:bookmarkStart w:id="373" w:name="_Toc233044408"/>
      <w:r w:rsidRPr="003901C2">
        <w:rPr>
          <w:sz w:val="28"/>
          <w:szCs w:val="28"/>
        </w:rPr>
        <w:t>Metoda výnosnosti investic</w:t>
      </w:r>
      <w:bookmarkEnd w:id="373"/>
      <w:r w:rsidRPr="003901C2">
        <w:rPr>
          <w:sz w:val="28"/>
          <w:szCs w:val="28"/>
        </w:rPr>
        <w:t xml:space="preserve"> </w:t>
      </w:r>
    </w:p>
    <w:p w:rsidR="00C66CE5" w:rsidRDefault="00C66CE5" w:rsidP="006E20D2">
      <w:pPr>
        <w:spacing w:line="360" w:lineRule="auto"/>
        <w:jc w:val="both"/>
      </w:pPr>
    </w:p>
    <w:p w:rsidR="00C66CE5" w:rsidRDefault="00C66CE5" w:rsidP="0006193F">
      <w:pPr>
        <w:spacing w:line="360" w:lineRule="auto"/>
        <w:jc w:val="both"/>
        <w:rPr>
          <w:sz w:val="28"/>
          <w:szCs w:val="28"/>
        </w:rPr>
      </w:pPr>
      <w:r>
        <w:t xml:space="preserve">     Metoda výnosnosti investic či rentability investic považuje, jak uvádí Synek</w:t>
      </w:r>
      <w:r>
        <w:rPr>
          <w:rStyle w:val="Znakapoznpodarou"/>
        </w:rPr>
        <w:footnoteReference w:id="56"/>
      </w:r>
      <w:r>
        <w:t xml:space="preserve">, za efekt plynoucí z investice jeho zisk, který dostatečně charakterizuje přínos investice. Výnosnost investice ROI (Return of Investment) můžeme vyjádřit vzorcem: </w:t>
      </w:r>
      <m:oMath>
        <m:r>
          <w:rPr>
            <w:rFonts w:ascii="Cambria Math" w:hAnsi="Cambria Math"/>
          </w:rPr>
          <m:t>ROI =</m:t>
        </m:r>
      </m:oMath>
      <w:r>
        <w:t xml:space="preserve"> </w:t>
      </w:r>
      <m:oMath>
        <m:f>
          <m:fPr>
            <m:ctrlPr>
              <w:rPr>
                <w:rFonts w:ascii="Cambria Math" w:hAnsi="Cambria Math"/>
                <w:i/>
                <w:sz w:val="28"/>
                <w:szCs w:val="28"/>
              </w:rPr>
            </m:ctrlPr>
          </m:fPr>
          <m:num>
            <m:r>
              <w:rPr>
                <w:rFonts w:ascii="Cambria Math" w:hAnsi="Cambria Math"/>
                <w:sz w:val="28"/>
                <w:szCs w:val="28"/>
              </w:rPr>
              <m:t>ØZ</m:t>
            </m:r>
            <m:r>
              <m:rPr>
                <m:sty m:val="p"/>
              </m:rPr>
              <w:rPr>
                <w:rFonts w:ascii="Cambria Math" w:hAnsi="Cambria Math"/>
                <w:sz w:val="28"/>
                <w:szCs w:val="28"/>
              </w:rPr>
              <m:t> </m:t>
            </m:r>
          </m:num>
          <m:den>
            <m:r>
              <w:rPr>
                <w:rFonts w:ascii="Cambria Math" w:hAnsi="Cambria Math"/>
                <w:sz w:val="28"/>
                <w:szCs w:val="28"/>
              </w:rPr>
              <m:t>K</m:t>
            </m:r>
          </m:den>
        </m:f>
      </m:oMath>
      <w:r>
        <w:rPr>
          <w:sz w:val="28"/>
          <w:szCs w:val="28"/>
        </w:rPr>
        <w:t xml:space="preserve"> .</w:t>
      </w:r>
    </w:p>
    <w:p w:rsidR="00C66CE5" w:rsidRDefault="00C66CE5" w:rsidP="0006193F">
      <w:pPr>
        <w:spacing w:line="360" w:lineRule="auto"/>
        <w:jc w:val="both"/>
      </w:pPr>
      <w:r>
        <w:t xml:space="preserve">     Z uvedeného vztahu vyplývá, že lze srovnávat projekty s různou dobou životnosti a různou výší kapitálových výdajů. Metoda nebere v úvahu všechny peněžní příjmy, ale pouze jednu jejich část – zisk, nepočítá tedy s odpisy. Jde o statickou metodu, která tedy nebere v úvahu působení faktoru času a nepřihlíží k rozložení zisku v čase. Přesto se v praxi často používá, neboť konstrukce ukazatele se shoduje se všeobecně používanými ukazateli výnosnosti kapitálu.   </w:t>
      </w:r>
    </w:p>
    <w:p w:rsidR="00C66CE5" w:rsidRDefault="00C66CE5" w:rsidP="0006193F">
      <w:pPr>
        <w:spacing w:line="360" w:lineRule="auto"/>
        <w:jc w:val="both"/>
      </w:pPr>
      <w:r>
        <w:t xml:space="preserve">     Obdobné hodnocení podává k této metodě i Fotr a Souček</w:t>
      </w:r>
      <w:r>
        <w:rPr>
          <w:rStyle w:val="Znakapoznpodarou"/>
        </w:rPr>
        <w:footnoteReference w:id="57"/>
      </w:r>
      <w:r>
        <w:t>, kteří uvádí, že předností této metody je jednoduchost propočtu a srozumitelnost. Nevýhodu potom spatřují zejména v závislosti výsledku na zvoleném způsobu odepisování a také v nepřihlížení k odlišné časové hodnotě peněz. Přes popsané nedostatky může být uvedená metoda nástrojem k rychlému posouzení výhodnosti projektů, zvláště pak u projektů s krátkou životností.</w:t>
      </w:r>
    </w:p>
    <w:p w:rsidR="00C66CE5" w:rsidRDefault="00C66CE5" w:rsidP="006E20D2">
      <w:pPr>
        <w:spacing w:line="360" w:lineRule="auto"/>
        <w:jc w:val="both"/>
      </w:pPr>
    </w:p>
    <w:p w:rsidR="00E75A23" w:rsidRPr="00E75A23" w:rsidRDefault="00E75A23" w:rsidP="00CD2E6F">
      <w:pPr>
        <w:pStyle w:val="Nadpis3"/>
        <w:ind w:left="0" w:firstLine="0"/>
        <w:jc w:val="left"/>
        <w:rPr>
          <w:b w:val="0"/>
          <w:sz w:val="28"/>
          <w:szCs w:val="28"/>
        </w:rPr>
      </w:pPr>
      <w:r>
        <w:rPr>
          <w:b w:val="0"/>
          <w:sz w:val="28"/>
          <w:szCs w:val="28"/>
        </w:rPr>
        <w:t xml:space="preserve">  </w:t>
      </w:r>
      <w:bookmarkStart w:id="374" w:name="_Toc233044409"/>
      <w:r w:rsidRPr="00E75A23">
        <w:rPr>
          <w:b w:val="0"/>
          <w:sz w:val="28"/>
          <w:szCs w:val="28"/>
        </w:rPr>
        <w:t>Dynamické metody hodnocení investičních projektů</w:t>
      </w:r>
      <w:bookmarkEnd w:id="374"/>
    </w:p>
    <w:p w:rsidR="00E75A23" w:rsidRDefault="00E75A23" w:rsidP="006E20D2">
      <w:pPr>
        <w:spacing w:line="360" w:lineRule="auto"/>
        <w:jc w:val="both"/>
      </w:pPr>
    </w:p>
    <w:p w:rsidR="00E75A23" w:rsidRPr="00E75A23" w:rsidRDefault="00E75A23" w:rsidP="001B7560">
      <w:pPr>
        <w:pStyle w:val="Nadpis4"/>
        <w:ind w:left="0" w:firstLine="0"/>
        <w:rPr>
          <w:sz w:val="28"/>
          <w:szCs w:val="28"/>
        </w:rPr>
      </w:pPr>
      <w:r w:rsidRPr="00E75A23">
        <w:rPr>
          <w:sz w:val="28"/>
          <w:szCs w:val="28"/>
        </w:rPr>
        <w:t xml:space="preserve"> </w:t>
      </w:r>
      <w:r w:rsidR="001B7560">
        <w:rPr>
          <w:sz w:val="28"/>
          <w:szCs w:val="28"/>
        </w:rPr>
        <w:t xml:space="preserve"> </w:t>
      </w:r>
      <w:bookmarkStart w:id="375" w:name="_Toc233044410"/>
      <w:r w:rsidRPr="00E75A23">
        <w:rPr>
          <w:sz w:val="28"/>
          <w:szCs w:val="28"/>
        </w:rPr>
        <w:t>Metoda diskontovaných nákladů</w:t>
      </w:r>
      <w:bookmarkEnd w:id="375"/>
    </w:p>
    <w:p w:rsidR="00E75A23" w:rsidRDefault="00E75A23" w:rsidP="006E20D2">
      <w:pPr>
        <w:spacing w:line="360" w:lineRule="auto"/>
        <w:jc w:val="both"/>
      </w:pPr>
    </w:p>
    <w:p w:rsidR="00B92D1C" w:rsidRDefault="00E75A23" w:rsidP="00E75A23">
      <w:pPr>
        <w:spacing w:line="360" w:lineRule="auto"/>
        <w:jc w:val="both"/>
      </w:pPr>
      <w:r>
        <w:t xml:space="preserve">     Metoda diskontovaných nákladů porovnává souhrn investičních a diskontovaných provozních nákladů jednotlivých variant investičních projektů za celou dobu životnosti</w:t>
      </w:r>
      <w:r>
        <w:rPr>
          <w:rStyle w:val="Znakapoznpodarou"/>
        </w:rPr>
        <w:footnoteReference w:id="58"/>
      </w:r>
      <w:r>
        <w:t xml:space="preserve">. Nejvýhodnější je opět varianta s nejnižšími diskontovanými náklady. Modelově lze vyjádřit diskontované náklady podle následujícího vztahu: </w:t>
      </w:r>
      <m:oMath>
        <m:r>
          <w:rPr>
            <w:rFonts w:ascii="Cambria Math" w:hAnsi="Cambria Math"/>
          </w:rPr>
          <m:t>DN =K +</m:t>
        </m:r>
      </m:oMath>
      <w:r>
        <w:t xml:space="preserve"> </w:t>
      </w:r>
      <m:oMath>
        <m:nary>
          <m:naryPr>
            <m:chr m:val="∑"/>
            <m:ctrlPr>
              <w:rPr>
                <w:rFonts w:ascii="Cambria Math" w:hAnsi="Cambria Math"/>
                <w:i/>
                <w:sz w:val="28"/>
                <w:szCs w:val="28"/>
              </w:rPr>
            </m:ctrlPr>
          </m:naryPr>
          <m:sub>
            <m:r>
              <w:rPr>
                <w:rFonts w:ascii="Cambria Math" w:hAnsi="Cambria Math"/>
                <w:sz w:val="28"/>
                <w:szCs w:val="28"/>
              </w:rPr>
              <m:t>n=1</m:t>
            </m:r>
          </m:sub>
          <m:sup>
            <m:r>
              <w:rPr>
                <w:rFonts w:ascii="Cambria Math" w:hAnsi="Cambria Math"/>
                <w:sz w:val="28"/>
                <w:szCs w:val="28"/>
              </w:rPr>
              <m:t>N</m:t>
            </m:r>
          </m:sup>
          <m:e>
            <m:f>
              <m:fPr>
                <m:ctrlPr>
                  <w:rPr>
                    <w:rFonts w:ascii="Cambria Math" w:hAnsi="Cambria Math"/>
                    <w:i/>
                    <w:sz w:val="28"/>
                    <w:szCs w:val="28"/>
                  </w:rPr>
                </m:ctrlPr>
              </m:fPr>
              <m:num>
                <m:r>
                  <w:rPr>
                    <w:rFonts w:ascii="Cambria Math" w:hAnsi="Cambria Math"/>
                    <w:sz w:val="28"/>
                    <w:szCs w:val="28"/>
                  </w:rPr>
                  <m:t>PN</m:t>
                </m:r>
                <m:r>
                  <w:rPr>
                    <w:rFonts w:ascii="Cambria Math" w:hAnsi="Cambria Math"/>
                    <w:position w:val="-6"/>
                    <w:sz w:val="28"/>
                    <w:szCs w:val="28"/>
                  </w:rPr>
                  <m:t>n</m:t>
                </m:r>
              </m:num>
              <m:den>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 +i</m:t>
                        </m:r>
                      </m:e>
                    </m:d>
                  </m:e>
                  <m:sup>
                    <m:r>
                      <w:rPr>
                        <w:rFonts w:ascii="Cambria Math" w:hAnsi="Cambria Math"/>
                        <w:sz w:val="28"/>
                        <w:szCs w:val="28"/>
                      </w:rPr>
                      <m:t>n</m:t>
                    </m:r>
                  </m:sup>
                </m:sSup>
              </m:den>
            </m:f>
          </m:e>
        </m:nary>
      </m:oMath>
      <w:r>
        <w:t xml:space="preserve"> . </w:t>
      </w:r>
    </w:p>
    <w:p w:rsidR="00E75A23" w:rsidRDefault="00B92D1C" w:rsidP="00E75A23">
      <w:pPr>
        <w:spacing w:line="360" w:lineRule="auto"/>
        <w:jc w:val="both"/>
      </w:pPr>
      <w:r>
        <w:t xml:space="preserve">     </w:t>
      </w:r>
      <w:r w:rsidR="00E75A23">
        <w:t xml:space="preserve">Tato metoda, </w:t>
      </w:r>
      <w:r w:rsidR="00EB55CD">
        <w:t xml:space="preserve">jak uvádí zmíněný autor, </w:t>
      </w:r>
      <w:r w:rsidR="00E75A23">
        <w:t xml:space="preserve">na rozdíl od metody průměrných ročních nákladů, neeliminuje různou dobu životnosti projektů, jde totiž o celkové náklady během životnosti, nikoli o průměrné roční náklady. Varianty s delší životností mají ale přirozeně vyšší provozní </w:t>
      </w:r>
      <w:r w:rsidR="00E75A23">
        <w:lastRenderedPageBreak/>
        <w:t xml:space="preserve">náklady, abychom tedy mohli i pomocí této metody srovnat investiční varianty, musíme je převést na společnou délku životnosti, tou je nejmenší společný násobek životností jednotlivých variant s přihlédnutí ke skutečnosti, že do varianty s kratší dobou životnosti musíme zahrnout i současnou hodnotu obnovovaného dlouhodobého majetku.    </w:t>
      </w:r>
    </w:p>
    <w:p w:rsidR="00E75A23" w:rsidRDefault="00E75A23" w:rsidP="006E20D2">
      <w:pPr>
        <w:spacing w:line="360" w:lineRule="auto"/>
        <w:jc w:val="both"/>
      </w:pPr>
    </w:p>
    <w:p w:rsidR="008D1142" w:rsidRPr="008D1142" w:rsidRDefault="008D1142" w:rsidP="00426524">
      <w:pPr>
        <w:pStyle w:val="Nadpis4"/>
        <w:ind w:left="0" w:firstLine="0"/>
        <w:rPr>
          <w:sz w:val="28"/>
          <w:szCs w:val="28"/>
        </w:rPr>
      </w:pPr>
      <w:r>
        <w:rPr>
          <w:sz w:val="28"/>
          <w:szCs w:val="28"/>
        </w:rPr>
        <w:t xml:space="preserve">  </w:t>
      </w:r>
      <w:bookmarkStart w:id="376" w:name="_Toc233044411"/>
      <w:r w:rsidRPr="008D1142">
        <w:rPr>
          <w:sz w:val="28"/>
          <w:szCs w:val="28"/>
        </w:rPr>
        <w:t>Metoda doby návratnosti</w:t>
      </w:r>
      <w:r w:rsidR="004C454E">
        <w:rPr>
          <w:sz w:val="28"/>
          <w:szCs w:val="28"/>
        </w:rPr>
        <w:t xml:space="preserve"> upravená diskontováním</w:t>
      </w:r>
      <w:bookmarkEnd w:id="376"/>
    </w:p>
    <w:p w:rsidR="00E75A23" w:rsidRDefault="00E75A23" w:rsidP="006E20D2">
      <w:pPr>
        <w:spacing w:line="360" w:lineRule="auto"/>
        <w:jc w:val="both"/>
      </w:pPr>
    </w:p>
    <w:p w:rsidR="008D1142" w:rsidRDefault="008D1142" w:rsidP="008D1142">
      <w:pPr>
        <w:spacing w:line="360" w:lineRule="auto"/>
        <w:jc w:val="both"/>
      </w:pPr>
      <w:r>
        <w:t xml:space="preserve">     </w:t>
      </w:r>
      <w:r w:rsidR="004D3B03">
        <w:t>Metoda doby návratnosti</w:t>
      </w:r>
      <w:r w:rsidR="004C454E">
        <w:t xml:space="preserve"> upravená diskontováním</w:t>
      </w:r>
      <w:r w:rsidR="004D3B03">
        <w:t xml:space="preserve"> je modifikací metody doby návratnosti, kdy peněžní příjmy projektu</w:t>
      </w:r>
      <w:r>
        <w:t xml:space="preserve"> diskont</w:t>
      </w:r>
      <w:r w:rsidR="004D3B03">
        <w:t xml:space="preserve">ujeme </w:t>
      </w:r>
      <w:r>
        <w:t>na současnou hodnotu a teprve tu potom porovnáv</w:t>
      </w:r>
      <w:r w:rsidR="004D3B03">
        <w:t>áme</w:t>
      </w:r>
      <w:r>
        <w:t xml:space="preserve"> s vynaloženým kapitálovým výdajem</w:t>
      </w:r>
      <w:r w:rsidR="004D3B03">
        <w:rPr>
          <w:rStyle w:val="Znakapoznpodarou"/>
        </w:rPr>
        <w:footnoteReference w:id="59"/>
      </w:r>
      <w:r>
        <w:t xml:space="preserve">. Dostáváme </w:t>
      </w:r>
      <w:r w:rsidR="004D3B03">
        <w:t>tedy</w:t>
      </w:r>
      <w:r>
        <w:t xml:space="preserve"> modifikovaný vztah: </w:t>
      </w:r>
      <m:oMath>
        <m:r>
          <w:rPr>
            <w:rFonts w:ascii="Cambria Math" w:hAnsi="Cambria Math"/>
          </w:rPr>
          <m:t>K =</m:t>
        </m:r>
      </m:oMath>
      <w:r>
        <w:t xml:space="preserve"> </w:t>
      </w:r>
      <m:oMath>
        <m:r>
          <w:rPr>
            <w:rFonts w:ascii="Cambria Math" w:hAnsi="Cambria Math"/>
            <w:sz w:val="28"/>
          </w:rPr>
          <m:t xml:space="preserve"> </m:t>
        </m:r>
        <m:nary>
          <m:naryPr>
            <m:chr m:val="∑"/>
            <m:ctrlPr>
              <w:rPr>
                <w:rFonts w:ascii="Cambria Math" w:hAnsi="Cambria Math"/>
                <w:i/>
                <w:sz w:val="28"/>
              </w:rPr>
            </m:ctrlPr>
          </m:naryPr>
          <m:sub>
            <m:r>
              <w:rPr>
                <w:rFonts w:ascii="Cambria Math" w:hAnsi="Cambria Math"/>
                <w:sz w:val="28"/>
              </w:rPr>
              <m:t>n=1</m:t>
            </m:r>
          </m:sub>
          <m:sup>
            <m:r>
              <w:rPr>
                <w:rFonts w:ascii="Cambria Math" w:hAnsi="Cambria Math"/>
                <w:sz w:val="28"/>
              </w:rPr>
              <m:t>a</m:t>
            </m:r>
          </m:sup>
          <m:e>
            <m:f>
              <m:fPr>
                <m:ctrlPr>
                  <w:rPr>
                    <w:rFonts w:ascii="Cambria Math" w:hAnsi="Cambria Math"/>
                    <w:i/>
                    <w:sz w:val="28"/>
                  </w:rPr>
                </m:ctrlPr>
              </m:fPr>
              <m:num>
                <m:r>
                  <w:rPr>
                    <w:rFonts w:ascii="Cambria Math" w:hAnsi="Cambria Math"/>
                    <w:sz w:val="28"/>
                  </w:rPr>
                  <m:t>P</m:t>
                </m:r>
                <m:r>
                  <w:rPr>
                    <w:rFonts w:ascii="Cambria Math" w:hAnsi="Cambria Math"/>
                    <w:position w:val="-6"/>
                    <w:sz w:val="28"/>
                  </w:rPr>
                  <m:t>n</m:t>
                </m:r>
              </m:num>
              <m:den>
                <m:sSup>
                  <m:sSupPr>
                    <m:ctrlPr>
                      <w:rPr>
                        <w:rFonts w:ascii="Cambria Math" w:hAnsi="Cambria Math"/>
                        <w:i/>
                        <w:sz w:val="28"/>
                      </w:rPr>
                    </m:ctrlPr>
                  </m:sSupPr>
                  <m:e>
                    <m:d>
                      <m:dPr>
                        <m:ctrlPr>
                          <w:rPr>
                            <w:rFonts w:ascii="Cambria Math" w:hAnsi="Cambria Math"/>
                            <w:i/>
                            <w:sz w:val="28"/>
                          </w:rPr>
                        </m:ctrlPr>
                      </m:dPr>
                      <m:e>
                        <m:r>
                          <w:rPr>
                            <w:rFonts w:ascii="Cambria Math" w:hAnsi="Cambria Math"/>
                            <w:sz w:val="28"/>
                          </w:rPr>
                          <m:t>1 +i</m:t>
                        </m:r>
                      </m:e>
                    </m:d>
                  </m:e>
                  <m:sup>
                    <m:r>
                      <w:rPr>
                        <w:rFonts w:ascii="Cambria Math" w:hAnsi="Cambria Math"/>
                        <w:sz w:val="28"/>
                      </w:rPr>
                      <m:t>n</m:t>
                    </m:r>
                  </m:sup>
                </m:sSup>
              </m:den>
            </m:f>
          </m:e>
        </m:nary>
      </m:oMath>
      <w:r>
        <w:t xml:space="preserve"> .   </w:t>
      </w:r>
    </w:p>
    <w:p w:rsidR="008D1142" w:rsidRDefault="008D1142" w:rsidP="008D1142">
      <w:pPr>
        <w:spacing w:line="360" w:lineRule="auto"/>
        <w:jc w:val="both"/>
      </w:pPr>
      <w:r>
        <w:t xml:space="preserve">     Zbylá kritika</w:t>
      </w:r>
      <w:r w:rsidR="004D3B03">
        <w:t xml:space="preserve"> této metody, jak byla uvedena v souvislosti s metodou doby návratnosti</w:t>
      </w:r>
      <w:r>
        <w:t xml:space="preserve"> má</w:t>
      </w:r>
      <w:r w:rsidR="00EB55CD">
        <w:t xml:space="preserve"> podle uvedeného autora</w:t>
      </w:r>
      <w:r>
        <w:t xml:space="preserve"> své opodstatnění, jestliže se totiž příjmy z projektu koncentrují do posledních let jeho života, může se při posuzování podle tohoto kritéria vybrat projekt, který má kratší dobu splatnosti, ale je zároveň méně efektivní. </w:t>
      </w:r>
    </w:p>
    <w:p w:rsidR="008D1142" w:rsidRDefault="008D1142" w:rsidP="008D1142">
      <w:pPr>
        <w:spacing w:line="360" w:lineRule="auto"/>
        <w:jc w:val="both"/>
      </w:pPr>
      <w:r>
        <w:t xml:space="preserve">     S ohledem na uvedené charakteristiky</w:t>
      </w:r>
      <w:r w:rsidR="00EB55CD">
        <w:t>, jak uzavírá autor,</w:t>
      </w:r>
      <w:r>
        <w:t xml:space="preserve"> je vhodné použít tuto metodu (v modifikované podobě respektující faktor času) zejména pokud:</w:t>
      </w:r>
    </w:p>
    <w:p w:rsidR="00B92D1C" w:rsidRDefault="00B92D1C" w:rsidP="008D1142">
      <w:pPr>
        <w:spacing w:line="360" w:lineRule="auto"/>
        <w:jc w:val="both"/>
      </w:pPr>
    </w:p>
    <w:p w:rsidR="008D1142" w:rsidRDefault="008D1142" w:rsidP="00B329BD">
      <w:pPr>
        <w:pStyle w:val="Odstavecseseznamem"/>
        <w:numPr>
          <w:ilvl w:val="0"/>
          <w:numId w:val="31"/>
        </w:numPr>
        <w:spacing w:line="360" w:lineRule="auto"/>
        <w:ind w:left="754" w:hanging="357"/>
        <w:jc w:val="both"/>
      </w:pPr>
      <w:r>
        <w:t>likvidita projektu má podstatnější vliv na likviditu celého podniku,</w:t>
      </w:r>
    </w:p>
    <w:p w:rsidR="008D1142" w:rsidRDefault="008D1142" w:rsidP="00B329BD">
      <w:pPr>
        <w:pStyle w:val="Odstavecseseznamem"/>
        <w:numPr>
          <w:ilvl w:val="0"/>
          <w:numId w:val="31"/>
        </w:numPr>
        <w:spacing w:line="360" w:lineRule="auto"/>
        <w:ind w:left="754" w:hanging="357"/>
        <w:jc w:val="both"/>
      </w:pPr>
      <w:r>
        <w:t>se jedná o projekty s velmi nejistými příjmy ve vzdálenějších časových úsecích životnosti,</w:t>
      </w:r>
    </w:p>
    <w:p w:rsidR="008D1142" w:rsidRDefault="008D1142" w:rsidP="00B329BD">
      <w:pPr>
        <w:pStyle w:val="Odstavecseseznamem"/>
        <w:numPr>
          <w:ilvl w:val="0"/>
          <w:numId w:val="31"/>
        </w:numPr>
        <w:spacing w:line="360" w:lineRule="auto"/>
        <w:ind w:left="754" w:hanging="357"/>
        <w:jc w:val="both"/>
      </w:pPr>
      <w:r>
        <w:t>má externí kapitál značné náklady a dodržení splatnosti kapitálu a nákladů je pro podnik důležité,</w:t>
      </w:r>
    </w:p>
    <w:p w:rsidR="008D1142" w:rsidRDefault="008D1142" w:rsidP="00B329BD">
      <w:pPr>
        <w:pStyle w:val="Odstavecseseznamem"/>
        <w:numPr>
          <w:ilvl w:val="0"/>
          <w:numId w:val="31"/>
        </w:numPr>
        <w:spacing w:line="360" w:lineRule="auto"/>
        <w:ind w:left="754" w:hanging="357"/>
        <w:jc w:val="both"/>
      </w:pPr>
      <w:r>
        <w:t>podnik musí vzhledem k povaze své činnosti rychle obměňovat svůj majetek,</w:t>
      </w:r>
    </w:p>
    <w:p w:rsidR="008D1142" w:rsidRDefault="008D1142" w:rsidP="00B329BD">
      <w:pPr>
        <w:pStyle w:val="Odstavecseseznamem"/>
        <w:numPr>
          <w:ilvl w:val="0"/>
          <w:numId w:val="31"/>
        </w:numPr>
        <w:spacing w:line="360" w:lineRule="auto"/>
        <w:ind w:left="754" w:hanging="357"/>
        <w:jc w:val="both"/>
      </w:pPr>
      <w:r>
        <w:t>jde o projekty se vzájemně blízkou dobou životnosti a přibližně stejným průběhem očekávaných peněžních toků.</w:t>
      </w:r>
    </w:p>
    <w:p w:rsidR="00E75A23" w:rsidRDefault="00E75A23" w:rsidP="006E20D2">
      <w:pPr>
        <w:spacing w:line="360" w:lineRule="auto"/>
        <w:jc w:val="both"/>
      </w:pPr>
    </w:p>
    <w:p w:rsidR="00F62C76" w:rsidRPr="003901C2" w:rsidRDefault="001B7560" w:rsidP="001B7560">
      <w:pPr>
        <w:pStyle w:val="Nadpis4"/>
        <w:ind w:left="0" w:firstLine="0"/>
        <w:rPr>
          <w:sz w:val="28"/>
          <w:szCs w:val="28"/>
        </w:rPr>
      </w:pPr>
      <w:r>
        <w:rPr>
          <w:sz w:val="28"/>
          <w:szCs w:val="28"/>
        </w:rPr>
        <w:t xml:space="preserve">  </w:t>
      </w:r>
      <w:bookmarkStart w:id="377" w:name="_Toc233044412"/>
      <w:r w:rsidR="0006193F" w:rsidRPr="003901C2">
        <w:rPr>
          <w:sz w:val="28"/>
          <w:szCs w:val="28"/>
        </w:rPr>
        <w:t>Metoda čisté současné hodnoty</w:t>
      </w:r>
      <w:bookmarkEnd w:id="377"/>
    </w:p>
    <w:p w:rsidR="0006193F" w:rsidRDefault="0006193F" w:rsidP="0006193F"/>
    <w:p w:rsidR="0006193F" w:rsidRPr="00B92D1C" w:rsidRDefault="00D83EAD" w:rsidP="00D83EAD">
      <w:pPr>
        <w:spacing w:line="360" w:lineRule="auto"/>
        <w:jc w:val="both"/>
      </w:pPr>
      <w:r>
        <w:t xml:space="preserve">     Metoda čisté současné hodnoty NPV (Net Present Value) představuje, jak vysvětluje Synek</w:t>
      </w:r>
      <w:r>
        <w:rPr>
          <w:rStyle w:val="Znakapoznpodarou"/>
        </w:rPr>
        <w:footnoteReference w:id="60"/>
      </w:r>
      <w:r>
        <w:t xml:space="preserve">, rozdíl mezi současnou hodnotou očekávaných příjmů a výdajů na investici. Uvedený </w:t>
      </w:r>
      <w:r>
        <w:lastRenderedPageBreak/>
        <w:t xml:space="preserve">vztah můžeme vyjádřit takto: </w:t>
      </w:r>
      <m:oMath>
        <m:r>
          <w:rPr>
            <w:rFonts w:ascii="Cambria Math" w:hAnsi="Cambria Math"/>
          </w:rPr>
          <m:t>NPV =</m:t>
        </m:r>
      </m:oMath>
      <w:r>
        <w:t xml:space="preserve"> </w:t>
      </w:r>
      <m:oMath>
        <m:r>
          <w:rPr>
            <w:rFonts w:ascii="Cambria Math" w:hAnsi="Cambria Math"/>
            <w:sz w:val="28"/>
          </w:rPr>
          <m:t xml:space="preserve"> </m:t>
        </m:r>
        <m:nary>
          <m:naryPr>
            <m:chr m:val="∑"/>
            <m:ctrlPr>
              <w:rPr>
                <w:rFonts w:ascii="Cambria Math" w:hAnsi="Cambria Math"/>
                <w:i/>
                <w:sz w:val="28"/>
              </w:rPr>
            </m:ctrlPr>
          </m:naryPr>
          <m:sub>
            <m:r>
              <w:rPr>
                <w:rFonts w:ascii="Cambria Math" w:hAnsi="Cambria Math"/>
                <w:sz w:val="28"/>
              </w:rPr>
              <m:t>n=1</m:t>
            </m:r>
          </m:sub>
          <m:sup>
            <m:r>
              <w:rPr>
                <w:rFonts w:ascii="Cambria Math" w:hAnsi="Cambria Math"/>
                <w:sz w:val="28"/>
              </w:rPr>
              <m:t>N</m:t>
            </m:r>
          </m:sup>
          <m:e>
            <m:f>
              <m:fPr>
                <m:ctrlPr>
                  <w:rPr>
                    <w:rFonts w:ascii="Cambria Math" w:hAnsi="Cambria Math"/>
                    <w:i/>
                    <w:sz w:val="28"/>
                  </w:rPr>
                </m:ctrlPr>
              </m:fPr>
              <m:num>
                <m:r>
                  <w:rPr>
                    <w:rFonts w:ascii="Cambria Math" w:hAnsi="Cambria Math"/>
                    <w:sz w:val="28"/>
                  </w:rPr>
                  <m:t>P</m:t>
                </m:r>
                <m:r>
                  <w:rPr>
                    <w:rFonts w:ascii="Cambria Math" w:hAnsi="Cambria Math"/>
                    <w:position w:val="-6"/>
                    <w:sz w:val="28"/>
                  </w:rPr>
                  <m:t>n</m:t>
                </m:r>
              </m:num>
              <m:den>
                <m:sSup>
                  <m:sSupPr>
                    <m:ctrlPr>
                      <w:rPr>
                        <w:rFonts w:ascii="Cambria Math" w:hAnsi="Cambria Math"/>
                        <w:i/>
                        <w:sz w:val="28"/>
                      </w:rPr>
                    </m:ctrlPr>
                  </m:sSupPr>
                  <m:e>
                    <m:d>
                      <m:dPr>
                        <m:ctrlPr>
                          <w:rPr>
                            <w:rFonts w:ascii="Cambria Math" w:hAnsi="Cambria Math"/>
                            <w:i/>
                            <w:sz w:val="28"/>
                          </w:rPr>
                        </m:ctrlPr>
                      </m:dPr>
                      <m:e>
                        <m:r>
                          <w:rPr>
                            <w:rFonts w:ascii="Cambria Math" w:hAnsi="Cambria Math"/>
                            <w:sz w:val="28"/>
                          </w:rPr>
                          <m:t>1 +i</m:t>
                        </m:r>
                      </m:e>
                    </m:d>
                  </m:e>
                  <m:sup>
                    <m:r>
                      <w:rPr>
                        <w:rFonts w:ascii="Cambria Math" w:hAnsi="Cambria Math"/>
                        <w:sz w:val="28"/>
                      </w:rPr>
                      <m:t>n</m:t>
                    </m:r>
                  </m:sup>
                </m:sSup>
              </m:den>
            </m:f>
          </m:e>
        </m:nary>
      </m:oMath>
      <w:r>
        <w:rPr>
          <w:sz w:val="28"/>
        </w:rPr>
        <w:t xml:space="preserve"> </w:t>
      </w:r>
      <m:oMath>
        <m:r>
          <w:rPr>
            <w:rFonts w:ascii="Cambria Math" w:hAnsi="Cambria Math"/>
          </w:rPr>
          <m:t>– K</m:t>
        </m:r>
      </m:oMath>
      <w:r>
        <w:t xml:space="preserve"> . Jestliže se kapitálový výdaj</w:t>
      </w:r>
      <w:r w:rsidR="00E86B19">
        <w:t>, jak doplňuje Valach</w:t>
      </w:r>
      <w:r w:rsidR="00E86B19">
        <w:rPr>
          <w:rStyle w:val="Znakapoznpodarou"/>
        </w:rPr>
        <w:footnoteReference w:id="61"/>
      </w:r>
      <w:r w:rsidR="00E86B19">
        <w:t xml:space="preserve">, uskutečňuje postupně během období života investičního projektu, je nutné aktualizovat nejen peněžní příjem, ale také kapitálový výdaj. Dostáváme potom modifikovaný vztah: </w:t>
      </w:r>
      <m:oMath>
        <m:r>
          <w:rPr>
            <w:rFonts w:ascii="Cambria Math" w:hAnsi="Cambria Math"/>
          </w:rPr>
          <m:t>NPV =</m:t>
        </m:r>
      </m:oMath>
      <w:r w:rsidR="00E86B19">
        <w:t xml:space="preserve"> </w:t>
      </w:r>
      <m:oMath>
        <m:r>
          <w:rPr>
            <w:rFonts w:ascii="Cambria Math" w:hAnsi="Cambria Math"/>
            <w:sz w:val="28"/>
          </w:rPr>
          <m:t xml:space="preserve"> </m:t>
        </m:r>
        <m:nary>
          <m:naryPr>
            <m:chr m:val="∑"/>
            <m:ctrlPr>
              <w:rPr>
                <w:rFonts w:ascii="Cambria Math" w:hAnsi="Cambria Math"/>
                <w:i/>
                <w:sz w:val="28"/>
              </w:rPr>
            </m:ctrlPr>
          </m:naryPr>
          <m:sub>
            <m:r>
              <w:rPr>
                <w:rFonts w:ascii="Cambria Math" w:hAnsi="Cambria Math"/>
                <w:sz w:val="28"/>
              </w:rPr>
              <m:t>n=1</m:t>
            </m:r>
          </m:sub>
          <m:sup>
            <m:r>
              <w:rPr>
                <w:rFonts w:ascii="Cambria Math" w:hAnsi="Cambria Math"/>
                <w:sz w:val="28"/>
              </w:rPr>
              <m:t>N</m:t>
            </m:r>
          </m:sup>
          <m:e>
            <m:f>
              <m:fPr>
                <m:ctrlPr>
                  <w:rPr>
                    <w:rFonts w:ascii="Cambria Math" w:hAnsi="Cambria Math"/>
                    <w:i/>
                    <w:sz w:val="28"/>
                  </w:rPr>
                </m:ctrlPr>
              </m:fPr>
              <m:num>
                <m:r>
                  <w:rPr>
                    <w:rFonts w:ascii="Cambria Math" w:hAnsi="Cambria Math"/>
                    <w:sz w:val="28"/>
                  </w:rPr>
                  <m:t>P</m:t>
                </m:r>
                <m:r>
                  <w:rPr>
                    <w:rFonts w:ascii="Cambria Math" w:hAnsi="Cambria Math"/>
                    <w:position w:val="-6"/>
                    <w:sz w:val="28"/>
                  </w:rPr>
                  <m:t>n</m:t>
                </m:r>
              </m:num>
              <m:den>
                <m:sSup>
                  <m:sSupPr>
                    <m:ctrlPr>
                      <w:rPr>
                        <w:rFonts w:ascii="Cambria Math" w:hAnsi="Cambria Math"/>
                        <w:i/>
                        <w:sz w:val="28"/>
                      </w:rPr>
                    </m:ctrlPr>
                  </m:sSupPr>
                  <m:e>
                    <m:d>
                      <m:dPr>
                        <m:ctrlPr>
                          <w:rPr>
                            <w:rFonts w:ascii="Cambria Math" w:hAnsi="Cambria Math"/>
                            <w:i/>
                            <w:sz w:val="28"/>
                          </w:rPr>
                        </m:ctrlPr>
                      </m:dPr>
                      <m:e>
                        <m:r>
                          <w:rPr>
                            <w:rFonts w:ascii="Cambria Math" w:hAnsi="Cambria Math"/>
                            <w:sz w:val="28"/>
                          </w:rPr>
                          <m:t>1 +i</m:t>
                        </m:r>
                      </m:e>
                    </m:d>
                  </m:e>
                  <m:sup>
                    <m:r>
                      <w:rPr>
                        <w:rFonts w:ascii="Cambria Math" w:hAnsi="Cambria Math"/>
                        <w:sz w:val="28"/>
                      </w:rPr>
                      <m:t>n</m:t>
                    </m:r>
                  </m:sup>
                </m:sSup>
              </m:den>
            </m:f>
          </m:e>
        </m:nary>
      </m:oMath>
      <w:r w:rsidR="00E86B19">
        <w:rPr>
          <w:sz w:val="28"/>
        </w:rPr>
        <w:t xml:space="preserve"> </w:t>
      </w:r>
      <m:oMath>
        <m:r>
          <w:rPr>
            <w:rFonts w:ascii="Cambria Math" w:hAnsi="Cambria Math"/>
            <w:sz w:val="28"/>
          </w:rPr>
          <m:t xml:space="preserve"> - </m:t>
        </m:r>
        <m:nary>
          <m:naryPr>
            <m:chr m:val="∑"/>
            <m:ctrlPr>
              <w:rPr>
                <w:rFonts w:ascii="Cambria Math" w:hAnsi="Cambria Math"/>
                <w:i/>
                <w:sz w:val="28"/>
              </w:rPr>
            </m:ctrlPr>
          </m:naryPr>
          <m:sub>
            <m:r>
              <w:rPr>
                <w:rFonts w:ascii="Cambria Math" w:hAnsi="Cambria Math"/>
                <w:sz w:val="28"/>
              </w:rPr>
              <m:t>n=1</m:t>
            </m:r>
          </m:sub>
          <m:sup>
            <m:r>
              <w:rPr>
                <w:rFonts w:ascii="Cambria Math" w:hAnsi="Cambria Math"/>
                <w:sz w:val="28"/>
              </w:rPr>
              <m:t>N</m:t>
            </m:r>
          </m:sup>
          <m:e>
            <m:f>
              <m:fPr>
                <m:ctrlPr>
                  <w:rPr>
                    <w:rFonts w:ascii="Cambria Math" w:hAnsi="Cambria Math"/>
                    <w:i/>
                    <w:sz w:val="28"/>
                  </w:rPr>
                </m:ctrlPr>
              </m:fPr>
              <m:num>
                <m:r>
                  <w:rPr>
                    <w:rFonts w:ascii="Cambria Math" w:hAnsi="Cambria Math"/>
                    <w:sz w:val="28"/>
                  </w:rPr>
                  <m:t>K</m:t>
                </m:r>
                <m:r>
                  <w:rPr>
                    <w:rFonts w:ascii="Cambria Math" w:hAnsi="Cambria Math"/>
                    <w:position w:val="-6"/>
                    <w:sz w:val="28"/>
                  </w:rPr>
                  <m:t>n</m:t>
                </m:r>
              </m:num>
              <m:den>
                <m:sSup>
                  <m:sSupPr>
                    <m:ctrlPr>
                      <w:rPr>
                        <w:rFonts w:ascii="Cambria Math" w:hAnsi="Cambria Math"/>
                        <w:i/>
                        <w:sz w:val="28"/>
                      </w:rPr>
                    </m:ctrlPr>
                  </m:sSupPr>
                  <m:e>
                    <m:d>
                      <m:dPr>
                        <m:ctrlPr>
                          <w:rPr>
                            <w:rFonts w:ascii="Cambria Math" w:hAnsi="Cambria Math"/>
                            <w:i/>
                            <w:sz w:val="28"/>
                          </w:rPr>
                        </m:ctrlPr>
                      </m:dPr>
                      <m:e>
                        <m:r>
                          <w:rPr>
                            <w:rFonts w:ascii="Cambria Math" w:hAnsi="Cambria Math"/>
                            <w:sz w:val="28"/>
                          </w:rPr>
                          <m:t>1 +i</m:t>
                        </m:r>
                      </m:e>
                    </m:d>
                  </m:e>
                  <m:sup>
                    <m:r>
                      <w:rPr>
                        <w:rFonts w:ascii="Cambria Math" w:hAnsi="Cambria Math"/>
                        <w:sz w:val="28"/>
                      </w:rPr>
                      <m:t>n</m:t>
                    </m:r>
                  </m:sup>
                </m:sSup>
              </m:den>
            </m:f>
          </m:e>
        </m:nary>
      </m:oMath>
      <w:r w:rsidR="00E86B19">
        <w:rPr>
          <w:sz w:val="28"/>
        </w:rPr>
        <w:t xml:space="preserve"> .</w:t>
      </w:r>
    </w:p>
    <w:p w:rsidR="00E86B19" w:rsidRDefault="00E86B19" w:rsidP="00D83EAD">
      <w:pPr>
        <w:spacing w:line="360" w:lineRule="auto"/>
        <w:jc w:val="both"/>
      </w:pPr>
      <w:r w:rsidRPr="008A386B">
        <w:t xml:space="preserve">     </w:t>
      </w:r>
      <w:r w:rsidR="008A386B">
        <w:t>Stejný autor popisuje i interpretaci možných výsledků použití metody čisté současné hodnoty, které mohou být následující:</w:t>
      </w:r>
    </w:p>
    <w:p w:rsidR="00B92D1C" w:rsidRDefault="00B92D1C" w:rsidP="00D83EAD">
      <w:pPr>
        <w:spacing w:line="360" w:lineRule="auto"/>
        <w:jc w:val="both"/>
      </w:pPr>
    </w:p>
    <w:p w:rsidR="008A386B" w:rsidRDefault="008A386B" w:rsidP="00B329BD">
      <w:pPr>
        <w:pStyle w:val="Odstavecseseznamem"/>
        <w:numPr>
          <w:ilvl w:val="0"/>
          <w:numId w:val="32"/>
        </w:numPr>
        <w:spacing w:line="360" w:lineRule="auto"/>
        <w:ind w:left="754" w:hanging="357"/>
        <w:jc w:val="both"/>
      </w:pPr>
      <w:r>
        <w:t>jestliže je NPV &gt; 0, investiční projekt je pro podnik přijatelný, neboť zaručuje požadovanou míru výnosu a rovněž zvyšuje tržní hodnotu podniku,</w:t>
      </w:r>
    </w:p>
    <w:p w:rsidR="008A386B" w:rsidRDefault="008A386B" w:rsidP="00B329BD">
      <w:pPr>
        <w:pStyle w:val="Odstavecseseznamem"/>
        <w:numPr>
          <w:ilvl w:val="0"/>
          <w:numId w:val="32"/>
        </w:numPr>
        <w:spacing w:line="360" w:lineRule="auto"/>
        <w:ind w:left="754" w:hanging="357"/>
        <w:jc w:val="both"/>
      </w:pPr>
      <w:r>
        <w:t>jestliže je NPV &lt; 0, investiční projekt je pro podnik nepřijatelný, neboť nezajišťuje požadovanou míru výnosu a snižuje tržní hodnotu podniku,</w:t>
      </w:r>
    </w:p>
    <w:p w:rsidR="009D10D9" w:rsidRDefault="008A386B" w:rsidP="00B329BD">
      <w:pPr>
        <w:pStyle w:val="Odstavecseseznamem"/>
        <w:numPr>
          <w:ilvl w:val="0"/>
          <w:numId w:val="32"/>
        </w:numPr>
        <w:spacing w:line="360" w:lineRule="auto"/>
        <w:ind w:left="754" w:hanging="357"/>
        <w:jc w:val="both"/>
      </w:pPr>
      <w:r>
        <w:t xml:space="preserve">jestliže je NPV = 0, investiční projekt je pro podnik </w:t>
      </w:r>
      <w:r w:rsidR="009D10D9">
        <w:t>indiferentní.</w:t>
      </w:r>
    </w:p>
    <w:p w:rsidR="009D10D9" w:rsidRDefault="009D10D9" w:rsidP="009D10D9">
      <w:pPr>
        <w:spacing w:line="360" w:lineRule="auto"/>
        <w:jc w:val="both"/>
      </w:pPr>
    </w:p>
    <w:p w:rsidR="00D749D6" w:rsidRDefault="009D10D9" w:rsidP="009D10D9">
      <w:pPr>
        <w:spacing w:line="360" w:lineRule="auto"/>
        <w:jc w:val="both"/>
      </w:pPr>
      <w:r>
        <w:t xml:space="preserve">     Pokud srovnáváme metodou čisté současné hodnoty investiční varianty s nestejnou dobou životnosti, je řešení tohoto problému stejné, jaké jsme zmínili u metody diskontovaných nákladů, nerespektováním tohoto faktu bychom dostali nesprávné výsledky. Varianty je tedy třeba hodnotit při stejné době životnosti, kterou představuje nejmenší společný násobek všech životností, předpokládáme přitom, že varianta s kratší životností se neustále obnovuje za stejných podmínek. </w:t>
      </w:r>
    </w:p>
    <w:p w:rsidR="008A386B" w:rsidRDefault="00D749D6" w:rsidP="009D10D9">
      <w:pPr>
        <w:spacing w:line="360" w:lineRule="auto"/>
        <w:jc w:val="both"/>
      </w:pPr>
      <w:r>
        <w:t xml:space="preserve">     Metoda čisté současné hodnoty je ve finanční teorii</w:t>
      </w:r>
      <w:r w:rsidR="00EB55CD">
        <w:t>, jak pokračuje autor,</w:t>
      </w:r>
      <w:r>
        <w:t xml:space="preserve"> považována za nejvhodnější způsob vyhodnocování ekonomické efektivnosti investičních projektů, neboť respektuje faktor času, za efekt považuje celý peněžní příjem, nikoli pouze účetní zisk, a bere v úvahu příjmy po celou dobu životnosti projektu. Předností je bezpochyby i skutečnost, že ukazuje bezprostřední přínos daného projektu k hlavnímu finančnímu cíli podniku – k tržní hodnotě podniku. Problém lze spatřovat zejména ve stanovení požadované míry výnosnosti (diskontní sazby), již zmiňované reálné prognóze peněžních toků projektu a také ve skutečnosti, že toto kritérium nemůže být přímo použito, pokud je výběr investičních variant limitován finančními zdroji.     </w:t>
      </w:r>
      <w:r w:rsidR="009D10D9">
        <w:t xml:space="preserve">  </w:t>
      </w:r>
      <w:r w:rsidR="008A386B">
        <w:t xml:space="preserve"> </w:t>
      </w:r>
    </w:p>
    <w:p w:rsidR="003901C2" w:rsidRDefault="003901C2" w:rsidP="009D10D9">
      <w:pPr>
        <w:spacing w:line="360" w:lineRule="auto"/>
        <w:jc w:val="both"/>
      </w:pPr>
    </w:p>
    <w:p w:rsidR="00A46366" w:rsidRPr="008A386B" w:rsidRDefault="00A46366" w:rsidP="009D10D9">
      <w:pPr>
        <w:spacing w:line="360" w:lineRule="auto"/>
        <w:jc w:val="both"/>
      </w:pPr>
    </w:p>
    <w:p w:rsidR="00E86B19" w:rsidRPr="003901C2" w:rsidRDefault="00167DBE" w:rsidP="00426524">
      <w:pPr>
        <w:pStyle w:val="Nadpis4"/>
        <w:ind w:left="0" w:firstLine="0"/>
        <w:rPr>
          <w:sz w:val="28"/>
          <w:szCs w:val="28"/>
        </w:rPr>
      </w:pPr>
      <w:r w:rsidRPr="003901C2">
        <w:rPr>
          <w:sz w:val="28"/>
          <w:szCs w:val="28"/>
        </w:rPr>
        <w:lastRenderedPageBreak/>
        <w:t xml:space="preserve">  </w:t>
      </w:r>
      <w:bookmarkStart w:id="378" w:name="_Toc233044413"/>
      <w:r w:rsidRPr="003901C2">
        <w:rPr>
          <w:sz w:val="28"/>
          <w:szCs w:val="28"/>
        </w:rPr>
        <w:t xml:space="preserve">Metoda indexu </w:t>
      </w:r>
      <w:r w:rsidR="00226BEC" w:rsidRPr="003901C2">
        <w:rPr>
          <w:sz w:val="28"/>
          <w:szCs w:val="28"/>
        </w:rPr>
        <w:t>rentability</w:t>
      </w:r>
      <w:bookmarkEnd w:id="378"/>
    </w:p>
    <w:p w:rsidR="006451BE" w:rsidRDefault="006451BE" w:rsidP="006E20D2">
      <w:pPr>
        <w:spacing w:line="360" w:lineRule="auto"/>
        <w:jc w:val="both"/>
      </w:pPr>
    </w:p>
    <w:p w:rsidR="00B92D1C" w:rsidRDefault="004D49F1" w:rsidP="006E20D2">
      <w:pPr>
        <w:spacing w:line="360" w:lineRule="auto"/>
        <w:jc w:val="both"/>
      </w:pPr>
      <w:r>
        <w:t xml:space="preserve">     </w:t>
      </w:r>
      <w:r w:rsidR="00226BEC">
        <w:t>Dle Valacha</w:t>
      </w:r>
      <w:r w:rsidR="00226BEC">
        <w:rPr>
          <w:rStyle w:val="Znakapoznpodarou"/>
        </w:rPr>
        <w:footnoteReference w:id="62"/>
      </w:r>
      <w:r w:rsidR="00226BEC">
        <w:t xml:space="preserve"> metoda indexu rentability PI (profitability index) těsně souvisí s metodou čisté současné hodnoty</w:t>
      </w:r>
      <w:r w:rsidR="00B34322">
        <w:t xml:space="preserve"> investičního p</w:t>
      </w:r>
      <w:r w:rsidR="00226BEC">
        <w:t xml:space="preserve">rojektu. Představuje relativní ukazatel, který vyjadřuje poměr očekávaných diskontovaných peněžních příjmů z projektu počátečním kapitálovým výdajům, přičemž tento vztah lze vyjádřit takto:  </w:t>
      </w:r>
      <m:oMath>
        <m:r>
          <w:rPr>
            <w:rFonts w:ascii="Cambria Math" w:hAnsi="Cambria Math"/>
          </w:rPr>
          <m:t xml:space="preserve">PI= </m:t>
        </m:r>
        <m:f>
          <m:fPr>
            <m:ctrlPr>
              <w:rPr>
                <w:rFonts w:ascii="Cambria Math" w:hAnsi="Cambria Math"/>
                <w:i/>
                <w:sz w:val="28"/>
                <w:szCs w:val="28"/>
              </w:rPr>
            </m:ctrlPr>
          </m:fPr>
          <m:num>
            <m:nary>
              <m:naryPr>
                <m:chr m:val="∑"/>
                <m:ctrlPr>
                  <w:rPr>
                    <w:rFonts w:ascii="Cambria Math" w:hAnsi="Cambria Math"/>
                    <w:i/>
                    <w:sz w:val="28"/>
                    <w:szCs w:val="28"/>
                  </w:rPr>
                </m:ctrlPr>
              </m:naryPr>
              <m:sub>
                <m:r>
                  <w:rPr>
                    <w:rFonts w:ascii="Cambria Math" w:hAnsi="Cambria Math"/>
                    <w:sz w:val="28"/>
                    <w:szCs w:val="28"/>
                  </w:rPr>
                  <m:t>n=1</m:t>
                </m:r>
              </m:sub>
              <m:sup>
                <m:r>
                  <w:rPr>
                    <w:rFonts w:ascii="Cambria Math" w:hAnsi="Cambria Math"/>
                    <w:sz w:val="28"/>
                    <w:szCs w:val="28"/>
                  </w:rPr>
                  <m:t>N</m:t>
                </m:r>
              </m:sup>
              <m:e>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P</m:t>
                    </m:r>
                    <m:r>
                      <w:rPr>
                        <w:rFonts w:ascii="Cambria Math" w:hAnsi="Cambria Math"/>
                        <w:position w:val="-6"/>
                        <w:sz w:val="28"/>
                        <w:szCs w:val="28"/>
                      </w:rPr>
                      <m:t>n</m:t>
                    </m:r>
                  </m:num>
                  <m:den>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 +i</m:t>
                            </m:r>
                          </m:e>
                        </m:d>
                      </m:e>
                      <m:sup>
                        <m:r>
                          <w:rPr>
                            <w:rFonts w:ascii="Cambria Math" w:hAnsi="Cambria Math"/>
                            <w:sz w:val="28"/>
                            <w:szCs w:val="28"/>
                          </w:rPr>
                          <m:t>n</m:t>
                        </m:r>
                      </m:sup>
                    </m:sSup>
                  </m:den>
                </m:f>
              </m:e>
            </m:nary>
          </m:num>
          <m:den>
            <m:r>
              <w:rPr>
                <w:rFonts w:ascii="Cambria Math" w:hAnsi="Cambria Math"/>
                <w:sz w:val="28"/>
                <w:szCs w:val="28"/>
              </w:rPr>
              <m:t>K</m:t>
            </m:r>
          </m:den>
        </m:f>
      </m:oMath>
      <w:r w:rsidR="00226BEC">
        <w:t xml:space="preserve"> </w:t>
      </w:r>
      <w:r w:rsidR="00C01F70">
        <w:t xml:space="preserve">. </w:t>
      </w:r>
    </w:p>
    <w:p w:rsidR="00937CAD" w:rsidRDefault="00B92D1C" w:rsidP="006E20D2">
      <w:pPr>
        <w:spacing w:line="360" w:lineRule="auto"/>
        <w:jc w:val="both"/>
      </w:pPr>
      <w:r>
        <w:t xml:space="preserve">     </w:t>
      </w:r>
      <w:r w:rsidR="00C01F70">
        <w:t>Zatímco tedy čistá současná hodnota představuje</w:t>
      </w:r>
      <w:r w:rsidR="00EB55CD">
        <w:t xml:space="preserve"> podle autora</w:t>
      </w:r>
      <w:r w:rsidR="00C01F70">
        <w:t xml:space="preserve"> absolutně vyjádřený rozdíl mezi diskontovanými peněžními příjmy z projektu a kapitálovými výdaji, index rentability vyjadřuje jejich podíl. </w:t>
      </w:r>
      <w:r w:rsidR="00A54C9F">
        <w:t xml:space="preserve">Z uvedené souvislosti je patrné, že kdykoli je čistá současná hodnota pozitivní, index rentability je &gt; 1 a investiční projekt je pro podnik přijatelný. Při záporné čisté současné hodnotě je index rentability &lt; 1. Index rentability tedy vede u vzájemně se nevylučujících projektů ke stejným závěrům jako čistá současná hodnota. U vzájemně se vylučujících projektů však závěry stejné být nemusí, proto se tato metoda doporučuje používat jako kritériu výběru investičních variant tehdy, pokud existují kapitálová omezení a není možné přijmout všechny projekty, i když mají pozitivní čistou současnou hodnotu. Pokud bychom totiž za podmínek kapitálového omezení vybírali projekty </w:t>
      </w:r>
      <w:r w:rsidR="00B34322">
        <w:t>výlučně podle výše</w:t>
      </w:r>
      <w:r w:rsidR="00937CAD">
        <w:t xml:space="preserve"> čisté současné hodnoty, nemusíme dosáhnout co nejvyšší čisté současné hodnoty celého souhrnu omezených kapitálových zdrojů. V takovém případě</w:t>
      </w:r>
      <w:r w:rsidR="00EB55CD">
        <w:t>, jak uzavírá autor,</w:t>
      </w:r>
      <w:r w:rsidR="00937CAD">
        <w:t xml:space="preserve"> tedy volíme pořadí projektů tak, aby dohromady čistá současná hodnota všech projektů omezených kapitálovými zdroji byla co nejvyšší a právě k tomu nám nejlépe poslouží index rentability.</w:t>
      </w:r>
      <w:r w:rsidR="009B5CC9">
        <w:t xml:space="preserve"> Uvedené souvislosti </w:t>
      </w:r>
      <w:r w:rsidR="00EB55CD">
        <w:t>vyjadřuje tabulka</w:t>
      </w:r>
      <w:r w:rsidR="009B5CC9">
        <w:t xml:space="preserve"> tabulka:</w:t>
      </w:r>
    </w:p>
    <w:p w:rsidR="009B5CC9" w:rsidRDefault="009B5CC9" w:rsidP="006E20D2">
      <w:pPr>
        <w:spacing w:line="360" w:lineRule="auto"/>
        <w:jc w:val="both"/>
      </w:pPr>
    </w:p>
    <w:p w:rsidR="009B5CC9" w:rsidRPr="001346D8" w:rsidRDefault="009B5CC9" w:rsidP="001346D8">
      <w:pPr>
        <w:pStyle w:val="Nzev"/>
      </w:pPr>
      <w:bookmarkStart w:id="379" w:name="_Toc231112333"/>
      <w:bookmarkStart w:id="380" w:name="_Toc233044437"/>
      <w:r w:rsidRPr="001346D8">
        <w:t xml:space="preserve">Tabulka č. </w:t>
      </w:r>
      <w:r w:rsidR="001346D8" w:rsidRPr="001346D8">
        <w:t>3</w:t>
      </w:r>
      <w:r w:rsidR="007101F8" w:rsidRPr="001346D8">
        <w:t xml:space="preserve"> – </w:t>
      </w:r>
      <w:r w:rsidR="00E43A9E" w:rsidRPr="001346D8">
        <w:t>Čistá současná hodnota a index ziskovosti u vzájemně se vylučujících projektů</w:t>
      </w:r>
      <w:bookmarkEnd w:id="379"/>
      <w:bookmarkEnd w:id="380"/>
    </w:p>
    <w:p w:rsidR="009B5CC9" w:rsidRDefault="004D0238" w:rsidP="006E20D2">
      <w:pPr>
        <w:spacing w:line="360" w:lineRule="auto"/>
        <w:jc w:val="both"/>
      </w:pPr>
      <w:r>
        <w:rPr>
          <w:noProof/>
        </w:rPr>
        <w:drawing>
          <wp:anchor distT="0" distB="0" distL="114300" distR="114300" simplePos="0" relativeHeight="251681792" behindDoc="0" locked="0" layoutInCell="1" allowOverlap="1">
            <wp:simplePos x="0" y="0"/>
            <wp:positionH relativeFrom="column">
              <wp:posOffset>-26035</wp:posOffset>
            </wp:positionH>
            <wp:positionV relativeFrom="paragraph">
              <wp:posOffset>95885</wp:posOffset>
            </wp:positionV>
            <wp:extent cx="4905375" cy="781050"/>
            <wp:effectExtent l="19050" t="0" r="9525" b="0"/>
            <wp:wrapNone/>
            <wp:docPr id="2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4905375" cy="781050"/>
                    </a:xfrm>
                    <a:prstGeom prst="rect">
                      <a:avLst/>
                    </a:prstGeom>
                    <a:noFill/>
                    <a:ln w="9525">
                      <a:noFill/>
                      <a:miter lim="800000"/>
                      <a:headEnd/>
                      <a:tailEnd/>
                    </a:ln>
                  </pic:spPr>
                </pic:pic>
              </a:graphicData>
            </a:graphic>
          </wp:anchor>
        </w:drawing>
      </w:r>
    </w:p>
    <w:p w:rsidR="009B5CC9" w:rsidRDefault="009B5CC9" w:rsidP="006E20D2">
      <w:pPr>
        <w:spacing w:line="360" w:lineRule="auto"/>
        <w:jc w:val="both"/>
      </w:pPr>
    </w:p>
    <w:p w:rsidR="009B5CC9" w:rsidRDefault="009B5CC9" w:rsidP="006E20D2">
      <w:pPr>
        <w:spacing w:line="360" w:lineRule="auto"/>
        <w:jc w:val="both"/>
      </w:pPr>
    </w:p>
    <w:p w:rsidR="00937CAD" w:rsidRDefault="00937CAD" w:rsidP="006E20D2">
      <w:pPr>
        <w:spacing w:line="360" w:lineRule="auto"/>
        <w:jc w:val="both"/>
      </w:pPr>
    </w:p>
    <w:p w:rsidR="00E43A9E" w:rsidRDefault="00E43A9E" w:rsidP="00E43A9E">
      <w:pPr>
        <w:pStyle w:val="Textpoznpodarou"/>
        <w:spacing w:line="360" w:lineRule="auto"/>
        <w:jc w:val="both"/>
        <w:rPr>
          <w:i/>
          <w:sz w:val="18"/>
          <w:szCs w:val="18"/>
        </w:rPr>
      </w:pPr>
      <w:r w:rsidRPr="001346D8">
        <w:rPr>
          <w:i/>
          <w:sz w:val="18"/>
          <w:szCs w:val="18"/>
        </w:rPr>
        <w:t xml:space="preserve">Zdroj: VALACH, J. Investiční rozhodování a dlouhodobé financování 2. Vyd. Praha : Ekopress, 2006. 465 s. ISBN 80-86929-01-9, str. 104.  </w:t>
      </w:r>
    </w:p>
    <w:p w:rsidR="00A46366" w:rsidRPr="001346D8" w:rsidRDefault="00A46366" w:rsidP="00E43A9E">
      <w:pPr>
        <w:pStyle w:val="Textpoznpodarou"/>
        <w:spacing w:line="360" w:lineRule="auto"/>
        <w:jc w:val="both"/>
        <w:rPr>
          <w:i/>
          <w:sz w:val="18"/>
          <w:szCs w:val="18"/>
        </w:rPr>
      </w:pPr>
    </w:p>
    <w:p w:rsidR="00E43A9E" w:rsidRDefault="00E43A9E" w:rsidP="00E43A9E">
      <w:pPr>
        <w:spacing w:line="360" w:lineRule="auto"/>
        <w:jc w:val="both"/>
      </w:pPr>
      <w:r>
        <w:t xml:space="preserve">     Pokud má tedy podnik k dispozici 100 mil. Kč</w:t>
      </w:r>
      <w:r w:rsidR="00E24A97">
        <w:t xml:space="preserve"> (diskontní sazba = 10%)</w:t>
      </w:r>
      <w:r>
        <w:t>, pak při omezených kapitálových zdrojích bude volit současnou realizaci projektů 2. a 3.</w:t>
      </w:r>
    </w:p>
    <w:p w:rsidR="002F25C4" w:rsidRDefault="00E43A9E" w:rsidP="00E43A9E">
      <w:pPr>
        <w:spacing w:line="360" w:lineRule="auto"/>
        <w:jc w:val="both"/>
      </w:pPr>
      <w:r>
        <w:lastRenderedPageBreak/>
        <w:t xml:space="preserve">     Tato volba zajišťuje vyšší zhodnocení vloženého kapitálu než</w:t>
      </w:r>
      <w:r w:rsidR="002F25C4">
        <w:t xml:space="preserve"> samotná</w:t>
      </w:r>
      <w:r>
        <w:t xml:space="preserve"> volba projektu 1., i když jeho individuální čistá současná hodnota je vyšší, než individuální </w:t>
      </w:r>
      <w:r w:rsidR="002F25C4">
        <w:t xml:space="preserve">čistá současná hodnota projektů 2. a 3. </w:t>
      </w:r>
    </w:p>
    <w:p w:rsidR="004C454E" w:rsidRDefault="00B34322" w:rsidP="00E43A9E">
      <w:pPr>
        <w:spacing w:line="360" w:lineRule="auto"/>
        <w:jc w:val="both"/>
      </w:pPr>
      <w:r>
        <w:t xml:space="preserve">     Výhodnost použití indexu ziskovosti za těchto specifických podmínek potvrzuje i Brealey a Myers</w:t>
      </w:r>
      <w:r>
        <w:rPr>
          <w:rStyle w:val="Znakapoznpodarou"/>
        </w:rPr>
        <w:footnoteReference w:id="63"/>
      </w:r>
      <w:r>
        <w:t xml:space="preserve">. </w:t>
      </w:r>
    </w:p>
    <w:p w:rsidR="00B34322" w:rsidRDefault="00B34322" w:rsidP="00E43A9E">
      <w:pPr>
        <w:spacing w:line="360" w:lineRule="auto"/>
        <w:jc w:val="both"/>
      </w:pPr>
    </w:p>
    <w:p w:rsidR="007D1312" w:rsidRPr="003901C2" w:rsidRDefault="007D1312" w:rsidP="00426524">
      <w:pPr>
        <w:pStyle w:val="Nadpis4"/>
        <w:ind w:left="0" w:firstLine="0"/>
        <w:rPr>
          <w:sz w:val="28"/>
          <w:szCs w:val="28"/>
        </w:rPr>
      </w:pPr>
      <w:r w:rsidRPr="003901C2">
        <w:rPr>
          <w:sz w:val="28"/>
          <w:szCs w:val="28"/>
        </w:rPr>
        <w:t xml:space="preserve">  </w:t>
      </w:r>
      <w:bookmarkStart w:id="381" w:name="_Toc233044414"/>
      <w:r w:rsidRPr="003901C2">
        <w:rPr>
          <w:sz w:val="28"/>
          <w:szCs w:val="28"/>
        </w:rPr>
        <w:t>Metoda vnitřního výnosového procenta</w:t>
      </w:r>
      <w:bookmarkEnd w:id="381"/>
    </w:p>
    <w:p w:rsidR="00937CAD" w:rsidRDefault="00937CAD" w:rsidP="006E20D2">
      <w:pPr>
        <w:spacing w:line="360" w:lineRule="auto"/>
        <w:jc w:val="both"/>
      </w:pPr>
    </w:p>
    <w:p w:rsidR="00A9289E" w:rsidRDefault="007D1312" w:rsidP="006E20D2">
      <w:pPr>
        <w:spacing w:line="360" w:lineRule="auto"/>
        <w:jc w:val="both"/>
      </w:pPr>
      <w:r>
        <w:t xml:space="preserve">     </w:t>
      </w:r>
      <w:r w:rsidR="00A9289E">
        <w:t>Vnitřní výnosové procento IRR (internal rate of return) můžeme podle Valacha</w:t>
      </w:r>
      <w:r w:rsidR="00A9289E">
        <w:rPr>
          <w:rStyle w:val="Znakapoznpodarou"/>
        </w:rPr>
        <w:footnoteReference w:id="64"/>
      </w:r>
      <w:r w:rsidR="00A9289E">
        <w:t xml:space="preserve"> definovat jako takovou míru výnosu, při které se současná hodnota peněžních příjmů z</w:t>
      </w:r>
      <w:r w:rsidR="00BD7438">
        <w:t xml:space="preserve"> investičního </w:t>
      </w:r>
      <w:r w:rsidR="00A9289E">
        <w:t xml:space="preserve">projektu rovná kapitálovým výdajům, eventuelně současné hodnotě kapitálových výdajů, neboli taková míra výnosu při níž se čistá současná hodnota rovná nule. </w:t>
      </w:r>
      <w:r w:rsidR="00BD7438">
        <w:t>U</w:t>
      </w:r>
      <w:r w:rsidR="00A9289E">
        <w:t>veden</w:t>
      </w:r>
      <w:r w:rsidR="00BD7438">
        <w:t>é</w:t>
      </w:r>
      <w:r w:rsidR="00A9289E">
        <w:t xml:space="preserve"> vztah</w:t>
      </w:r>
      <w:r w:rsidR="00BD7438">
        <w:t>y</w:t>
      </w:r>
      <w:r w:rsidR="00A9289E">
        <w:t xml:space="preserve"> můžeme vyjádřit takto</w:t>
      </w:r>
      <w:r w:rsidR="00BD7438">
        <w:t xml:space="preserve">: </w:t>
      </w:r>
      <m:oMath>
        <m:nary>
          <m:naryPr>
            <m:chr m:val="∑"/>
            <m:ctrlPr>
              <w:rPr>
                <w:rFonts w:ascii="Cambria Math" w:hAnsi="Cambria Math"/>
                <w:i/>
                <w:sz w:val="28"/>
              </w:rPr>
            </m:ctrlPr>
          </m:naryPr>
          <m:sub>
            <m:r>
              <w:rPr>
                <w:rFonts w:ascii="Cambria Math" w:hAnsi="Cambria Math"/>
                <w:sz w:val="28"/>
              </w:rPr>
              <m:t>n=1</m:t>
            </m:r>
          </m:sub>
          <m:sup>
            <m:r>
              <w:rPr>
                <w:rFonts w:ascii="Cambria Math" w:hAnsi="Cambria Math"/>
                <w:sz w:val="28"/>
              </w:rPr>
              <m:t>N</m:t>
            </m:r>
          </m:sup>
          <m:e>
            <m:f>
              <m:fPr>
                <m:ctrlPr>
                  <w:rPr>
                    <w:rFonts w:ascii="Cambria Math" w:hAnsi="Cambria Math"/>
                    <w:i/>
                    <w:sz w:val="28"/>
                  </w:rPr>
                </m:ctrlPr>
              </m:fPr>
              <m:num>
                <m:r>
                  <w:rPr>
                    <w:rFonts w:ascii="Cambria Math" w:hAnsi="Cambria Math"/>
                    <w:sz w:val="28"/>
                  </w:rPr>
                  <m:t>P</m:t>
                </m:r>
                <m:r>
                  <w:rPr>
                    <w:rFonts w:ascii="Cambria Math" w:hAnsi="Cambria Math"/>
                    <w:position w:val="-6"/>
                    <w:sz w:val="28"/>
                  </w:rPr>
                  <m:t>n</m:t>
                </m:r>
              </m:num>
              <m:den>
                <m:sSup>
                  <m:sSupPr>
                    <m:ctrlPr>
                      <w:rPr>
                        <w:rFonts w:ascii="Cambria Math" w:hAnsi="Cambria Math"/>
                        <w:i/>
                        <w:sz w:val="28"/>
                      </w:rPr>
                    </m:ctrlPr>
                  </m:sSupPr>
                  <m:e>
                    <m:d>
                      <m:dPr>
                        <m:ctrlPr>
                          <w:rPr>
                            <w:rFonts w:ascii="Cambria Math" w:hAnsi="Cambria Math"/>
                            <w:i/>
                            <w:sz w:val="28"/>
                          </w:rPr>
                        </m:ctrlPr>
                      </m:dPr>
                      <m:e>
                        <m:r>
                          <w:rPr>
                            <w:rFonts w:ascii="Cambria Math" w:hAnsi="Cambria Math"/>
                            <w:sz w:val="28"/>
                          </w:rPr>
                          <m:t>1 +i</m:t>
                        </m:r>
                      </m:e>
                    </m:d>
                  </m:e>
                  <m:sup>
                    <m:r>
                      <w:rPr>
                        <w:rFonts w:ascii="Cambria Math" w:hAnsi="Cambria Math"/>
                        <w:sz w:val="28"/>
                      </w:rPr>
                      <m:t>n</m:t>
                    </m:r>
                  </m:sup>
                </m:sSup>
              </m:den>
            </m:f>
          </m:e>
        </m:nary>
      </m:oMath>
      <w:r w:rsidR="00A9289E">
        <w:t xml:space="preserve"> </w:t>
      </w:r>
      <m:oMath>
        <m:r>
          <w:rPr>
            <w:rFonts w:ascii="Cambria Math" w:hAnsi="Cambria Math"/>
          </w:rPr>
          <m:t>= K</m:t>
        </m:r>
      </m:oMath>
      <w:r w:rsidR="00BD7438">
        <w:t xml:space="preserve"> , respektive </w:t>
      </w:r>
      <m:oMath>
        <m:nary>
          <m:naryPr>
            <m:chr m:val="∑"/>
            <m:ctrlPr>
              <w:rPr>
                <w:rFonts w:ascii="Cambria Math" w:hAnsi="Cambria Math"/>
                <w:i/>
                <w:sz w:val="28"/>
              </w:rPr>
            </m:ctrlPr>
          </m:naryPr>
          <m:sub>
            <m:r>
              <w:rPr>
                <w:rFonts w:ascii="Cambria Math" w:hAnsi="Cambria Math"/>
                <w:sz w:val="28"/>
              </w:rPr>
              <m:t>n=1</m:t>
            </m:r>
          </m:sub>
          <m:sup>
            <m:r>
              <w:rPr>
                <w:rFonts w:ascii="Cambria Math" w:hAnsi="Cambria Math"/>
                <w:sz w:val="28"/>
              </w:rPr>
              <m:t>N</m:t>
            </m:r>
          </m:sup>
          <m:e>
            <m:f>
              <m:fPr>
                <m:ctrlPr>
                  <w:rPr>
                    <w:rFonts w:ascii="Cambria Math" w:hAnsi="Cambria Math"/>
                    <w:i/>
                    <w:sz w:val="28"/>
                  </w:rPr>
                </m:ctrlPr>
              </m:fPr>
              <m:num>
                <m:r>
                  <w:rPr>
                    <w:rFonts w:ascii="Cambria Math" w:hAnsi="Cambria Math"/>
                    <w:sz w:val="28"/>
                  </w:rPr>
                  <m:t>P</m:t>
                </m:r>
                <m:r>
                  <w:rPr>
                    <w:rFonts w:ascii="Cambria Math" w:hAnsi="Cambria Math"/>
                    <w:position w:val="-6"/>
                    <w:sz w:val="28"/>
                  </w:rPr>
                  <m:t>n</m:t>
                </m:r>
              </m:num>
              <m:den>
                <m:sSup>
                  <m:sSupPr>
                    <m:ctrlPr>
                      <w:rPr>
                        <w:rFonts w:ascii="Cambria Math" w:hAnsi="Cambria Math"/>
                        <w:i/>
                        <w:sz w:val="28"/>
                      </w:rPr>
                    </m:ctrlPr>
                  </m:sSupPr>
                  <m:e>
                    <m:d>
                      <m:dPr>
                        <m:ctrlPr>
                          <w:rPr>
                            <w:rFonts w:ascii="Cambria Math" w:hAnsi="Cambria Math"/>
                            <w:i/>
                            <w:sz w:val="28"/>
                          </w:rPr>
                        </m:ctrlPr>
                      </m:dPr>
                      <m:e>
                        <m:r>
                          <w:rPr>
                            <w:rFonts w:ascii="Cambria Math" w:hAnsi="Cambria Math"/>
                            <w:sz w:val="28"/>
                          </w:rPr>
                          <m:t>1 +i</m:t>
                        </m:r>
                      </m:e>
                    </m:d>
                  </m:e>
                  <m:sup>
                    <m:r>
                      <w:rPr>
                        <w:rFonts w:ascii="Cambria Math" w:hAnsi="Cambria Math"/>
                        <w:sz w:val="28"/>
                      </w:rPr>
                      <m:t>n</m:t>
                    </m:r>
                  </m:sup>
                </m:sSup>
              </m:den>
            </m:f>
          </m:e>
        </m:nary>
      </m:oMath>
      <w:r w:rsidR="00BD7438">
        <w:rPr>
          <w:sz w:val="28"/>
        </w:rPr>
        <w:t xml:space="preserve"> </w:t>
      </w:r>
      <m:oMath>
        <m:r>
          <w:rPr>
            <w:rFonts w:ascii="Cambria Math" w:hAnsi="Cambria Math"/>
            <w:sz w:val="28"/>
          </w:rPr>
          <m:t>–</m:t>
        </m:r>
        <m:r>
          <w:rPr>
            <w:rFonts w:ascii="Cambria Math" w:hAnsi="Cambria Math"/>
          </w:rPr>
          <m:t xml:space="preserve"> K =0</m:t>
        </m:r>
      </m:oMath>
      <w:r w:rsidR="00BD7438">
        <w:t xml:space="preserve"> .</w:t>
      </w:r>
    </w:p>
    <w:p w:rsidR="00BD7438" w:rsidRDefault="00BD7438" w:rsidP="006E20D2">
      <w:pPr>
        <w:spacing w:line="360" w:lineRule="auto"/>
        <w:jc w:val="both"/>
      </w:pPr>
      <w:r>
        <w:t xml:space="preserve">     Zatímco u metody čisté současné hodnoty jsme počítali s předem definovanou diskontní sazbou, pak u metody vnitřního výnosového procenta hledáme právě míru výnosu. Za přijatelné jsou potom považovány projekty, které mají vyšší míru výnosu, než </w:t>
      </w:r>
      <w:r w:rsidR="0079141D">
        <w:t xml:space="preserve">je </w:t>
      </w:r>
      <w:r>
        <w:t xml:space="preserve">požadovaná míra výnosu vyjádřená stanovenou diskontní sazbou. </w:t>
      </w:r>
    </w:p>
    <w:p w:rsidR="00173418" w:rsidRDefault="00644EE6" w:rsidP="006E20D2">
      <w:pPr>
        <w:spacing w:line="360" w:lineRule="auto"/>
        <w:jc w:val="both"/>
      </w:pPr>
      <w:r>
        <w:t xml:space="preserve">     Výši vnitřního výnosového procenta přímo kvantifikovat nemůžeme, </w:t>
      </w:r>
      <w:r w:rsidR="00173418">
        <w:t>můžeme však</w:t>
      </w:r>
      <w:r w:rsidR="00941ACD">
        <w:t xml:space="preserve"> podle zmíněného autora</w:t>
      </w:r>
      <w:r w:rsidR="00173418">
        <w:t xml:space="preserve"> použít iterativní postup v těchto krocích:</w:t>
      </w:r>
    </w:p>
    <w:p w:rsidR="00B92D1C" w:rsidRDefault="00B92D1C" w:rsidP="006E20D2">
      <w:pPr>
        <w:spacing w:line="360" w:lineRule="auto"/>
        <w:jc w:val="both"/>
      </w:pPr>
    </w:p>
    <w:p w:rsidR="00644EE6" w:rsidRDefault="00173418" w:rsidP="00B329BD">
      <w:pPr>
        <w:pStyle w:val="Odstavecseseznamem"/>
        <w:numPr>
          <w:ilvl w:val="0"/>
          <w:numId w:val="33"/>
        </w:numPr>
        <w:spacing w:line="360" w:lineRule="auto"/>
        <w:ind w:left="754" w:hanging="357"/>
        <w:jc w:val="both"/>
      </w:pPr>
      <w:r>
        <w:t>zvolíme libovolnou míru výnosu, kterou diskontujeme očekávané peněžní příjmy,</w:t>
      </w:r>
    </w:p>
    <w:p w:rsidR="00173418" w:rsidRDefault="00173418" w:rsidP="00B329BD">
      <w:pPr>
        <w:pStyle w:val="Odstavecseseznamem"/>
        <w:numPr>
          <w:ilvl w:val="0"/>
          <w:numId w:val="33"/>
        </w:numPr>
        <w:spacing w:line="360" w:lineRule="auto"/>
        <w:ind w:left="754" w:hanging="357"/>
        <w:jc w:val="both"/>
      </w:pPr>
      <w:r>
        <w:t xml:space="preserve">součet diskontovaných peněžních příjmů porovnáme s kapitálovým výdajem, </w:t>
      </w:r>
    </w:p>
    <w:p w:rsidR="00173418" w:rsidRDefault="00173418" w:rsidP="00B329BD">
      <w:pPr>
        <w:pStyle w:val="Odstavecseseznamem"/>
        <w:numPr>
          <w:ilvl w:val="0"/>
          <w:numId w:val="33"/>
        </w:numPr>
        <w:spacing w:line="360" w:lineRule="auto"/>
        <w:ind w:left="754" w:hanging="357"/>
        <w:jc w:val="both"/>
      </w:pPr>
      <w:r>
        <w:t>pokud jsou diskontované peněžní příjmy vyšší než kapitálový výdaj, zvolíme vyšší míru výnosu, případně naopak, dostáváme tedy nižší míru výnosu</w:t>
      </w:r>
      <w:r w:rsidR="0079141D">
        <w:t xml:space="preserve"> (i</w:t>
      </w:r>
      <w:r w:rsidR="0079141D">
        <w:rPr>
          <w:position w:val="-6"/>
        </w:rPr>
        <w:t>a</w:t>
      </w:r>
      <w:r w:rsidR="0079141D" w:rsidRPr="0079141D">
        <w:t>)</w:t>
      </w:r>
      <w:r w:rsidR="0079141D">
        <w:t xml:space="preserve">, </w:t>
      </w:r>
      <w:r>
        <w:t xml:space="preserve"> a té odpovídající kladnou čistou současnou hodnotu</w:t>
      </w:r>
      <w:r w:rsidR="0079141D">
        <w:t xml:space="preserve"> (NPV</w:t>
      </w:r>
      <w:r w:rsidR="0079141D" w:rsidRPr="0079141D">
        <w:rPr>
          <w:position w:val="-6"/>
        </w:rPr>
        <w:t>a</w:t>
      </w:r>
      <w:r w:rsidR="0079141D">
        <w:t>)</w:t>
      </w:r>
      <w:r>
        <w:t xml:space="preserve"> a vyšší míru výnosu</w:t>
      </w:r>
      <w:r w:rsidR="0079141D">
        <w:t xml:space="preserve"> (i</w:t>
      </w:r>
      <w:r w:rsidR="0079141D" w:rsidRPr="0079141D">
        <w:rPr>
          <w:position w:val="-6"/>
        </w:rPr>
        <w:t>z</w:t>
      </w:r>
      <w:r w:rsidR="0079141D" w:rsidRPr="0079141D">
        <w:t>)</w:t>
      </w:r>
      <w:r>
        <w:t xml:space="preserve"> a té odpovídající zápornou čistou současnou hodnotu</w:t>
      </w:r>
      <w:r w:rsidR="0079141D">
        <w:t xml:space="preserve"> (NPV</w:t>
      </w:r>
      <w:r w:rsidR="0079141D" w:rsidRPr="0079141D">
        <w:rPr>
          <w:position w:val="-6"/>
        </w:rPr>
        <w:t>z</w:t>
      </w:r>
      <w:r w:rsidR="0079141D">
        <w:t>)</w:t>
      </w:r>
      <w:r w:rsidR="00F029C3">
        <w:t>, kterou však do níže uvedeného vztahu dosadíme v absolutní hodnotě</w:t>
      </w:r>
      <w:r>
        <w:t xml:space="preserve">. </w:t>
      </w:r>
    </w:p>
    <w:p w:rsidR="00BD7438" w:rsidRDefault="0079141D" w:rsidP="00B329BD">
      <w:pPr>
        <w:pStyle w:val="Odstavecseseznamem"/>
        <w:numPr>
          <w:ilvl w:val="0"/>
          <w:numId w:val="33"/>
        </w:numPr>
        <w:spacing w:line="360" w:lineRule="auto"/>
        <w:ind w:left="754" w:hanging="357"/>
        <w:jc w:val="both"/>
      </w:pPr>
      <w:r>
        <w:t xml:space="preserve">hodnotu vnitřního výnosového procenta potom určíme pomocí lineární interpolace podle vztahu: </w:t>
      </w:r>
      <m:oMath>
        <m:r>
          <w:rPr>
            <w:rFonts w:ascii="Cambria Math" w:hAnsi="Cambria Math"/>
          </w:rPr>
          <m:t xml:space="preserve">IRR = </m:t>
        </m:r>
        <m:r>
          <m:rPr>
            <m:sty m:val="p"/>
          </m:rPr>
          <w:rPr>
            <w:rFonts w:ascii="Cambria Math" w:hAnsi="Cambria Math"/>
          </w:rPr>
          <m:t>i</m:t>
        </m:r>
        <m:r>
          <m:rPr>
            <m:sty m:val="p"/>
          </m:rPr>
          <w:rPr>
            <w:rFonts w:ascii="Cambria Math" w:hAnsi="Cambria Math"/>
            <w:position w:val="-6"/>
          </w:rPr>
          <m:t>a</m:t>
        </m:r>
        <m:r>
          <m:rPr>
            <m:sty m:val="p"/>
          </m:rPr>
          <w:rPr>
            <w:rFonts w:ascii="Cambria Math"/>
            <w:position w:val="-6"/>
          </w:rPr>
          <m:t xml:space="preserve"> </m:t>
        </m:r>
        <m:r>
          <m:rPr>
            <m:sty m:val="p"/>
          </m:rPr>
          <w:rPr>
            <w:rFonts w:ascii="Cambria Math" w:hAnsi="Cambria Math"/>
          </w:rPr>
          <m:t>+</m:t>
        </m:r>
      </m:oMath>
      <w:r>
        <w:t xml:space="preserve"> </w:t>
      </w:r>
      <m:oMath>
        <m:f>
          <m:fPr>
            <m:ctrlPr>
              <w:rPr>
                <w:rFonts w:ascii="Cambria Math" w:hAnsi="Cambria Math"/>
                <w:i/>
                <w:sz w:val="28"/>
              </w:rPr>
            </m:ctrlPr>
          </m:fPr>
          <m:num>
            <m:r>
              <m:rPr>
                <m:sty m:val="p"/>
              </m:rPr>
              <w:rPr>
                <w:rFonts w:ascii="Cambria Math" w:hAnsi="Cambria Math"/>
                <w:sz w:val="28"/>
              </w:rPr>
              <m:t>NPV</m:t>
            </m:r>
            <m:r>
              <m:rPr>
                <m:sty m:val="p"/>
              </m:rPr>
              <w:rPr>
                <w:rFonts w:ascii="Cambria Math" w:hAnsi="Cambria Math"/>
                <w:position w:val="-6"/>
                <w:sz w:val="28"/>
              </w:rPr>
              <m:t>a</m:t>
            </m:r>
          </m:num>
          <m:den>
            <m:r>
              <m:rPr>
                <m:sty m:val="p"/>
              </m:rPr>
              <w:rPr>
                <w:rFonts w:ascii="Cambria Math" w:hAnsi="Cambria Math"/>
                <w:sz w:val="28"/>
              </w:rPr>
              <m:t>NPV</m:t>
            </m:r>
            <m:r>
              <m:rPr>
                <m:sty m:val="p"/>
              </m:rPr>
              <w:rPr>
                <w:rFonts w:ascii="Cambria Math" w:hAnsi="Cambria Math"/>
                <w:position w:val="-6"/>
                <w:sz w:val="28"/>
              </w:rPr>
              <m:t>a</m:t>
            </m:r>
            <m:r>
              <m:rPr>
                <m:sty m:val="p"/>
              </m:rPr>
              <w:rPr>
                <w:rFonts w:ascii="Cambria Math"/>
                <w:sz w:val="28"/>
              </w:rPr>
              <m:t xml:space="preserve"> </m:t>
            </m:r>
            <m:r>
              <m:rPr>
                <m:sty m:val="p"/>
              </m:rPr>
              <w:rPr>
                <w:rFonts w:ascii="Cambria Math" w:hAnsi="Cambria Math"/>
                <w:sz w:val="28"/>
              </w:rPr>
              <m:t>+ NPV</m:t>
            </m:r>
            <m:r>
              <m:rPr>
                <m:sty m:val="p"/>
              </m:rPr>
              <w:rPr>
                <w:rFonts w:ascii="Cambria Math" w:hAnsi="Cambria Math"/>
                <w:position w:val="-6"/>
                <w:sz w:val="28"/>
              </w:rPr>
              <m:t>z</m:t>
            </m:r>
            <m:r>
              <m:rPr>
                <m:sty m:val="p"/>
              </m:rPr>
              <w:rPr>
                <w:rFonts w:ascii="Cambria Math"/>
                <w:sz w:val="28"/>
              </w:rPr>
              <m:t xml:space="preserve"> </m:t>
            </m:r>
          </m:den>
        </m:f>
      </m:oMath>
      <w:r w:rsidR="00BD7438">
        <w:t xml:space="preserve"> </w:t>
      </w:r>
      <m:oMath>
        <m:d>
          <m:dPr>
            <m:ctrlPr>
              <w:rPr>
                <w:rFonts w:ascii="Cambria Math" w:hAnsi="Cambria Math"/>
                <w:i/>
              </w:rPr>
            </m:ctrlPr>
          </m:dPr>
          <m:e>
            <m:r>
              <m:rPr>
                <m:sty m:val="p"/>
              </m:rPr>
              <w:rPr>
                <w:rFonts w:ascii="Cambria Math" w:hAnsi="Cambria Math"/>
              </w:rPr>
              <m:t>i</m:t>
            </m:r>
            <m:r>
              <m:rPr>
                <m:sty m:val="p"/>
              </m:rPr>
              <w:rPr>
                <w:rFonts w:ascii="Cambria Math" w:hAnsi="Cambria Math"/>
                <w:position w:val="-6"/>
              </w:rPr>
              <m:t>z</m:t>
            </m:r>
            <m:r>
              <m:rPr>
                <m:sty m:val="p"/>
              </m:rPr>
              <w:rPr>
                <w:rFonts w:ascii="Cambria Math"/>
              </w:rPr>
              <m:t xml:space="preserve"> </m:t>
            </m:r>
            <m:r>
              <m:rPr>
                <m:sty m:val="p"/>
              </m:rPr>
              <w:rPr>
                <w:rFonts w:ascii="Cambria Math" w:hAnsi="Cambria Math"/>
              </w:rPr>
              <m:t>-</m:t>
            </m:r>
            <m:r>
              <m:rPr>
                <m:sty m:val="p"/>
              </m:rPr>
              <w:rPr>
                <w:rFonts w:ascii="Cambria Math"/>
              </w:rPr>
              <m:t xml:space="preserve"> </m:t>
            </m:r>
            <m:r>
              <m:rPr>
                <m:sty m:val="p"/>
              </m:rPr>
              <w:rPr>
                <w:rFonts w:ascii="Cambria Math" w:hAnsi="Cambria Math"/>
              </w:rPr>
              <m:t>i</m:t>
            </m:r>
            <m:r>
              <m:rPr>
                <m:sty m:val="p"/>
              </m:rPr>
              <w:rPr>
                <w:rFonts w:ascii="Cambria Math" w:hAnsi="Cambria Math"/>
                <w:position w:val="-6"/>
              </w:rPr>
              <m:t>a</m:t>
            </m:r>
          </m:e>
        </m:d>
      </m:oMath>
      <w:r w:rsidR="00BD7438" w:rsidRPr="00F029C3">
        <w:t xml:space="preserve"> </w:t>
      </w:r>
      <w:r w:rsidR="00F029C3">
        <w:t>.</w:t>
      </w:r>
      <w:r w:rsidR="00BD7438" w:rsidRPr="00F029C3">
        <w:t xml:space="preserve"> </w:t>
      </w:r>
      <w:r w:rsidR="00BD7438">
        <w:t xml:space="preserve"> </w:t>
      </w:r>
    </w:p>
    <w:p w:rsidR="007D1312" w:rsidRDefault="00A9289E" w:rsidP="006E20D2">
      <w:pPr>
        <w:spacing w:line="360" w:lineRule="auto"/>
        <w:jc w:val="both"/>
      </w:pPr>
      <w:r>
        <w:lastRenderedPageBreak/>
        <w:t xml:space="preserve">       </w:t>
      </w:r>
    </w:p>
    <w:p w:rsidR="007D1312" w:rsidRDefault="00F029C3" w:rsidP="006E20D2">
      <w:pPr>
        <w:spacing w:line="360" w:lineRule="auto"/>
        <w:jc w:val="both"/>
      </w:pPr>
      <w:r>
        <w:t xml:space="preserve">     Metodu vnitřního výnosového procenta nelze</w:t>
      </w:r>
      <w:r w:rsidR="00941ACD">
        <w:t>, jak pokračuje Valach,</w:t>
      </w:r>
      <w:r>
        <w:t xml:space="preserve"> použít, pokud:</w:t>
      </w:r>
    </w:p>
    <w:p w:rsidR="00B92D1C" w:rsidRDefault="00B92D1C" w:rsidP="006E20D2">
      <w:pPr>
        <w:spacing w:line="360" w:lineRule="auto"/>
        <w:jc w:val="both"/>
      </w:pPr>
    </w:p>
    <w:p w:rsidR="00F029C3" w:rsidRDefault="00F029C3" w:rsidP="00B329BD">
      <w:pPr>
        <w:pStyle w:val="Odstavecseseznamem"/>
        <w:numPr>
          <w:ilvl w:val="0"/>
          <w:numId w:val="34"/>
        </w:numPr>
        <w:spacing w:line="360" w:lineRule="auto"/>
        <w:ind w:left="754" w:hanging="357"/>
        <w:jc w:val="both"/>
      </w:pPr>
      <w:r>
        <w:t xml:space="preserve">se jedná o projekt </w:t>
      </w:r>
      <w:r w:rsidR="00E87B87">
        <w:t xml:space="preserve">s nestandardními (nekonvenčními) peněžními toky, </w:t>
      </w:r>
    </w:p>
    <w:p w:rsidR="00E87B87" w:rsidRDefault="00E87B87" w:rsidP="00B329BD">
      <w:pPr>
        <w:pStyle w:val="Odstavecseseznamem"/>
        <w:numPr>
          <w:ilvl w:val="0"/>
          <w:numId w:val="34"/>
        </w:numPr>
        <w:spacing w:line="360" w:lineRule="auto"/>
        <w:ind w:left="754" w:hanging="357"/>
        <w:jc w:val="both"/>
      </w:pPr>
      <w:r>
        <w:t>jestliže máme vybírat mezi vzájemně se vylučujícími projekty</w:t>
      </w:r>
      <w:r w:rsidR="00A46366">
        <w:t>.</w:t>
      </w:r>
      <w:r>
        <w:t xml:space="preserve"> </w:t>
      </w:r>
    </w:p>
    <w:p w:rsidR="003C53E7" w:rsidRDefault="00A54C9F" w:rsidP="006E20D2">
      <w:pPr>
        <w:spacing w:line="360" w:lineRule="auto"/>
        <w:jc w:val="both"/>
      </w:pPr>
      <w:r>
        <w:t xml:space="preserve">  </w:t>
      </w:r>
    </w:p>
    <w:p w:rsidR="00F769C4" w:rsidRPr="00B92D1C" w:rsidRDefault="00440393" w:rsidP="00426524">
      <w:pPr>
        <w:pStyle w:val="Nadpis4"/>
        <w:ind w:left="0" w:firstLine="0"/>
        <w:rPr>
          <w:sz w:val="28"/>
          <w:szCs w:val="28"/>
        </w:rPr>
      </w:pPr>
      <w:r w:rsidRPr="00B92D1C">
        <w:rPr>
          <w:sz w:val="28"/>
          <w:szCs w:val="28"/>
        </w:rPr>
        <w:t xml:space="preserve">  </w:t>
      </w:r>
      <w:bookmarkStart w:id="382" w:name="_Toc233044415"/>
      <w:r w:rsidRPr="00B92D1C">
        <w:rPr>
          <w:sz w:val="28"/>
          <w:szCs w:val="28"/>
        </w:rPr>
        <w:t>Metoda reálných o</w:t>
      </w:r>
      <w:r w:rsidR="00D05229" w:rsidRPr="00B92D1C">
        <w:rPr>
          <w:sz w:val="28"/>
          <w:szCs w:val="28"/>
        </w:rPr>
        <w:t>p</w:t>
      </w:r>
      <w:r w:rsidRPr="00B92D1C">
        <w:rPr>
          <w:sz w:val="28"/>
          <w:szCs w:val="28"/>
        </w:rPr>
        <w:t>cí</w:t>
      </w:r>
      <w:bookmarkEnd w:id="382"/>
    </w:p>
    <w:p w:rsidR="00F769C4" w:rsidRDefault="00F769C4" w:rsidP="009F754E">
      <w:pPr>
        <w:spacing w:line="360" w:lineRule="auto"/>
        <w:jc w:val="both"/>
      </w:pPr>
    </w:p>
    <w:p w:rsidR="00D05229" w:rsidRDefault="00440393" w:rsidP="009F754E">
      <w:pPr>
        <w:spacing w:line="360" w:lineRule="auto"/>
        <w:jc w:val="both"/>
      </w:pPr>
      <w:r>
        <w:t xml:space="preserve">     Jak uvádí Fotr a Souček</w:t>
      </w:r>
      <w:r>
        <w:rPr>
          <w:rStyle w:val="Znakapoznpodarou"/>
        </w:rPr>
        <w:footnoteReference w:id="65"/>
      </w:r>
      <w:r w:rsidR="00FB7CA1">
        <w:t xml:space="preserve"> zkušenosti z hospodářské praxe ukazují, že klasické přístupy oceňování investičních projektů založené na diskontovaných peněžních tocích nevedou v určitých případech k dobrým výsledkům. Problém tkví zejména ve statickém přístupu k oceňování projektů, kdy podnik vychází z předpokladu realizace nejpravděpodobnějšího scénáře. Jedná se</w:t>
      </w:r>
      <w:r w:rsidR="00D05229">
        <w:t xml:space="preserve"> tedy o určitý pasivní přístup, skutečnost je však mnohdy jiná a manažeři mají možnost reagovat na vývoj situace. Tyto zásahy mohou mít podobu odkladu, změny rozsahu</w:t>
      </w:r>
      <w:r w:rsidR="00941ACD">
        <w:t xml:space="preserve"> nebo</w:t>
      </w:r>
      <w:r w:rsidR="00D05229">
        <w:t xml:space="preserve"> předčasného ukončení. Možnost zásahů do investičních projektů tedy značně závisí na jejich flexibilitě. Pokud podnik hodnotí flexibilní investiční návrh se značným potenciálem k jeho aktivnímu řízení, měl by použít právě metodu reálných opcí. </w:t>
      </w:r>
    </w:p>
    <w:p w:rsidR="00A46366" w:rsidRDefault="00D05229" w:rsidP="009F754E">
      <w:pPr>
        <w:spacing w:line="360" w:lineRule="auto"/>
        <w:jc w:val="both"/>
      </w:pPr>
      <w:r>
        <w:t xml:space="preserve">     Respektování flexibility</w:t>
      </w:r>
      <w:r w:rsidR="00F76F6B">
        <w:t>, respektive srovnání konvenčního přístupu s přístupem založeným na metodě reálných opcí,</w:t>
      </w:r>
      <w:r>
        <w:t xml:space="preserve"> můžeme demonstrovat na příkladu, který </w:t>
      </w:r>
      <w:r w:rsidR="00F76F6B">
        <w:t xml:space="preserve">uvádí </w:t>
      </w:r>
      <w:r>
        <w:t>Fotr a Souček</w:t>
      </w:r>
      <w:r>
        <w:rPr>
          <w:rStyle w:val="Znakapoznpodarou"/>
        </w:rPr>
        <w:footnoteReference w:id="66"/>
      </w:r>
      <w:r w:rsidR="00A46366">
        <w:t>.</w:t>
      </w:r>
    </w:p>
    <w:p w:rsidR="00956BE4" w:rsidRDefault="00D05229" w:rsidP="009F754E">
      <w:pPr>
        <w:spacing w:line="360" w:lineRule="auto"/>
        <w:jc w:val="both"/>
      </w:pPr>
      <w:r>
        <w:t xml:space="preserve"> </w:t>
      </w:r>
      <w:r w:rsidR="0049010E">
        <w:t xml:space="preserve">Podnik zpracovává projekt výzkumu a vývoje nového produktu. Náklady na výzkum a vývoj se odhadují na 10 mil. Kč, přičemž budoucí efekty jsou spojené se dvěma rizikovými faktory, výrobními </w:t>
      </w:r>
      <w:r w:rsidR="00956BE4">
        <w:t>náklady</w:t>
      </w:r>
      <w:r w:rsidR="0049010E">
        <w:t xml:space="preserve"> a poptávkou. Výrobní </w:t>
      </w:r>
      <w:r w:rsidR="00956BE4">
        <w:t>náklady</w:t>
      </w:r>
      <w:r w:rsidR="0049010E">
        <w:t xml:space="preserve"> závisí na výsledku výzkumu a vývoje a se stejnou pravděpodobností</w:t>
      </w:r>
      <w:r w:rsidR="00956BE4">
        <w:t xml:space="preserve"> 0,33</w:t>
      </w:r>
      <w:r w:rsidR="0049010E">
        <w:t xml:space="preserve"> nabývají hodnot 30, 60 a 90 mil. Kč. </w:t>
      </w:r>
      <w:r w:rsidR="00956BE4">
        <w:t>Výnosy</w:t>
      </w:r>
      <w:r w:rsidR="0049010E">
        <w:t xml:space="preserve"> z prodeje potom na schopnosti podniku nalézt trhy</w:t>
      </w:r>
      <w:r w:rsidR="00956BE4">
        <w:t xml:space="preserve"> a mohou nabýt dvou hodnot, 125 mil. Kč s pravděpodobností 0,4 a 65 mil. S pravděpodobností 0,6. </w:t>
      </w:r>
      <w:r w:rsidR="00941ACD">
        <w:t>Uvažujeme</w:t>
      </w:r>
      <w:r w:rsidR="00956BE4">
        <w:t xml:space="preserve"> tedy 6 scénářů:</w:t>
      </w:r>
    </w:p>
    <w:p w:rsidR="006F16CA" w:rsidRDefault="006F16CA" w:rsidP="0056198C">
      <w:pPr>
        <w:pStyle w:val="Titulek"/>
        <w:spacing w:before="0" w:after="0"/>
      </w:pPr>
      <w:bookmarkStart w:id="383" w:name="_Toc231112079"/>
      <w:bookmarkStart w:id="384" w:name="_Toc231112334"/>
    </w:p>
    <w:p w:rsidR="00A46366" w:rsidRDefault="00A46366" w:rsidP="00A46366"/>
    <w:p w:rsidR="00A46366" w:rsidRDefault="00A46366" w:rsidP="00A46366"/>
    <w:p w:rsidR="00A46366" w:rsidRDefault="00A46366" w:rsidP="00A46366"/>
    <w:p w:rsidR="00A46366" w:rsidRDefault="00A46366" w:rsidP="00A46366"/>
    <w:p w:rsidR="00A46366" w:rsidRDefault="00A46366" w:rsidP="00A46366"/>
    <w:p w:rsidR="00A46366" w:rsidRDefault="00A46366" w:rsidP="00A46366"/>
    <w:p w:rsidR="00A46366" w:rsidRDefault="00A46366" w:rsidP="00A46366"/>
    <w:p w:rsidR="00A46366" w:rsidRPr="00A46366" w:rsidRDefault="00A46366" w:rsidP="00A46366"/>
    <w:p w:rsidR="00956BE4" w:rsidRPr="00CA662C" w:rsidRDefault="00956BE4" w:rsidP="0056198C">
      <w:pPr>
        <w:pStyle w:val="Titulek"/>
        <w:spacing w:before="0" w:after="0"/>
      </w:pPr>
      <w:bookmarkStart w:id="385" w:name="_Toc233044457"/>
      <w:r w:rsidRPr="00CA662C">
        <w:lastRenderedPageBreak/>
        <w:t xml:space="preserve">Graf č. </w:t>
      </w:r>
      <w:r w:rsidR="007101F8" w:rsidRPr="00CA662C">
        <w:t xml:space="preserve">2 – </w:t>
      </w:r>
      <w:r w:rsidRPr="00CA662C">
        <w:t>Pravděpodobnostní strom zavedení nového produktu</w:t>
      </w:r>
      <w:bookmarkEnd w:id="383"/>
      <w:bookmarkEnd w:id="384"/>
      <w:bookmarkEnd w:id="385"/>
    </w:p>
    <w:p w:rsidR="00956BE4" w:rsidRDefault="00956BE4" w:rsidP="009F754E">
      <w:pPr>
        <w:spacing w:line="360" w:lineRule="auto"/>
        <w:jc w:val="both"/>
      </w:pPr>
      <w:r>
        <w:rPr>
          <w:noProof/>
        </w:rPr>
        <w:drawing>
          <wp:anchor distT="0" distB="0" distL="114300" distR="114300" simplePos="0" relativeHeight="251669504" behindDoc="0" locked="0" layoutInCell="1" allowOverlap="1">
            <wp:simplePos x="0" y="0"/>
            <wp:positionH relativeFrom="column">
              <wp:posOffset>6350</wp:posOffset>
            </wp:positionH>
            <wp:positionV relativeFrom="paragraph">
              <wp:posOffset>166370</wp:posOffset>
            </wp:positionV>
            <wp:extent cx="5093970" cy="2847340"/>
            <wp:effectExtent l="19050" t="19050" r="11430" b="10160"/>
            <wp:wrapNone/>
            <wp:docPr id="10" name="Obrázek 0" descr="sejm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sejmout.jpg"/>
                    <pic:cNvPicPr>
                      <a:picLocks noChangeAspect="1" noChangeArrowheads="1"/>
                    </pic:cNvPicPr>
                  </pic:nvPicPr>
                  <pic:blipFill>
                    <a:blip r:embed="rId16"/>
                    <a:srcRect/>
                    <a:stretch>
                      <a:fillRect/>
                    </a:stretch>
                  </pic:blipFill>
                  <pic:spPr bwMode="auto">
                    <a:xfrm>
                      <a:off x="0" y="0"/>
                      <a:ext cx="5093970" cy="2847340"/>
                    </a:xfrm>
                    <a:prstGeom prst="rect">
                      <a:avLst/>
                    </a:prstGeom>
                    <a:noFill/>
                    <a:ln w="12700">
                      <a:solidFill>
                        <a:srgbClr val="000000"/>
                      </a:solidFill>
                      <a:miter lim="800000"/>
                      <a:headEnd/>
                      <a:tailEnd/>
                    </a:ln>
                  </pic:spPr>
                </pic:pic>
              </a:graphicData>
            </a:graphic>
          </wp:anchor>
        </w:drawing>
      </w:r>
    </w:p>
    <w:p w:rsidR="00F769C4" w:rsidRDefault="0049010E" w:rsidP="009F754E">
      <w:pPr>
        <w:spacing w:line="360" w:lineRule="auto"/>
        <w:jc w:val="both"/>
      </w:pPr>
      <w:r>
        <w:t xml:space="preserve">  </w:t>
      </w:r>
      <w:r w:rsidR="00D05229">
        <w:t xml:space="preserve">         </w:t>
      </w:r>
      <w:r w:rsidR="00FB7CA1">
        <w:t xml:space="preserve"> </w:t>
      </w:r>
      <w:r w:rsidR="00440393">
        <w:t xml:space="preserve"> </w:t>
      </w:r>
    </w:p>
    <w:p w:rsidR="00F769C4" w:rsidRDefault="00F769C4" w:rsidP="009F754E">
      <w:pPr>
        <w:spacing w:line="360" w:lineRule="auto"/>
        <w:jc w:val="both"/>
      </w:pPr>
      <w:r>
        <w:t xml:space="preserve">  </w:t>
      </w:r>
    </w:p>
    <w:p w:rsidR="002135F0" w:rsidRDefault="002135F0" w:rsidP="009F754E">
      <w:pPr>
        <w:spacing w:line="360" w:lineRule="auto"/>
        <w:jc w:val="both"/>
      </w:pPr>
      <w:r>
        <w:t xml:space="preserve">      </w:t>
      </w:r>
    </w:p>
    <w:p w:rsidR="005C6F3C" w:rsidRPr="00AA700E" w:rsidRDefault="005C6F3C" w:rsidP="009F754E">
      <w:pPr>
        <w:spacing w:line="360" w:lineRule="auto"/>
        <w:jc w:val="both"/>
      </w:pPr>
    </w:p>
    <w:p w:rsidR="00610136" w:rsidRDefault="00610136" w:rsidP="00610136">
      <w:pPr>
        <w:spacing w:line="360" w:lineRule="auto"/>
        <w:jc w:val="both"/>
      </w:pPr>
    </w:p>
    <w:p w:rsidR="002D14BF" w:rsidRDefault="006E729E" w:rsidP="002D6C53">
      <w:pPr>
        <w:spacing w:line="360" w:lineRule="auto"/>
      </w:pPr>
      <w:r>
        <w:t xml:space="preserve">  </w:t>
      </w:r>
      <w:r w:rsidR="008D4C04">
        <w:t xml:space="preserve"> </w:t>
      </w:r>
      <w:r w:rsidR="00EE6D96">
        <w:t xml:space="preserve">  </w:t>
      </w:r>
      <w:r w:rsidR="00072803">
        <w:t xml:space="preserve"> </w:t>
      </w:r>
    </w:p>
    <w:p w:rsidR="00F42B22" w:rsidRDefault="00F42B22" w:rsidP="00C2459D">
      <w:pPr>
        <w:spacing w:line="360" w:lineRule="auto"/>
      </w:pPr>
    </w:p>
    <w:p w:rsidR="00417C25" w:rsidRDefault="00417C25" w:rsidP="00C2459D">
      <w:pPr>
        <w:spacing w:line="360" w:lineRule="auto"/>
      </w:pPr>
    </w:p>
    <w:p w:rsidR="00095B91" w:rsidRDefault="00095B91" w:rsidP="00C2459D">
      <w:pPr>
        <w:spacing w:line="360" w:lineRule="auto"/>
      </w:pPr>
    </w:p>
    <w:p w:rsidR="00A970B7" w:rsidRPr="00A970B7" w:rsidRDefault="00A970B7" w:rsidP="00C2459D">
      <w:pPr>
        <w:pStyle w:val="Nadpis2"/>
        <w:rPr>
          <w:bCs w:val="0"/>
          <w:vanish/>
          <w:sz w:val="28"/>
          <w:szCs w:val="28"/>
        </w:rPr>
      </w:pPr>
      <w:bookmarkStart w:id="386" w:name="_Toc222366975"/>
      <w:bookmarkStart w:id="387" w:name="_Toc222408613"/>
      <w:bookmarkStart w:id="388" w:name="_Toc229767871"/>
      <w:bookmarkStart w:id="389" w:name="_Toc229768155"/>
      <w:bookmarkStart w:id="390" w:name="_Toc229768295"/>
      <w:bookmarkStart w:id="391" w:name="_Toc229768409"/>
      <w:bookmarkStart w:id="392" w:name="_Toc229768548"/>
      <w:bookmarkStart w:id="393" w:name="_Toc229768829"/>
      <w:bookmarkStart w:id="394" w:name="_Toc229768919"/>
      <w:bookmarkStart w:id="395" w:name="_Toc229769020"/>
      <w:bookmarkStart w:id="396" w:name="_Toc229769093"/>
      <w:bookmarkStart w:id="397" w:name="_Toc230692912"/>
      <w:bookmarkStart w:id="398" w:name="_Toc230692989"/>
      <w:bookmarkStart w:id="399" w:name="_Toc231023784"/>
      <w:bookmarkStart w:id="400" w:name="_Toc231023854"/>
      <w:bookmarkStart w:id="401" w:name="_Toc231034562"/>
      <w:bookmarkStart w:id="402" w:name="_Toc231034748"/>
      <w:bookmarkStart w:id="403" w:name="_Toc231034817"/>
      <w:bookmarkStart w:id="404" w:name="_Toc231034886"/>
      <w:bookmarkStart w:id="405" w:name="_Toc231102813"/>
      <w:bookmarkStart w:id="406" w:name="_Toc231103692"/>
      <w:bookmarkStart w:id="407" w:name="_Toc231111350"/>
      <w:bookmarkStart w:id="408" w:name="_Toc231112783"/>
      <w:bookmarkStart w:id="409" w:name="_Toc231112855"/>
      <w:bookmarkStart w:id="410" w:name="_Toc231113044"/>
      <w:bookmarkStart w:id="411" w:name="_Toc231113116"/>
      <w:bookmarkStart w:id="412" w:name="_Toc231189239"/>
      <w:bookmarkStart w:id="413" w:name="_Toc231452178"/>
      <w:bookmarkStart w:id="414" w:name="_Toc231453791"/>
      <w:bookmarkStart w:id="415" w:name="_Toc231454081"/>
      <w:bookmarkStart w:id="416" w:name="_Toc232689775"/>
      <w:bookmarkStart w:id="417" w:name="_Toc232695346"/>
      <w:bookmarkStart w:id="418" w:name="_Toc232739273"/>
      <w:bookmarkStart w:id="419" w:name="_Toc232745556"/>
      <w:bookmarkStart w:id="420" w:name="_Toc232821204"/>
      <w:bookmarkStart w:id="421" w:name="_Toc232821260"/>
      <w:bookmarkStart w:id="422" w:name="_Toc232856397"/>
      <w:bookmarkStart w:id="423" w:name="_Toc232856450"/>
      <w:bookmarkStart w:id="424" w:name="_Toc232856927"/>
      <w:bookmarkStart w:id="425" w:name="_Toc232923367"/>
      <w:bookmarkStart w:id="426" w:name="_Toc233006835"/>
      <w:bookmarkStart w:id="427" w:name="_Toc233033416"/>
      <w:bookmarkStart w:id="428" w:name="_Toc233041617"/>
      <w:bookmarkStart w:id="429" w:name="_Toc233044416"/>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rsidR="00A970B7" w:rsidRPr="00A970B7" w:rsidRDefault="00A970B7" w:rsidP="00C2459D">
      <w:pPr>
        <w:pStyle w:val="Nadpis3"/>
        <w:rPr>
          <w:bCs w:val="0"/>
          <w:vanish/>
          <w:sz w:val="28"/>
          <w:szCs w:val="28"/>
        </w:rPr>
      </w:pPr>
      <w:bookmarkStart w:id="430" w:name="_Toc222366976"/>
      <w:bookmarkStart w:id="431" w:name="_Toc222408614"/>
      <w:bookmarkStart w:id="432" w:name="_Toc229767872"/>
      <w:bookmarkStart w:id="433" w:name="_Toc229768156"/>
      <w:bookmarkStart w:id="434" w:name="_Toc229768296"/>
      <w:bookmarkStart w:id="435" w:name="_Toc229768410"/>
      <w:bookmarkStart w:id="436" w:name="_Toc229768549"/>
      <w:bookmarkStart w:id="437" w:name="_Toc229768830"/>
      <w:bookmarkStart w:id="438" w:name="_Toc229768920"/>
      <w:bookmarkStart w:id="439" w:name="_Toc229769021"/>
      <w:bookmarkStart w:id="440" w:name="_Toc229769094"/>
      <w:bookmarkStart w:id="441" w:name="_Toc230692913"/>
      <w:bookmarkStart w:id="442" w:name="_Toc230692990"/>
      <w:bookmarkStart w:id="443" w:name="_Toc231023785"/>
      <w:bookmarkStart w:id="444" w:name="_Toc231023855"/>
      <w:bookmarkStart w:id="445" w:name="_Toc231034563"/>
      <w:bookmarkStart w:id="446" w:name="_Toc231034749"/>
      <w:bookmarkStart w:id="447" w:name="_Toc231034818"/>
      <w:bookmarkStart w:id="448" w:name="_Toc231034887"/>
      <w:bookmarkStart w:id="449" w:name="_Toc231102814"/>
      <w:bookmarkStart w:id="450" w:name="_Toc231103693"/>
      <w:bookmarkStart w:id="451" w:name="_Toc231111351"/>
      <w:bookmarkStart w:id="452" w:name="_Toc231112784"/>
      <w:bookmarkStart w:id="453" w:name="_Toc231112856"/>
      <w:bookmarkStart w:id="454" w:name="_Toc231113045"/>
      <w:bookmarkStart w:id="455" w:name="_Toc231113117"/>
      <w:bookmarkStart w:id="456" w:name="_Toc231189240"/>
      <w:bookmarkStart w:id="457" w:name="_Toc231452179"/>
      <w:bookmarkStart w:id="458" w:name="_Toc231453792"/>
      <w:bookmarkStart w:id="459" w:name="_Toc231454082"/>
      <w:bookmarkStart w:id="460" w:name="_Toc232689776"/>
      <w:bookmarkStart w:id="461" w:name="_Toc232695347"/>
      <w:bookmarkStart w:id="462" w:name="_Toc232739274"/>
      <w:bookmarkStart w:id="463" w:name="_Toc232745557"/>
      <w:bookmarkStart w:id="464" w:name="_Toc232821205"/>
      <w:bookmarkStart w:id="465" w:name="_Toc232821261"/>
      <w:bookmarkStart w:id="466" w:name="_Toc232856398"/>
      <w:bookmarkStart w:id="467" w:name="_Toc232856451"/>
      <w:bookmarkStart w:id="468" w:name="_Toc232856928"/>
      <w:bookmarkStart w:id="469" w:name="_Toc232923368"/>
      <w:bookmarkStart w:id="470" w:name="_Toc233006836"/>
      <w:bookmarkStart w:id="471" w:name="_Toc233033417"/>
      <w:bookmarkStart w:id="472" w:name="_Toc233041618"/>
      <w:bookmarkStart w:id="473" w:name="_Toc233044417"/>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rsidR="00CA5B1B" w:rsidRDefault="007527A4" w:rsidP="00C2459D">
      <w:pPr>
        <w:spacing w:line="360" w:lineRule="auto"/>
        <w:jc w:val="both"/>
      </w:pPr>
      <w:r>
        <w:t xml:space="preserve">     </w:t>
      </w:r>
      <w:r w:rsidR="00081508" w:rsidRPr="00407045">
        <w:t xml:space="preserve"> </w:t>
      </w:r>
      <w:r w:rsidR="00081508">
        <w:t xml:space="preserve"> </w:t>
      </w:r>
      <w:r w:rsidR="004868C8">
        <w:t xml:space="preserve"> </w:t>
      </w:r>
    </w:p>
    <w:p w:rsidR="00D05229" w:rsidRDefault="00D05229" w:rsidP="00C2459D">
      <w:pPr>
        <w:spacing w:line="360" w:lineRule="auto"/>
        <w:jc w:val="both"/>
      </w:pPr>
    </w:p>
    <w:p w:rsidR="00956BE4" w:rsidRPr="007A5B37" w:rsidRDefault="00956BE4" w:rsidP="00956BE4">
      <w:pPr>
        <w:pStyle w:val="Textpoznpodarou"/>
        <w:rPr>
          <w:i/>
          <w:sz w:val="18"/>
          <w:szCs w:val="18"/>
        </w:rPr>
      </w:pPr>
      <w:r w:rsidRPr="007A5B37">
        <w:rPr>
          <w:i/>
          <w:sz w:val="18"/>
          <w:szCs w:val="18"/>
        </w:rPr>
        <w:t>Zdroj: FOTR, J. SOUČEK, I. Podnikatelský záměr a investiční rozhodování 1. Vyd. Praha : Grada, 2005. 356 s. ISBN 80-247-0939-2, str. 238.</w:t>
      </w:r>
    </w:p>
    <w:p w:rsidR="00D05229" w:rsidRDefault="00956BE4" w:rsidP="00C2459D">
      <w:pPr>
        <w:spacing w:line="360" w:lineRule="auto"/>
        <w:jc w:val="both"/>
      </w:pPr>
      <w:r>
        <w:t xml:space="preserve"> </w:t>
      </w:r>
    </w:p>
    <w:p w:rsidR="00B47473" w:rsidRDefault="00956BE4" w:rsidP="00C2459D">
      <w:pPr>
        <w:spacing w:line="360" w:lineRule="auto"/>
        <w:jc w:val="both"/>
      </w:pPr>
      <w:r>
        <w:t xml:space="preserve">    Čisté výnosy jsou stanoveny jako rozdíl výnosů z prodeje a součtu výrobních a ostatních nákladů (ostatní náklady stanoveny na 25 mil. Kč). Pravděpodobnost</w:t>
      </w:r>
      <w:r w:rsidR="00DC16B5">
        <w:t xml:space="preserve"> scénářů</w:t>
      </w:r>
      <w:r>
        <w:t xml:space="preserve"> je stanovena jako </w:t>
      </w:r>
      <w:r w:rsidR="00DC16B5">
        <w:t>součin pravděpodobnosti výrobních nákladů a výnosů z prodeje. Pomocí pravděpodobnostního stromu je dále stanovena střední hodnota čistých výnosů (ČV</w:t>
      </w:r>
      <w:r w:rsidR="00DC16B5" w:rsidRPr="00DC16B5">
        <w:rPr>
          <w:position w:val="-6"/>
        </w:rPr>
        <w:t>s</w:t>
      </w:r>
      <w:r w:rsidR="00DC16B5">
        <w:t>):</w:t>
      </w:r>
      <w:r w:rsidR="00B47473">
        <w:t xml:space="preserve"> </w:t>
      </w:r>
      <w:r w:rsidR="00DC16B5">
        <w:t>ČV</w:t>
      </w:r>
      <w:r w:rsidR="00DC16B5" w:rsidRPr="00DC16B5">
        <w:rPr>
          <w:position w:val="-6"/>
        </w:rPr>
        <w:t>s</w:t>
      </w:r>
      <w:r w:rsidR="00DC16B5">
        <w:t xml:space="preserve"> = 70 x 0,133 + 10 x 0,2 + 40 x 0.133 – 20 x 0,2 + 10 x 0,133 – 50 x 0,2 = 4 mil. Kč. Vzhledem k tomu, že náklady výzkumu a vývoje byly odhadnuty na 10 mil. Kč, bude čistá současná hodnota projektu </w:t>
      </w:r>
      <w:r w:rsidR="004D0238">
        <w:t xml:space="preserve">– 10 + 4 = </w:t>
      </w:r>
      <w:r w:rsidR="00DC16B5">
        <w:t>– 6 mil. Kč</w:t>
      </w:r>
      <w:r w:rsidR="004D0238">
        <w:t xml:space="preserve">, </w:t>
      </w:r>
      <w:r w:rsidR="00D675E2">
        <w:t>záporná</w:t>
      </w:r>
      <w:r w:rsidR="004D0238">
        <w:t xml:space="preserve"> hodnota</w:t>
      </w:r>
      <w:r w:rsidR="00941ACD">
        <w:t xml:space="preserve"> </w:t>
      </w:r>
      <w:r w:rsidR="00D675E2">
        <w:t>tedy</w:t>
      </w:r>
      <w:r w:rsidR="00941ACD">
        <w:t xml:space="preserve"> indik</w:t>
      </w:r>
      <w:r w:rsidR="00D675E2">
        <w:t>uje</w:t>
      </w:r>
      <w:r w:rsidR="00941ACD">
        <w:t xml:space="preserve"> jeho </w:t>
      </w:r>
      <w:r w:rsidR="00B47473">
        <w:t xml:space="preserve">ekonomickou </w:t>
      </w:r>
      <w:r w:rsidR="00DC16B5">
        <w:t>nevýhodnost.</w:t>
      </w:r>
      <w:r w:rsidR="00B47473">
        <w:t xml:space="preserve"> </w:t>
      </w:r>
    </w:p>
    <w:p w:rsidR="005B4DC7" w:rsidRDefault="00B47473" w:rsidP="00C2459D">
      <w:pPr>
        <w:spacing w:line="360" w:lineRule="auto"/>
        <w:jc w:val="both"/>
      </w:pPr>
      <w:r>
        <w:t xml:space="preserve">     Tento konvenční přístup však nerespektuje skutečnost, že realizace výzkumu a vývoje ještě nezakládá povinnost vyrábět daný produkt, avšak pouze možnost vyrábět. Projekt poškozují scénáře S4 a S6, podnik má však možnost v těchto situacích výrobu nezahájit, případně jí odložit do doby vyjasnění potenciálu trhu. Pokud budeme předpokládat, že v souladu s aktuálním stavem po výzkumu a vývoji nezahájíme výrobu v situacích scénářů S4 a S6, budou čisté výnosy při těchto scénářích vždy nulové a střední hodnota čistých výnosů pak bude: ČV</w:t>
      </w:r>
      <w:r w:rsidRPr="00DC16B5">
        <w:rPr>
          <w:position w:val="-6"/>
        </w:rPr>
        <w:t>s</w:t>
      </w:r>
      <w:r>
        <w:t xml:space="preserve"> = 70 x 0,133 + 10 x 0,2 + 40 x 0.133 + 0 x 0,2 + 10 x 0,133 + 0 x 0,2 = 18 mil. Kč. Čistá současná hodnota projektu nyní bude – 10 </w:t>
      </w:r>
      <w:r w:rsidR="00F76F6B">
        <w:t>+ 18 = 8 mil. Kč a projekt by se tedy měl realizovat.</w:t>
      </w:r>
    </w:p>
    <w:p w:rsidR="004D0238" w:rsidRDefault="004D0238" w:rsidP="00C2459D">
      <w:pPr>
        <w:spacing w:line="360" w:lineRule="auto"/>
        <w:jc w:val="both"/>
      </w:pPr>
    </w:p>
    <w:p w:rsidR="000C7280" w:rsidRDefault="000C7280" w:rsidP="000C7280">
      <w:pPr>
        <w:pStyle w:val="Nadpis1"/>
        <w:ind w:left="0" w:firstLine="0"/>
        <w:rPr>
          <w:b w:val="0"/>
        </w:rPr>
      </w:pPr>
      <w:r>
        <w:rPr>
          <w:b w:val="0"/>
        </w:rPr>
        <w:lastRenderedPageBreak/>
        <w:t xml:space="preserve">  </w:t>
      </w:r>
      <w:bookmarkStart w:id="474" w:name="_Toc233044418"/>
      <w:r w:rsidRPr="000C7280">
        <w:rPr>
          <w:b w:val="0"/>
        </w:rPr>
        <w:t>Představení podniku</w:t>
      </w:r>
      <w:bookmarkEnd w:id="474"/>
    </w:p>
    <w:p w:rsidR="000C7280" w:rsidRDefault="000C7280" w:rsidP="000C7280"/>
    <w:p w:rsidR="000C7280" w:rsidRDefault="002456D0" w:rsidP="002456D0">
      <w:pPr>
        <w:pStyle w:val="Nadpis2"/>
        <w:ind w:left="0" w:firstLine="0"/>
        <w:rPr>
          <w:b w:val="0"/>
          <w:sz w:val="28"/>
          <w:szCs w:val="28"/>
        </w:rPr>
      </w:pPr>
      <w:r>
        <w:rPr>
          <w:b w:val="0"/>
          <w:sz w:val="28"/>
          <w:szCs w:val="28"/>
        </w:rPr>
        <w:t xml:space="preserve">  </w:t>
      </w:r>
      <w:bookmarkStart w:id="475" w:name="_Toc233044419"/>
      <w:r w:rsidR="000C7280" w:rsidRPr="000C7280">
        <w:rPr>
          <w:b w:val="0"/>
          <w:sz w:val="28"/>
          <w:szCs w:val="28"/>
        </w:rPr>
        <w:t>Oblast působnosti a výkonové charakteristiky</w:t>
      </w:r>
      <w:bookmarkEnd w:id="475"/>
    </w:p>
    <w:p w:rsidR="000C7280" w:rsidRDefault="000C7280" w:rsidP="000C7280">
      <w:pPr>
        <w:spacing w:line="360" w:lineRule="auto"/>
      </w:pPr>
    </w:p>
    <w:p w:rsidR="004811AD" w:rsidRDefault="000C7280" w:rsidP="00FB6AF9">
      <w:pPr>
        <w:spacing w:line="360" w:lineRule="auto"/>
        <w:jc w:val="both"/>
      </w:pPr>
      <w:r>
        <w:t xml:space="preserve">     </w:t>
      </w:r>
      <w:r w:rsidR="00EC711E">
        <w:t xml:space="preserve">Ke zpracování analytické části práce </w:t>
      </w:r>
      <w:r w:rsidR="005F4F41">
        <w:t>bylo přistoupeno</w:t>
      </w:r>
      <w:r w:rsidR="004811AD">
        <w:t xml:space="preserve"> </w:t>
      </w:r>
      <w:r w:rsidR="005F4F41">
        <w:t xml:space="preserve">ve </w:t>
      </w:r>
      <w:r w:rsidR="004811AD">
        <w:t>společnosti Telefónica O2 Czech Republic, a.s.</w:t>
      </w:r>
      <w:r w:rsidR="005F4F41">
        <w:t xml:space="preserve"> Zástupci této společnosti poskytli dostatek relevantních informací a dokumentů, aby bylo možné předmětnou </w:t>
      </w:r>
      <w:r w:rsidR="0031766D">
        <w:t>analýz</w:t>
      </w:r>
      <w:r w:rsidR="005F4F41">
        <w:t>u</w:t>
      </w:r>
      <w:r w:rsidR="0031766D">
        <w:t xml:space="preserve"> postupů využívaných při hodnocení investičních projektů </w:t>
      </w:r>
      <w:r w:rsidR="005F4F41">
        <w:t xml:space="preserve">v podniku provést. </w:t>
      </w:r>
      <w:r w:rsidR="004811AD">
        <w:t>Základní charakteristiky dané společnosti jsou uvedeny níže:</w:t>
      </w:r>
    </w:p>
    <w:p w:rsidR="004811AD" w:rsidRDefault="004811AD" w:rsidP="000C7280">
      <w:pPr>
        <w:spacing w:line="360" w:lineRule="auto"/>
      </w:pPr>
    </w:p>
    <w:p w:rsidR="004811AD" w:rsidRDefault="004811AD" w:rsidP="004811AD">
      <w:pPr>
        <w:tabs>
          <w:tab w:val="left" w:pos="2410"/>
        </w:tabs>
        <w:spacing w:line="360" w:lineRule="auto"/>
      </w:pPr>
      <w:r>
        <w:t>Obchodní název:</w:t>
      </w:r>
      <w:r>
        <w:tab/>
        <w:t xml:space="preserve"> Telefónica O2 Czech Republic, a.s.</w:t>
      </w:r>
    </w:p>
    <w:p w:rsidR="004811AD" w:rsidRDefault="004811AD" w:rsidP="004811AD">
      <w:pPr>
        <w:tabs>
          <w:tab w:val="left" w:pos="2410"/>
        </w:tabs>
        <w:spacing w:line="360" w:lineRule="auto"/>
      </w:pPr>
      <w:r>
        <w:t>Sídlo:</w:t>
      </w:r>
      <w:r>
        <w:tab/>
      </w:r>
      <w:r w:rsidR="008F6AD8">
        <w:t>Za Brumlovkou 266/2, 140 22 Praha 4</w:t>
      </w:r>
    </w:p>
    <w:p w:rsidR="008F6AD8" w:rsidRDefault="008F6AD8" w:rsidP="004811AD">
      <w:pPr>
        <w:tabs>
          <w:tab w:val="left" w:pos="2410"/>
        </w:tabs>
        <w:spacing w:line="360" w:lineRule="auto"/>
      </w:pPr>
      <w:r>
        <w:t>IČ:</w:t>
      </w:r>
      <w:r>
        <w:tab/>
        <w:t>60193336</w:t>
      </w:r>
    </w:p>
    <w:p w:rsidR="008F6AD8" w:rsidRDefault="008F6AD8" w:rsidP="004811AD">
      <w:pPr>
        <w:tabs>
          <w:tab w:val="left" w:pos="2410"/>
        </w:tabs>
        <w:spacing w:line="360" w:lineRule="auto"/>
      </w:pPr>
      <w:r>
        <w:t>Datum vzniku:</w:t>
      </w:r>
      <w:r>
        <w:tab/>
        <w:t>1. ledna 1994</w:t>
      </w:r>
    </w:p>
    <w:p w:rsidR="008F6AD8" w:rsidRDefault="008F6AD8" w:rsidP="004811AD">
      <w:pPr>
        <w:tabs>
          <w:tab w:val="left" w:pos="2410"/>
        </w:tabs>
        <w:spacing w:line="360" w:lineRule="auto"/>
      </w:pPr>
      <w:r>
        <w:t>Právní forma:</w:t>
      </w:r>
      <w:r>
        <w:tab/>
        <w:t>akciová společnost</w:t>
      </w:r>
    </w:p>
    <w:p w:rsidR="008F6AD8" w:rsidRDefault="008F6AD8" w:rsidP="008F6AD8">
      <w:pPr>
        <w:tabs>
          <w:tab w:val="left" w:pos="2410"/>
        </w:tabs>
        <w:spacing w:line="360" w:lineRule="auto"/>
      </w:pPr>
      <w:r>
        <w:t>Základní kapitál:</w:t>
      </w:r>
      <w:r>
        <w:tab/>
        <w:t xml:space="preserve">32 208 990 000 Kč </w:t>
      </w:r>
    </w:p>
    <w:p w:rsidR="008F6AD8" w:rsidRDefault="008F6AD8" w:rsidP="008F6AD8">
      <w:pPr>
        <w:tabs>
          <w:tab w:val="left" w:pos="2410"/>
        </w:tabs>
        <w:spacing w:line="360" w:lineRule="auto"/>
      </w:pPr>
      <w:r>
        <w:t>Sektor:</w:t>
      </w:r>
      <w:r>
        <w:tab/>
        <w:t>služeb</w:t>
      </w:r>
      <w:r>
        <w:rPr>
          <w:rStyle w:val="Znakapoznpodarou"/>
        </w:rPr>
        <w:footnoteReference w:id="67"/>
      </w:r>
    </w:p>
    <w:p w:rsidR="008129D7" w:rsidRDefault="008129D7" w:rsidP="008F6AD8">
      <w:pPr>
        <w:tabs>
          <w:tab w:val="left" w:pos="2410"/>
        </w:tabs>
        <w:spacing w:line="360" w:lineRule="auto"/>
      </w:pPr>
      <w:r>
        <w:t>Odvětví:</w:t>
      </w:r>
      <w:r>
        <w:tab/>
        <w:t>dle OKEČ – 64.2 Telekomunikace</w:t>
      </w:r>
      <w:r>
        <w:rPr>
          <w:rStyle w:val="Znakapoznpodarou"/>
        </w:rPr>
        <w:footnoteReference w:id="68"/>
      </w:r>
    </w:p>
    <w:p w:rsidR="008129D7" w:rsidRDefault="0031766D" w:rsidP="008F6AD8">
      <w:pPr>
        <w:tabs>
          <w:tab w:val="left" w:pos="2410"/>
        </w:tabs>
        <w:spacing w:line="360" w:lineRule="auto"/>
      </w:pPr>
      <w:r>
        <w:t>Velikost podniku:</w:t>
      </w:r>
      <w:r>
        <w:tab/>
        <w:t>velký podnik</w:t>
      </w:r>
      <w:r>
        <w:rPr>
          <w:rStyle w:val="Znakapoznpodarou"/>
        </w:rPr>
        <w:footnoteReference w:id="69"/>
      </w:r>
      <w:r w:rsidR="008129D7">
        <w:t xml:space="preserve"> </w:t>
      </w:r>
    </w:p>
    <w:p w:rsidR="008F6AD8" w:rsidRDefault="008F6AD8" w:rsidP="008F6AD8">
      <w:pPr>
        <w:tabs>
          <w:tab w:val="left" w:pos="2410"/>
        </w:tabs>
        <w:spacing w:line="360" w:lineRule="auto"/>
      </w:pPr>
      <w:r>
        <w:t>Roční obrat:</w:t>
      </w:r>
      <w:r>
        <w:tab/>
        <w:t>65 000 </w:t>
      </w:r>
      <w:r w:rsidR="002E47A6">
        <w:t>mil.</w:t>
      </w:r>
      <w:r>
        <w:t xml:space="preserve"> Kč</w:t>
      </w:r>
    </w:p>
    <w:p w:rsidR="008F6AD8" w:rsidRDefault="0031766D" w:rsidP="008F6AD8">
      <w:pPr>
        <w:tabs>
          <w:tab w:val="left" w:pos="2410"/>
        </w:tabs>
        <w:spacing w:line="360" w:lineRule="auto"/>
      </w:pPr>
      <w:r>
        <w:t xml:space="preserve">Počet zaměstnanců: </w:t>
      </w:r>
      <w:r>
        <w:tab/>
        <w:t>8 383</w:t>
      </w:r>
    </w:p>
    <w:p w:rsidR="0031766D" w:rsidRDefault="0031766D" w:rsidP="008F6AD8">
      <w:pPr>
        <w:tabs>
          <w:tab w:val="left" w:pos="2410"/>
        </w:tabs>
        <w:spacing w:line="360" w:lineRule="auto"/>
      </w:pPr>
    </w:p>
    <w:p w:rsidR="00C4225B" w:rsidRDefault="0031766D" w:rsidP="00FB6AF9">
      <w:pPr>
        <w:tabs>
          <w:tab w:val="left" w:pos="2410"/>
        </w:tabs>
        <w:spacing w:line="360" w:lineRule="auto"/>
        <w:jc w:val="both"/>
      </w:pPr>
      <w:r>
        <w:t xml:space="preserve">     </w:t>
      </w:r>
      <w:r w:rsidR="00FB6AF9">
        <w:t>Společnost</w:t>
      </w:r>
      <w:r w:rsidR="00824208">
        <w:rPr>
          <w:rStyle w:val="Znakapoznpodarou"/>
        </w:rPr>
        <w:footnoteReference w:id="70"/>
      </w:r>
      <w:r w:rsidR="00FB6AF9">
        <w:t xml:space="preserve"> Telefónica O2 Czech Republic, a.s. a několik dalších dceřiných společností tvoří </w:t>
      </w:r>
      <w:r w:rsidR="003E27D3">
        <w:t>s</w:t>
      </w:r>
      <w:r w:rsidR="00FB6AF9">
        <w:t xml:space="preserve">kupinu Telefonica O2 Czech Republic. Společnost je jediným integrovaných telekomunikačním operátorem v České republice , který poskytuje komplexní nabídku hlasových, datových a internetových služeb v oblasti pevných linek a mobilních služeb. Od roku 2006 nabízí službu digitální televize O2 TV a od roku 2007 potom významným způsobem rozšířila své aktivity v oblasti IT a ICT (informační a komunikační technologie – komplexní zákaznická řešení komunikace). </w:t>
      </w:r>
      <w:r w:rsidR="00C4225B">
        <w:t xml:space="preserve">Provozovatelům a poskytovatelům veřejných i neveřejných sítí a služeb nabízí možnost využívání síťové infrastruktury. </w:t>
      </w:r>
    </w:p>
    <w:p w:rsidR="00BF21BA" w:rsidRDefault="00C4225B" w:rsidP="00FB6AF9">
      <w:pPr>
        <w:tabs>
          <w:tab w:val="left" w:pos="2410"/>
        </w:tabs>
        <w:spacing w:line="360" w:lineRule="auto"/>
        <w:jc w:val="both"/>
      </w:pPr>
      <w:r>
        <w:t xml:space="preserve">     </w:t>
      </w:r>
      <w:r w:rsidR="00BA7C27">
        <w:t xml:space="preserve">Z této pozice musí společnost neustále analyzovat trendy na </w:t>
      </w:r>
      <w:r w:rsidR="00BA4E13">
        <w:t xml:space="preserve">domácím </w:t>
      </w:r>
      <w:r w:rsidR="00BA7C27">
        <w:t xml:space="preserve">telekomunikačním trhu, znamená to tedy neustálé vyhodnocování </w:t>
      </w:r>
      <w:r w:rsidR="002B111D">
        <w:t xml:space="preserve">a reakce na trendy trhu pevných linek a trendy </w:t>
      </w:r>
      <w:r w:rsidR="002B111D">
        <w:lastRenderedPageBreak/>
        <w:t>na mobilním trhu. Neméně podstatnou je i otázka regulace ze strany</w:t>
      </w:r>
      <w:r w:rsidR="00A42DB9">
        <w:t xml:space="preserve"> Českého telekomunikačního úřadu</w:t>
      </w:r>
      <w:r w:rsidR="00824208">
        <w:rPr>
          <w:rStyle w:val="Znakapoznpodarou"/>
        </w:rPr>
        <w:footnoteReference w:id="71"/>
      </w:r>
      <w:r w:rsidR="00A42DB9">
        <w:t>.</w:t>
      </w:r>
      <w:r w:rsidR="00BF21BA">
        <w:t xml:space="preserve"> Vzhledem ke skutečnosti, že otázka charakteru a vývojových tendencí na telekomunikačním trhu je relevantní z hlediska zacílení této práce, respektive některých souvislostí ve vazbě na postupy a metody oceňování investičních projektů, věnujme nyní alespoň krátký komentář k této problematice</w:t>
      </w:r>
      <w:r w:rsidR="00BF21BA">
        <w:rPr>
          <w:rStyle w:val="Znakapoznpodarou"/>
        </w:rPr>
        <w:footnoteReference w:id="72"/>
      </w:r>
      <w:r w:rsidR="00BF21BA">
        <w:t>.</w:t>
      </w:r>
    </w:p>
    <w:p w:rsidR="00BA4E13" w:rsidRDefault="00BF21BA" w:rsidP="00FB6AF9">
      <w:pPr>
        <w:tabs>
          <w:tab w:val="left" w:pos="2410"/>
        </w:tabs>
        <w:spacing w:line="360" w:lineRule="auto"/>
        <w:jc w:val="both"/>
      </w:pPr>
      <w:r>
        <w:t xml:space="preserve">     </w:t>
      </w:r>
      <w:r w:rsidR="00ED2B77">
        <w:t>Pokud jde trh pevných linek</w:t>
      </w:r>
      <w:r w:rsidR="00BA4E13">
        <w:t xml:space="preserve"> a jeho trendy</w:t>
      </w:r>
      <w:r w:rsidR="00ED2B77">
        <w:t>, potom hlavními aktivitami v segmentu jsou nabídky balíčků služeb kombinujících hlasové služby, internet a televizi, dále rušení datových limitů a zrychlování rychlosti připojení. V oblasti hlasových služeb pokračuje nárůst konkurence, přičemž dochází k</w:t>
      </w:r>
      <w:r w:rsidR="00BA4E13">
        <w:t xml:space="preserve"> trendu nahrazování </w:t>
      </w:r>
      <w:r w:rsidR="00ED2B77">
        <w:t>hlasového provozu</w:t>
      </w:r>
      <w:r w:rsidR="00BA4E13">
        <w:t xml:space="preserve"> z pevných linek mobilním provozem. </w:t>
      </w:r>
    </w:p>
    <w:p w:rsidR="00BF21BA" w:rsidRDefault="00BA4E13" w:rsidP="00FB6AF9">
      <w:pPr>
        <w:tabs>
          <w:tab w:val="left" w:pos="2410"/>
        </w:tabs>
        <w:spacing w:line="360" w:lineRule="auto"/>
        <w:jc w:val="both"/>
      </w:pPr>
      <w:r>
        <w:t xml:space="preserve">     Mobilní trh lze charakterizovat především silným konkurenčním prostředím. Mobilní operátoři se zaměřují v souvislosti s konkurenčním bojem </w:t>
      </w:r>
      <w:r w:rsidR="007C54AB">
        <w:t xml:space="preserve">především na </w:t>
      </w:r>
      <w:r>
        <w:t xml:space="preserve">podporu </w:t>
      </w:r>
      <w:r w:rsidR="007C54AB">
        <w:t xml:space="preserve">svých předplacených a </w:t>
      </w:r>
      <w:r w:rsidR="00BD140F">
        <w:t>smluvních ta</w:t>
      </w:r>
      <w:r w:rsidR="007C54AB">
        <w:t>rifních služeb, přičemž stranou nezůstává ani zájem o poskytování datových a internetových služeb</w:t>
      </w:r>
      <w:r w:rsidR="00BD140F">
        <w:t xml:space="preserve">, balíčků služeb s vazbou na </w:t>
      </w:r>
      <w:r w:rsidR="007C54AB">
        <w:t>implementac</w:t>
      </w:r>
      <w:r w:rsidR="00BD140F">
        <w:t>i</w:t>
      </w:r>
      <w:r w:rsidR="007C54AB">
        <w:t xml:space="preserve"> nových technologií.</w:t>
      </w:r>
      <w:r w:rsidR="00BD140F">
        <w:t xml:space="preserve"> </w:t>
      </w:r>
      <w:r w:rsidR="007C54AB">
        <w:t xml:space="preserve">  </w:t>
      </w:r>
      <w:r w:rsidR="00ED2B77">
        <w:t xml:space="preserve">   </w:t>
      </w:r>
    </w:p>
    <w:p w:rsidR="002E47A6" w:rsidRDefault="00BF21BA" w:rsidP="00FB6AF9">
      <w:pPr>
        <w:tabs>
          <w:tab w:val="left" w:pos="2410"/>
        </w:tabs>
        <w:spacing w:line="360" w:lineRule="auto"/>
        <w:jc w:val="both"/>
      </w:pPr>
      <w:r>
        <w:t xml:space="preserve">     </w:t>
      </w:r>
      <w:r w:rsidR="002E47A6">
        <w:t>Vyjdeme – li z hospodářských výsledků podniku za rok</w:t>
      </w:r>
      <w:r w:rsidR="00BD140F">
        <w:t>y 2005 –</w:t>
      </w:r>
      <w:r w:rsidR="002E47A6">
        <w:t xml:space="preserve"> 2008, jak byly zveřejněny ve výroční</w:t>
      </w:r>
      <w:r w:rsidR="00BD140F">
        <w:t>ch</w:t>
      </w:r>
      <w:r w:rsidR="002E47A6">
        <w:t xml:space="preserve"> zpráv</w:t>
      </w:r>
      <w:r w:rsidR="00BD140F">
        <w:t>ách</w:t>
      </w:r>
      <w:r w:rsidR="002E47A6">
        <w:t xml:space="preserve"> společnosti, pak celkové výnosy dosáhly </w:t>
      </w:r>
      <w:r w:rsidR="00BD140F">
        <w:t>těchto hodnot a této</w:t>
      </w:r>
      <w:r w:rsidR="002E47A6">
        <w:t xml:space="preserve"> výkonové struktu</w:t>
      </w:r>
      <w:r w:rsidR="00BD140F">
        <w:t>ry</w:t>
      </w:r>
      <w:r w:rsidR="002E47A6">
        <w:t>:</w:t>
      </w:r>
    </w:p>
    <w:p w:rsidR="00BD140F" w:rsidRDefault="00BD140F" w:rsidP="00FB6AF9">
      <w:pPr>
        <w:tabs>
          <w:tab w:val="left" w:pos="2410"/>
        </w:tabs>
        <w:spacing w:line="360" w:lineRule="auto"/>
        <w:jc w:val="both"/>
      </w:pPr>
    </w:p>
    <w:p w:rsidR="00BD140F" w:rsidRDefault="00BD140F" w:rsidP="00BE4E33">
      <w:pPr>
        <w:pStyle w:val="Nzev"/>
        <w:jc w:val="both"/>
      </w:pPr>
      <w:bookmarkStart w:id="476" w:name="_Toc231112335"/>
      <w:bookmarkStart w:id="477" w:name="_Toc233044438"/>
      <w:r w:rsidRPr="000B76A6">
        <w:t>Tabulka č.</w:t>
      </w:r>
      <w:r w:rsidR="007101F8" w:rsidRPr="000B76A6">
        <w:t xml:space="preserve"> </w:t>
      </w:r>
      <w:r w:rsidR="001346D8">
        <w:t>4</w:t>
      </w:r>
      <w:r w:rsidRPr="000B76A6">
        <w:t xml:space="preserve"> – Struktura výnosů skupiny Telefónica O2 Czech Republic za období 2005 </w:t>
      </w:r>
      <w:r w:rsidR="00BE4E33">
        <w:t>–</w:t>
      </w:r>
      <w:r w:rsidRPr="000B76A6">
        <w:t xml:space="preserve"> 2008</w:t>
      </w:r>
      <w:bookmarkEnd w:id="476"/>
      <w:bookmarkEnd w:id="477"/>
    </w:p>
    <w:p w:rsidR="00BE4E33" w:rsidRPr="000B76A6" w:rsidRDefault="00BE4E33" w:rsidP="00BE4E33">
      <w:pPr>
        <w:pStyle w:val="Nzev"/>
        <w:jc w:val="both"/>
      </w:pPr>
      <w:r>
        <w:rPr>
          <w:noProof/>
        </w:rPr>
        <w:drawing>
          <wp:anchor distT="0" distB="0" distL="114300" distR="114300" simplePos="0" relativeHeight="251670528" behindDoc="0" locked="0" layoutInCell="1" allowOverlap="1">
            <wp:simplePos x="0" y="0"/>
            <wp:positionH relativeFrom="column">
              <wp:posOffset>-12700</wp:posOffset>
            </wp:positionH>
            <wp:positionV relativeFrom="paragraph">
              <wp:posOffset>107950</wp:posOffset>
            </wp:positionV>
            <wp:extent cx="5524500" cy="2381250"/>
            <wp:effectExtent l="19050" t="0" r="0" b="0"/>
            <wp:wrapNone/>
            <wp:docPr id="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524500" cy="2381250"/>
                    </a:xfrm>
                    <a:prstGeom prst="rect">
                      <a:avLst/>
                    </a:prstGeom>
                    <a:noFill/>
                    <a:ln w="9525">
                      <a:noFill/>
                      <a:miter lim="800000"/>
                      <a:headEnd/>
                      <a:tailEnd/>
                    </a:ln>
                  </pic:spPr>
                </pic:pic>
              </a:graphicData>
            </a:graphic>
          </wp:anchor>
        </w:drawing>
      </w:r>
    </w:p>
    <w:p w:rsidR="00BD140F" w:rsidRDefault="00BD140F" w:rsidP="00FB6AF9">
      <w:pPr>
        <w:tabs>
          <w:tab w:val="left" w:pos="2410"/>
        </w:tabs>
        <w:spacing w:line="360" w:lineRule="auto"/>
        <w:jc w:val="both"/>
      </w:pPr>
    </w:p>
    <w:p w:rsidR="002E47A6" w:rsidRDefault="002E47A6" w:rsidP="00FB6AF9">
      <w:pPr>
        <w:tabs>
          <w:tab w:val="left" w:pos="2410"/>
        </w:tabs>
        <w:spacing w:line="360" w:lineRule="auto"/>
        <w:jc w:val="both"/>
      </w:pPr>
    </w:p>
    <w:p w:rsidR="008F6AD8" w:rsidRDefault="002E47A6" w:rsidP="00FB6AF9">
      <w:pPr>
        <w:tabs>
          <w:tab w:val="left" w:pos="2410"/>
        </w:tabs>
        <w:spacing w:line="360" w:lineRule="auto"/>
        <w:jc w:val="both"/>
      </w:pPr>
      <w:r>
        <w:t xml:space="preserve">  </w:t>
      </w:r>
      <w:r w:rsidR="002B111D">
        <w:t xml:space="preserve">  </w:t>
      </w:r>
      <w:r w:rsidR="00BA7C27">
        <w:t xml:space="preserve"> </w:t>
      </w:r>
      <w:r w:rsidR="00FB6AF9">
        <w:t xml:space="preserve"> </w:t>
      </w:r>
    </w:p>
    <w:p w:rsidR="008F6AD8" w:rsidRDefault="008F6AD8" w:rsidP="004811AD">
      <w:pPr>
        <w:tabs>
          <w:tab w:val="left" w:pos="2410"/>
        </w:tabs>
        <w:spacing w:line="360" w:lineRule="auto"/>
      </w:pPr>
      <w:r>
        <w:tab/>
        <w:t xml:space="preserve"> </w:t>
      </w:r>
    </w:p>
    <w:p w:rsidR="008F6AD8" w:rsidRDefault="008F6AD8" w:rsidP="004811AD">
      <w:pPr>
        <w:tabs>
          <w:tab w:val="left" w:pos="2410"/>
        </w:tabs>
        <w:spacing w:line="360" w:lineRule="auto"/>
      </w:pPr>
      <w:r>
        <w:tab/>
      </w:r>
    </w:p>
    <w:p w:rsidR="004811AD" w:rsidRDefault="008F6AD8" w:rsidP="000C7280">
      <w:pPr>
        <w:spacing w:line="360" w:lineRule="auto"/>
      </w:pPr>
      <w:r>
        <w:tab/>
      </w:r>
      <w:r>
        <w:tab/>
      </w:r>
      <w:r>
        <w:tab/>
        <w:t xml:space="preserve"> </w:t>
      </w:r>
    </w:p>
    <w:p w:rsidR="000C7280" w:rsidRPr="000C7280" w:rsidRDefault="000C7280" w:rsidP="000C7280">
      <w:pPr>
        <w:spacing w:line="360" w:lineRule="auto"/>
      </w:pPr>
    </w:p>
    <w:p w:rsidR="000C7280" w:rsidRPr="000C7280" w:rsidRDefault="000C7280" w:rsidP="000C7280">
      <w:pPr>
        <w:spacing w:line="360" w:lineRule="auto"/>
      </w:pPr>
    </w:p>
    <w:p w:rsidR="000C7280" w:rsidRDefault="000C7280" w:rsidP="000C7280">
      <w:pPr>
        <w:pStyle w:val="Nadpis4"/>
        <w:keepNext w:val="0"/>
        <w:numPr>
          <w:ilvl w:val="0"/>
          <w:numId w:val="0"/>
        </w:numPr>
        <w:ind w:left="864" w:hanging="864"/>
      </w:pPr>
    </w:p>
    <w:p w:rsidR="00540D2D" w:rsidRDefault="00540D2D" w:rsidP="00BD140F">
      <w:pPr>
        <w:rPr>
          <w:sz w:val="18"/>
          <w:szCs w:val="18"/>
        </w:rPr>
      </w:pPr>
    </w:p>
    <w:p w:rsidR="00BD140F" w:rsidRPr="001346D8" w:rsidRDefault="00BD140F" w:rsidP="00BD140F">
      <w:pPr>
        <w:rPr>
          <w:i/>
        </w:rPr>
      </w:pPr>
      <w:r w:rsidRPr="001346D8">
        <w:rPr>
          <w:i/>
          <w:sz w:val="18"/>
          <w:szCs w:val="18"/>
        </w:rPr>
        <w:t xml:space="preserve">Zdroj: Výroční zprávy 2005 </w:t>
      </w:r>
      <w:r w:rsidR="002B6479" w:rsidRPr="001346D8">
        <w:rPr>
          <w:i/>
          <w:sz w:val="18"/>
          <w:szCs w:val="18"/>
        </w:rPr>
        <w:t>–</w:t>
      </w:r>
      <w:r w:rsidRPr="001346D8">
        <w:rPr>
          <w:i/>
          <w:sz w:val="18"/>
          <w:szCs w:val="18"/>
        </w:rPr>
        <w:t xml:space="preserve"> 2008</w:t>
      </w:r>
      <w:r w:rsidR="002B6479" w:rsidRPr="001346D8">
        <w:rPr>
          <w:i/>
          <w:sz w:val="18"/>
          <w:szCs w:val="18"/>
        </w:rPr>
        <w:t>,</w:t>
      </w:r>
      <w:r w:rsidR="00540D2D" w:rsidRPr="001346D8">
        <w:rPr>
          <w:i/>
          <w:sz w:val="18"/>
          <w:szCs w:val="18"/>
        </w:rPr>
        <w:t xml:space="preserve"> dostupné na: </w:t>
      </w:r>
      <w:hyperlink r:id="rId18" w:history="1">
        <w:r w:rsidR="00540D2D" w:rsidRPr="001346D8">
          <w:rPr>
            <w:rStyle w:val="Hypertextovodkaz"/>
            <w:i/>
            <w:sz w:val="18"/>
            <w:szCs w:val="18"/>
          </w:rPr>
          <w:t>http://www.cz.o2.com/osobni/o_nas/investor_relations/vyrocni_a_pololetni_zpravy/index.html</w:t>
        </w:r>
      </w:hyperlink>
      <w:r w:rsidR="00540D2D" w:rsidRPr="001346D8">
        <w:rPr>
          <w:i/>
        </w:rPr>
        <w:t>,</w:t>
      </w:r>
      <w:r w:rsidR="002B6479" w:rsidRPr="001346D8">
        <w:rPr>
          <w:i/>
          <w:sz w:val="18"/>
          <w:szCs w:val="18"/>
        </w:rPr>
        <w:t xml:space="preserve"> propočty autora</w:t>
      </w:r>
    </w:p>
    <w:p w:rsidR="00B947A4" w:rsidRDefault="00B947A4" w:rsidP="00B947A4">
      <w:pPr>
        <w:spacing w:line="360" w:lineRule="auto"/>
        <w:jc w:val="both"/>
      </w:pPr>
      <w:r>
        <w:lastRenderedPageBreak/>
        <w:t xml:space="preserve">     </w:t>
      </w:r>
      <w:r w:rsidR="002B6479">
        <w:t xml:space="preserve">Z tabulky jsou patrné položky </w:t>
      </w:r>
      <w:r w:rsidR="001B7A76">
        <w:t>s</w:t>
      </w:r>
      <w:r w:rsidR="002B6479">
        <w:t xml:space="preserve"> nejvyšším </w:t>
      </w:r>
      <w:r>
        <w:t xml:space="preserve">průměrným </w:t>
      </w:r>
      <w:r w:rsidR="002B6479">
        <w:t>meziročním poklesem a nejvyšším</w:t>
      </w:r>
      <w:r>
        <w:t xml:space="preserve"> průměrným </w:t>
      </w:r>
      <w:r w:rsidR="002B6479">
        <w:t xml:space="preserve">meziročním růstem. Nejvyšší </w:t>
      </w:r>
      <w:r>
        <w:t xml:space="preserve">průměrný </w:t>
      </w:r>
      <w:r w:rsidR="002B6479">
        <w:t xml:space="preserve">meziroční pokles (-19,4%) vykazuje položka poplatky </w:t>
      </w:r>
      <w:r w:rsidR="003042B3">
        <w:t xml:space="preserve">za </w:t>
      </w:r>
      <w:r w:rsidR="002B6479">
        <w:t xml:space="preserve">zřizování, nejvyšší </w:t>
      </w:r>
      <w:r>
        <w:t xml:space="preserve">průměrný </w:t>
      </w:r>
      <w:r w:rsidR="002B6479">
        <w:t>meziroční růst (</w:t>
      </w:r>
      <w:r>
        <w:t>60,8%) položka IT a obchodní řešení, zejména díky nárůstu výnosů z ICT (informační a komunikační technologie) služeb pro korporátní zákazníky a státní sektor</w:t>
      </w:r>
      <w:r w:rsidR="002B6479">
        <w:t>.</w:t>
      </w:r>
      <w:r>
        <w:t xml:space="preserve"> </w:t>
      </w:r>
    </w:p>
    <w:p w:rsidR="00B947A4" w:rsidRDefault="00B947A4" w:rsidP="00B947A4">
      <w:pPr>
        <w:spacing w:line="360" w:lineRule="auto"/>
        <w:jc w:val="both"/>
      </w:pPr>
    </w:p>
    <w:p w:rsidR="003042B3" w:rsidRDefault="002456D0" w:rsidP="002456D0">
      <w:pPr>
        <w:pStyle w:val="Nadpis2"/>
        <w:ind w:left="0" w:firstLine="0"/>
        <w:rPr>
          <w:b w:val="0"/>
          <w:sz w:val="28"/>
          <w:szCs w:val="28"/>
        </w:rPr>
      </w:pPr>
      <w:r>
        <w:rPr>
          <w:b w:val="0"/>
          <w:sz w:val="28"/>
          <w:szCs w:val="28"/>
        </w:rPr>
        <w:t xml:space="preserve">  </w:t>
      </w:r>
      <w:bookmarkStart w:id="478" w:name="_Toc233044420"/>
      <w:r w:rsidRPr="002456D0">
        <w:rPr>
          <w:b w:val="0"/>
          <w:sz w:val="28"/>
          <w:szCs w:val="28"/>
        </w:rPr>
        <w:t>Organizační</w:t>
      </w:r>
      <w:r w:rsidR="00B947A4" w:rsidRPr="002456D0">
        <w:rPr>
          <w:b w:val="0"/>
          <w:sz w:val="28"/>
          <w:szCs w:val="28"/>
        </w:rPr>
        <w:t xml:space="preserve"> struktura podniku</w:t>
      </w:r>
      <w:r w:rsidRPr="002456D0">
        <w:rPr>
          <w:b w:val="0"/>
          <w:sz w:val="28"/>
          <w:szCs w:val="28"/>
        </w:rPr>
        <w:t xml:space="preserve"> a </w:t>
      </w:r>
      <w:r w:rsidR="00572C9A">
        <w:rPr>
          <w:b w:val="0"/>
          <w:sz w:val="28"/>
          <w:szCs w:val="28"/>
        </w:rPr>
        <w:t>působnost podnikových útvarů v rámci investičního procesu</w:t>
      </w:r>
      <w:bookmarkEnd w:id="478"/>
    </w:p>
    <w:p w:rsidR="003042B3" w:rsidRDefault="003042B3" w:rsidP="003042B3">
      <w:pPr>
        <w:pStyle w:val="Nadpis2"/>
        <w:numPr>
          <w:ilvl w:val="0"/>
          <w:numId w:val="0"/>
        </w:numPr>
        <w:rPr>
          <w:b w:val="0"/>
        </w:rPr>
      </w:pPr>
    </w:p>
    <w:p w:rsidR="00B947A4" w:rsidRPr="003042B3" w:rsidRDefault="003042B3" w:rsidP="003C53E7">
      <w:pPr>
        <w:spacing w:line="360" w:lineRule="auto"/>
        <w:jc w:val="both"/>
      </w:pPr>
      <w:r>
        <w:t xml:space="preserve">     Organizační struktura společnosti Telefónica O2 Czech Republic, a.s. je koncipována tak, aby vyhovovala jak z hlediska vnitřních podnikových procesů a potřeb, tak z hlediska flexibility celé struktury ve vazbě na </w:t>
      </w:r>
      <w:r w:rsidR="00AF249E">
        <w:t xml:space="preserve">podněty </w:t>
      </w:r>
      <w:r>
        <w:t>tržní</w:t>
      </w:r>
      <w:r w:rsidR="00AF249E">
        <w:t>ho</w:t>
      </w:r>
      <w:r w:rsidR="00572C9A">
        <w:t xml:space="preserve"> prostřed, graficky znázorněno:</w:t>
      </w:r>
      <w:r>
        <w:t xml:space="preserve">   </w:t>
      </w:r>
      <w:r w:rsidR="00B947A4" w:rsidRPr="003042B3">
        <w:rPr>
          <w:sz w:val="28"/>
          <w:szCs w:val="28"/>
        </w:rPr>
        <w:t xml:space="preserve"> </w:t>
      </w:r>
    </w:p>
    <w:p w:rsidR="002456D0" w:rsidRDefault="002456D0" w:rsidP="00683402">
      <w:pPr>
        <w:spacing w:line="360" w:lineRule="auto"/>
      </w:pPr>
    </w:p>
    <w:p w:rsidR="00CD78FE" w:rsidRPr="00CA662C" w:rsidRDefault="007101F8" w:rsidP="0056198C">
      <w:pPr>
        <w:pStyle w:val="Titulek"/>
        <w:spacing w:before="0" w:after="0"/>
      </w:pPr>
      <w:bookmarkStart w:id="479" w:name="_Toc231112080"/>
      <w:bookmarkStart w:id="480" w:name="_Toc231112336"/>
      <w:bookmarkStart w:id="481" w:name="_Toc233044458"/>
      <w:r w:rsidRPr="00CA662C">
        <w:t>Graf</w:t>
      </w:r>
      <w:r w:rsidR="00CD78FE" w:rsidRPr="00CA662C">
        <w:t xml:space="preserve"> č.</w:t>
      </w:r>
      <w:r w:rsidRPr="00CA662C">
        <w:t xml:space="preserve"> 3 – </w:t>
      </w:r>
      <w:r w:rsidR="00CD78FE" w:rsidRPr="00CA662C">
        <w:t>Organizační struktura společnosti Telefónica O2 Czech Republic, a.s.</w:t>
      </w:r>
      <w:bookmarkEnd w:id="479"/>
      <w:bookmarkEnd w:id="480"/>
      <w:bookmarkEnd w:id="481"/>
      <w:r w:rsidR="00CD78FE" w:rsidRPr="00CA662C">
        <w:t xml:space="preserve"> </w:t>
      </w:r>
    </w:p>
    <w:p w:rsidR="00BD140F" w:rsidRPr="00BD140F" w:rsidRDefault="002B6479" w:rsidP="00B947A4">
      <w:pPr>
        <w:spacing w:line="360" w:lineRule="auto"/>
        <w:jc w:val="both"/>
      </w:pPr>
      <w:r>
        <w:t xml:space="preserve">     </w:t>
      </w:r>
    </w:p>
    <w:p w:rsidR="00BD140F" w:rsidRPr="00BD140F" w:rsidRDefault="00572C9A" w:rsidP="00B947A4">
      <w:pPr>
        <w:spacing w:line="360" w:lineRule="auto"/>
        <w:jc w:val="both"/>
      </w:pPr>
      <w:r>
        <w:rPr>
          <w:noProof/>
        </w:rPr>
        <w:drawing>
          <wp:anchor distT="0" distB="0" distL="114300" distR="114300" simplePos="0" relativeHeight="251663360" behindDoc="0" locked="0" layoutInCell="1" allowOverlap="1">
            <wp:simplePos x="0" y="0"/>
            <wp:positionH relativeFrom="column">
              <wp:posOffset>82514</wp:posOffset>
            </wp:positionH>
            <wp:positionV relativeFrom="paragraph">
              <wp:posOffset>-3725</wp:posOffset>
            </wp:positionV>
            <wp:extent cx="5199931" cy="4331640"/>
            <wp:effectExtent l="19050" t="0" r="719" b="0"/>
            <wp:wrapNone/>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5199838" cy="4331563"/>
                    </a:xfrm>
                    <a:prstGeom prst="rect">
                      <a:avLst/>
                    </a:prstGeom>
                    <a:noFill/>
                    <a:ln w="9525">
                      <a:noFill/>
                      <a:miter lim="800000"/>
                      <a:headEnd/>
                      <a:tailEnd/>
                    </a:ln>
                  </pic:spPr>
                </pic:pic>
              </a:graphicData>
            </a:graphic>
          </wp:anchor>
        </w:drawing>
      </w:r>
    </w:p>
    <w:p w:rsidR="00824208" w:rsidRDefault="00824208" w:rsidP="002B6479">
      <w:pPr>
        <w:pStyle w:val="Nadpis4"/>
        <w:keepNext w:val="0"/>
        <w:numPr>
          <w:ilvl w:val="0"/>
          <w:numId w:val="0"/>
        </w:numPr>
        <w:ind w:left="864" w:hanging="864"/>
      </w:pPr>
    </w:p>
    <w:p w:rsidR="00824208" w:rsidRDefault="00824208" w:rsidP="000F545E">
      <w:pPr>
        <w:pStyle w:val="Nadpis4"/>
        <w:keepNext w:val="0"/>
        <w:numPr>
          <w:ilvl w:val="0"/>
          <w:numId w:val="0"/>
        </w:numPr>
        <w:ind w:left="864" w:hanging="864"/>
      </w:pPr>
    </w:p>
    <w:p w:rsidR="00824208" w:rsidRDefault="00824208" w:rsidP="000F545E">
      <w:pPr>
        <w:pStyle w:val="Nadpis4"/>
        <w:keepNext w:val="0"/>
        <w:numPr>
          <w:ilvl w:val="0"/>
          <w:numId w:val="0"/>
        </w:numPr>
        <w:ind w:left="864" w:hanging="864"/>
      </w:pPr>
    </w:p>
    <w:p w:rsidR="00824208" w:rsidRDefault="00824208" w:rsidP="000F545E">
      <w:pPr>
        <w:pStyle w:val="Nadpis4"/>
        <w:keepNext w:val="0"/>
        <w:numPr>
          <w:ilvl w:val="0"/>
          <w:numId w:val="0"/>
        </w:numPr>
        <w:ind w:left="864" w:hanging="864"/>
      </w:pPr>
    </w:p>
    <w:p w:rsidR="00824208" w:rsidRDefault="00824208" w:rsidP="000F545E">
      <w:pPr>
        <w:pStyle w:val="Nadpis4"/>
        <w:keepNext w:val="0"/>
        <w:numPr>
          <w:ilvl w:val="0"/>
          <w:numId w:val="0"/>
        </w:numPr>
        <w:ind w:left="864" w:hanging="864"/>
      </w:pPr>
    </w:p>
    <w:p w:rsidR="00824208" w:rsidRDefault="00824208" w:rsidP="000F545E">
      <w:pPr>
        <w:pStyle w:val="Nadpis4"/>
        <w:keepNext w:val="0"/>
        <w:numPr>
          <w:ilvl w:val="0"/>
          <w:numId w:val="0"/>
        </w:numPr>
        <w:ind w:left="864" w:hanging="864"/>
      </w:pPr>
    </w:p>
    <w:p w:rsidR="00824208" w:rsidRDefault="00824208" w:rsidP="000F545E">
      <w:pPr>
        <w:pStyle w:val="Nadpis4"/>
        <w:keepNext w:val="0"/>
        <w:numPr>
          <w:ilvl w:val="0"/>
          <w:numId w:val="0"/>
        </w:numPr>
        <w:ind w:left="864" w:hanging="864"/>
      </w:pPr>
    </w:p>
    <w:p w:rsidR="00824208" w:rsidRDefault="00824208" w:rsidP="000F545E">
      <w:pPr>
        <w:pStyle w:val="Nadpis4"/>
        <w:keepNext w:val="0"/>
        <w:numPr>
          <w:ilvl w:val="0"/>
          <w:numId w:val="0"/>
        </w:numPr>
        <w:ind w:left="864" w:hanging="864"/>
      </w:pPr>
    </w:p>
    <w:p w:rsidR="00824208" w:rsidRDefault="00824208" w:rsidP="000F545E">
      <w:pPr>
        <w:pStyle w:val="Nadpis4"/>
        <w:keepNext w:val="0"/>
        <w:numPr>
          <w:ilvl w:val="0"/>
          <w:numId w:val="0"/>
        </w:numPr>
        <w:ind w:left="864" w:hanging="864"/>
      </w:pPr>
    </w:p>
    <w:p w:rsidR="00824208" w:rsidRDefault="00824208" w:rsidP="000F545E">
      <w:pPr>
        <w:pStyle w:val="Nadpis4"/>
        <w:keepNext w:val="0"/>
        <w:numPr>
          <w:ilvl w:val="0"/>
          <w:numId w:val="0"/>
        </w:numPr>
        <w:ind w:left="864" w:hanging="864"/>
      </w:pPr>
    </w:p>
    <w:p w:rsidR="00824208" w:rsidRDefault="00824208" w:rsidP="000F545E">
      <w:pPr>
        <w:pStyle w:val="Nadpis4"/>
        <w:keepNext w:val="0"/>
        <w:numPr>
          <w:ilvl w:val="0"/>
          <w:numId w:val="0"/>
        </w:numPr>
        <w:ind w:left="864" w:hanging="864"/>
      </w:pPr>
    </w:p>
    <w:p w:rsidR="00824208" w:rsidRDefault="00824208" w:rsidP="00CD78FE">
      <w:pPr>
        <w:pStyle w:val="Nadpis4"/>
        <w:keepNext w:val="0"/>
        <w:numPr>
          <w:ilvl w:val="0"/>
          <w:numId w:val="0"/>
        </w:numPr>
      </w:pPr>
    </w:p>
    <w:p w:rsidR="003C40FA" w:rsidRDefault="003C40FA" w:rsidP="00CD78FE">
      <w:pPr>
        <w:rPr>
          <w:sz w:val="18"/>
          <w:szCs w:val="18"/>
        </w:rPr>
      </w:pPr>
    </w:p>
    <w:p w:rsidR="00CD78FE" w:rsidRPr="001346D8" w:rsidRDefault="00CD78FE" w:rsidP="00CD78FE">
      <w:pPr>
        <w:rPr>
          <w:i/>
          <w:sz w:val="18"/>
          <w:szCs w:val="18"/>
        </w:rPr>
      </w:pPr>
      <w:r w:rsidRPr="001346D8">
        <w:rPr>
          <w:i/>
          <w:sz w:val="18"/>
          <w:szCs w:val="18"/>
        </w:rPr>
        <w:t xml:space="preserve">Zdroj: </w:t>
      </w:r>
      <w:r w:rsidR="000174F2" w:rsidRPr="001346D8">
        <w:rPr>
          <w:i/>
          <w:sz w:val="18"/>
          <w:szCs w:val="18"/>
        </w:rPr>
        <w:t xml:space="preserve">Výroční zpráva za rok 2008, dostupná na: </w:t>
      </w:r>
      <w:hyperlink r:id="rId20" w:history="1">
        <w:r w:rsidR="000174F2" w:rsidRPr="001346D8">
          <w:rPr>
            <w:rStyle w:val="Hypertextovodkaz"/>
            <w:i/>
            <w:sz w:val="18"/>
            <w:szCs w:val="18"/>
          </w:rPr>
          <w:t>http://www.cz.o2.com/osobni/o_nas/investor_relations/vyrocni_a_pololetni_zpravy/index.html</w:t>
        </w:r>
      </w:hyperlink>
    </w:p>
    <w:p w:rsidR="00F75D06" w:rsidRDefault="00F75D06" w:rsidP="003C40FA">
      <w:pPr>
        <w:spacing w:line="360" w:lineRule="auto"/>
        <w:jc w:val="both"/>
      </w:pPr>
      <w:r>
        <w:lastRenderedPageBreak/>
        <w:t xml:space="preserve">     Valná hromada je tvořena akcionáři a rozhoduje o zásadních hospodářských, organizačních a </w:t>
      </w:r>
      <w:r w:rsidR="003C40FA">
        <w:t xml:space="preserve">provozních záležitostech. Pokud jde o aktuální vlastnickou strukturu společnosti, pak společnost Telefónica, S.A. drží 69,4% akcií, zbylých 30,6% akcií drží soukromí nebo institucionální investoři. </w:t>
      </w:r>
    </w:p>
    <w:p w:rsidR="003C40FA" w:rsidRDefault="003C40FA" w:rsidP="003C40FA">
      <w:pPr>
        <w:spacing w:line="360" w:lineRule="auto"/>
        <w:jc w:val="both"/>
      </w:pPr>
      <w:r>
        <w:t xml:space="preserve">     Dozorčí rada se skládá z patnácti členů, dvě třetiny dozorčí rady volí a odvolává valná hromada, jednu třetinu zaměstnanci společnosti. Dozorčí rada zasedá zpravidla jednou za čtvrtletí.</w:t>
      </w:r>
    </w:p>
    <w:p w:rsidR="00C642DC" w:rsidRDefault="003C40FA" w:rsidP="003C40FA">
      <w:pPr>
        <w:spacing w:line="360" w:lineRule="auto"/>
        <w:jc w:val="both"/>
      </w:pPr>
      <w:r>
        <w:t xml:space="preserve">     Představenstvo má sedm členů a je statutárním orgánem</w:t>
      </w:r>
      <w:r w:rsidR="00C642DC">
        <w:t xml:space="preserve">. Představenstvo zasedá zpravidla jednou za kalendářní měsíc. Předsedou představenstva a generálním ředitelem je v současnosti pan Salvador Anglada Gonzales. </w:t>
      </w:r>
    </w:p>
    <w:p w:rsidR="001329AB" w:rsidRDefault="00C642DC" w:rsidP="003C40FA">
      <w:pPr>
        <w:spacing w:line="360" w:lineRule="auto"/>
        <w:jc w:val="both"/>
      </w:pPr>
      <w:r>
        <w:t xml:space="preserve">     </w:t>
      </w:r>
      <w:r w:rsidR="00B874CC">
        <w:t>Organizační struktura s</w:t>
      </w:r>
      <w:r>
        <w:t>polečnost</w:t>
      </w:r>
      <w:r w:rsidR="00B874CC">
        <w:t>i</w:t>
      </w:r>
      <w:r>
        <w:t xml:space="preserve"> Telefónica O2 Czech Republic, a.s. je</w:t>
      </w:r>
      <w:r w:rsidR="00B874CC">
        <w:t xml:space="preserve"> z hlediska teori</w:t>
      </w:r>
      <w:r w:rsidR="0026474E">
        <w:t xml:space="preserve">e liniově-štábní organizační strukturou, seskupenou podle principu předmětné </w:t>
      </w:r>
      <w:r w:rsidR="005B3682">
        <w:t>i funkční sp</w:t>
      </w:r>
      <w:r w:rsidR="0026474E">
        <w:t>ecializace</w:t>
      </w:r>
      <w:r w:rsidR="0026474E">
        <w:rPr>
          <w:rStyle w:val="Znakapoznpodarou"/>
        </w:rPr>
        <w:footnoteReference w:id="73"/>
      </w:r>
      <w:r w:rsidR="0026474E">
        <w:t>.</w:t>
      </w:r>
      <w:r>
        <w:t xml:space="preserve"> </w:t>
      </w:r>
      <w:r w:rsidR="0026474E">
        <w:t xml:space="preserve">Na </w:t>
      </w:r>
      <w:r w:rsidR="00386A76">
        <w:t xml:space="preserve">zákaznické </w:t>
      </w:r>
      <w:r w:rsidR="0026474E">
        <w:t>divize</w:t>
      </w:r>
      <w:r w:rsidR="00386A76">
        <w:t xml:space="preserve"> </w:t>
      </w:r>
      <w:r w:rsidR="0026474E">
        <w:t>můžeme pohlížet jako na autonomní útvary se sp</w:t>
      </w:r>
      <w:r w:rsidR="00386A76">
        <w:t>ecifickým tržním zadáním, které jsou odpovědné za plnění výnosových kritérií.</w:t>
      </w:r>
      <w:r w:rsidR="0026474E">
        <w:t xml:space="preserve"> Ostatní útvary mají potom charakter štábních útvarů generálního ředitele.</w:t>
      </w:r>
      <w:r w:rsidR="008E1F25">
        <w:t xml:space="preserve"> Pokud jde o působnost podnikových útvarů ve vazbě na investiční proces, učiňme nyní alespoň stručný výčet:</w:t>
      </w:r>
      <w:r w:rsidR="001329AB">
        <w:t xml:space="preserve"> </w:t>
      </w:r>
    </w:p>
    <w:p w:rsidR="00386A76" w:rsidRDefault="00386A76" w:rsidP="003C40FA">
      <w:pPr>
        <w:spacing w:line="360" w:lineRule="auto"/>
        <w:jc w:val="both"/>
      </w:pPr>
    </w:p>
    <w:p w:rsidR="001329AB" w:rsidRDefault="001329AB" w:rsidP="00B329BD">
      <w:pPr>
        <w:pStyle w:val="Odstavecseseznamem"/>
        <w:numPr>
          <w:ilvl w:val="0"/>
          <w:numId w:val="53"/>
        </w:numPr>
        <w:spacing w:line="360" w:lineRule="auto"/>
        <w:ind w:left="754" w:hanging="357"/>
        <w:jc w:val="both"/>
      </w:pPr>
      <w:r>
        <w:t>Divize provoz je zodpovědná za údržbu a provoz fixní a mobilní sítě, pokud jde o technologickou a kapacitní úroveň. Tato činnost má úzkou vazbu na objem a strukturu poskytovaný</w:t>
      </w:r>
      <w:r w:rsidR="008E1F25">
        <w:t>ch služeb a jejich vývoj v čase,</w:t>
      </w:r>
      <w:r w:rsidR="00E66015">
        <w:t xml:space="preserve"> divize má vlastní investiční komisi a předkládá zejména návrhy obnovovacích případně racionalizačních investic,</w:t>
      </w:r>
    </w:p>
    <w:p w:rsidR="00DD0CD4" w:rsidRDefault="00DD0CD4" w:rsidP="00B329BD">
      <w:pPr>
        <w:pStyle w:val="Odstavecseseznamem"/>
        <w:numPr>
          <w:ilvl w:val="0"/>
          <w:numId w:val="54"/>
        </w:numPr>
        <w:spacing w:line="360" w:lineRule="auto"/>
        <w:ind w:left="754" w:hanging="357"/>
        <w:jc w:val="both"/>
      </w:pPr>
      <w:r>
        <w:t xml:space="preserve">Divize korporátní a SME zákazníci je zodpovědná za nabídku a prodej služeb malým a středním zákazníkům, jedná se například o nabídku různých tarifů, internetového připojení či komplexním informačních a komunikačních řešení pro </w:t>
      </w:r>
      <w:r w:rsidR="00F62FAA">
        <w:t>podniky</w:t>
      </w:r>
      <w:r w:rsidR="008E1F25">
        <w:t>,</w:t>
      </w:r>
      <w:r w:rsidR="00E66015">
        <w:t xml:space="preserve"> divize má vlastní investiční komisi a předkládá zejména návrhy rozvojových investic,</w:t>
      </w:r>
      <w:r w:rsidR="00FE29BD">
        <w:t xml:space="preserve"> </w:t>
      </w:r>
    </w:p>
    <w:p w:rsidR="000B7CE7" w:rsidRDefault="00DD0CD4" w:rsidP="00B329BD">
      <w:pPr>
        <w:pStyle w:val="Odstavecseseznamem"/>
        <w:numPr>
          <w:ilvl w:val="0"/>
          <w:numId w:val="55"/>
        </w:numPr>
        <w:spacing w:line="360" w:lineRule="auto"/>
        <w:ind w:left="754" w:hanging="357"/>
        <w:jc w:val="both"/>
      </w:pPr>
      <w:r>
        <w:t xml:space="preserve">Divize veřejná správa a profesionální služby je zodpovědná za nabídku a prodej služeb velkým společnostem a veřejné správě, jedná se například o </w:t>
      </w:r>
      <w:r w:rsidR="000B7CE7">
        <w:t>nabídku komplexních řešení pro vládu a ministerstva nebo o komplexní řešení pro velké podniky jakými jsou třeba Komplexní kancelář, Call Centrum na klíč nebo O2 Car Control k efektivnějšímu v</w:t>
      </w:r>
      <w:r w:rsidR="008E1F25">
        <w:t>yužívání vozového parku podniku,</w:t>
      </w:r>
      <w:r w:rsidR="00E66015">
        <w:t xml:space="preserve"> divize má vlastní investiční komisi a předkládá zejména návrhy rozvojových investic,</w:t>
      </w:r>
    </w:p>
    <w:p w:rsidR="00FE29BD" w:rsidRDefault="000B7CE7" w:rsidP="00B329BD">
      <w:pPr>
        <w:pStyle w:val="Odstavecseseznamem"/>
        <w:numPr>
          <w:ilvl w:val="0"/>
          <w:numId w:val="56"/>
        </w:numPr>
        <w:spacing w:line="360" w:lineRule="auto"/>
        <w:ind w:left="754" w:hanging="357"/>
        <w:jc w:val="both"/>
      </w:pPr>
      <w:r>
        <w:t>Divize Rezidentní zákazníci je zodpovědná za nabídku a prodej služeb jednotlivým zákazníkům a domácnostem</w:t>
      </w:r>
      <w:r w:rsidR="00FE29BD">
        <w:t xml:space="preserve">, jedná se například o různé </w:t>
      </w:r>
      <w:r>
        <w:t xml:space="preserve">předplacené nebo </w:t>
      </w:r>
      <w:r w:rsidR="00FE29BD">
        <w:t xml:space="preserve">smluvní </w:t>
      </w:r>
      <w:r w:rsidR="00FE29BD">
        <w:lastRenderedPageBreak/>
        <w:t xml:space="preserve">tarifní služby volání, připojení k internetu či provozu digitální televize. I těmto zákazníkům nabízí společnost různé druhy balíčků obsahujících kombinaci služeb, zřejmě nejznámějším balíčkem je O2 Trio kombinující digitální televizi, </w:t>
      </w:r>
      <w:r w:rsidR="008E1F25">
        <w:t>internet a volání z pevné linky</w:t>
      </w:r>
      <w:r w:rsidR="00E66015">
        <w:t>, divize má vlastní investiční komisi a předkládá zejména návrhy rozvojových investic,</w:t>
      </w:r>
    </w:p>
    <w:p w:rsidR="00E66015" w:rsidRDefault="00E66015" w:rsidP="00B329BD">
      <w:pPr>
        <w:pStyle w:val="Odstavecseseznamem"/>
        <w:numPr>
          <w:ilvl w:val="0"/>
          <w:numId w:val="56"/>
        </w:numPr>
        <w:spacing w:line="360" w:lineRule="auto"/>
        <w:ind w:left="754" w:hanging="357"/>
        <w:jc w:val="both"/>
      </w:pPr>
      <w:r>
        <w:t xml:space="preserve">Divize finance zaujímá, jak dále uvidíme, v rámci investičního procesu </w:t>
      </w:r>
      <w:r w:rsidR="00A67A35">
        <w:t>významné</w:t>
      </w:r>
      <w:r>
        <w:t xml:space="preserve"> postavení, zejména potom její dvě složky, kterými jsou </w:t>
      </w:r>
      <w:r w:rsidR="004C203C">
        <w:t xml:space="preserve">organizační jednotky </w:t>
      </w:r>
      <w:r>
        <w:t>Korporátní finance</w:t>
      </w:r>
      <w:r w:rsidR="00A67A35">
        <w:t xml:space="preserve"> </w:t>
      </w:r>
      <w:r>
        <w:t>a Korporátní finanční controlling,</w:t>
      </w:r>
      <w:r w:rsidR="00A67A35">
        <w:t xml:space="preserve"> přičemž u organizační jednotky Korporátní finance je stěžejní její role v rámci schvalování investic a stanovování metodiky postupů,</w:t>
      </w:r>
    </w:p>
    <w:p w:rsidR="00386A76" w:rsidRDefault="00386A76" w:rsidP="00B329BD">
      <w:pPr>
        <w:pStyle w:val="Odstavecseseznamem"/>
        <w:numPr>
          <w:ilvl w:val="0"/>
          <w:numId w:val="56"/>
        </w:numPr>
        <w:spacing w:line="360" w:lineRule="auto"/>
        <w:ind w:left="754" w:hanging="357"/>
        <w:jc w:val="both"/>
      </w:pPr>
      <w:r>
        <w:t>Útvar strategie a rozvoje produktů má v rámci investičního procesu rovněž nezastupitelné místo, neboť dohlíží na propojení každého investičního návrhu s podnikovou strategií, tedy na to, aby každý investiční návrh přispíval k naplňování vrcholných podnikových cílů.</w:t>
      </w:r>
      <w:r w:rsidR="00E63315">
        <w:t xml:space="preserve"> Útvar strategie a rozvoje produktů má svou vlastní investiční komisi.</w:t>
      </w:r>
    </w:p>
    <w:p w:rsidR="00E66015" w:rsidRDefault="00E66015" w:rsidP="00386A76">
      <w:pPr>
        <w:pStyle w:val="Odstavecseseznamem"/>
        <w:spacing w:line="360" w:lineRule="auto"/>
        <w:ind w:left="754"/>
        <w:jc w:val="both"/>
      </w:pPr>
      <w:r>
        <w:t xml:space="preserve">  </w:t>
      </w:r>
    </w:p>
    <w:p w:rsidR="003C40FA" w:rsidRDefault="00FE29BD" w:rsidP="00385DED">
      <w:pPr>
        <w:spacing w:line="360" w:lineRule="auto"/>
        <w:jc w:val="both"/>
      </w:pPr>
      <w:r>
        <w:t xml:space="preserve">     </w:t>
      </w:r>
      <w:r w:rsidR="00B054D6">
        <w:t xml:space="preserve">Uvnitř </w:t>
      </w:r>
      <w:r w:rsidR="00386A76">
        <w:t>zákaznických divizí</w:t>
      </w:r>
      <w:r w:rsidR="00B054D6">
        <w:t xml:space="preserve"> nalezneme</w:t>
      </w:r>
      <w:r w:rsidR="00423A71">
        <w:t xml:space="preserve"> ve shodě se zmíněným autorem</w:t>
      </w:r>
      <w:r w:rsidR="00B054D6">
        <w:t xml:space="preserve"> </w:t>
      </w:r>
      <w:r w:rsidR="005B3682">
        <w:t xml:space="preserve">rovněž </w:t>
      </w:r>
      <w:r w:rsidR="00B054D6">
        <w:t xml:space="preserve">členění podle principu </w:t>
      </w:r>
      <w:r w:rsidR="00385DED">
        <w:t>předmětné i funkční specializace</w:t>
      </w:r>
      <w:r w:rsidR="00B054D6">
        <w:t>.</w:t>
      </w:r>
      <w:r w:rsidR="00385DED">
        <w:t xml:space="preserve"> Například Divize korporátní a SME zákazníci se vnitřně člení na segment SME</w:t>
      </w:r>
      <w:r w:rsidR="005B3682">
        <w:t xml:space="preserve"> a</w:t>
      </w:r>
      <w:r w:rsidR="00385DED">
        <w:t xml:space="preserve"> segment korporátní zákazníci, disponuje</w:t>
      </w:r>
      <w:r w:rsidR="005B3682">
        <w:t xml:space="preserve"> dále</w:t>
      </w:r>
      <w:r w:rsidR="00385DED">
        <w:t xml:space="preserve"> vlastním útvarem marketingu a péče o zákazníky</w:t>
      </w:r>
      <w:r w:rsidR="005B3682">
        <w:t>, které jsou společné oběma segmentům</w:t>
      </w:r>
      <w:r w:rsidR="00385DED">
        <w:t>.</w:t>
      </w:r>
      <w:r w:rsidR="003C40FA">
        <w:t xml:space="preserve"> </w:t>
      </w:r>
    </w:p>
    <w:p w:rsidR="00CD78FE" w:rsidRDefault="00CD78FE"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AD45B1" w:rsidP="00F75D06">
      <w:pPr>
        <w:spacing w:line="360" w:lineRule="auto"/>
      </w:pPr>
    </w:p>
    <w:p w:rsidR="00AD45B1" w:rsidRDefault="001B7560" w:rsidP="001B7560">
      <w:pPr>
        <w:pStyle w:val="Nadpis1"/>
        <w:ind w:left="0" w:firstLine="0"/>
        <w:jc w:val="both"/>
        <w:rPr>
          <w:b w:val="0"/>
        </w:rPr>
      </w:pPr>
      <w:r>
        <w:rPr>
          <w:b w:val="0"/>
        </w:rPr>
        <w:lastRenderedPageBreak/>
        <w:t xml:space="preserve">  </w:t>
      </w:r>
      <w:bookmarkStart w:id="482" w:name="_Toc233044421"/>
      <w:r w:rsidR="00AD45B1" w:rsidRPr="00AD45B1">
        <w:rPr>
          <w:b w:val="0"/>
        </w:rPr>
        <w:t>Analýza postupů a metod hodnocení investičních projektů v</w:t>
      </w:r>
      <w:r w:rsidR="00AD45B1">
        <w:rPr>
          <w:b w:val="0"/>
        </w:rPr>
        <w:t> </w:t>
      </w:r>
      <w:r w:rsidR="00AD45B1" w:rsidRPr="00AD45B1">
        <w:rPr>
          <w:b w:val="0"/>
        </w:rPr>
        <w:t>podniku</w:t>
      </w:r>
      <w:bookmarkEnd w:id="482"/>
    </w:p>
    <w:p w:rsidR="00AD45B1" w:rsidRPr="00AD45B1" w:rsidRDefault="00AD45B1" w:rsidP="00AD45B1"/>
    <w:p w:rsidR="00071782" w:rsidRDefault="00071782" w:rsidP="00071782">
      <w:pPr>
        <w:pStyle w:val="Nadpis2"/>
        <w:ind w:left="0" w:firstLine="0"/>
        <w:rPr>
          <w:b w:val="0"/>
          <w:sz w:val="28"/>
          <w:szCs w:val="28"/>
        </w:rPr>
      </w:pPr>
      <w:r>
        <w:rPr>
          <w:b w:val="0"/>
          <w:sz w:val="28"/>
          <w:szCs w:val="28"/>
        </w:rPr>
        <w:t xml:space="preserve">  </w:t>
      </w:r>
      <w:bookmarkStart w:id="483" w:name="_Toc233044422"/>
      <w:r w:rsidR="00AD45B1">
        <w:rPr>
          <w:b w:val="0"/>
          <w:sz w:val="28"/>
          <w:szCs w:val="28"/>
        </w:rPr>
        <w:t xml:space="preserve">Plánování </w:t>
      </w:r>
      <w:r w:rsidR="00EB158D">
        <w:rPr>
          <w:b w:val="0"/>
          <w:sz w:val="28"/>
          <w:szCs w:val="28"/>
        </w:rPr>
        <w:t>podnikových investic a jejich klasifikace</w:t>
      </w:r>
      <w:bookmarkEnd w:id="483"/>
    </w:p>
    <w:p w:rsidR="003D5048" w:rsidRDefault="003D5048" w:rsidP="003D5048"/>
    <w:p w:rsidR="00030D6E" w:rsidRDefault="003D5048" w:rsidP="003C53E7">
      <w:pPr>
        <w:spacing w:line="360" w:lineRule="auto"/>
        <w:jc w:val="both"/>
      </w:pPr>
      <w:r>
        <w:t xml:space="preserve">     </w:t>
      </w:r>
      <w:r w:rsidR="00B43FC9">
        <w:t xml:space="preserve">Strategický </w:t>
      </w:r>
      <w:r w:rsidR="00AD45B1">
        <w:t>obchodní</w:t>
      </w:r>
      <w:r w:rsidR="00B43FC9">
        <w:t xml:space="preserve"> plán společnosti Telefónica Czech Republic, a.s. </w:t>
      </w:r>
      <w:r w:rsidR="00F452D9">
        <w:t xml:space="preserve">je výsledkem </w:t>
      </w:r>
      <w:r w:rsidR="00EB158D">
        <w:t xml:space="preserve">vrcholového vedení podniku a zpracovává se vždy na období pěti let. Strategický obchodní plán vychází z podnikové strategie, kterou je </w:t>
      </w:r>
      <w:r w:rsidR="00884839">
        <w:t>v maximální možné míře uspokojit potřeby zákazníka</w:t>
      </w:r>
      <w:r w:rsidR="007D2598">
        <w:t xml:space="preserve"> a udržet vedoucí postavení na českém telekomunikačním trhu</w:t>
      </w:r>
      <w:r w:rsidR="00884839">
        <w:t xml:space="preserve">, </w:t>
      </w:r>
      <w:r w:rsidR="007D2598">
        <w:t xml:space="preserve">to vyžaduje neustálou analýzu tržních </w:t>
      </w:r>
      <w:r w:rsidR="00884839">
        <w:t>vývojov</w:t>
      </w:r>
      <w:r w:rsidR="007D2598">
        <w:t>ých</w:t>
      </w:r>
      <w:r w:rsidR="00884839">
        <w:t xml:space="preserve"> trend</w:t>
      </w:r>
      <w:r w:rsidR="007D2598">
        <w:t>ů.</w:t>
      </w:r>
      <w:r w:rsidR="00030D6E">
        <w:t xml:space="preserve"> Společnost tak deklaruje strategické cíle v dílčích oblastech:</w:t>
      </w:r>
    </w:p>
    <w:p w:rsidR="00030D6E" w:rsidRDefault="00030D6E" w:rsidP="003C53E7">
      <w:pPr>
        <w:spacing w:line="360" w:lineRule="auto"/>
        <w:jc w:val="both"/>
      </w:pPr>
    </w:p>
    <w:p w:rsidR="00884839" w:rsidRDefault="00030D6E" w:rsidP="00B329BD">
      <w:pPr>
        <w:pStyle w:val="Odstavecseseznamem"/>
        <w:numPr>
          <w:ilvl w:val="0"/>
          <w:numId w:val="57"/>
        </w:numPr>
        <w:spacing w:line="360" w:lineRule="auto"/>
        <w:ind w:left="754" w:hanging="357"/>
        <w:jc w:val="both"/>
      </w:pPr>
      <w:r>
        <w:t>v</w:t>
      </w:r>
      <w:r w:rsidR="00884839">
        <w:t xml:space="preserve"> segmentu pevných linek je </w:t>
      </w:r>
      <w:r>
        <w:t xml:space="preserve">cílem </w:t>
      </w:r>
      <w:r w:rsidR="00884839">
        <w:t xml:space="preserve">posílení pozice poskytovatele internetového připojení a digitální TV a dále zpomalení poklesu </w:t>
      </w:r>
      <w:r>
        <w:t>počtu pevných telefonních linek,</w:t>
      </w:r>
      <w:r w:rsidR="00884839">
        <w:t xml:space="preserve"> </w:t>
      </w:r>
    </w:p>
    <w:p w:rsidR="00884839" w:rsidRDefault="00030D6E" w:rsidP="00B329BD">
      <w:pPr>
        <w:pStyle w:val="Odstavecseseznamem"/>
        <w:numPr>
          <w:ilvl w:val="0"/>
          <w:numId w:val="58"/>
        </w:numPr>
        <w:spacing w:line="360" w:lineRule="auto"/>
        <w:ind w:left="754" w:hanging="357"/>
        <w:jc w:val="both"/>
      </w:pPr>
      <w:r>
        <w:t>v</w:t>
      </w:r>
      <w:r w:rsidR="00884839">
        <w:t> mobilním segmentu je cílem zvýšení atraktivnosti hlasových tarifů a tím podpora migrace zákazníků z předplacených služeb na služby tarifní</w:t>
      </w:r>
      <w:r>
        <w:t>,</w:t>
      </w:r>
    </w:p>
    <w:p w:rsidR="002910E7" w:rsidRDefault="00030D6E" w:rsidP="00B329BD">
      <w:pPr>
        <w:pStyle w:val="Odstavecseseznamem"/>
        <w:numPr>
          <w:ilvl w:val="0"/>
          <w:numId w:val="59"/>
        </w:numPr>
        <w:spacing w:line="360" w:lineRule="auto"/>
        <w:ind w:left="754" w:hanging="357"/>
        <w:jc w:val="both"/>
      </w:pPr>
      <w:r>
        <w:t>v</w:t>
      </w:r>
      <w:r w:rsidR="002910E7">
        <w:t> oblasti komplexních ICT řešení vidí společnost obrovský potenciál, cílem v této oblasti je získání a udržení dominantního postavení.</w:t>
      </w:r>
    </w:p>
    <w:p w:rsidR="00030D6E" w:rsidRDefault="00030D6E" w:rsidP="00030D6E">
      <w:pPr>
        <w:spacing w:line="360" w:lineRule="auto"/>
        <w:ind w:left="397"/>
        <w:jc w:val="both"/>
      </w:pPr>
    </w:p>
    <w:p w:rsidR="0011241A" w:rsidRDefault="00D510FA" w:rsidP="003C53E7">
      <w:pPr>
        <w:spacing w:line="360" w:lineRule="auto"/>
        <w:jc w:val="both"/>
      </w:pPr>
      <w:r>
        <w:t xml:space="preserve">     </w:t>
      </w:r>
      <w:r w:rsidR="00030D6E">
        <w:t>Významnou součástí strategického obchodního plánu jsou s</w:t>
      </w:r>
      <w:r>
        <w:t>trategick</w:t>
      </w:r>
      <w:r w:rsidR="00030D6E">
        <w:t>é</w:t>
      </w:r>
      <w:r>
        <w:t xml:space="preserve"> finanční cíl</w:t>
      </w:r>
      <w:r w:rsidR="00030D6E">
        <w:t xml:space="preserve">e, ke kterým </w:t>
      </w:r>
      <w:r>
        <w:t>můžeme řadit</w:t>
      </w:r>
      <w:r w:rsidR="0011241A">
        <w:t>:</w:t>
      </w:r>
    </w:p>
    <w:p w:rsidR="0011241A" w:rsidRDefault="0011241A" w:rsidP="003C53E7">
      <w:pPr>
        <w:spacing w:line="360" w:lineRule="auto"/>
        <w:jc w:val="both"/>
      </w:pPr>
    </w:p>
    <w:p w:rsidR="0011241A" w:rsidRDefault="00D510FA" w:rsidP="00B329BD">
      <w:pPr>
        <w:pStyle w:val="Odstavecseseznamem"/>
        <w:numPr>
          <w:ilvl w:val="0"/>
          <w:numId w:val="60"/>
        </w:numPr>
        <w:spacing w:line="360" w:lineRule="auto"/>
        <w:ind w:left="754" w:hanging="357"/>
        <w:jc w:val="both"/>
      </w:pPr>
      <w:r>
        <w:t>udržení roční</w:t>
      </w:r>
      <w:r w:rsidR="001F291E">
        <w:t xml:space="preserve">ho růstu výnosů mezi hodnotami 2 – 4 % </w:t>
      </w:r>
    </w:p>
    <w:p w:rsidR="0011241A" w:rsidRDefault="001F291E" w:rsidP="00B329BD">
      <w:pPr>
        <w:pStyle w:val="Odstavecseseznamem"/>
        <w:numPr>
          <w:ilvl w:val="0"/>
          <w:numId w:val="60"/>
        </w:numPr>
        <w:spacing w:line="360" w:lineRule="auto"/>
        <w:ind w:left="754" w:hanging="357"/>
        <w:jc w:val="both"/>
      </w:pPr>
      <w:r>
        <w:t xml:space="preserve">udržení </w:t>
      </w:r>
      <w:r w:rsidR="00713E5E">
        <w:t>marže EBITDA (EBITDA/výnosy) na úrovni kolem 45% (EBITDA – earning before interest, taxes, depreciation and amortization)</w:t>
      </w:r>
    </w:p>
    <w:p w:rsidR="0011241A" w:rsidRDefault="00D55462" w:rsidP="00B329BD">
      <w:pPr>
        <w:pStyle w:val="Odstavecseseznamem"/>
        <w:numPr>
          <w:ilvl w:val="0"/>
          <w:numId w:val="60"/>
        </w:numPr>
        <w:spacing w:line="360" w:lineRule="auto"/>
        <w:ind w:left="754" w:hanging="357"/>
        <w:jc w:val="both"/>
      </w:pPr>
      <w:r>
        <w:t xml:space="preserve">udržení ročního růstu čistého zisku kolem 10% </w:t>
      </w:r>
    </w:p>
    <w:p w:rsidR="0011241A" w:rsidRDefault="00D55462" w:rsidP="00B329BD">
      <w:pPr>
        <w:pStyle w:val="Odstavecseseznamem"/>
        <w:numPr>
          <w:ilvl w:val="0"/>
          <w:numId w:val="60"/>
        </w:numPr>
        <w:spacing w:line="360" w:lineRule="auto"/>
        <w:ind w:left="754" w:hanging="357"/>
        <w:jc w:val="both"/>
      </w:pPr>
      <w:r>
        <w:t xml:space="preserve">udržení nízké </w:t>
      </w:r>
      <w:r w:rsidR="000E0332">
        <w:t>úrovně hrubé zadluženosti</w:t>
      </w:r>
      <w:r w:rsidR="000E0332">
        <w:rPr>
          <w:rStyle w:val="Znakapoznpodarou"/>
        </w:rPr>
        <w:footnoteReference w:id="74"/>
      </w:r>
      <w:r>
        <w:t xml:space="preserve"> </w:t>
      </w:r>
    </w:p>
    <w:p w:rsidR="0011241A" w:rsidRDefault="0011241A" w:rsidP="003C53E7">
      <w:pPr>
        <w:spacing w:line="360" w:lineRule="auto"/>
        <w:jc w:val="both"/>
      </w:pPr>
    </w:p>
    <w:p w:rsidR="00D55462" w:rsidRDefault="00D55462" w:rsidP="003C53E7">
      <w:pPr>
        <w:spacing w:line="360" w:lineRule="auto"/>
        <w:jc w:val="both"/>
      </w:pPr>
      <w:r>
        <w:t>Vývoj zmíněných strategických</w:t>
      </w:r>
      <w:r w:rsidR="000129C2">
        <w:t xml:space="preserve"> finančních </w:t>
      </w:r>
      <w:r>
        <w:t>cílů v minulosti ukazuje tabulka:</w:t>
      </w:r>
    </w:p>
    <w:p w:rsidR="00030D6E" w:rsidRDefault="00030D6E" w:rsidP="0091493F">
      <w:pPr>
        <w:pStyle w:val="Nzev"/>
        <w:jc w:val="both"/>
      </w:pPr>
      <w:bookmarkStart w:id="484" w:name="_Toc231112337"/>
    </w:p>
    <w:p w:rsidR="0011241A" w:rsidRDefault="0011241A" w:rsidP="0091493F">
      <w:pPr>
        <w:pStyle w:val="Nzev"/>
        <w:jc w:val="both"/>
      </w:pPr>
    </w:p>
    <w:p w:rsidR="0011241A" w:rsidRDefault="0011241A" w:rsidP="0091493F">
      <w:pPr>
        <w:pStyle w:val="Nzev"/>
        <w:jc w:val="both"/>
      </w:pPr>
    </w:p>
    <w:p w:rsidR="0011241A" w:rsidRDefault="0011241A" w:rsidP="0091493F">
      <w:pPr>
        <w:pStyle w:val="Nzev"/>
        <w:jc w:val="both"/>
      </w:pPr>
    </w:p>
    <w:p w:rsidR="0011241A" w:rsidRDefault="0011241A" w:rsidP="0091493F">
      <w:pPr>
        <w:pStyle w:val="Nzev"/>
        <w:jc w:val="both"/>
      </w:pPr>
    </w:p>
    <w:p w:rsidR="00722F22" w:rsidRPr="000B76A6" w:rsidRDefault="00722F22" w:rsidP="0091493F">
      <w:pPr>
        <w:pStyle w:val="Nzev"/>
        <w:jc w:val="both"/>
      </w:pPr>
      <w:bookmarkStart w:id="485" w:name="_Toc233044439"/>
      <w:r w:rsidRPr="000B76A6">
        <w:lastRenderedPageBreak/>
        <w:t xml:space="preserve">Tabulka č. </w:t>
      </w:r>
      <w:r w:rsidR="001346D8">
        <w:t>5</w:t>
      </w:r>
      <w:r w:rsidR="007101F8" w:rsidRPr="000B76A6">
        <w:t xml:space="preserve"> – </w:t>
      </w:r>
      <w:r w:rsidRPr="000B76A6">
        <w:t>Vybrané strategické finanční cíle a jejich vývoj za období 2005 - 2008</w:t>
      </w:r>
      <w:bookmarkEnd w:id="484"/>
      <w:bookmarkEnd w:id="485"/>
      <w:r w:rsidRPr="000B76A6">
        <w:t xml:space="preserve"> </w:t>
      </w:r>
    </w:p>
    <w:p w:rsidR="00D55462" w:rsidRDefault="00722F22" w:rsidP="002910E7">
      <w:pPr>
        <w:spacing w:line="360" w:lineRule="auto"/>
        <w:jc w:val="both"/>
      </w:pPr>
      <w:r>
        <w:rPr>
          <w:noProof/>
        </w:rPr>
        <w:drawing>
          <wp:anchor distT="0" distB="0" distL="114300" distR="114300" simplePos="0" relativeHeight="251664384" behindDoc="0" locked="0" layoutInCell="1" allowOverlap="1">
            <wp:simplePos x="0" y="0"/>
            <wp:positionH relativeFrom="column">
              <wp:posOffset>-29629</wp:posOffset>
            </wp:positionH>
            <wp:positionV relativeFrom="paragraph">
              <wp:posOffset>166513</wp:posOffset>
            </wp:positionV>
            <wp:extent cx="5475976" cy="1690778"/>
            <wp:effectExtent l="19050" t="0" r="0" b="0"/>
            <wp:wrapNone/>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5475976" cy="1690778"/>
                    </a:xfrm>
                    <a:prstGeom prst="rect">
                      <a:avLst/>
                    </a:prstGeom>
                    <a:noFill/>
                    <a:ln w="9525">
                      <a:noFill/>
                      <a:miter lim="800000"/>
                      <a:headEnd/>
                      <a:tailEnd/>
                    </a:ln>
                  </pic:spPr>
                </pic:pic>
              </a:graphicData>
            </a:graphic>
          </wp:anchor>
        </w:drawing>
      </w:r>
    </w:p>
    <w:p w:rsidR="00D55462" w:rsidRDefault="00D55462" w:rsidP="002910E7">
      <w:pPr>
        <w:spacing w:line="360" w:lineRule="auto"/>
        <w:jc w:val="both"/>
      </w:pPr>
    </w:p>
    <w:p w:rsidR="00D55462" w:rsidRDefault="00D55462" w:rsidP="002910E7">
      <w:pPr>
        <w:spacing w:line="360" w:lineRule="auto"/>
        <w:jc w:val="both"/>
      </w:pPr>
    </w:p>
    <w:p w:rsidR="00D55462" w:rsidRDefault="00D55462" w:rsidP="002910E7">
      <w:pPr>
        <w:spacing w:line="360" w:lineRule="auto"/>
        <w:jc w:val="both"/>
      </w:pPr>
    </w:p>
    <w:p w:rsidR="00E6753D" w:rsidRDefault="00713E5E" w:rsidP="002910E7">
      <w:pPr>
        <w:spacing w:line="360" w:lineRule="auto"/>
        <w:jc w:val="both"/>
      </w:pPr>
      <w:r>
        <w:t xml:space="preserve">  </w:t>
      </w:r>
      <w:r w:rsidR="00D510FA">
        <w:t xml:space="preserve"> </w:t>
      </w:r>
      <w:r w:rsidR="002910E7">
        <w:t xml:space="preserve">  </w:t>
      </w:r>
      <w:r w:rsidR="00884839">
        <w:t xml:space="preserve">       </w:t>
      </w:r>
      <w:r w:rsidR="00F452D9">
        <w:t xml:space="preserve"> </w:t>
      </w:r>
      <w:r w:rsidR="00E6753D">
        <w:t xml:space="preserve"> </w:t>
      </w:r>
    </w:p>
    <w:p w:rsidR="00E6753D" w:rsidRDefault="00E6753D" w:rsidP="00E6753D">
      <w:pPr>
        <w:jc w:val="both"/>
      </w:pPr>
    </w:p>
    <w:p w:rsidR="00E6753D" w:rsidRDefault="00E6753D" w:rsidP="003D5048"/>
    <w:p w:rsidR="003D5048" w:rsidRDefault="00E6753D" w:rsidP="003D5048">
      <w:r>
        <w:t xml:space="preserve"> </w:t>
      </w:r>
      <w:r w:rsidR="00B43FC9">
        <w:t xml:space="preserve"> </w:t>
      </w:r>
    </w:p>
    <w:p w:rsidR="00722F22" w:rsidRDefault="00722F22" w:rsidP="003D5048"/>
    <w:p w:rsidR="00722F22" w:rsidRPr="001346D8" w:rsidRDefault="00722F22" w:rsidP="003D5048">
      <w:pPr>
        <w:rPr>
          <w:i/>
          <w:sz w:val="18"/>
          <w:szCs w:val="18"/>
        </w:rPr>
      </w:pPr>
      <w:r w:rsidRPr="001346D8">
        <w:rPr>
          <w:i/>
          <w:sz w:val="18"/>
          <w:szCs w:val="18"/>
        </w:rPr>
        <w:t>Zdroj: Výroční zprávy 2005 – 2008,</w:t>
      </w:r>
      <w:r w:rsidR="00102DC5" w:rsidRPr="001346D8">
        <w:rPr>
          <w:i/>
          <w:sz w:val="18"/>
          <w:szCs w:val="18"/>
        </w:rPr>
        <w:t xml:space="preserve"> dostupné na: </w:t>
      </w:r>
      <w:hyperlink r:id="rId22" w:history="1">
        <w:r w:rsidR="00102DC5" w:rsidRPr="001346D8">
          <w:rPr>
            <w:rStyle w:val="Hypertextovodkaz"/>
            <w:i/>
            <w:sz w:val="18"/>
            <w:szCs w:val="18"/>
          </w:rPr>
          <w:t>http://www.cz.o2.com/osobni/o_nas/investor_relations/vyrocni_a_pololetni_zpravy/index.html</w:t>
        </w:r>
      </w:hyperlink>
      <w:r w:rsidR="00102DC5" w:rsidRPr="001346D8">
        <w:rPr>
          <w:i/>
        </w:rPr>
        <w:t xml:space="preserve">, </w:t>
      </w:r>
      <w:r w:rsidRPr="001346D8">
        <w:rPr>
          <w:i/>
          <w:sz w:val="18"/>
          <w:szCs w:val="18"/>
        </w:rPr>
        <w:t>propočty autora</w:t>
      </w:r>
    </w:p>
    <w:p w:rsidR="00924697" w:rsidRPr="00722F22" w:rsidRDefault="00924697" w:rsidP="003D5048">
      <w:pPr>
        <w:rPr>
          <w:sz w:val="18"/>
          <w:szCs w:val="18"/>
        </w:rPr>
      </w:pPr>
    </w:p>
    <w:p w:rsidR="0011241A" w:rsidRDefault="0011241A" w:rsidP="003C53E7">
      <w:pPr>
        <w:spacing w:line="360" w:lineRule="auto"/>
        <w:jc w:val="both"/>
      </w:pPr>
    </w:p>
    <w:p w:rsidR="008A0F0C" w:rsidRDefault="00A206BF" w:rsidP="003C53E7">
      <w:pPr>
        <w:spacing w:line="360" w:lineRule="auto"/>
        <w:jc w:val="both"/>
      </w:pPr>
      <w:r>
        <w:t xml:space="preserve">     </w:t>
      </w:r>
      <w:r w:rsidR="00722F22">
        <w:t xml:space="preserve">Strategický obchodní plán i strategické finanční </w:t>
      </w:r>
      <w:r w:rsidR="00801DA8">
        <w:t>c</w:t>
      </w:r>
      <w:r w:rsidR="00722F22">
        <w:t>íle</w:t>
      </w:r>
      <w:r w:rsidR="008A0F0C">
        <w:t xml:space="preserve"> tvoří rámec, který je</w:t>
      </w:r>
      <w:r w:rsidR="00722F22">
        <w:t xml:space="preserve"> každoročně konkretizován obchodní</w:t>
      </w:r>
      <w:r w:rsidR="008A0F0C">
        <w:t>mi</w:t>
      </w:r>
      <w:r w:rsidR="00722F22">
        <w:t xml:space="preserve"> plán</w:t>
      </w:r>
      <w:r w:rsidR="008A0F0C">
        <w:t>y podniku</w:t>
      </w:r>
      <w:r w:rsidR="00722F22">
        <w:t xml:space="preserve">. Obchodní plán obsahuje </w:t>
      </w:r>
      <w:r w:rsidR="00801DA8">
        <w:t xml:space="preserve">dílčí cíle </w:t>
      </w:r>
      <w:r w:rsidR="00722F22">
        <w:t>vůči jednotlivým útvarům v</w:t>
      </w:r>
      <w:r w:rsidR="00801DA8">
        <w:t> </w:t>
      </w:r>
      <w:r w:rsidR="00722F22">
        <w:t>podniku</w:t>
      </w:r>
      <w:r w:rsidR="00801DA8">
        <w:t>.</w:t>
      </w:r>
      <w:r w:rsidR="000C02F1">
        <w:t xml:space="preserve"> </w:t>
      </w:r>
      <w:r w:rsidR="00801DA8">
        <w:t>Právě obchodní plán je</w:t>
      </w:r>
      <w:r w:rsidR="000C02F1">
        <w:t xml:space="preserve"> nástrojem </w:t>
      </w:r>
      <w:r w:rsidR="00801DA8">
        <w:t xml:space="preserve">přirozeně podněcujícím jednotlivé útvary podniku k </w:t>
      </w:r>
      <w:r w:rsidR="000C02F1">
        <w:t>investiční aktivitě</w:t>
      </w:r>
      <w:r w:rsidR="00801DA8">
        <w:t>.</w:t>
      </w:r>
      <w:r w:rsidR="000C02F1">
        <w:t xml:space="preserve"> </w:t>
      </w:r>
      <w:r w:rsidR="00801DA8">
        <w:t>Útvary generující výnosy společnosti vyhledávají tržní příležitosti</w:t>
      </w:r>
      <w:r w:rsidR="006B4C4E">
        <w:t xml:space="preserve">, přicházejí s návrhy </w:t>
      </w:r>
      <w:r w:rsidR="00BE4E33">
        <w:t xml:space="preserve">řešení </w:t>
      </w:r>
      <w:r w:rsidR="00801DA8">
        <w:t>a vyvíjí</w:t>
      </w:r>
      <w:r w:rsidR="006B4C4E">
        <w:t xml:space="preserve"> </w:t>
      </w:r>
      <w:r w:rsidR="002B4972">
        <w:t xml:space="preserve">tím </w:t>
      </w:r>
      <w:r w:rsidR="00801DA8">
        <w:t xml:space="preserve">snahu o efektivní umístění </w:t>
      </w:r>
      <w:r w:rsidR="0011241A">
        <w:t>zdrojů</w:t>
      </w:r>
      <w:r w:rsidR="00801DA8">
        <w:t>.</w:t>
      </w:r>
      <w:r w:rsidR="00875CAD">
        <w:t xml:space="preserve"> </w:t>
      </w:r>
    </w:p>
    <w:p w:rsidR="008A0F0C" w:rsidRDefault="008A0F0C" w:rsidP="008A0F0C">
      <w:pPr>
        <w:spacing w:line="360" w:lineRule="auto"/>
        <w:jc w:val="both"/>
      </w:pPr>
      <w:r>
        <w:t xml:space="preserve">     Jednotlivým podnikovým útvarům jsou za tímto účelem přiřazovány rozpočtované objemy finančních zdrojů, které mají tyto útvary v daném období k dispozici a které mohou při splnění požadovaných podmínek čerpat ve prospěch vlastních investičních projektů. </w:t>
      </w:r>
    </w:p>
    <w:p w:rsidR="00586AB0" w:rsidRDefault="008A0F0C" w:rsidP="008A0F0C">
      <w:pPr>
        <w:spacing w:line="360" w:lineRule="auto"/>
        <w:jc w:val="both"/>
      </w:pPr>
      <w:r>
        <w:t xml:space="preserve">     Příslušné objemy finančních zdrojů útvarů jsou určovány z historických dat, respektive na základě benchmarků, které srovnávají efektivnost využití těchto zdrojů vůči zrealizovaným výnosovým objemům napříč</w:t>
      </w:r>
      <w:r w:rsidR="00C12B38">
        <w:t xml:space="preserve"> příslušnými podnikovými útvary.</w:t>
      </w:r>
    </w:p>
    <w:p w:rsidR="00586AB0" w:rsidRDefault="00C12B38" w:rsidP="008A0F0C">
      <w:pPr>
        <w:spacing w:line="360" w:lineRule="auto"/>
        <w:jc w:val="both"/>
      </w:pPr>
      <w:r>
        <w:t xml:space="preserve">     </w:t>
      </w:r>
      <w:r w:rsidR="00586AB0">
        <w:t>Společnost stanovuje roční investiční rozpočet na úrovni 10 – 11 % výnosů, přičemž z</w:t>
      </w:r>
      <w:r w:rsidR="008A0F0C">
        <w:t xml:space="preserve"> údajů poskytnutých společností vyplývá, že </w:t>
      </w:r>
      <w:r w:rsidR="00586AB0">
        <w:t xml:space="preserve">investiční rozpočet </w:t>
      </w:r>
      <w:r w:rsidR="008A0F0C">
        <w:t>je omezený</w:t>
      </w:r>
      <w:r w:rsidR="00586AB0">
        <w:t>, tedy není možné v dané chvíli realizovat všechny navrhované investiční záměry</w:t>
      </w:r>
      <w:r w:rsidR="008A0F0C">
        <w:t>.</w:t>
      </w:r>
      <w:r w:rsidR="00D271AA">
        <w:t xml:space="preserve"> K tomuto konstatování se vrátíme v poslední kapitole této práce. </w:t>
      </w:r>
    </w:p>
    <w:p w:rsidR="00A1529D" w:rsidRDefault="00586AB0" w:rsidP="006878C4">
      <w:pPr>
        <w:spacing w:line="360" w:lineRule="auto"/>
        <w:jc w:val="both"/>
      </w:pPr>
      <w:r>
        <w:t xml:space="preserve">     </w:t>
      </w:r>
      <w:r w:rsidR="00DF165F">
        <w:t>V letech 2005 – 2008 byla ze strany společnosti uplatňována investiční politika standardní pro telekomunikační odvětví s důrazem na zvýšení efektivity, implementaci progresivních technologií a zákaznických přístupů</w:t>
      </w:r>
      <w:r w:rsidR="00DF165F">
        <w:rPr>
          <w:rStyle w:val="Znakapoznpodarou"/>
        </w:rPr>
        <w:footnoteReference w:id="75"/>
      </w:r>
      <w:r w:rsidR="00DF165F">
        <w:t>.</w:t>
      </w:r>
      <w:r w:rsidR="00A1529D">
        <w:t xml:space="preserve"> </w:t>
      </w:r>
      <w:r w:rsidR="00495063">
        <w:t>Skutečné v</w:t>
      </w:r>
      <w:r w:rsidR="00A1529D">
        <w:t>ýdaje na investice v těchto letech zobrazuje tabulka:</w:t>
      </w:r>
    </w:p>
    <w:p w:rsidR="00E11BF5" w:rsidRDefault="00E11BF5" w:rsidP="006878C4">
      <w:pPr>
        <w:spacing w:line="360" w:lineRule="auto"/>
        <w:jc w:val="both"/>
      </w:pPr>
    </w:p>
    <w:p w:rsidR="00A1529D" w:rsidRDefault="00A1529D" w:rsidP="006878C4">
      <w:pPr>
        <w:spacing w:line="360" w:lineRule="auto"/>
        <w:jc w:val="both"/>
      </w:pPr>
    </w:p>
    <w:p w:rsidR="00A1529D" w:rsidRPr="000B76A6" w:rsidRDefault="00590AF3" w:rsidP="00BE4E33">
      <w:pPr>
        <w:pStyle w:val="Nzev"/>
        <w:jc w:val="both"/>
      </w:pPr>
      <w:bookmarkStart w:id="486" w:name="_Toc231112338"/>
      <w:bookmarkStart w:id="487" w:name="_Toc233044440"/>
      <w:r w:rsidRPr="000B76A6">
        <w:lastRenderedPageBreak/>
        <w:t>Tabulka č.</w:t>
      </w:r>
      <w:r w:rsidR="007101F8" w:rsidRPr="000B76A6">
        <w:t xml:space="preserve"> </w:t>
      </w:r>
      <w:r w:rsidR="001346D8">
        <w:t>6</w:t>
      </w:r>
      <w:r w:rsidR="007101F8" w:rsidRPr="000B76A6">
        <w:t xml:space="preserve"> – </w:t>
      </w:r>
      <w:r w:rsidRPr="000B76A6">
        <w:t>Vývoj výdajů</w:t>
      </w:r>
      <w:r w:rsidR="00E11BF5">
        <w:t xml:space="preserve"> na investice</w:t>
      </w:r>
      <w:r w:rsidRPr="000B76A6">
        <w:t xml:space="preserve"> skupiny Telefónica O2 Czech Republic za období 2005 - 2008</w:t>
      </w:r>
      <w:bookmarkEnd w:id="486"/>
      <w:bookmarkEnd w:id="487"/>
      <w:r w:rsidRPr="000B76A6">
        <w:t xml:space="preserve"> </w:t>
      </w:r>
    </w:p>
    <w:p w:rsidR="00A1529D" w:rsidRDefault="00E11BF5" w:rsidP="006878C4">
      <w:pPr>
        <w:spacing w:line="360" w:lineRule="auto"/>
        <w:jc w:val="both"/>
      </w:pPr>
      <w:r>
        <w:rPr>
          <w:noProof/>
        </w:rPr>
        <w:drawing>
          <wp:anchor distT="0" distB="0" distL="114300" distR="114300" simplePos="0" relativeHeight="251702272" behindDoc="0" locked="0" layoutInCell="1" allowOverlap="1">
            <wp:simplePos x="0" y="0"/>
            <wp:positionH relativeFrom="column">
              <wp:posOffset>15875</wp:posOffset>
            </wp:positionH>
            <wp:positionV relativeFrom="paragraph">
              <wp:posOffset>92075</wp:posOffset>
            </wp:positionV>
            <wp:extent cx="5381625" cy="685800"/>
            <wp:effectExtent l="19050" t="0" r="9525" b="0"/>
            <wp:wrapNone/>
            <wp:docPr id="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381625" cy="685800"/>
                    </a:xfrm>
                    <a:prstGeom prst="rect">
                      <a:avLst/>
                    </a:prstGeom>
                    <a:noFill/>
                    <a:ln w="9525">
                      <a:noFill/>
                      <a:miter lim="800000"/>
                      <a:headEnd/>
                      <a:tailEnd/>
                    </a:ln>
                  </pic:spPr>
                </pic:pic>
              </a:graphicData>
            </a:graphic>
          </wp:anchor>
        </w:drawing>
      </w:r>
    </w:p>
    <w:p w:rsidR="00A1529D" w:rsidRDefault="00A1529D" w:rsidP="006878C4">
      <w:pPr>
        <w:spacing w:line="360" w:lineRule="auto"/>
        <w:jc w:val="both"/>
      </w:pPr>
    </w:p>
    <w:p w:rsidR="00A1529D" w:rsidRDefault="00A1529D" w:rsidP="006878C4">
      <w:pPr>
        <w:spacing w:line="360" w:lineRule="auto"/>
        <w:jc w:val="both"/>
      </w:pPr>
    </w:p>
    <w:p w:rsidR="0081069A" w:rsidRPr="0081069A" w:rsidRDefault="0081069A" w:rsidP="00590AF3">
      <w:pPr>
        <w:rPr>
          <w:sz w:val="18"/>
          <w:szCs w:val="18"/>
        </w:rPr>
      </w:pPr>
    </w:p>
    <w:p w:rsidR="00590AF3" w:rsidRPr="001346D8" w:rsidRDefault="00590AF3" w:rsidP="00590AF3">
      <w:pPr>
        <w:rPr>
          <w:i/>
          <w:sz w:val="18"/>
          <w:szCs w:val="18"/>
        </w:rPr>
      </w:pPr>
      <w:r w:rsidRPr="001346D8">
        <w:rPr>
          <w:i/>
          <w:sz w:val="18"/>
          <w:szCs w:val="18"/>
        </w:rPr>
        <w:t>Zdroj: Výroční zprávy 2005 – 2008,</w:t>
      </w:r>
      <w:r w:rsidR="005B72A9" w:rsidRPr="001346D8">
        <w:rPr>
          <w:i/>
          <w:sz w:val="18"/>
          <w:szCs w:val="18"/>
        </w:rPr>
        <w:t xml:space="preserve"> dostupné na: </w:t>
      </w:r>
      <w:hyperlink r:id="rId24" w:history="1">
        <w:r w:rsidR="005B72A9" w:rsidRPr="001346D8">
          <w:rPr>
            <w:rStyle w:val="Hypertextovodkaz"/>
            <w:i/>
            <w:sz w:val="18"/>
            <w:szCs w:val="18"/>
          </w:rPr>
          <w:t>http://www.cz.o2.com/osobni/o_nas/investor_relations/vyrocni_a_pololetni_zpravy/index.html</w:t>
        </w:r>
      </w:hyperlink>
      <w:r w:rsidR="005B72A9" w:rsidRPr="001346D8">
        <w:rPr>
          <w:i/>
          <w:sz w:val="18"/>
          <w:szCs w:val="18"/>
        </w:rPr>
        <w:t>,</w:t>
      </w:r>
      <w:r w:rsidRPr="001346D8">
        <w:rPr>
          <w:i/>
          <w:sz w:val="18"/>
          <w:szCs w:val="18"/>
        </w:rPr>
        <w:t xml:space="preserve"> propočty autora</w:t>
      </w:r>
    </w:p>
    <w:p w:rsidR="00A1529D" w:rsidRDefault="00590AF3" w:rsidP="006878C4">
      <w:pPr>
        <w:spacing w:line="360" w:lineRule="auto"/>
        <w:jc w:val="both"/>
      </w:pPr>
      <w:r>
        <w:t xml:space="preserve"> </w:t>
      </w:r>
    </w:p>
    <w:p w:rsidR="00C24AB0" w:rsidRDefault="00DF165F" w:rsidP="006878C4">
      <w:pPr>
        <w:spacing w:line="360" w:lineRule="auto"/>
        <w:jc w:val="both"/>
      </w:pPr>
      <w:r>
        <w:t xml:space="preserve"> </w:t>
      </w:r>
      <w:r w:rsidR="00590AF3">
        <w:t xml:space="preserve">     </w:t>
      </w:r>
      <w:r w:rsidR="00542962">
        <w:t>V souvislosti se skutečně vynaloženými výdaji</w:t>
      </w:r>
      <w:r w:rsidR="00E11BF5">
        <w:t xml:space="preserve"> na investice</w:t>
      </w:r>
      <w:r w:rsidR="00542962">
        <w:t xml:space="preserve"> a skutečně dosaženými výnosy </w:t>
      </w:r>
      <w:r w:rsidR="00C24AB0">
        <w:t xml:space="preserve">je </w:t>
      </w:r>
      <w:r w:rsidR="00E11BF5">
        <w:t xml:space="preserve">účelné zpracovat </w:t>
      </w:r>
      <w:r w:rsidR="00C24AB0">
        <w:t>hodnot</w:t>
      </w:r>
      <w:r w:rsidR="00E11BF5">
        <w:t>u</w:t>
      </w:r>
      <w:r w:rsidR="00C24AB0">
        <w:t xml:space="preserve"> ukazatele, který vyjadřuje poměr výdajů na investice k výnosům. Hodnotu zmíněného ukazatele za období 2005 – 2008 vyjadřuje tabulka:</w:t>
      </w:r>
    </w:p>
    <w:p w:rsidR="00C24AB0" w:rsidRDefault="00C24AB0" w:rsidP="006878C4">
      <w:pPr>
        <w:spacing w:line="360" w:lineRule="auto"/>
        <w:jc w:val="both"/>
      </w:pPr>
    </w:p>
    <w:p w:rsidR="00C24AB0" w:rsidRPr="000B76A6" w:rsidRDefault="00C24AB0" w:rsidP="00BE4E33">
      <w:pPr>
        <w:pStyle w:val="Nzev"/>
        <w:jc w:val="both"/>
      </w:pPr>
      <w:bookmarkStart w:id="488" w:name="_Toc231112339"/>
      <w:bookmarkStart w:id="489" w:name="_Toc233044441"/>
      <w:r w:rsidRPr="000B76A6">
        <w:t xml:space="preserve">Tabulka č. </w:t>
      </w:r>
      <w:r w:rsidR="001346D8">
        <w:t>7</w:t>
      </w:r>
      <w:r w:rsidR="007101F8" w:rsidRPr="000B76A6">
        <w:t xml:space="preserve"> – </w:t>
      </w:r>
      <w:r w:rsidRPr="000B76A6">
        <w:t>Hodnota poměrového ukazatele výdaje na investice/výnosy skupiny Telefónica O2 Czech Republic za období 2005 – 2008</w:t>
      </w:r>
      <w:bookmarkEnd w:id="488"/>
      <w:bookmarkEnd w:id="489"/>
      <w:r w:rsidRPr="000B76A6">
        <w:t xml:space="preserve"> </w:t>
      </w:r>
    </w:p>
    <w:p w:rsidR="00C24AB0" w:rsidRDefault="0041794F" w:rsidP="006878C4">
      <w:pPr>
        <w:spacing w:line="360" w:lineRule="auto"/>
        <w:jc w:val="both"/>
      </w:pPr>
      <w:r>
        <w:rPr>
          <w:noProof/>
        </w:rPr>
        <w:drawing>
          <wp:anchor distT="0" distB="0" distL="114300" distR="114300" simplePos="0" relativeHeight="251667456" behindDoc="1" locked="0" layoutInCell="1" allowOverlap="1">
            <wp:simplePos x="0" y="0"/>
            <wp:positionH relativeFrom="column">
              <wp:posOffset>15875</wp:posOffset>
            </wp:positionH>
            <wp:positionV relativeFrom="paragraph">
              <wp:posOffset>130175</wp:posOffset>
            </wp:positionV>
            <wp:extent cx="5381625" cy="981075"/>
            <wp:effectExtent l="19050" t="0" r="9525" b="0"/>
            <wp:wrapNone/>
            <wp:docPr id="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5381625" cy="981075"/>
                    </a:xfrm>
                    <a:prstGeom prst="rect">
                      <a:avLst/>
                    </a:prstGeom>
                    <a:noFill/>
                    <a:ln w="9525">
                      <a:noFill/>
                      <a:miter lim="800000"/>
                      <a:headEnd/>
                      <a:tailEnd/>
                    </a:ln>
                  </pic:spPr>
                </pic:pic>
              </a:graphicData>
            </a:graphic>
          </wp:anchor>
        </w:drawing>
      </w:r>
    </w:p>
    <w:p w:rsidR="00C24AB0" w:rsidRDefault="00C24AB0" w:rsidP="006878C4">
      <w:pPr>
        <w:spacing w:line="360" w:lineRule="auto"/>
        <w:jc w:val="both"/>
      </w:pPr>
      <w:r>
        <w:t xml:space="preserve">   </w:t>
      </w:r>
    </w:p>
    <w:p w:rsidR="003E1D44" w:rsidRPr="003E1D44" w:rsidRDefault="00C24AB0" w:rsidP="006878C4">
      <w:pPr>
        <w:spacing w:line="360" w:lineRule="auto"/>
        <w:jc w:val="both"/>
      </w:pPr>
      <w:r>
        <w:t xml:space="preserve">      </w:t>
      </w:r>
      <w:r w:rsidR="00542962">
        <w:t xml:space="preserve"> </w:t>
      </w:r>
      <w:r w:rsidR="00495063">
        <w:t xml:space="preserve">          </w:t>
      </w:r>
      <w:r w:rsidR="004F7515">
        <w:t xml:space="preserve">       </w:t>
      </w:r>
      <w:r w:rsidR="00CB6064">
        <w:t xml:space="preserve">  </w:t>
      </w:r>
      <w:r w:rsidR="00DF165F">
        <w:t xml:space="preserve"> </w:t>
      </w:r>
      <w:r w:rsidR="00BE2227">
        <w:t xml:space="preserve"> </w:t>
      </w:r>
      <w:r w:rsidR="006878C4">
        <w:t xml:space="preserve">  </w:t>
      </w:r>
      <w:r w:rsidR="00C34F1E">
        <w:t xml:space="preserve"> </w:t>
      </w:r>
    </w:p>
    <w:p w:rsidR="00071782" w:rsidRPr="00071782" w:rsidRDefault="00071782" w:rsidP="006878C4">
      <w:pPr>
        <w:pStyle w:val="Nadpis2"/>
        <w:numPr>
          <w:ilvl w:val="0"/>
          <w:numId w:val="0"/>
        </w:numPr>
        <w:rPr>
          <w:b w:val="0"/>
          <w:sz w:val="28"/>
          <w:szCs w:val="28"/>
        </w:rPr>
      </w:pPr>
      <w:r w:rsidRPr="00071782">
        <w:rPr>
          <w:b w:val="0"/>
          <w:sz w:val="28"/>
          <w:szCs w:val="28"/>
        </w:rPr>
        <w:t xml:space="preserve">   </w:t>
      </w:r>
    </w:p>
    <w:p w:rsidR="0081069A" w:rsidRPr="0081069A" w:rsidRDefault="0081069A" w:rsidP="0041794F">
      <w:pPr>
        <w:rPr>
          <w:b/>
          <w:bCs/>
          <w:sz w:val="18"/>
          <w:szCs w:val="18"/>
        </w:rPr>
      </w:pPr>
    </w:p>
    <w:p w:rsidR="0041794F" w:rsidRPr="001346D8" w:rsidRDefault="0041794F" w:rsidP="0041794F">
      <w:pPr>
        <w:rPr>
          <w:i/>
          <w:sz w:val="18"/>
          <w:szCs w:val="18"/>
        </w:rPr>
      </w:pPr>
      <w:r w:rsidRPr="001346D8">
        <w:rPr>
          <w:i/>
          <w:sz w:val="18"/>
          <w:szCs w:val="18"/>
        </w:rPr>
        <w:t xml:space="preserve">Zdroj: Výroční zprávy 2005 – 2008, </w:t>
      </w:r>
      <w:r w:rsidR="004B3A28" w:rsidRPr="001346D8">
        <w:rPr>
          <w:i/>
          <w:sz w:val="18"/>
          <w:szCs w:val="18"/>
        </w:rPr>
        <w:t xml:space="preserve">dostupné na: </w:t>
      </w:r>
      <w:hyperlink r:id="rId26" w:history="1">
        <w:r w:rsidR="004B3A28" w:rsidRPr="001346D8">
          <w:rPr>
            <w:rStyle w:val="Hypertextovodkaz"/>
            <w:i/>
            <w:sz w:val="18"/>
            <w:szCs w:val="18"/>
          </w:rPr>
          <w:t>http://www.cz.o2.com/osobni/o_nas/investor_relations/vyrocni_a_pololetni_zpravy/index.html</w:t>
        </w:r>
      </w:hyperlink>
      <w:r w:rsidR="004B3A28" w:rsidRPr="001346D8">
        <w:rPr>
          <w:i/>
        </w:rPr>
        <w:t xml:space="preserve">, </w:t>
      </w:r>
      <w:r w:rsidRPr="001346D8">
        <w:rPr>
          <w:i/>
          <w:sz w:val="18"/>
          <w:szCs w:val="18"/>
        </w:rPr>
        <w:t>propočty autora</w:t>
      </w:r>
    </w:p>
    <w:p w:rsidR="0081069A" w:rsidRPr="004B3A28" w:rsidRDefault="0081069A" w:rsidP="0041794F"/>
    <w:p w:rsidR="0041794F" w:rsidRDefault="0041794F" w:rsidP="0041794F"/>
    <w:p w:rsidR="009521C6" w:rsidRDefault="0041794F" w:rsidP="0041794F">
      <w:pPr>
        <w:spacing w:line="360" w:lineRule="auto"/>
        <w:jc w:val="both"/>
      </w:pPr>
      <w:r>
        <w:t xml:space="preserve">     Hodnota poměrového ukazatele odráží vývojové tendence, které již byly v této práci uvedeny. Zatímco výdaje na investice v letech 2005 – 2008 rostly meziročně v průměru o 10%, výnosy rostly ve sledovaném období pouze necelými 2%. Výsledkem je nárůst poměrového ukazatele </w:t>
      </w:r>
      <w:r w:rsidR="009521C6">
        <w:t>z hodnoty 9,95% v roce 2005 na hodnotu 12,50% v roce 2008. Na základě této skutečnosti tedy můžeme vyslovit tvrzení, že výdaje na investice rostou za sledované období rychleji, než celkové výnosy.</w:t>
      </w:r>
    </w:p>
    <w:p w:rsidR="0090003A" w:rsidRDefault="0090003A" w:rsidP="0041794F">
      <w:pPr>
        <w:spacing w:line="360" w:lineRule="auto"/>
        <w:jc w:val="both"/>
      </w:pPr>
      <w:r>
        <w:t xml:space="preserve">     V návaznosti na zmíněné skutečnosti lze konstatovat, že plánování investic a tvorba investičního rozpočtu je ve společnosti Telefónica O2 Czech Republic, a.s. v souladu se zavedeným teoretickým konceptem. Podívejme se nyní, jakým způsobem jsou v uvedeném podniku investice klasifikovány.</w:t>
      </w:r>
    </w:p>
    <w:p w:rsidR="00AC7147" w:rsidRDefault="0090003A" w:rsidP="00D04E92">
      <w:pPr>
        <w:spacing w:line="360" w:lineRule="auto"/>
        <w:jc w:val="both"/>
      </w:pPr>
      <w:r>
        <w:t xml:space="preserve">     </w:t>
      </w:r>
      <w:r w:rsidR="00D04E92">
        <w:t xml:space="preserve">Podnik člení investice podle dvou klasifikačních kritérií, přičemž každé kriterium sleduje samostatný účel. </w:t>
      </w:r>
    </w:p>
    <w:p w:rsidR="00AC7147" w:rsidRDefault="00AC7147" w:rsidP="00D04E92">
      <w:pPr>
        <w:spacing w:line="360" w:lineRule="auto"/>
        <w:jc w:val="both"/>
      </w:pPr>
      <w:r>
        <w:t xml:space="preserve">     </w:t>
      </w:r>
      <w:r w:rsidR="00D04E92">
        <w:t xml:space="preserve">Prvním </w:t>
      </w:r>
      <w:r w:rsidR="00495F33">
        <w:t xml:space="preserve">základním </w:t>
      </w:r>
      <w:r w:rsidR="00D04E92">
        <w:t xml:space="preserve">kriteriem je vztah investice k rozvoji podniku s přímou vazbou na požadovanou formu investiční dokumentace z hlediska struktury a obsahu. </w:t>
      </w:r>
    </w:p>
    <w:p w:rsidR="00D04E92" w:rsidRDefault="00AC7147" w:rsidP="00D04E92">
      <w:pPr>
        <w:spacing w:line="360" w:lineRule="auto"/>
        <w:jc w:val="both"/>
      </w:pPr>
      <w:r>
        <w:lastRenderedPageBreak/>
        <w:t xml:space="preserve">     </w:t>
      </w:r>
      <w:r w:rsidR="00D04E92">
        <w:t>Druhým kriteriem je velikost investice vyjádřená velikostí kapitálových výdajů s přímou vazbou na definované schvalovací kompetence</w:t>
      </w:r>
      <w:r>
        <w:t>, k tomuto členícímu kriteriu se vrátíme v další části práce, která bude věnována subjektům účastnícím se investičního procesu,</w:t>
      </w:r>
      <w:r w:rsidR="00CD6E8C">
        <w:t xml:space="preserve"> respektive úrovním schvalovacích</w:t>
      </w:r>
      <w:r>
        <w:t xml:space="preserve"> kompetencí</w:t>
      </w:r>
      <w:r w:rsidR="00D04E92">
        <w:t>.</w:t>
      </w:r>
    </w:p>
    <w:p w:rsidR="00495F33" w:rsidRDefault="00D04E92" w:rsidP="00495F33">
      <w:pPr>
        <w:spacing w:line="360" w:lineRule="auto"/>
        <w:jc w:val="both"/>
      </w:pPr>
      <w:r>
        <w:t xml:space="preserve">     Pokud jde o první základní klasifikační kritérium,</w:t>
      </w:r>
      <w:r w:rsidR="00495F33">
        <w:t xml:space="preserve"> </w:t>
      </w:r>
      <w:r w:rsidR="00CD6E8C">
        <w:t xml:space="preserve">tedy kriterium vztahu investice k rozvoji podniku, </w:t>
      </w:r>
      <w:r w:rsidR="00495F33">
        <w:t>pak při zařazování investice do příslušného typu je rozhodující podíl na celkových investičních výdajích. V případě, že jeden typ podchycuje alespoň 75% hodnoty těchto výdajů, je celá investice posuzována podle tohoto typu. V ostatních případech je investice alokována k více typům a každá část musí být opodstatněna jednotlivě, pro účely schvalování se však takové části jedné investice sumarizují. Přehled typů podnikových investic nabízí tabulka:</w:t>
      </w:r>
    </w:p>
    <w:p w:rsidR="00D04E92" w:rsidRDefault="00D04E92" w:rsidP="008D5E9B">
      <w:pPr>
        <w:spacing w:line="360" w:lineRule="auto"/>
        <w:jc w:val="both"/>
      </w:pPr>
    </w:p>
    <w:p w:rsidR="00D04E92" w:rsidRDefault="00D04E92" w:rsidP="0091493F">
      <w:pPr>
        <w:pStyle w:val="Nzev"/>
      </w:pPr>
      <w:bookmarkStart w:id="490" w:name="_Toc231112340"/>
      <w:bookmarkStart w:id="491" w:name="_Toc233044442"/>
      <w:r w:rsidRPr="000B76A6">
        <w:t xml:space="preserve">Tabulka č. </w:t>
      </w:r>
      <w:r w:rsidR="001346D8">
        <w:t>8</w:t>
      </w:r>
      <w:r w:rsidR="007101F8" w:rsidRPr="000B76A6">
        <w:t xml:space="preserve"> – </w:t>
      </w:r>
      <w:r w:rsidRPr="000B76A6">
        <w:t xml:space="preserve">Typy </w:t>
      </w:r>
      <w:bookmarkEnd w:id="490"/>
      <w:r w:rsidR="0081069A">
        <w:t>podnikových investic</w:t>
      </w:r>
      <w:bookmarkEnd w:id="491"/>
    </w:p>
    <w:p w:rsidR="0081069A" w:rsidRPr="000B76A6" w:rsidRDefault="0081069A" w:rsidP="0091493F">
      <w:pPr>
        <w:pStyle w:val="Nzev"/>
      </w:pPr>
    </w:p>
    <w:p w:rsidR="00D04E92" w:rsidRDefault="0081069A" w:rsidP="008D5E9B">
      <w:pPr>
        <w:spacing w:line="360" w:lineRule="auto"/>
        <w:jc w:val="both"/>
      </w:pPr>
      <w:r>
        <w:rPr>
          <w:noProof/>
        </w:rPr>
        <w:drawing>
          <wp:anchor distT="0" distB="0" distL="114300" distR="114300" simplePos="0" relativeHeight="251683840" behindDoc="0" locked="0" layoutInCell="1" allowOverlap="1">
            <wp:simplePos x="0" y="0"/>
            <wp:positionH relativeFrom="column">
              <wp:posOffset>12065</wp:posOffset>
            </wp:positionH>
            <wp:positionV relativeFrom="paragraph">
              <wp:posOffset>4445</wp:posOffset>
            </wp:positionV>
            <wp:extent cx="4781550" cy="4342506"/>
            <wp:effectExtent l="19050" t="0" r="0" b="0"/>
            <wp:wrapNone/>
            <wp:docPr id="1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4787283" cy="4347713"/>
                    </a:xfrm>
                    <a:prstGeom prst="rect">
                      <a:avLst/>
                    </a:prstGeom>
                    <a:noFill/>
                    <a:ln w="9525">
                      <a:noFill/>
                      <a:miter lim="800000"/>
                      <a:headEnd/>
                      <a:tailEnd/>
                    </a:ln>
                  </pic:spPr>
                </pic:pic>
              </a:graphicData>
            </a:graphic>
          </wp:anchor>
        </w:drawing>
      </w: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Default="00D04E92" w:rsidP="008D5E9B">
      <w:pPr>
        <w:spacing w:line="360" w:lineRule="auto"/>
        <w:jc w:val="both"/>
      </w:pPr>
    </w:p>
    <w:p w:rsidR="00D04E92" w:rsidRPr="00F94068" w:rsidRDefault="00D04E92" w:rsidP="00D04E92">
      <w:pPr>
        <w:spacing w:line="360" w:lineRule="auto"/>
        <w:jc w:val="both"/>
        <w:rPr>
          <w:i/>
          <w:sz w:val="18"/>
          <w:szCs w:val="18"/>
        </w:rPr>
      </w:pPr>
      <w:r w:rsidRPr="00F94068">
        <w:rPr>
          <w:i/>
          <w:sz w:val="18"/>
          <w:szCs w:val="18"/>
        </w:rPr>
        <w:t xml:space="preserve">Zdroj: </w:t>
      </w:r>
      <w:r w:rsidR="00B64D64">
        <w:rPr>
          <w:i/>
          <w:sz w:val="18"/>
          <w:szCs w:val="18"/>
        </w:rPr>
        <w:t>Postup POS – 50, Proces řízení investic</w:t>
      </w:r>
    </w:p>
    <w:p w:rsidR="00BE4E33" w:rsidRDefault="00BE4E33" w:rsidP="00495F33">
      <w:pPr>
        <w:spacing w:line="360" w:lineRule="auto"/>
        <w:jc w:val="both"/>
      </w:pPr>
    </w:p>
    <w:p w:rsidR="0081069A" w:rsidRDefault="00495F33" w:rsidP="00495F33">
      <w:pPr>
        <w:spacing w:line="360" w:lineRule="auto"/>
        <w:jc w:val="both"/>
      </w:pPr>
      <w:r>
        <w:t xml:space="preserve">     Za rozvojové můžeme v kontextu podnikového členění považovat růstové investice označované G, dále potom investice do marketingových kampaní MC, investice spojené </w:t>
      </w:r>
      <w:r>
        <w:lastRenderedPageBreak/>
        <w:t xml:space="preserve">s předkládáním závazných nabídek do výběrových řízení T a v určitých případech i ostatní investice O. Za projekty obnovy můžeme považovat udržovací investice M, racionalizační investice R a v určitých případech ostatní investice O. Za mandatorní potom můžeme považovat investice ze zákona nebo vyžadované regulátorem L. </w:t>
      </w:r>
    </w:p>
    <w:p w:rsidR="00CD6E8C" w:rsidRDefault="0081069A" w:rsidP="00495F33">
      <w:pPr>
        <w:spacing w:line="360" w:lineRule="auto"/>
        <w:jc w:val="both"/>
      </w:pPr>
      <w:r>
        <w:t xml:space="preserve">     </w:t>
      </w:r>
      <w:r w:rsidR="00495F33">
        <w:t xml:space="preserve">Uvedené členění podnikových investic podle kriteria vztahu k rozvoji podniku lze ve shodě s teoretickými východisky považovat za </w:t>
      </w:r>
      <w:r w:rsidR="00AC7147">
        <w:t>účelné</w:t>
      </w:r>
      <w:r w:rsidR="00025F6F">
        <w:t xml:space="preserve"> nejen z</w:t>
      </w:r>
      <w:r w:rsidR="000866A6">
        <w:t> </w:t>
      </w:r>
      <w:r w:rsidR="00025F6F">
        <w:t>hlediska</w:t>
      </w:r>
      <w:r w:rsidR="000866A6">
        <w:t xml:space="preserve"> samotného předmětného členění a</w:t>
      </w:r>
      <w:r w:rsidR="00025F6F">
        <w:t xml:space="preserve"> následného požadavku na dokumentaci daného investičního návrhu</w:t>
      </w:r>
      <w:r w:rsidR="00AC7147">
        <w:t>,</w:t>
      </w:r>
      <w:r w:rsidR="00025F6F">
        <w:t xml:space="preserve"> ale i s ohledem na</w:t>
      </w:r>
      <w:r w:rsidR="000866A6">
        <w:t xml:space="preserve"> aktuální</w:t>
      </w:r>
      <w:r w:rsidR="00025F6F">
        <w:t xml:space="preserve"> </w:t>
      </w:r>
      <w:r w:rsidR="001D13E7">
        <w:t xml:space="preserve">rozvržení </w:t>
      </w:r>
      <w:r w:rsidR="00495F33">
        <w:t>organizační struktury společnosti.</w:t>
      </w:r>
    </w:p>
    <w:p w:rsidR="00CD6E8C" w:rsidRDefault="00CD6E8C" w:rsidP="00495F33">
      <w:pPr>
        <w:spacing w:line="360" w:lineRule="auto"/>
        <w:jc w:val="both"/>
      </w:pPr>
    </w:p>
    <w:p w:rsidR="00483CBC" w:rsidRDefault="001B7560" w:rsidP="001B7560">
      <w:pPr>
        <w:pStyle w:val="Nadpis2"/>
        <w:ind w:left="0" w:firstLine="0"/>
        <w:rPr>
          <w:b w:val="0"/>
          <w:sz w:val="28"/>
          <w:szCs w:val="28"/>
        </w:rPr>
      </w:pPr>
      <w:r>
        <w:rPr>
          <w:b w:val="0"/>
          <w:sz w:val="28"/>
          <w:szCs w:val="28"/>
        </w:rPr>
        <w:t xml:space="preserve">  </w:t>
      </w:r>
      <w:bookmarkStart w:id="492" w:name="_Toc233044423"/>
      <w:r w:rsidR="00483CBC" w:rsidRPr="00483CBC">
        <w:rPr>
          <w:b w:val="0"/>
          <w:sz w:val="28"/>
          <w:szCs w:val="28"/>
        </w:rPr>
        <w:t>Jednotlivé fáze podnikového investičního procesu</w:t>
      </w:r>
      <w:bookmarkEnd w:id="492"/>
    </w:p>
    <w:p w:rsidR="00483CBC" w:rsidRDefault="00483CBC" w:rsidP="00483CBC"/>
    <w:p w:rsidR="009E4196" w:rsidRPr="009E4196" w:rsidRDefault="001B7560" w:rsidP="001B7560">
      <w:pPr>
        <w:pStyle w:val="Nadpis3"/>
        <w:ind w:left="142" w:hanging="142"/>
        <w:jc w:val="left"/>
        <w:rPr>
          <w:b w:val="0"/>
          <w:sz w:val="28"/>
          <w:szCs w:val="28"/>
        </w:rPr>
      </w:pPr>
      <w:r>
        <w:rPr>
          <w:b w:val="0"/>
          <w:sz w:val="28"/>
          <w:szCs w:val="28"/>
        </w:rPr>
        <w:t xml:space="preserve">  </w:t>
      </w:r>
      <w:bookmarkStart w:id="493" w:name="_Toc233044424"/>
      <w:r w:rsidR="009E4196" w:rsidRPr="009E4196">
        <w:rPr>
          <w:b w:val="0"/>
          <w:sz w:val="28"/>
          <w:szCs w:val="28"/>
        </w:rPr>
        <w:t>Předinvestiční a investiční fáze podnikového investičního procesu</w:t>
      </w:r>
      <w:bookmarkEnd w:id="493"/>
    </w:p>
    <w:p w:rsidR="009E4196" w:rsidRDefault="009E4196" w:rsidP="00483CBC"/>
    <w:p w:rsidR="003537D5" w:rsidRDefault="003537D5" w:rsidP="0072692A">
      <w:pPr>
        <w:spacing w:line="360" w:lineRule="auto"/>
        <w:jc w:val="both"/>
      </w:pPr>
      <w:r>
        <w:t xml:space="preserve">     Počátek předinvestiční fáze je třeba v souladu s teoretickými východisky spatřovat v identifikacích podnikatelských</w:t>
      </w:r>
      <w:r w:rsidR="0072692A">
        <w:t xml:space="preserve"> příležitostí, případně v potřebě obnovy zařízení nebo splnění požadavků regulátora. </w:t>
      </w:r>
      <w:r w:rsidR="00023181">
        <w:t xml:space="preserve">Jak již bylo uvedeno je tato identifikace realizována v rámci příslušných podnikových útvarů, kde je následně prováděn předběžný výběr investičních záměrů a k vybraným záměrům pak zpracovávána </w:t>
      </w:r>
      <w:r w:rsidR="009E4196">
        <w:t xml:space="preserve">požadovaná dokumentace. </w:t>
      </w:r>
      <w:r w:rsidR="00023181">
        <w:t xml:space="preserve"> </w:t>
      </w:r>
    </w:p>
    <w:p w:rsidR="009E4196" w:rsidRDefault="00E25D35" w:rsidP="00023181">
      <w:pPr>
        <w:spacing w:line="360" w:lineRule="auto"/>
        <w:jc w:val="both"/>
      </w:pPr>
      <w:r>
        <w:t xml:space="preserve">     Podle typ</w:t>
      </w:r>
      <w:r w:rsidR="00023181">
        <w:t xml:space="preserve">u investice </w:t>
      </w:r>
      <w:r w:rsidR="009E4196">
        <w:t xml:space="preserve">tedy </w:t>
      </w:r>
      <w:r w:rsidR="00023181">
        <w:t xml:space="preserve">musí </w:t>
      </w:r>
      <w:r w:rsidR="009E4196">
        <w:t xml:space="preserve">podnikové útvary jako její </w:t>
      </w:r>
      <w:r w:rsidR="00023181">
        <w:t>předkladatel</w:t>
      </w:r>
      <w:r w:rsidR="009E4196">
        <w:t>é</w:t>
      </w:r>
      <w:r w:rsidR="00023181">
        <w:t xml:space="preserve"> připravit požadovanou formu dokumentace investičního návrhu, která </w:t>
      </w:r>
      <w:r w:rsidR="0090003A">
        <w:t xml:space="preserve">popisuje </w:t>
      </w:r>
      <w:r>
        <w:t xml:space="preserve">především </w:t>
      </w:r>
      <w:r w:rsidR="0090003A">
        <w:t>obsah a cíl investice, kvantifikuje její výdaje a očekávané finanční a nefinanční benefity</w:t>
      </w:r>
      <w:r w:rsidR="00023181">
        <w:t>. Takto zpracovanou dokumentaci poté předklád</w:t>
      </w:r>
      <w:r w:rsidR="009E4196">
        <w:t>ají</w:t>
      </w:r>
      <w:r w:rsidR="00023181">
        <w:t xml:space="preserve"> do příslušné investiční komise ke schválení.</w:t>
      </w:r>
    </w:p>
    <w:p w:rsidR="009E4196" w:rsidRDefault="009E4196" w:rsidP="00023181">
      <w:pPr>
        <w:spacing w:line="360" w:lineRule="auto"/>
        <w:jc w:val="both"/>
      </w:pPr>
      <w:r>
        <w:t xml:space="preserve">     Popsané souvislosti </w:t>
      </w:r>
      <w:r w:rsidR="00AA5DD3">
        <w:t xml:space="preserve">jsou </w:t>
      </w:r>
      <w:r>
        <w:t xml:space="preserve">vyjádřeny </w:t>
      </w:r>
      <w:r w:rsidR="00AA5DD3">
        <w:t xml:space="preserve">i </w:t>
      </w:r>
      <w:r>
        <w:t>příslušnou podnikovou směrnicí, kde nalezneme následující pokyn</w:t>
      </w:r>
      <w:r w:rsidR="00E25D35">
        <w:t>y</w:t>
      </w:r>
      <w:r w:rsidR="00C25E4C">
        <w:rPr>
          <w:rStyle w:val="Znakapoznpodarou"/>
        </w:rPr>
        <w:footnoteReference w:id="76"/>
      </w:r>
      <w:r>
        <w:t>:</w:t>
      </w:r>
    </w:p>
    <w:p w:rsidR="009E4196" w:rsidRDefault="009E4196" w:rsidP="00023181">
      <w:pPr>
        <w:spacing w:line="360" w:lineRule="auto"/>
        <w:jc w:val="both"/>
      </w:pPr>
    </w:p>
    <w:p w:rsidR="009E4196" w:rsidRDefault="009E4196" w:rsidP="00B329BD">
      <w:pPr>
        <w:pStyle w:val="Odstavecseseznamem"/>
        <w:numPr>
          <w:ilvl w:val="0"/>
          <w:numId w:val="35"/>
        </w:numPr>
        <w:spacing w:line="360" w:lineRule="auto"/>
        <w:ind w:left="754" w:hanging="357"/>
        <w:jc w:val="both"/>
      </w:pPr>
      <w:r>
        <w:t>ze strany předkladatele je třeba připravit dokumentaci (investiční návrh), splňující předepsanou strukturu</w:t>
      </w:r>
      <w:r w:rsidR="00C74DBF">
        <w:t xml:space="preserve"> </w:t>
      </w:r>
      <w:r>
        <w:t xml:space="preserve">pro jednotlivé typy investic. Tato dokumentace popisuje obsah a cíl investice, kvantifikuje její </w:t>
      </w:r>
      <w:r w:rsidR="00DC479A">
        <w:t>kapitálové a provozní</w:t>
      </w:r>
      <w:r>
        <w:t xml:space="preserve"> výdaje a očekávané finanční a nefinanční benefity,</w:t>
      </w:r>
    </w:p>
    <w:p w:rsidR="009E4196" w:rsidRDefault="009E4196" w:rsidP="00B329BD">
      <w:pPr>
        <w:pStyle w:val="Odstavecseseznamem"/>
        <w:numPr>
          <w:ilvl w:val="0"/>
          <w:numId w:val="35"/>
        </w:numPr>
        <w:spacing w:line="360" w:lineRule="auto"/>
        <w:ind w:left="754" w:hanging="357"/>
        <w:jc w:val="both"/>
      </w:pPr>
      <w:r>
        <w:t>investici posuzuje příslušná investiční komise, která je při rozhodování nezávislá na předkladateli.</w:t>
      </w:r>
    </w:p>
    <w:p w:rsidR="00BE4E33" w:rsidRDefault="00BE4E33" w:rsidP="00BE4E33">
      <w:pPr>
        <w:pStyle w:val="Odstavecseseznamem"/>
        <w:spacing w:line="360" w:lineRule="auto"/>
        <w:ind w:left="754"/>
        <w:jc w:val="both"/>
      </w:pPr>
    </w:p>
    <w:p w:rsidR="00AA5DD3" w:rsidRDefault="009E4196" w:rsidP="00023181">
      <w:pPr>
        <w:spacing w:line="360" w:lineRule="auto"/>
        <w:jc w:val="both"/>
      </w:pPr>
      <w:r>
        <w:t xml:space="preserve">     </w:t>
      </w:r>
      <w:r w:rsidR="00AA5DD3">
        <w:t xml:space="preserve">     Požadovanou dokumentaci k jednotlivým typům investic vyjadřuje tabulka:</w:t>
      </w:r>
    </w:p>
    <w:p w:rsidR="00AA5DD3" w:rsidRDefault="00AA5DD3" w:rsidP="00023181">
      <w:pPr>
        <w:spacing w:line="360" w:lineRule="auto"/>
        <w:jc w:val="both"/>
      </w:pPr>
    </w:p>
    <w:p w:rsidR="00AA5DD3" w:rsidRPr="000B76A6" w:rsidRDefault="00AA5DD3" w:rsidP="00AA5DD3">
      <w:pPr>
        <w:pStyle w:val="Nzev"/>
      </w:pPr>
      <w:bookmarkStart w:id="494" w:name="_Toc233044443"/>
      <w:r w:rsidRPr="000B76A6">
        <w:t xml:space="preserve">Tabulka č. </w:t>
      </w:r>
      <w:r w:rsidR="001346D8">
        <w:t>9</w:t>
      </w:r>
      <w:r w:rsidRPr="000B76A6">
        <w:t xml:space="preserve"> – Požadovaná dokumentace k jednotlivým typům investic</w:t>
      </w:r>
      <w:bookmarkEnd w:id="494"/>
    </w:p>
    <w:p w:rsidR="00AA5DD3" w:rsidRDefault="00AA5DD3" w:rsidP="00023181">
      <w:pPr>
        <w:spacing w:line="360" w:lineRule="auto"/>
        <w:jc w:val="both"/>
      </w:pPr>
      <w:r>
        <w:rPr>
          <w:noProof/>
        </w:rPr>
        <w:drawing>
          <wp:anchor distT="0" distB="0" distL="114300" distR="114300" simplePos="0" relativeHeight="251686912" behindDoc="0" locked="0" layoutInCell="1" allowOverlap="1">
            <wp:simplePos x="0" y="0"/>
            <wp:positionH relativeFrom="column">
              <wp:posOffset>-3750</wp:posOffset>
            </wp:positionH>
            <wp:positionV relativeFrom="paragraph">
              <wp:posOffset>115187</wp:posOffset>
            </wp:positionV>
            <wp:extent cx="4190640" cy="4002657"/>
            <wp:effectExtent l="19050" t="0" r="360" b="0"/>
            <wp:wrapNone/>
            <wp:docPr id="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4190640" cy="4002657"/>
                    </a:xfrm>
                    <a:prstGeom prst="rect">
                      <a:avLst/>
                    </a:prstGeom>
                    <a:noFill/>
                    <a:ln w="9525">
                      <a:noFill/>
                      <a:miter lim="800000"/>
                      <a:headEnd/>
                      <a:tailEnd/>
                    </a:ln>
                  </pic:spPr>
                </pic:pic>
              </a:graphicData>
            </a:graphic>
          </wp:anchor>
        </w:drawing>
      </w:r>
    </w:p>
    <w:p w:rsidR="00F94068" w:rsidRDefault="00F94068" w:rsidP="0090003A">
      <w:pPr>
        <w:spacing w:line="360" w:lineRule="auto"/>
        <w:jc w:val="both"/>
      </w:pPr>
    </w:p>
    <w:p w:rsidR="00AA5DD3" w:rsidRDefault="0090003A" w:rsidP="00495F33">
      <w:pPr>
        <w:spacing w:line="360" w:lineRule="auto"/>
        <w:jc w:val="both"/>
      </w:pPr>
      <w:r>
        <w:t xml:space="preserve">    </w:t>
      </w:r>
    </w:p>
    <w:p w:rsidR="00AA5DD3" w:rsidRDefault="00AA5DD3" w:rsidP="00495F33">
      <w:pPr>
        <w:spacing w:line="360" w:lineRule="auto"/>
        <w:jc w:val="both"/>
      </w:pPr>
    </w:p>
    <w:p w:rsidR="00AA5DD3" w:rsidRDefault="00AA5DD3" w:rsidP="00495F33">
      <w:pPr>
        <w:spacing w:line="360" w:lineRule="auto"/>
        <w:jc w:val="both"/>
      </w:pPr>
    </w:p>
    <w:p w:rsidR="00AA5DD3" w:rsidRDefault="00AA5DD3" w:rsidP="00495F33">
      <w:pPr>
        <w:spacing w:line="360" w:lineRule="auto"/>
        <w:jc w:val="both"/>
      </w:pPr>
    </w:p>
    <w:p w:rsidR="00AA5DD3" w:rsidRDefault="00AA5DD3" w:rsidP="00495F33">
      <w:pPr>
        <w:spacing w:line="360" w:lineRule="auto"/>
        <w:jc w:val="both"/>
      </w:pPr>
    </w:p>
    <w:p w:rsidR="00AA5DD3" w:rsidRDefault="00AA5DD3" w:rsidP="00495F33">
      <w:pPr>
        <w:spacing w:line="360" w:lineRule="auto"/>
        <w:jc w:val="both"/>
      </w:pPr>
    </w:p>
    <w:p w:rsidR="00AA5DD3" w:rsidRDefault="00AA5DD3" w:rsidP="00495F33">
      <w:pPr>
        <w:spacing w:line="360" w:lineRule="auto"/>
        <w:jc w:val="both"/>
      </w:pPr>
    </w:p>
    <w:p w:rsidR="00AA5DD3" w:rsidRDefault="00AA5DD3" w:rsidP="00495F33">
      <w:pPr>
        <w:spacing w:line="360" w:lineRule="auto"/>
        <w:jc w:val="both"/>
      </w:pPr>
    </w:p>
    <w:p w:rsidR="00AA5DD3" w:rsidRDefault="00AA5DD3" w:rsidP="00495F33">
      <w:pPr>
        <w:spacing w:line="360" w:lineRule="auto"/>
        <w:jc w:val="both"/>
      </w:pPr>
    </w:p>
    <w:p w:rsidR="00AA5DD3" w:rsidRDefault="00AA5DD3" w:rsidP="00495F33">
      <w:pPr>
        <w:spacing w:line="360" w:lineRule="auto"/>
        <w:jc w:val="both"/>
      </w:pPr>
    </w:p>
    <w:p w:rsidR="00AA5DD3" w:rsidRDefault="00AA5DD3" w:rsidP="00495F33">
      <w:pPr>
        <w:spacing w:line="360" w:lineRule="auto"/>
        <w:jc w:val="both"/>
      </w:pPr>
    </w:p>
    <w:p w:rsidR="00AA5DD3" w:rsidRDefault="00AA5DD3" w:rsidP="00495F33">
      <w:pPr>
        <w:spacing w:line="360" w:lineRule="auto"/>
        <w:jc w:val="both"/>
      </w:pPr>
    </w:p>
    <w:p w:rsidR="00AA5DD3" w:rsidRDefault="00AA5DD3" w:rsidP="00495F33">
      <w:pPr>
        <w:spacing w:line="360" w:lineRule="auto"/>
        <w:jc w:val="both"/>
      </w:pPr>
    </w:p>
    <w:p w:rsidR="00AA5DD3" w:rsidRDefault="00AA5DD3" w:rsidP="00495F33">
      <w:pPr>
        <w:spacing w:line="360" w:lineRule="auto"/>
        <w:jc w:val="both"/>
      </w:pPr>
    </w:p>
    <w:p w:rsidR="00AA5DD3" w:rsidRPr="00AA5DD3" w:rsidRDefault="00AA5DD3" w:rsidP="00AA5DD3">
      <w:pPr>
        <w:spacing w:line="360" w:lineRule="auto"/>
        <w:jc w:val="both"/>
        <w:rPr>
          <w:i/>
          <w:sz w:val="18"/>
          <w:szCs w:val="18"/>
        </w:rPr>
      </w:pPr>
      <w:r w:rsidRPr="00AA5DD3">
        <w:rPr>
          <w:i/>
          <w:sz w:val="18"/>
          <w:szCs w:val="18"/>
        </w:rPr>
        <w:t xml:space="preserve">Zdroj: </w:t>
      </w:r>
      <w:r w:rsidR="00C25E4C">
        <w:rPr>
          <w:i/>
          <w:sz w:val="18"/>
          <w:szCs w:val="18"/>
        </w:rPr>
        <w:t>Postup POS – 51, Postupy a nástroje pro zpracování investičních návrhů předkládaných do CIK a IK</w:t>
      </w:r>
    </w:p>
    <w:p w:rsidR="0090003A" w:rsidRDefault="0090003A" w:rsidP="00495F33">
      <w:pPr>
        <w:spacing w:line="360" w:lineRule="auto"/>
        <w:jc w:val="both"/>
      </w:pPr>
      <w:r>
        <w:t xml:space="preserve"> </w:t>
      </w:r>
    </w:p>
    <w:p w:rsidR="00B304FD" w:rsidRDefault="00AA5DD3" w:rsidP="00677752">
      <w:pPr>
        <w:spacing w:line="360" w:lineRule="auto"/>
        <w:jc w:val="both"/>
      </w:pPr>
      <w:r>
        <w:t xml:space="preserve">     </w:t>
      </w:r>
      <w:r w:rsidR="00677752">
        <w:t>Pro růstové investice je požadován standardní investiční návrh, jehož formát můžeme obecně požadovat za výchozí</w:t>
      </w:r>
      <w:r w:rsidR="00B304FD">
        <w:t xml:space="preserve"> a právě tento bude předmětem </w:t>
      </w:r>
      <w:r w:rsidR="00A67A35">
        <w:t xml:space="preserve">následných </w:t>
      </w:r>
      <w:r w:rsidR="00B304FD">
        <w:t>analýz.</w:t>
      </w:r>
    </w:p>
    <w:p w:rsidR="003D2991" w:rsidRDefault="00B304FD" w:rsidP="00677752">
      <w:pPr>
        <w:spacing w:line="360" w:lineRule="auto"/>
        <w:jc w:val="both"/>
      </w:pPr>
      <w:r>
        <w:t xml:space="preserve">     Z</w:t>
      </w:r>
      <w:r w:rsidR="00677752">
        <w:t xml:space="preserve">jednodušený </w:t>
      </w:r>
      <w:r w:rsidR="003D2991">
        <w:t>investiční návrh obsahuje vybrané části standardního investičního návrhu a</w:t>
      </w:r>
      <w:r w:rsidR="00677752">
        <w:t xml:space="preserve"> předkládá</w:t>
      </w:r>
      <w:r w:rsidR="003D2991">
        <w:t xml:space="preserve"> se</w:t>
      </w:r>
      <w:r w:rsidR="00677752">
        <w:t xml:space="preserve"> u marketingových kampaní a ostatních investic</w:t>
      </w:r>
    </w:p>
    <w:p w:rsidR="00F521DB" w:rsidRDefault="003D2991" w:rsidP="00677752">
      <w:pPr>
        <w:spacing w:line="360" w:lineRule="auto"/>
        <w:jc w:val="both"/>
      </w:pPr>
      <w:r>
        <w:t xml:space="preserve">     M</w:t>
      </w:r>
      <w:r w:rsidR="00677752">
        <w:t xml:space="preserve">odifikovaný investiční návrh </w:t>
      </w:r>
      <w:r>
        <w:t xml:space="preserve">se předkládá </w:t>
      </w:r>
      <w:r w:rsidR="00677752">
        <w:t>u regulatorních a racionalizačních investic, rovněž také u růstových investic a předkládání závazných nabídek do výběrových řízení.</w:t>
      </w:r>
    </w:p>
    <w:p w:rsidR="00677752" w:rsidRDefault="00677752" w:rsidP="00677752">
      <w:pPr>
        <w:spacing w:line="360" w:lineRule="auto"/>
        <w:jc w:val="both"/>
      </w:pPr>
      <w:r>
        <w:t xml:space="preserve"> </w:t>
      </w:r>
      <w:r w:rsidR="00F521DB">
        <w:t xml:space="preserve">    </w:t>
      </w:r>
      <w:r>
        <w:t xml:space="preserve">Technická dokumentace postačuje pro udržovací investice a obnovu, analýza využití kapacit potom představuje vazbu na růstové investiční návrhy, stává se jejich součástí. </w:t>
      </w:r>
    </w:p>
    <w:p w:rsidR="00FE276B" w:rsidRDefault="00A6496F" w:rsidP="00677752">
      <w:pPr>
        <w:spacing w:line="360" w:lineRule="auto"/>
        <w:jc w:val="both"/>
      </w:pPr>
      <w:r>
        <w:t xml:space="preserve">     </w:t>
      </w:r>
      <w:r w:rsidR="00677752">
        <w:t xml:space="preserve">Podívejme se </w:t>
      </w:r>
      <w:r w:rsidR="00B304FD">
        <w:t xml:space="preserve">tedy </w:t>
      </w:r>
      <w:r w:rsidR="00677752">
        <w:t xml:space="preserve">nyní na strukturu </w:t>
      </w:r>
      <w:r w:rsidR="00B304FD">
        <w:t>s</w:t>
      </w:r>
      <w:r w:rsidR="00677752">
        <w:t>tandardní</w:t>
      </w:r>
      <w:r w:rsidR="00B304FD">
        <w:t>ho</w:t>
      </w:r>
      <w:r w:rsidR="00677752">
        <w:t xml:space="preserve"> investiční</w:t>
      </w:r>
      <w:r w:rsidR="00B304FD">
        <w:t>ho</w:t>
      </w:r>
      <w:r w:rsidR="00677752">
        <w:t xml:space="preserve"> návrh</w:t>
      </w:r>
      <w:r w:rsidR="00B304FD">
        <w:t>u a posuďme jeho shodu se strukturou technicko</w:t>
      </w:r>
      <w:r w:rsidR="003D2991">
        <w:t>-</w:t>
      </w:r>
      <w:r w:rsidR="00B304FD">
        <w:t>ekonomické studie, jak byla vymezena v teoretické části práce.</w:t>
      </w:r>
    </w:p>
    <w:p w:rsidR="00677752" w:rsidRDefault="00B304FD" w:rsidP="00677752">
      <w:pPr>
        <w:spacing w:line="360" w:lineRule="auto"/>
        <w:jc w:val="both"/>
      </w:pPr>
      <w:r>
        <w:t xml:space="preserve"> </w:t>
      </w:r>
      <w:r w:rsidR="00FE276B">
        <w:t xml:space="preserve">    </w:t>
      </w:r>
      <w:r w:rsidR="00A67A35">
        <w:t xml:space="preserve">Postupy a metody pro zpracování </w:t>
      </w:r>
      <w:r>
        <w:t>Standardní</w:t>
      </w:r>
      <w:r w:rsidR="00C74DBF">
        <w:t>ho</w:t>
      </w:r>
      <w:r>
        <w:t xml:space="preserve"> investiční</w:t>
      </w:r>
      <w:r w:rsidR="00C74DBF">
        <w:t>ho</w:t>
      </w:r>
      <w:r>
        <w:t xml:space="preserve"> návrh</w:t>
      </w:r>
      <w:r w:rsidR="00C74DBF">
        <w:t xml:space="preserve">u určuje, jak již bylo naznačeno, organizační jednotka Korporátní finace, přičemž samotný dokument </w:t>
      </w:r>
      <w:r>
        <w:t>se skládá z těchto složek</w:t>
      </w:r>
      <w:r w:rsidR="00DB5601">
        <w:rPr>
          <w:rStyle w:val="Znakapoznpodarou"/>
        </w:rPr>
        <w:footnoteReference w:id="77"/>
      </w:r>
      <w:r>
        <w:t>:</w:t>
      </w:r>
    </w:p>
    <w:p w:rsidR="00677752" w:rsidRDefault="00677752" w:rsidP="00B329BD">
      <w:pPr>
        <w:pStyle w:val="Zkladntext2"/>
        <w:numPr>
          <w:ilvl w:val="0"/>
          <w:numId w:val="61"/>
        </w:numPr>
        <w:ind w:left="754" w:hanging="357"/>
      </w:pPr>
      <w:r w:rsidRPr="007A16BB">
        <w:rPr>
          <w:i/>
        </w:rPr>
        <w:lastRenderedPageBreak/>
        <w:t>krycí list investičního návrhu</w:t>
      </w:r>
      <w:r>
        <w:t>,</w:t>
      </w:r>
      <w:r w:rsidR="007A16BB">
        <w:t xml:space="preserve"> který obsahuje název investičního návrhu, typ investice, částku celkových kapitálových a provozních výdajů, spočítanou výslednou čistou současnou hodnotu, použitou diskontní sazbu, délku analýzy návrhu, dále schválení ze strany viceprezidenta nebo výkonného ředitele organizační jednotky, vedoucího controllingu příslušné organizační jednotky a schválení ze strany organizační jednotky Korporátní finance, pokud jde o návrhy předkládané centrální investiční komisi,</w:t>
      </w:r>
    </w:p>
    <w:p w:rsidR="007A16BB" w:rsidRDefault="00677752" w:rsidP="00B329BD">
      <w:pPr>
        <w:pStyle w:val="Zkladntext2"/>
        <w:numPr>
          <w:ilvl w:val="0"/>
          <w:numId w:val="62"/>
        </w:numPr>
      </w:pPr>
      <w:r w:rsidRPr="007A16BB">
        <w:rPr>
          <w:i/>
        </w:rPr>
        <w:t>úvodní stručné shrnutí</w:t>
      </w:r>
      <w:r>
        <w:t>,</w:t>
      </w:r>
      <w:r w:rsidR="007A16BB">
        <w:t xml:space="preserve"> které nabízí základní parametry investičního návrhu v agregované podobě,</w:t>
      </w:r>
    </w:p>
    <w:p w:rsidR="007A16BB" w:rsidRDefault="007A16BB" w:rsidP="00B329BD">
      <w:pPr>
        <w:pStyle w:val="Zkladntext2"/>
        <w:numPr>
          <w:ilvl w:val="0"/>
          <w:numId w:val="62"/>
        </w:numPr>
      </w:pPr>
      <w:r w:rsidRPr="007A16BB">
        <w:rPr>
          <w:i/>
        </w:rPr>
        <w:t>definice problému</w:t>
      </w:r>
      <w:r>
        <w:rPr>
          <w:i/>
        </w:rPr>
        <w:t>,</w:t>
      </w:r>
      <w:r>
        <w:t xml:space="preserve"> která obsahuje zejména pozadí a cíle investičního návrhu, spojení návrhu se strategií společnosti, propojení s jinými investičními návrhy nebo legislativní dopady schválení/neschválení investice,</w:t>
      </w:r>
    </w:p>
    <w:p w:rsidR="007A16BB" w:rsidRDefault="00677752" w:rsidP="00B329BD">
      <w:pPr>
        <w:pStyle w:val="Zkladntext2"/>
        <w:numPr>
          <w:ilvl w:val="0"/>
          <w:numId w:val="63"/>
        </w:numPr>
      </w:pPr>
      <w:r w:rsidRPr="007A16BB">
        <w:rPr>
          <w:i/>
        </w:rPr>
        <w:t>navrhované řešení</w:t>
      </w:r>
      <w:r>
        <w:t>,</w:t>
      </w:r>
      <w:r w:rsidR="007A16BB" w:rsidRPr="007A16BB">
        <w:t xml:space="preserve"> </w:t>
      </w:r>
      <w:r w:rsidR="007A16BB">
        <w:t>které tvoří nejobsáhlejší část standardního investičního návrhu. V této části předkladatel nejprve uvádí přínosy investičního návrhu pro společnost, přičemž obsah této části se liší v návaznosti na tyto cíle návrhu:</w:t>
      </w:r>
    </w:p>
    <w:p w:rsidR="007A16BB" w:rsidRDefault="007A16BB" w:rsidP="007A16BB">
      <w:pPr>
        <w:pStyle w:val="Zkladntext2"/>
      </w:pPr>
    </w:p>
    <w:p w:rsidR="007A16BB" w:rsidRDefault="007A16BB" w:rsidP="00B329BD">
      <w:pPr>
        <w:pStyle w:val="Zkladntext2"/>
        <w:numPr>
          <w:ilvl w:val="0"/>
          <w:numId w:val="64"/>
        </w:numPr>
        <w:ind w:left="1151" w:hanging="357"/>
      </w:pPr>
      <w:r>
        <w:t xml:space="preserve">snížení </w:t>
      </w:r>
      <w:r w:rsidR="00DC479A">
        <w:t>kapitálových</w:t>
      </w:r>
      <w:r>
        <w:t xml:space="preserve"> nebo provozních </w:t>
      </w:r>
      <w:r w:rsidR="00DC479A">
        <w:t>výdajů</w:t>
      </w:r>
      <w:r>
        <w:t>,</w:t>
      </w:r>
    </w:p>
    <w:p w:rsidR="007A16BB" w:rsidRDefault="007A16BB" w:rsidP="00B329BD">
      <w:pPr>
        <w:pStyle w:val="Zkladntext2"/>
        <w:numPr>
          <w:ilvl w:val="0"/>
          <w:numId w:val="64"/>
        </w:numPr>
        <w:ind w:left="1151" w:hanging="357"/>
      </w:pPr>
      <w:r>
        <w:t>zavedení nových produktů nebo rozšíření kapacity pro stávající produkty,</w:t>
      </w:r>
    </w:p>
    <w:p w:rsidR="007A16BB" w:rsidRDefault="007A16BB" w:rsidP="00B329BD">
      <w:pPr>
        <w:pStyle w:val="Zkladntext2"/>
        <w:numPr>
          <w:ilvl w:val="0"/>
          <w:numId w:val="64"/>
        </w:numPr>
        <w:ind w:left="1151" w:hanging="357"/>
      </w:pPr>
      <w:r>
        <w:t>rozšíření kapacity sdílené infrastruktury užívané několika produkty,</w:t>
      </w:r>
    </w:p>
    <w:p w:rsidR="007A16BB" w:rsidRDefault="007A16BB" w:rsidP="007A16BB">
      <w:pPr>
        <w:pStyle w:val="Zkladntext2"/>
      </w:pPr>
    </w:p>
    <w:p w:rsidR="007A16BB" w:rsidRDefault="007A16BB" w:rsidP="007A16BB">
      <w:pPr>
        <w:pStyle w:val="Zkladntext2"/>
        <w:ind w:left="720"/>
      </w:pPr>
      <w:r>
        <w:t xml:space="preserve">U investic zaměřených na snížení investičních nebo provozních nákladů musí předkladatel podrobně pojednat o zdrojích snížení a rovněž uvést útvary podniku, které se k úsporám zavázaly. Předkladatel uvádí pouze takové úspory, které jsou přírůstkové, to znamená, ke kterým by nešlo, kdyby návrh nebyl uskutečněn. Přírůstkové úspory se v tomto případě vyjadřují jako záporné hodnoty. </w:t>
      </w:r>
    </w:p>
    <w:p w:rsidR="007A16BB" w:rsidRDefault="007A16BB" w:rsidP="007A16BB">
      <w:pPr>
        <w:pStyle w:val="Zkladntext2"/>
        <w:ind w:left="720"/>
      </w:pPr>
      <w:r>
        <w:t xml:space="preserve">U investic zaměřených na zavedení nových produktů nebo rozšíření kapacity pro stávající produkty musí předkladatel vysvětlit zejména otázky spojené s velikostí a segmentací trhu, konkurenčním prostředím, hodnotou produktu pro zákazníka, odhadem poptávky a tržeb, tvorbou cen, přístupu k prodeji a marketingu a v neposlední řadě i dopadem na jiné produkty společnosti. Uvažují se pouze přírůstkové hodnoty.   </w:t>
      </w:r>
    </w:p>
    <w:p w:rsidR="007A16BB" w:rsidRDefault="007A16BB" w:rsidP="007A16BB">
      <w:pPr>
        <w:pStyle w:val="Zkladntext2"/>
        <w:ind w:left="720"/>
      </w:pPr>
      <w:r>
        <w:t>Investice zaměřené na rozšíření kapacity sdílené infrastruktury zpracovává předkladatel na základě odhadované poptávky jednotlivých produktů užívající společnou síť. Útvar vyžadující zvýšenou kapacitu musí svůj požadavek založit na rozdělení nákladů na společnou infrastrukturu. Uvažují se pouze přírůstkové hodnoty.</w:t>
      </w:r>
    </w:p>
    <w:p w:rsidR="007A16BB" w:rsidRDefault="007A16BB" w:rsidP="007A16BB">
      <w:pPr>
        <w:pStyle w:val="Zkladntext2"/>
        <w:ind w:left="720"/>
      </w:pPr>
      <w:r>
        <w:lastRenderedPageBreak/>
        <w:t>Nedílnou součástí navrhovaného řešení je i požadavek na kapitálové a provozní výdaje. U obou výdajových druhů je nezbytné, aby předkladatel založil jejich výpočty na úplných a spolehlivých údajích, které si musí vyžádat od příslušných útvarů společnosti. I v tomto případě se musí jednat pouze o přírůstkové hodnoty.</w:t>
      </w:r>
    </w:p>
    <w:p w:rsidR="007A16BB" w:rsidRDefault="007A16BB" w:rsidP="007A16BB">
      <w:pPr>
        <w:pStyle w:val="Zkladntext2"/>
        <w:ind w:left="720"/>
      </w:pPr>
      <w:r>
        <w:t>Jádrem navrhovaného řešení je finanční analýza založená na modelu čisté současné hodnoty, který je vybudován na principu hodnocení diskontovaného toku hotovosti.</w:t>
      </w:r>
      <w:r w:rsidR="00E25D35">
        <w:t xml:space="preserve"> </w:t>
      </w:r>
      <w:r>
        <w:t xml:space="preserve"> </w:t>
      </w:r>
    </w:p>
    <w:p w:rsidR="007A16BB" w:rsidRDefault="007A16BB" w:rsidP="00FE276B">
      <w:pPr>
        <w:pStyle w:val="Zkladntext2"/>
        <w:ind w:left="720"/>
      </w:pPr>
      <w:r>
        <w:t>Model investičního návrhu je přehledně uspořádán v aplikaci Microsoft Excel s využitím všech relevantních funkcí, které tento program nabízí. Na jednotlivých listech jsou postupně uspořádány všechny vstupy a výpočty modelu, přičemž úvodní list obsahuje shrnující finanční analýzu, která nabízí tyto údaje v agregované podobě. Ostatní listy modelu konkretizují agregovaná data a mohou v závislosti na příslušném investičním návrhu obsahovat:</w:t>
      </w:r>
    </w:p>
    <w:p w:rsidR="007A16BB" w:rsidRDefault="007A16BB" w:rsidP="007A16BB">
      <w:pPr>
        <w:spacing w:line="360" w:lineRule="auto"/>
        <w:jc w:val="both"/>
      </w:pPr>
    </w:p>
    <w:p w:rsidR="007A16BB" w:rsidRDefault="007A16BB" w:rsidP="00B329BD">
      <w:pPr>
        <w:pStyle w:val="Odstavecseseznamem"/>
        <w:numPr>
          <w:ilvl w:val="0"/>
          <w:numId w:val="65"/>
        </w:numPr>
        <w:spacing w:line="360" w:lineRule="auto"/>
        <w:ind w:left="1151" w:hanging="357"/>
        <w:jc w:val="both"/>
      </w:pPr>
      <w:r>
        <w:t>detailní finanční analýzu po položkách a jednotlivých kvartálech,</w:t>
      </w:r>
    </w:p>
    <w:p w:rsidR="007A16BB" w:rsidRDefault="007A16BB" w:rsidP="00B329BD">
      <w:pPr>
        <w:pStyle w:val="Odstavecseseznamem"/>
        <w:numPr>
          <w:ilvl w:val="0"/>
          <w:numId w:val="65"/>
        </w:numPr>
        <w:spacing w:line="360" w:lineRule="auto"/>
        <w:ind w:left="1151" w:hanging="357"/>
        <w:jc w:val="both"/>
      </w:pPr>
      <w:r>
        <w:t>graf kumulovaného diskontovaného cash flow po jednotlivých kvartálech,</w:t>
      </w:r>
    </w:p>
    <w:p w:rsidR="007A16BB" w:rsidRDefault="007A16BB" w:rsidP="00B329BD">
      <w:pPr>
        <w:pStyle w:val="Odstavecseseznamem"/>
        <w:numPr>
          <w:ilvl w:val="0"/>
          <w:numId w:val="65"/>
        </w:numPr>
        <w:spacing w:line="360" w:lineRule="auto"/>
        <w:ind w:left="1151" w:hanging="357"/>
        <w:jc w:val="both"/>
      </w:pPr>
      <w:r>
        <w:t>makroekonomické předpoklady (například vývoj míry inflace, HDP),</w:t>
      </w:r>
    </w:p>
    <w:p w:rsidR="007A16BB" w:rsidRDefault="007A16BB" w:rsidP="00B329BD">
      <w:pPr>
        <w:pStyle w:val="Odstavecseseznamem"/>
        <w:numPr>
          <w:ilvl w:val="0"/>
          <w:numId w:val="65"/>
        </w:numPr>
        <w:spacing w:line="360" w:lineRule="auto"/>
        <w:ind w:left="1151" w:hanging="357"/>
        <w:jc w:val="both"/>
      </w:pPr>
      <w:r>
        <w:t>odhad vývoje tržeb,</w:t>
      </w:r>
    </w:p>
    <w:p w:rsidR="007A16BB" w:rsidRDefault="007A16BB" w:rsidP="00B329BD">
      <w:pPr>
        <w:pStyle w:val="Odstavecseseznamem"/>
        <w:numPr>
          <w:ilvl w:val="0"/>
          <w:numId w:val="65"/>
        </w:numPr>
        <w:spacing w:line="360" w:lineRule="auto"/>
        <w:ind w:left="1151" w:hanging="357"/>
        <w:jc w:val="both"/>
      </w:pPr>
      <w:r>
        <w:t>odhad vývoje tržeb v závislosti na vývoji cen,</w:t>
      </w:r>
    </w:p>
    <w:p w:rsidR="007A16BB" w:rsidRDefault="007A16BB" w:rsidP="00B329BD">
      <w:pPr>
        <w:pStyle w:val="Odstavecseseznamem"/>
        <w:numPr>
          <w:ilvl w:val="0"/>
          <w:numId w:val="65"/>
        </w:numPr>
        <w:spacing w:line="360" w:lineRule="auto"/>
        <w:ind w:left="1151" w:hanging="357"/>
        <w:jc w:val="both"/>
      </w:pPr>
      <w:r>
        <w:t>sekundární tržby v důsledku realizace investice,</w:t>
      </w:r>
    </w:p>
    <w:p w:rsidR="007A16BB" w:rsidRDefault="007A16BB" w:rsidP="00B329BD">
      <w:pPr>
        <w:pStyle w:val="Odstavecseseznamem"/>
        <w:numPr>
          <w:ilvl w:val="0"/>
          <w:numId w:val="65"/>
        </w:numPr>
        <w:spacing w:line="360" w:lineRule="auto"/>
        <w:ind w:left="1151" w:hanging="357"/>
        <w:jc w:val="both"/>
      </w:pPr>
      <w:r>
        <w:t>odhad vývoje provozních výdajů, případně úspor provozních výdajů,</w:t>
      </w:r>
    </w:p>
    <w:p w:rsidR="007A16BB" w:rsidRDefault="007A16BB" w:rsidP="00B329BD">
      <w:pPr>
        <w:pStyle w:val="Odstavecseseznamem"/>
        <w:numPr>
          <w:ilvl w:val="0"/>
          <w:numId w:val="65"/>
        </w:numPr>
        <w:spacing w:line="360" w:lineRule="auto"/>
        <w:ind w:left="1151" w:hanging="357"/>
        <w:jc w:val="both"/>
      </w:pPr>
      <w:r>
        <w:t>odhad vývoje kapitálových výdajů, případně úspor kapitálových výdajů,</w:t>
      </w:r>
    </w:p>
    <w:p w:rsidR="007A16BB" w:rsidRDefault="007A16BB" w:rsidP="00B329BD">
      <w:pPr>
        <w:pStyle w:val="Odstavecseseznamem"/>
        <w:numPr>
          <w:ilvl w:val="0"/>
          <w:numId w:val="65"/>
        </w:numPr>
        <w:spacing w:line="360" w:lineRule="auto"/>
        <w:ind w:left="1151" w:hanging="357"/>
        <w:jc w:val="both"/>
      </w:pPr>
      <w:r>
        <w:t>daňové efekty investice,</w:t>
      </w:r>
    </w:p>
    <w:p w:rsidR="007A16BB" w:rsidRDefault="007A16BB" w:rsidP="00B329BD">
      <w:pPr>
        <w:pStyle w:val="Odstavecseseznamem"/>
        <w:numPr>
          <w:ilvl w:val="0"/>
          <w:numId w:val="65"/>
        </w:numPr>
        <w:spacing w:line="360" w:lineRule="auto"/>
        <w:ind w:left="1151" w:hanging="357"/>
        <w:jc w:val="both"/>
      </w:pPr>
      <w:r>
        <w:t>výpočet efektů odpisování,</w:t>
      </w:r>
    </w:p>
    <w:p w:rsidR="00677752" w:rsidRDefault="007A16BB" w:rsidP="00B329BD">
      <w:pPr>
        <w:pStyle w:val="Odstavecseseznamem"/>
        <w:numPr>
          <w:ilvl w:val="0"/>
          <w:numId w:val="65"/>
        </w:numPr>
        <w:spacing w:line="360" w:lineRule="auto"/>
        <w:ind w:left="1151" w:hanging="357"/>
        <w:jc w:val="both"/>
      </w:pPr>
      <w:r>
        <w:t>ostatní prac</w:t>
      </w:r>
      <w:r w:rsidR="00FE276B">
        <w:t>ovní poznámky a slovníček pojmů,</w:t>
      </w:r>
    </w:p>
    <w:p w:rsidR="00E25D35" w:rsidRDefault="00E25D35" w:rsidP="00E25D35">
      <w:pPr>
        <w:spacing w:line="360" w:lineRule="auto"/>
        <w:jc w:val="both"/>
      </w:pPr>
    </w:p>
    <w:p w:rsidR="00677752" w:rsidRDefault="00677752" w:rsidP="00B329BD">
      <w:pPr>
        <w:pStyle w:val="Odstavecseseznamem"/>
        <w:numPr>
          <w:ilvl w:val="0"/>
          <w:numId w:val="39"/>
        </w:numPr>
        <w:spacing w:line="360" w:lineRule="auto"/>
        <w:ind w:left="754" w:hanging="357"/>
        <w:jc w:val="both"/>
      </w:pPr>
      <w:r w:rsidRPr="00FE276B">
        <w:rPr>
          <w:i/>
        </w:rPr>
        <w:t>alternativ</w:t>
      </w:r>
      <w:r w:rsidR="00FE276B">
        <w:rPr>
          <w:i/>
        </w:rPr>
        <w:t>y</w:t>
      </w:r>
      <w:r>
        <w:t>,</w:t>
      </w:r>
      <w:r w:rsidR="00FE276B">
        <w:t xml:space="preserve"> tedy alternativní řešení problému. Alternativy musí zahrnovat možná technologická řešení, potenciální částečná řešení a alternativní způsoby provedení včetně varianty neprovedení. Každé z alternativních řešení musí mít stejnou strukturu a obsah jako navrhované řešení,</w:t>
      </w:r>
    </w:p>
    <w:p w:rsidR="00FE276B" w:rsidRDefault="00677752" w:rsidP="00B329BD">
      <w:pPr>
        <w:pStyle w:val="Odstavecseseznamem"/>
        <w:numPr>
          <w:ilvl w:val="0"/>
          <w:numId w:val="66"/>
        </w:numPr>
        <w:spacing w:line="360" w:lineRule="auto"/>
        <w:ind w:left="754" w:hanging="357"/>
        <w:jc w:val="both"/>
      </w:pPr>
      <w:r w:rsidRPr="00FE276B">
        <w:rPr>
          <w:i/>
        </w:rPr>
        <w:t>analýz</w:t>
      </w:r>
      <w:r w:rsidR="00FE276B">
        <w:rPr>
          <w:i/>
        </w:rPr>
        <w:t>a</w:t>
      </w:r>
      <w:r w:rsidRPr="00FE276B">
        <w:rPr>
          <w:i/>
        </w:rPr>
        <w:t xml:space="preserve"> citlivosti klíčových předpokladů</w:t>
      </w:r>
      <w:r>
        <w:t>,</w:t>
      </w:r>
      <w:r w:rsidR="00FE276B">
        <w:t xml:space="preserve"> v jejímž rámci musí předkladatel investičního návrhu zpracovat i analýzu variant (scénářů),</w:t>
      </w:r>
    </w:p>
    <w:p w:rsidR="009026B2" w:rsidRDefault="00677752" w:rsidP="00B329BD">
      <w:pPr>
        <w:pStyle w:val="Odstavecseseznamem"/>
        <w:numPr>
          <w:ilvl w:val="0"/>
          <w:numId w:val="39"/>
        </w:numPr>
        <w:spacing w:line="360" w:lineRule="auto"/>
        <w:ind w:left="754" w:hanging="357"/>
        <w:jc w:val="both"/>
      </w:pPr>
      <w:r w:rsidRPr="00FE276B">
        <w:rPr>
          <w:i/>
        </w:rPr>
        <w:t xml:space="preserve">odpovědnost a </w:t>
      </w:r>
      <w:r w:rsidR="002B0F56" w:rsidRPr="00FE276B">
        <w:rPr>
          <w:i/>
        </w:rPr>
        <w:t>kontrola</w:t>
      </w:r>
      <w:r w:rsidR="00FE276B">
        <w:t xml:space="preserve">, v této části musí být jednoznačně definovány osoby odpovědné za zpracování </w:t>
      </w:r>
      <w:r w:rsidR="006A0C6E">
        <w:t xml:space="preserve">návrhu a jeho realizaci, jakož i osoby poskytující vstupy a </w:t>
      </w:r>
      <w:r w:rsidR="006A0C6E">
        <w:lastRenderedPageBreak/>
        <w:t xml:space="preserve">předpoklady. Nedílnou součástí je rovněž rozpis plánu implementace a plánu pro případ nepředvídatelných událostí, </w:t>
      </w:r>
      <w:r w:rsidR="00FE276B">
        <w:t xml:space="preserve">   </w:t>
      </w:r>
    </w:p>
    <w:p w:rsidR="002B0F56" w:rsidRDefault="009026B2" w:rsidP="00B329BD">
      <w:pPr>
        <w:pStyle w:val="Odstavecseseznamem"/>
        <w:numPr>
          <w:ilvl w:val="0"/>
          <w:numId w:val="39"/>
        </w:numPr>
        <w:spacing w:line="360" w:lineRule="auto"/>
        <w:ind w:left="754" w:hanging="357"/>
        <w:jc w:val="both"/>
      </w:pPr>
      <w:r w:rsidRPr="00FE276B">
        <w:rPr>
          <w:i/>
        </w:rPr>
        <w:t>kontrolní list</w:t>
      </w:r>
      <w:r w:rsidR="00FE276B">
        <w:t xml:space="preserve">, </w:t>
      </w:r>
      <w:r w:rsidR="006A0C6E">
        <w:t>který osahuje zejména popis technického řešení a podrobný rozpis výdajových a příjmových položek.</w:t>
      </w:r>
    </w:p>
    <w:p w:rsidR="00677752" w:rsidRDefault="00677752" w:rsidP="002B0F56">
      <w:pPr>
        <w:pStyle w:val="Odstavecseseznamem"/>
        <w:spacing w:line="360" w:lineRule="auto"/>
        <w:ind w:left="754"/>
        <w:jc w:val="both"/>
      </w:pPr>
      <w:r>
        <w:t xml:space="preserve"> </w:t>
      </w:r>
    </w:p>
    <w:p w:rsidR="00875B98" w:rsidRDefault="00677752" w:rsidP="006A0C6E">
      <w:pPr>
        <w:pStyle w:val="Zkladntext2"/>
      </w:pPr>
      <w:r>
        <w:t xml:space="preserve">   </w:t>
      </w:r>
      <w:r w:rsidR="006A0C6E">
        <w:t xml:space="preserve">  </w:t>
      </w:r>
      <w:r w:rsidR="006F26AB">
        <w:t>Porovnání</w:t>
      </w:r>
      <w:r w:rsidR="00E25D35">
        <w:t>m</w:t>
      </w:r>
      <w:r w:rsidR="006F26AB">
        <w:t xml:space="preserve"> </w:t>
      </w:r>
      <w:r w:rsidR="00A67A35">
        <w:t>jednotlivých složek</w:t>
      </w:r>
      <w:r w:rsidR="006F26AB">
        <w:t xml:space="preserve"> technicko-ekonomické studie, jak ji uvádí odborná literatura, s</w:t>
      </w:r>
      <w:r w:rsidR="00A67A35">
        <w:t> jednotlivými složkami</w:t>
      </w:r>
      <w:r w:rsidR="00E25D35">
        <w:t> </w:t>
      </w:r>
      <w:r w:rsidR="006F26AB">
        <w:t>standardního investičního návrhu</w:t>
      </w:r>
      <w:r w:rsidR="00E25D35">
        <w:t xml:space="preserve"> lze konstatovat </w:t>
      </w:r>
      <w:r w:rsidR="00A67A35">
        <w:t xml:space="preserve">shodu, standardní investiční návrh tedy nepostrádá žádnou z podstatných </w:t>
      </w:r>
      <w:r w:rsidR="00C74DBF">
        <w:t>částí</w:t>
      </w:r>
      <w:r w:rsidR="00A67A35">
        <w:t>. Zmíněné souvislosti přehledně vyjadřuje tabulka</w:t>
      </w:r>
      <w:r w:rsidR="006F26AB">
        <w:t>:</w:t>
      </w:r>
    </w:p>
    <w:p w:rsidR="006A0C6E" w:rsidRDefault="006A0C6E" w:rsidP="006A0C6E">
      <w:pPr>
        <w:pStyle w:val="Zkladntext2"/>
      </w:pPr>
    </w:p>
    <w:p w:rsidR="00E71420" w:rsidRDefault="00E71420" w:rsidP="00BE4E33">
      <w:pPr>
        <w:pStyle w:val="Nzev"/>
      </w:pPr>
      <w:bookmarkStart w:id="495" w:name="_Toc233044444"/>
      <w:r>
        <w:t>Tabulka č.</w:t>
      </w:r>
      <w:r w:rsidR="001346D8">
        <w:t xml:space="preserve"> 10 – </w:t>
      </w:r>
      <w:r>
        <w:t xml:space="preserve">Porovnání </w:t>
      </w:r>
      <w:r w:rsidR="00A67A35">
        <w:t>složek</w:t>
      </w:r>
      <w:r>
        <w:t xml:space="preserve"> technicko-ekonomické studie a standardního investičního návrhu</w:t>
      </w:r>
      <w:bookmarkEnd w:id="495"/>
      <w:r>
        <w:t xml:space="preserve">  </w:t>
      </w:r>
    </w:p>
    <w:p w:rsidR="006F26AB" w:rsidRDefault="00E71420" w:rsidP="00E71420">
      <w:pPr>
        <w:pStyle w:val="Zkladntext2"/>
      </w:pPr>
      <w:r>
        <w:rPr>
          <w:noProof/>
        </w:rPr>
        <w:drawing>
          <wp:anchor distT="0" distB="0" distL="114300" distR="114300" simplePos="0" relativeHeight="251704320" behindDoc="0" locked="0" layoutInCell="1" allowOverlap="1">
            <wp:simplePos x="0" y="0"/>
            <wp:positionH relativeFrom="column">
              <wp:posOffset>15875</wp:posOffset>
            </wp:positionH>
            <wp:positionV relativeFrom="paragraph">
              <wp:posOffset>100330</wp:posOffset>
            </wp:positionV>
            <wp:extent cx="5391150" cy="2095500"/>
            <wp:effectExtent l="19050" t="0" r="0" b="0"/>
            <wp:wrapNone/>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5391150" cy="2095500"/>
                    </a:xfrm>
                    <a:prstGeom prst="rect">
                      <a:avLst/>
                    </a:prstGeom>
                    <a:noFill/>
                    <a:ln w="9525">
                      <a:noFill/>
                      <a:miter lim="800000"/>
                      <a:headEnd/>
                      <a:tailEnd/>
                    </a:ln>
                  </pic:spPr>
                </pic:pic>
              </a:graphicData>
            </a:graphic>
          </wp:anchor>
        </w:drawing>
      </w:r>
      <w:r w:rsidR="006F26AB">
        <w:t xml:space="preserve">       </w:t>
      </w:r>
    </w:p>
    <w:p w:rsidR="00B0632A" w:rsidRDefault="00B0632A" w:rsidP="008D5E9B">
      <w:pPr>
        <w:spacing w:line="360" w:lineRule="auto"/>
        <w:jc w:val="both"/>
      </w:pPr>
    </w:p>
    <w:p w:rsidR="00B0632A" w:rsidRDefault="00B0632A" w:rsidP="008D5E9B">
      <w:pPr>
        <w:spacing w:line="360" w:lineRule="auto"/>
        <w:jc w:val="both"/>
      </w:pPr>
    </w:p>
    <w:p w:rsidR="00B0632A" w:rsidRDefault="00B0632A" w:rsidP="008D5E9B">
      <w:pPr>
        <w:spacing w:line="360" w:lineRule="auto"/>
        <w:jc w:val="both"/>
      </w:pPr>
    </w:p>
    <w:p w:rsidR="00B0632A" w:rsidRDefault="00B0632A" w:rsidP="008D5E9B">
      <w:pPr>
        <w:spacing w:line="360" w:lineRule="auto"/>
        <w:jc w:val="both"/>
      </w:pPr>
    </w:p>
    <w:p w:rsidR="00B0632A" w:rsidRDefault="00B0632A" w:rsidP="008D5E9B">
      <w:pPr>
        <w:spacing w:line="360" w:lineRule="auto"/>
        <w:jc w:val="both"/>
      </w:pPr>
    </w:p>
    <w:p w:rsidR="00B0632A" w:rsidRDefault="00B0632A" w:rsidP="008D5E9B">
      <w:pPr>
        <w:spacing w:line="360" w:lineRule="auto"/>
        <w:jc w:val="both"/>
      </w:pPr>
    </w:p>
    <w:p w:rsidR="00B0632A" w:rsidRDefault="00B0632A" w:rsidP="008D5E9B">
      <w:pPr>
        <w:spacing w:line="360" w:lineRule="auto"/>
        <w:jc w:val="both"/>
      </w:pPr>
    </w:p>
    <w:p w:rsidR="002B4972" w:rsidRDefault="002B4972" w:rsidP="008D5E9B">
      <w:pPr>
        <w:spacing w:line="360" w:lineRule="auto"/>
        <w:jc w:val="both"/>
        <w:rPr>
          <w:i/>
          <w:sz w:val="18"/>
          <w:szCs w:val="18"/>
        </w:rPr>
      </w:pPr>
    </w:p>
    <w:p w:rsidR="00A6747E" w:rsidRPr="00E71420" w:rsidRDefault="00E71420" w:rsidP="008D5E9B">
      <w:pPr>
        <w:spacing w:line="360" w:lineRule="auto"/>
        <w:jc w:val="both"/>
        <w:rPr>
          <w:i/>
          <w:sz w:val="18"/>
          <w:szCs w:val="18"/>
        </w:rPr>
      </w:pPr>
      <w:r w:rsidRPr="00E71420">
        <w:rPr>
          <w:i/>
          <w:sz w:val="18"/>
          <w:szCs w:val="18"/>
        </w:rPr>
        <w:t>Zdroj:</w:t>
      </w:r>
      <w:r w:rsidR="00A55CCE">
        <w:rPr>
          <w:i/>
          <w:sz w:val="18"/>
          <w:szCs w:val="18"/>
        </w:rPr>
        <w:t>Porovnání autora</w:t>
      </w:r>
    </w:p>
    <w:p w:rsidR="00E71420" w:rsidRDefault="00E71420" w:rsidP="008D5E9B">
      <w:pPr>
        <w:spacing w:line="360" w:lineRule="auto"/>
        <w:jc w:val="both"/>
      </w:pPr>
    </w:p>
    <w:p w:rsidR="00875B98" w:rsidRDefault="00875B98" w:rsidP="00875B98">
      <w:pPr>
        <w:spacing w:line="360" w:lineRule="auto"/>
        <w:jc w:val="both"/>
      </w:pPr>
      <w:r>
        <w:t xml:space="preserve">     </w:t>
      </w:r>
      <w:r w:rsidR="00D746B4">
        <w:t>U</w:t>
      </w:r>
      <w:r>
        <w:t xml:space="preserve"> standardního investičního návrhu</w:t>
      </w:r>
      <w:r w:rsidR="00D746B4">
        <w:t xml:space="preserve"> lze</w:t>
      </w:r>
      <w:r>
        <w:t xml:space="preserve"> ocenit zejména rozvíjení stupně agregace údajů, kdy krycí list obsahuje pouze základní relevantní data pro rozhodování, stručné shrnutí představuje výčet nejdůležitějších skutečností investičního návrhu, následná část potom ve shodném členění tyto skutečnosti detailně rozvádí. Rozhodovatel tak může volit přijatelnou úroveň obecnosti. </w:t>
      </w:r>
    </w:p>
    <w:p w:rsidR="00875B98" w:rsidRDefault="00875B98" w:rsidP="00875B98">
      <w:pPr>
        <w:spacing w:line="360" w:lineRule="auto"/>
        <w:jc w:val="both"/>
      </w:pPr>
      <w:r>
        <w:t xml:space="preserve">     Pokud jde o zpracování standardního investičního návrhu z hlediska výpočetní techniky, p</w:t>
      </w:r>
      <w:r w:rsidR="002B4972">
        <w:t>ak</w:t>
      </w:r>
      <w:r>
        <w:t xml:space="preserve"> užití programů Microsoft Word a Microsoft Excel se jeví pro danou potřebu jako účelné. </w:t>
      </w:r>
    </w:p>
    <w:p w:rsidR="00F521DB" w:rsidRDefault="00E94EC4" w:rsidP="008D5E9B">
      <w:pPr>
        <w:spacing w:line="360" w:lineRule="auto"/>
        <w:jc w:val="both"/>
      </w:pPr>
      <w:r>
        <w:t xml:space="preserve">     </w:t>
      </w:r>
      <w:r w:rsidR="00596309">
        <w:t>S investičním návrhem zpracovaným podle výše uvedených pravidel se jeho předkladatel obrací na příslušnou rozhodovací úroveň.</w:t>
      </w:r>
      <w:r>
        <w:t xml:space="preserve"> </w:t>
      </w:r>
      <w:r w:rsidR="004C203C">
        <w:t>Pro stanovení rozhodovací úrovně je v rámci podniku používáno, jak již bylo uvedeno, kritérium velikosti projektu</w:t>
      </w:r>
      <w:r>
        <w:t>.</w:t>
      </w:r>
      <w:r w:rsidR="004C203C">
        <w:t xml:space="preserve"> </w:t>
      </w:r>
    </w:p>
    <w:p w:rsidR="00857AA8" w:rsidRDefault="00F521DB" w:rsidP="008D5E9B">
      <w:pPr>
        <w:spacing w:line="360" w:lineRule="auto"/>
        <w:jc w:val="both"/>
      </w:pPr>
      <w:r>
        <w:t xml:space="preserve">     </w:t>
      </w:r>
      <w:r w:rsidR="00596309">
        <w:t>V rámci podniku</w:t>
      </w:r>
      <w:r w:rsidR="00857AA8">
        <w:t xml:space="preserve"> jsou definovány dvě základní rozhodovací úrovně</w:t>
      </w:r>
      <w:r w:rsidR="00A55CCE">
        <w:rPr>
          <w:rStyle w:val="Znakapoznpodarou"/>
        </w:rPr>
        <w:footnoteReference w:id="78"/>
      </w:r>
      <w:r w:rsidR="00857AA8">
        <w:t>:</w:t>
      </w:r>
    </w:p>
    <w:p w:rsidR="00857AA8" w:rsidRDefault="00857AA8" w:rsidP="00B329BD">
      <w:pPr>
        <w:pStyle w:val="Odstavecseseznamem"/>
        <w:numPr>
          <w:ilvl w:val="0"/>
          <w:numId w:val="36"/>
        </w:numPr>
        <w:spacing w:line="360" w:lineRule="auto"/>
        <w:ind w:left="754" w:hanging="357"/>
        <w:jc w:val="both"/>
      </w:pPr>
      <w:r>
        <w:lastRenderedPageBreak/>
        <w:t>Centrální investiční komise,</w:t>
      </w:r>
    </w:p>
    <w:p w:rsidR="00857AA8" w:rsidRDefault="00857AA8" w:rsidP="00B329BD">
      <w:pPr>
        <w:pStyle w:val="Odstavecseseznamem"/>
        <w:numPr>
          <w:ilvl w:val="0"/>
          <w:numId w:val="36"/>
        </w:numPr>
        <w:spacing w:line="360" w:lineRule="auto"/>
        <w:ind w:left="754" w:hanging="357"/>
        <w:jc w:val="both"/>
      </w:pPr>
      <w:r>
        <w:t>Investiční komise organizačních jednotek.</w:t>
      </w:r>
    </w:p>
    <w:p w:rsidR="00E63315" w:rsidRDefault="00E63315" w:rsidP="00E63315">
      <w:pPr>
        <w:spacing w:line="360" w:lineRule="auto"/>
        <w:jc w:val="both"/>
      </w:pPr>
    </w:p>
    <w:p w:rsidR="00E63315" w:rsidRDefault="00E63315" w:rsidP="00E63315">
      <w:pPr>
        <w:spacing w:line="360" w:lineRule="auto"/>
        <w:jc w:val="both"/>
      </w:pPr>
      <w:r>
        <w:t xml:space="preserve">     Centrální investiční komise vykonává primárně následující činnosti:</w:t>
      </w:r>
    </w:p>
    <w:p w:rsidR="00E63315" w:rsidRDefault="00E63315" w:rsidP="00E63315">
      <w:pPr>
        <w:spacing w:line="360" w:lineRule="auto"/>
        <w:jc w:val="both"/>
      </w:pPr>
    </w:p>
    <w:p w:rsidR="00E63315" w:rsidRDefault="00E63315" w:rsidP="00B329BD">
      <w:pPr>
        <w:pStyle w:val="Odstavecseseznamem"/>
        <w:numPr>
          <w:ilvl w:val="0"/>
          <w:numId w:val="37"/>
        </w:numPr>
        <w:spacing w:line="360" w:lineRule="auto"/>
        <w:jc w:val="both"/>
      </w:pPr>
      <w:r>
        <w:t>posuzuje soulad investiční</w:t>
      </w:r>
      <w:r w:rsidR="00F521DB">
        <w:t>ch</w:t>
      </w:r>
      <w:r>
        <w:t xml:space="preserve"> návrh</w:t>
      </w:r>
      <w:r w:rsidR="00F521DB">
        <w:t>ů</w:t>
      </w:r>
      <w:r>
        <w:t xml:space="preserve"> </w:t>
      </w:r>
      <w:r w:rsidR="00F521DB">
        <w:t>se</w:t>
      </w:r>
      <w:r>
        <w:t xml:space="preserve"> schváleným strategickým obchodním plánem,</w:t>
      </w:r>
    </w:p>
    <w:p w:rsidR="00E63315" w:rsidRDefault="00E63315" w:rsidP="00B329BD">
      <w:pPr>
        <w:pStyle w:val="Odstavecseseznamem"/>
        <w:numPr>
          <w:ilvl w:val="0"/>
          <w:numId w:val="37"/>
        </w:numPr>
        <w:spacing w:line="360" w:lineRule="auto"/>
        <w:jc w:val="both"/>
      </w:pPr>
      <w:r>
        <w:t>posuzuje a doporučuje generálnímu řediteli ke schválení či zamítnutí investiční návrhy, které podléhají posouzení centrální investiční komise,</w:t>
      </w:r>
    </w:p>
    <w:p w:rsidR="00E63315" w:rsidRDefault="00E63315" w:rsidP="00B329BD">
      <w:pPr>
        <w:pStyle w:val="Odstavecseseznamem"/>
        <w:numPr>
          <w:ilvl w:val="0"/>
          <w:numId w:val="37"/>
        </w:numPr>
        <w:spacing w:line="360" w:lineRule="auto"/>
        <w:jc w:val="both"/>
      </w:pPr>
      <w:r>
        <w:t>vyhlašuje pravidla a kritéria pro práci investičních komisí organizačních jednotek,</w:t>
      </w:r>
    </w:p>
    <w:p w:rsidR="00E63315" w:rsidRDefault="00E63315" w:rsidP="00B329BD">
      <w:pPr>
        <w:pStyle w:val="Odstavecseseznamem"/>
        <w:numPr>
          <w:ilvl w:val="0"/>
          <w:numId w:val="37"/>
        </w:numPr>
        <w:spacing w:line="360" w:lineRule="auto"/>
        <w:jc w:val="both"/>
      </w:pPr>
      <w:r>
        <w:t>může doporučit generálnímu řediteli k zastavení jakoukoli realizovanou</w:t>
      </w:r>
      <w:r w:rsidR="00A61608">
        <w:t xml:space="preserve"> investici</w:t>
      </w:r>
      <w:r>
        <w:t>,</w:t>
      </w:r>
    </w:p>
    <w:p w:rsidR="00E63315" w:rsidRDefault="00E63315" w:rsidP="00B329BD">
      <w:pPr>
        <w:pStyle w:val="Odstavecseseznamem"/>
        <w:numPr>
          <w:ilvl w:val="0"/>
          <w:numId w:val="37"/>
        </w:numPr>
        <w:spacing w:line="360" w:lineRule="auto"/>
        <w:jc w:val="both"/>
      </w:pPr>
      <w:r>
        <w:t>doporučuje generálnímu řediteli ke schválení investiční návrhy organizačních jednotek, v nichž není zřízena investiční komise,</w:t>
      </w:r>
    </w:p>
    <w:p w:rsidR="00E63315" w:rsidRDefault="00E63315" w:rsidP="00B329BD">
      <w:pPr>
        <w:pStyle w:val="Odstavecseseznamem"/>
        <w:numPr>
          <w:ilvl w:val="0"/>
          <w:numId w:val="37"/>
        </w:numPr>
        <w:spacing w:line="360" w:lineRule="auto"/>
        <w:jc w:val="both"/>
      </w:pPr>
      <w:r>
        <w:t>doporučuje ke schválení generálnímu řediteli investiční návrhy, které vyžadují schválení více organizačních jednotek, pokud nedošlo k souhlasnému schválení všech zúčastněných investičních komisí organizačních jednotek.</w:t>
      </w:r>
    </w:p>
    <w:p w:rsidR="00E63315" w:rsidRDefault="00E63315" w:rsidP="00E63315">
      <w:pPr>
        <w:spacing w:line="360" w:lineRule="auto"/>
        <w:jc w:val="both"/>
      </w:pPr>
    </w:p>
    <w:p w:rsidR="00E63315" w:rsidRDefault="00E63315" w:rsidP="00E63315">
      <w:pPr>
        <w:spacing w:line="360" w:lineRule="auto"/>
        <w:jc w:val="both"/>
      </w:pPr>
      <w:r>
        <w:t xml:space="preserve">     Stálými členy centrální investiční komise jsou generální ředitel, viceprezident pro finance, viceprezident pro provoz, viceprezidenti zákaznických divizí, ředitel pro strategii a rozvoj produktů a ředitel pro interní audit a řízení rizik. Centrální investiční komise rozhoduje hlasováním členů, prostou většinou hlasů. Výsledkem hlasování je doporučení pro generálního ředitele, který činí konečné rozhodnutí. Jakmile generální ředitel rozhodne, rozešle rozhodnutí útvarům </w:t>
      </w:r>
      <w:r w:rsidR="005E7E3B">
        <w:t>F</w:t>
      </w:r>
      <w:r>
        <w:t xml:space="preserve">inančního controllingu organizačních jednotek a </w:t>
      </w:r>
      <w:r w:rsidR="005E7E3B">
        <w:t>K</w:t>
      </w:r>
      <w:r>
        <w:t>orporátního finančního controllingu a předkladateli návrhu. Centrální investiční komise se schází jednou měsíčně.</w:t>
      </w:r>
      <w:r w:rsidR="002B4972">
        <w:t xml:space="preserve"> </w:t>
      </w:r>
      <w:r>
        <w:t>Investiční komise organizačních jednotek vykonávají primárně následující činnosti:</w:t>
      </w:r>
    </w:p>
    <w:p w:rsidR="00BE4E33" w:rsidRDefault="00BE4E33" w:rsidP="00E63315">
      <w:pPr>
        <w:spacing w:line="360" w:lineRule="auto"/>
        <w:jc w:val="both"/>
      </w:pPr>
    </w:p>
    <w:p w:rsidR="00E63315" w:rsidRDefault="00E63315" w:rsidP="00B329BD">
      <w:pPr>
        <w:pStyle w:val="Odstavecseseznamem"/>
        <w:numPr>
          <w:ilvl w:val="0"/>
          <w:numId w:val="38"/>
        </w:numPr>
        <w:spacing w:line="360" w:lineRule="auto"/>
        <w:jc w:val="both"/>
      </w:pPr>
      <w:r>
        <w:t>posuzují a doporučují investiční návrhy ke schválení či zamítnutí svému předsedovi, který se řídí parametry posuzování investic vyhlášenými viceprezidentem pro finance a metodickými pokyny přijatými centrální investiční komisí,</w:t>
      </w:r>
    </w:p>
    <w:p w:rsidR="00E63315" w:rsidRDefault="00E63315" w:rsidP="00B329BD">
      <w:pPr>
        <w:pStyle w:val="Odstavecseseznamem"/>
        <w:numPr>
          <w:ilvl w:val="0"/>
          <w:numId w:val="38"/>
        </w:numPr>
        <w:spacing w:line="360" w:lineRule="auto"/>
        <w:jc w:val="both"/>
      </w:pPr>
      <w:r>
        <w:t>posuzují soulad mezi předloženými investičními návrhy a obchodním plánem,</w:t>
      </w:r>
    </w:p>
    <w:p w:rsidR="00E63315" w:rsidRDefault="00E63315" w:rsidP="00B329BD">
      <w:pPr>
        <w:pStyle w:val="Odstavecseseznamem"/>
        <w:numPr>
          <w:ilvl w:val="0"/>
          <w:numId w:val="38"/>
        </w:numPr>
        <w:spacing w:line="360" w:lineRule="auto"/>
        <w:jc w:val="both"/>
      </w:pPr>
      <w:r>
        <w:t>mohou doporučit předsedovi investiční komise organizační jednotky zastavení jakékoli realizované investice, kterou před tím doporučila ke schválení</w:t>
      </w:r>
      <w:r w:rsidR="00A61608">
        <w:t>,</w:t>
      </w:r>
    </w:p>
    <w:p w:rsidR="00E63315" w:rsidRDefault="00E63315" w:rsidP="00B329BD">
      <w:pPr>
        <w:pStyle w:val="Odstavecseseznamem"/>
        <w:numPr>
          <w:ilvl w:val="0"/>
          <w:numId w:val="38"/>
        </w:numPr>
        <w:spacing w:line="360" w:lineRule="auto"/>
        <w:jc w:val="both"/>
      </w:pPr>
      <w:r>
        <w:t>posuzují a doporučují ke schválení či zamítnutí předsedovi investiční komise organizační jednotky všechny investiční návrhy, na jejichž realizaci se organizační jednotka spolupodílí.</w:t>
      </w:r>
    </w:p>
    <w:p w:rsidR="00E63315" w:rsidRDefault="00E63315" w:rsidP="00E63315">
      <w:pPr>
        <w:spacing w:line="360" w:lineRule="auto"/>
        <w:jc w:val="both"/>
      </w:pPr>
      <w:r>
        <w:lastRenderedPageBreak/>
        <w:t xml:space="preserve">     Členové investiční komise organizačních jednotek jsou jmenováni příslušnými viceprezidenty nebo výkonnými řediteli, kteří jsou zpravidla jejími předsedy. Pokud jde o systém hlasování a schvalování, platí analogické principy popsané u centrální investiční komise. Investiční komise organizačních jednotek se scházejí </w:t>
      </w:r>
      <w:r w:rsidR="00A63332">
        <w:t>nejméně</w:t>
      </w:r>
      <w:r>
        <w:t xml:space="preserve"> dvakrát měsíčně.</w:t>
      </w:r>
    </w:p>
    <w:p w:rsidR="00E94EC4" w:rsidRDefault="004C203C" w:rsidP="00E63315">
      <w:pPr>
        <w:spacing w:line="360" w:lineRule="auto"/>
        <w:jc w:val="both"/>
      </w:pPr>
      <w:r>
        <w:t xml:space="preserve">     Investiční komise organizačních jednotek schvalují příslušné typy investic do 2 mil. Kč, výjimku tvoří udržovací investice v rámci Divize Provoz, kde je stanoven limit do 5 mil. Kč. Nad tyto limity musí předkladatelé po schválení návrhu v rámci investiční komise organizační jednotky předkládat své návrhy centrální investiční komisi. </w:t>
      </w:r>
    </w:p>
    <w:p w:rsidR="00E94EC4" w:rsidRDefault="00E94EC4" w:rsidP="00E63315">
      <w:pPr>
        <w:spacing w:line="360" w:lineRule="auto"/>
        <w:jc w:val="both"/>
      </w:pPr>
      <w:r>
        <w:t xml:space="preserve">     </w:t>
      </w:r>
      <w:r w:rsidR="004C203C">
        <w:t xml:space="preserve">Jakýsi mezistupeň mezi těmito schvalovacími úrovněmi tvoří v odůvodněných případech (potřeba rychlého schválení jednoznačně výhodné investice v mezích stanovených limitů) organizační jednotka Korporátní finance, která může doporučit viceprezidentovi pro finance schválení předkládaného investičního návrhu. </w:t>
      </w:r>
    </w:p>
    <w:p w:rsidR="00F521DB" w:rsidRDefault="00E94EC4" w:rsidP="00E63315">
      <w:pPr>
        <w:spacing w:line="360" w:lineRule="auto"/>
        <w:jc w:val="both"/>
      </w:pPr>
      <w:r>
        <w:t xml:space="preserve">     </w:t>
      </w:r>
      <w:r w:rsidR="004C203C">
        <w:t>Všechny ostatní investice nad tyto limity podléhají výlučně schválení v centrální investiční komisi</w:t>
      </w:r>
      <w:r w:rsidR="00762961">
        <w:t>, přičemž organizační jednotka Korporátní finance připravuje pro každý takový návrh nezávislý názor</w:t>
      </w:r>
      <w:r w:rsidR="00875B98">
        <w:t>.</w:t>
      </w:r>
      <w:r>
        <w:t xml:space="preserve"> </w:t>
      </w:r>
      <w:r w:rsidR="00762961">
        <w:t>Uvedené souvislosti vyjadřuje graf</w:t>
      </w:r>
      <w:r w:rsidR="00F521DB">
        <w:t>:</w:t>
      </w:r>
    </w:p>
    <w:p w:rsidR="002B4972" w:rsidRDefault="002B4972" w:rsidP="00875B98">
      <w:pPr>
        <w:pStyle w:val="Titulek"/>
        <w:spacing w:before="0" w:after="0"/>
      </w:pPr>
    </w:p>
    <w:p w:rsidR="00875B98" w:rsidRPr="00CA662C" w:rsidRDefault="00875B98" w:rsidP="00875B98">
      <w:pPr>
        <w:pStyle w:val="Titulek"/>
        <w:spacing w:before="0" w:after="0"/>
      </w:pPr>
      <w:bookmarkStart w:id="496" w:name="_Toc233044459"/>
      <w:r w:rsidRPr="00CA662C">
        <w:t xml:space="preserve">Graf č. </w:t>
      </w:r>
      <w:r w:rsidR="001346D8">
        <w:t>4</w:t>
      </w:r>
      <w:r w:rsidRPr="00CA662C">
        <w:t xml:space="preserve"> – Schvalovací </w:t>
      </w:r>
      <w:r w:rsidR="0036535E">
        <w:t>úrovně</w:t>
      </w:r>
      <w:bookmarkEnd w:id="496"/>
    </w:p>
    <w:p w:rsidR="00875B98" w:rsidRDefault="001346D8" w:rsidP="00875B98">
      <w:pPr>
        <w:spacing w:line="360" w:lineRule="auto"/>
        <w:jc w:val="both"/>
      </w:pPr>
      <w:r>
        <w:rPr>
          <w:noProof/>
        </w:rPr>
        <w:drawing>
          <wp:anchor distT="0" distB="0" distL="114300" distR="114300" simplePos="0" relativeHeight="251705344" behindDoc="0" locked="0" layoutInCell="1" allowOverlap="1">
            <wp:simplePos x="0" y="0"/>
            <wp:positionH relativeFrom="column">
              <wp:posOffset>15875</wp:posOffset>
            </wp:positionH>
            <wp:positionV relativeFrom="paragraph">
              <wp:posOffset>207010</wp:posOffset>
            </wp:positionV>
            <wp:extent cx="5457825" cy="3619500"/>
            <wp:effectExtent l="0" t="0" r="0" b="0"/>
            <wp:wrapNone/>
            <wp:docPr id="16"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srcRect/>
                    <a:stretch>
                      <a:fillRect/>
                    </a:stretch>
                  </pic:blipFill>
                  <pic:spPr bwMode="auto">
                    <a:xfrm>
                      <a:off x="0" y="0"/>
                      <a:ext cx="5457825" cy="3619500"/>
                    </a:xfrm>
                    <a:prstGeom prst="rect">
                      <a:avLst/>
                    </a:prstGeom>
                    <a:noFill/>
                    <a:ln w="9525">
                      <a:noFill/>
                      <a:miter lim="800000"/>
                      <a:headEnd/>
                      <a:tailEnd/>
                    </a:ln>
                  </pic:spPr>
                </pic:pic>
              </a:graphicData>
            </a:graphic>
          </wp:anchor>
        </w:drawing>
      </w:r>
    </w:p>
    <w:p w:rsidR="00875B98" w:rsidRDefault="00875B98" w:rsidP="00875B98">
      <w:pPr>
        <w:spacing w:line="360" w:lineRule="auto"/>
        <w:jc w:val="both"/>
      </w:pPr>
    </w:p>
    <w:p w:rsidR="00875B98" w:rsidRDefault="00875B98" w:rsidP="00875B98">
      <w:pPr>
        <w:spacing w:line="360" w:lineRule="auto"/>
        <w:jc w:val="both"/>
      </w:pPr>
    </w:p>
    <w:p w:rsidR="00875B98" w:rsidRDefault="00875B98" w:rsidP="00875B98">
      <w:pPr>
        <w:spacing w:line="360" w:lineRule="auto"/>
        <w:jc w:val="both"/>
      </w:pPr>
    </w:p>
    <w:p w:rsidR="00875B98" w:rsidRDefault="00875B98" w:rsidP="00875B98">
      <w:pPr>
        <w:spacing w:line="360" w:lineRule="auto"/>
        <w:jc w:val="both"/>
      </w:pPr>
    </w:p>
    <w:p w:rsidR="00875B98" w:rsidRDefault="00875B98" w:rsidP="00875B98">
      <w:pPr>
        <w:spacing w:line="360" w:lineRule="auto"/>
        <w:jc w:val="both"/>
      </w:pPr>
    </w:p>
    <w:p w:rsidR="00875B98" w:rsidRDefault="00875B98" w:rsidP="00875B98">
      <w:pPr>
        <w:spacing w:line="360" w:lineRule="auto"/>
        <w:jc w:val="both"/>
      </w:pPr>
    </w:p>
    <w:p w:rsidR="00875B98" w:rsidRDefault="00875B98" w:rsidP="00875B98">
      <w:pPr>
        <w:spacing w:line="360" w:lineRule="auto"/>
        <w:jc w:val="both"/>
      </w:pPr>
    </w:p>
    <w:p w:rsidR="00875B98" w:rsidRDefault="00875B98" w:rsidP="00875B98">
      <w:pPr>
        <w:spacing w:line="360" w:lineRule="auto"/>
        <w:jc w:val="both"/>
      </w:pPr>
    </w:p>
    <w:p w:rsidR="00875B98" w:rsidRDefault="00875B98" w:rsidP="00875B98">
      <w:pPr>
        <w:spacing w:line="360" w:lineRule="auto"/>
        <w:jc w:val="both"/>
      </w:pPr>
    </w:p>
    <w:p w:rsidR="00875B98" w:rsidRDefault="00875B98" w:rsidP="00875B98">
      <w:pPr>
        <w:spacing w:line="360" w:lineRule="auto"/>
        <w:jc w:val="both"/>
      </w:pPr>
    </w:p>
    <w:p w:rsidR="00875B98" w:rsidRDefault="00875B98" w:rsidP="00875B98">
      <w:pPr>
        <w:spacing w:line="360" w:lineRule="auto"/>
        <w:jc w:val="both"/>
      </w:pPr>
    </w:p>
    <w:p w:rsidR="00F521DB" w:rsidRDefault="00F521DB" w:rsidP="00875B98">
      <w:pPr>
        <w:spacing w:line="360" w:lineRule="auto"/>
        <w:jc w:val="both"/>
        <w:rPr>
          <w:i/>
          <w:sz w:val="18"/>
          <w:szCs w:val="18"/>
        </w:rPr>
      </w:pPr>
    </w:p>
    <w:p w:rsidR="00F3316F" w:rsidRDefault="00F3316F" w:rsidP="00875B98">
      <w:pPr>
        <w:spacing w:line="360" w:lineRule="auto"/>
        <w:jc w:val="both"/>
        <w:rPr>
          <w:i/>
          <w:sz w:val="18"/>
          <w:szCs w:val="18"/>
        </w:rPr>
      </w:pPr>
    </w:p>
    <w:p w:rsidR="00F3316F" w:rsidRDefault="00F3316F" w:rsidP="00875B98">
      <w:pPr>
        <w:spacing w:line="360" w:lineRule="auto"/>
        <w:jc w:val="both"/>
        <w:rPr>
          <w:i/>
          <w:sz w:val="18"/>
          <w:szCs w:val="18"/>
        </w:rPr>
      </w:pPr>
    </w:p>
    <w:p w:rsidR="00F3316F" w:rsidRDefault="00F3316F" w:rsidP="00875B98">
      <w:pPr>
        <w:spacing w:line="360" w:lineRule="auto"/>
        <w:jc w:val="both"/>
        <w:rPr>
          <w:i/>
          <w:sz w:val="18"/>
          <w:szCs w:val="18"/>
        </w:rPr>
      </w:pPr>
    </w:p>
    <w:p w:rsidR="00875B98" w:rsidRPr="00A55CCE" w:rsidRDefault="00875B98" w:rsidP="00875B98">
      <w:pPr>
        <w:spacing w:line="360" w:lineRule="auto"/>
        <w:jc w:val="both"/>
        <w:rPr>
          <w:i/>
          <w:sz w:val="18"/>
          <w:szCs w:val="18"/>
        </w:rPr>
      </w:pPr>
      <w:r w:rsidRPr="00A55CCE">
        <w:rPr>
          <w:i/>
          <w:sz w:val="18"/>
          <w:szCs w:val="18"/>
        </w:rPr>
        <w:t>Zdroj:</w:t>
      </w:r>
      <w:r w:rsidR="00A55CCE" w:rsidRPr="00A55CCE">
        <w:rPr>
          <w:i/>
          <w:sz w:val="18"/>
          <w:szCs w:val="18"/>
        </w:rPr>
        <w:t xml:space="preserve"> Směrnice SME – 21, Proces řízení podnikových investic</w:t>
      </w:r>
    </w:p>
    <w:p w:rsidR="00A55CCE" w:rsidRDefault="00A55CCE" w:rsidP="00875B98">
      <w:pPr>
        <w:spacing w:line="360" w:lineRule="auto"/>
        <w:jc w:val="both"/>
        <w:rPr>
          <w:i/>
          <w:sz w:val="18"/>
          <w:szCs w:val="18"/>
        </w:rPr>
      </w:pPr>
    </w:p>
    <w:p w:rsidR="00F3316F" w:rsidRDefault="00F3316F" w:rsidP="00875B98">
      <w:pPr>
        <w:spacing w:line="360" w:lineRule="auto"/>
        <w:jc w:val="both"/>
        <w:rPr>
          <w:i/>
          <w:sz w:val="18"/>
          <w:szCs w:val="18"/>
        </w:rPr>
      </w:pPr>
    </w:p>
    <w:p w:rsidR="00F3316F" w:rsidRPr="00875B98" w:rsidRDefault="00F3316F" w:rsidP="00875B98">
      <w:pPr>
        <w:spacing w:line="360" w:lineRule="auto"/>
        <w:jc w:val="both"/>
        <w:rPr>
          <w:i/>
          <w:sz w:val="18"/>
          <w:szCs w:val="18"/>
        </w:rPr>
      </w:pPr>
    </w:p>
    <w:p w:rsidR="0036535E" w:rsidRDefault="0036535E" w:rsidP="0036535E">
      <w:pPr>
        <w:spacing w:line="360" w:lineRule="auto"/>
        <w:jc w:val="both"/>
      </w:pPr>
      <w:r>
        <w:lastRenderedPageBreak/>
        <w:t xml:space="preserve">     Pokud jde o stanovené schvalovací úrovně, lze konstatovat shodu s teoretickými východisky, neboť kriteriem pro zařazení projektu do dané schvalovací úrovně je velikost projektu, tedy velikost jeho kapitálových výdajů.</w:t>
      </w:r>
    </w:p>
    <w:p w:rsidR="0036535E" w:rsidRDefault="0036535E" w:rsidP="0036535E">
      <w:pPr>
        <w:spacing w:line="360" w:lineRule="auto"/>
        <w:jc w:val="both"/>
      </w:pPr>
      <w:r>
        <w:t xml:space="preserve">     Dané rozvržení schvalovacích úrovní a principů se jeví žádoucí zejména s ohledem na kompetence organizační jednotky Korporátní finance při potřebě naléhavého schválení jednoznačně výhodné investice, které vnáší do schvalovacího systému flexibilní prvek. Zcela odlišnou je otázka nastavení výše kapitálových výdajů pro samotné zařazení do příslušné schvalovací úrovně spojená s optimálním rozložením předkládaných investičních návrhů mezi obě schvalovací úrovně. Pro posouzení tohoto hlediska vyjděme nejprve z údajů o schválených investičních návrzích za poslední tři období:</w:t>
      </w:r>
    </w:p>
    <w:p w:rsidR="0036535E" w:rsidRDefault="0036535E" w:rsidP="0036535E">
      <w:pPr>
        <w:spacing w:line="360" w:lineRule="auto"/>
        <w:jc w:val="both"/>
      </w:pPr>
    </w:p>
    <w:p w:rsidR="0036535E" w:rsidRPr="000B76A6" w:rsidRDefault="0036535E" w:rsidP="0036535E">
      <w:pPr>
        <w:pStyle w:val="Nzev"/>
      </w:pPr>
      <w:bookmarkStart w:id="497" w:name="_Toc233044445"/>
      <w:r w:rsidRPr="000B76A6">
        <w:t xml:space="preserve">Tabulka č. </w:t>
      </w:r>
      <w:r w:rsidR="001346D8">
        <w:t>11</w:t>
      </w:r>
      <w:r w:rsidRPr="000B76A6">
        <w:t xml:space="preserve"> – Detail schválených investic v období 2006 -  2008</w:t>
      </w:r>
      <w:bookmarkEnd w:id="497"/>
    </w:p>
    <w:p w:rsidR="004D60E5" w:rsidRDefault="004D60E5" w:rsidP="0036535E">
      <w:pPr>
        <w:spacing w:line="360" w:lineRule="auto"/>
        <w:jc w:val="both"/>
      </w:pPr>
      <w:r>
        <w:rPr>
          <w:noProof/>
        </w:rPr>
        <w:drawing>
          <wp:anchor distT="0" distB="0" distL="114300" distR="114300" simplePos="0" relativeHeight="251708416" behindDoc="0" locked="0" layoutInCell="1" allowOverlap="1">
            <wp:simplePos x="0" y="0"/>
            <wp:positionH relativeFrom="column">
              <wp:posOffset>4876</wp:posOffset>
            </wp:positionH>
            <wp:positionV relativeFrom="paragraph">
              <wp:posOffset>130067</wp:posOffset>
            </wp:positionV>
            <wp:extent cx="5148173" cy="970745"/>
            <wp:effectExtent l="19050" t="0" r="0" b="0"/>
            <wp:wrapNone/>
            <wp:docPr id="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5148173" cy="970745"/>
                    </a:xfrm>
                    <a:prstGeom prst="rect">
                      <a:avLst/>
                    </a:prstGeom>
                    <a:noFill/>
                    <a:ln w="9525">
                      <a:noFill/>
                      <a:miter lim="800000"/>
                      <a:headEnd/>
                      <a:tailEnd/>
                    </a:ln>
                  </pic:spPr>
                </pic:pic>
              </a:graphicData>
            </a:graphic>
          </wp:anchor>
        </w:drawing>
      </w:r>
    </w:p>
    <w:p w:rsidR="004D60E5" w:rsidRDefault="004D60E5" w:rsidP="0036535E">
      <w:pPr>
        <w:spacing w:line="360" w:lineRule="auto"/>
        <w:jc w:val="both"/>
      </w:pPr>
    </w:p>
    <w:p w:rsidR="004D60E5" w:rsidRDefault="004D60E5" w:rsidP="0036535E">
      <w:pPr>
        <w:spacing w:line="360" w:lineRule="auto"/>
        <w:jc w:val="both"/>
      </w:pPr>
    </w:p>
    <w:p w:rsidR="004D60E5" w:rsidRDefault="004D60E5" w:rsidP="0036535E">
      <w:pPr>
        <w:spacing w:line="360" w:lineRule="auto"/>
        <w:jc w:val="both"/>
      </w:pPr>
    </w:p>
    <w:p w:rsidR="004D60E5" w:rsidRDefault="004D60E5" w:rsidP="0036535E">
      <w:pPr>
        <w:spacing w:line="360" w:lineRule="auto"/>
        <w:jc w:val="both"/>
        <w:rPr>
          <w:i/>
          <w:sz w:val="18"/>
          <w:szCs w:val="18"/>
        </w:rPr>
      </w:pPr>
    </w:p>
    <w:p w:rsidR="0036535E" w:rsidRPr="004D60E5" w:rsidRDefault="0036535E" w:rsidP="0036535E">
      <w:pPr>
        <w:spacing w:line="360" w:lineRule="auto"/>
        <w:jc w:val="both"/>
        <w:rPr>
          <w:i/>
        </w:rPr>
      </w:pPr>
      <w:r w:rsidRPr="004D60E5">
        <w:rPr>
          <w:i/>
          <w:sz w:val="18"/>
          <w:szCs w:val="18"/>
        </w:rPr>
        <w:t xml:space="preserve">Zdroj: </w:t>
      </w:r>
      <w:r w:rsidR="00A55CCE">
        <w:rPr>
          <w:i/>
          <w:sz w:val="18"/>
          <w:szCs w:val="18"/>
        </w:rPr>
        <w:t>P</w:t>
      </w:r>
      <w:r w:rsidRPr="004D60E5">
        <w:rPr>
          <w:i/>
          <w:sz w:val="18"/>
          <w:szCs w:val="18"/>
        </w:rPr>
        <w:t>odnikov</w:t>
      </w:r>
      <w:r w:rsidR="000A1689">
        <w:rPr>
          <w:i/>
          <w:sz w:val="18"/>
          <w:szCs w:val="18"/>
        </w:rPr>
        <w:t>á</w:t>
      </w:r>
      <w:r w:rsidRPr="004D60E5">
        <w:rPr>
          <w:i/>
          <w:sz w:val="18"/>
          <w:szCs w:val="18"/>
        </w:rPr>
        <w:t xml:space="preserve"> </w:t>
      </w:r>
      <w:r w:rsidR="000A1689">
        <w:rPr>
          <w:i/>
          <w:sz w:val="18"/>
          <w:szCs w:val="18"/>
        </w:rPr>
        <w:t>aplikace Lotus Notes</w:t>
      </w:r>
      <w:r w:rsidRPr="004D60E5">
        <w:rPr>
          <w:i/>
          <w:sz w:val="18"/>
          <w:szCs w:val="18"/>
        </w:rPr>
        <w:t xml:space="preserve">, propočty autora     </w:t>
      </w:r>
    </w:p>
    <w:p w:rsidR="0036535E" w:rsidRDefault="0036535E" w:rsidP="0036535E">
      <w:pPr>
        <w:spacing w:line="360" w:lineRule="auto"/>
        <w:jc w:val="both"/>
      </w:pPr>
      <w:r>
        <w:t xml:space="preserve">     </w:t>
      </w:r>
    </w:p>
    <w:p w:rsidR="005E7E3B" w:rsidRDefault="0036535E" w:rsidP="0036535E">
      <w:pPr>
        <w:spacing w:line="360" w:lineRule="auto"/>
        <w:jc w:val="both"/>
      </w:pPr>
      <w:r>
        <w:t xml:space="preserve">     Z tabulky je patrné, že průměrný investiční návrh </w:t>
      </w:r>
      <w:r w:rsidR="004D60E5">
        <w:t xml:space="preserve">za sledované období </w:t>
      </w:r>
      <w:r>
        <w:t xml:space="preserve">vyžaduje zhruba 5 mil. Kč, znamenalo by to tedy, že by byla každá průměrná investice schvalována centrální investiční komisí, což rozhodně nelze považovat za ideální stav. </w:t>
      </w:r>
      <w:r w:rsidR="004D60E5">
        <w:t>Fakticky</w:t>
      </w:r>
      <w:r>
        <w:t xml:space="preserve"> schválila centrální investiční komise 1068 investičních návrhů, což představovalo téměř 31% všech investičních návrhů. </w:t>
      </w:r>
    </w:p>
    <w:p w:rsidR="0036535E" w:rsidRDefault="005E7E3B" w:rsidP="0036535E">
      <w:pPr>
        <w:spacing w:line="360" w:lineRule="auto"/>
        <w:jc w:val="both"/>
      </w:pPr>
      <w:r>
        <w:t xml:space="preserve">     </w:t>
      </w:r>
      <w:r w:rsidR="0036535E">
        <w:t>V kontextu těchto zjištění, frekvence zasedání centrální investiční komise a jejímu poslání v rámci celého procesu řízení investic lze považovat za žádoucí stanovit hranici maximálního počtu investičních návrhů projednávaných v rámci daného zasedání centrální investiční komise. Vzhledem k povaze empirických zkušeností se zdá relevantní hodnota deseti investičních návrhů. Výběr těchto návrhů by prov</w:t>
      </w:r>
      <w:r w:rsidR="004D60E5">
        <w:t>edla</w:t>
      </w:r>
      <w:r w:rsidR="0036535E">
        <w:t xml:space="preserve"> organizační jednotka Korporátní finace. Zbylé návrhy by b</w:t>
      </w:r>
      <w:r w:rsidR="004D60E5">
        <w:t>yly</w:t>
      </w:r>
      <w:r w:rsidR="0036535E">
        <w:t xml:space="preserve"> včetně vyjádření vráceny na nižší rozhodovací úroveň. Toto opatření povede v konečném důsledku k žádoucímu stavu, kdy se centrální investiční komise bude zabývat zhruba 120 </w:t>
      </w:r>
      <w:r w:rsidR="004D60E5">
        <w:t>nejvýznamnějšími</w:t>
      </w:r>
      <w:r w:rsidR="0036535E">
        <w:t xml:space="preserve"> projekty ročně, což bude v souladu s charakterem rozhodovací úrovně a dojde rovněž ke snížení rizika chybného rozhodnutí vlivem </w:t>
      </w:r>
      <w:r w:rsidR="004D60E5">
        <w:t xml:space="preserve">jejího </w:t>
      </w:r>
      <w:r w:rsidR="0036535E">
        <w:t>přetížení</w:t>
      </w:r>
      <w:r w:rsidR="004D60E5">
        <w:t>.</w:t>
      </w:r>
      <w:r w:rsidR="0036535E">
        <w:t xml:space="preserve"> </w:t>
      </w:r>
    </w:p>
    <w:p w:rsidR="006D7848" w:rsidRDefault="006D7848" w:rsidP="0036535E">
      <w:pPr>
        <w:spacing w:line="360" w:lineRule="auto"/>
        <w:jc w:val="both"/>
      </w:pPr>
    </w:p>
    <w:p w:rsidR="006D7848" w:rsidRDefault="001B7560" w:rsidP="001B7560">
      <w:pPr>
        <w:pStyle w:val="Nadpis3"/>
        <w:ind w:left="0" w:firstLine="0"/>
        <w:jc w:val="left"/>
      </w:pPr>
      <w:r>
        <w:rPr>
          <w:b w:val="0"/>
          <w:sz w:val="28"/>
          <w:szCs w:val="28"/>
        </w:rPr>
        <w:lastRenderedPageBreak/>
        <w:t xml:space="preserve">  </w:t>
      </w:r>
      <w:bookmarkStart w:id="498" w:name="_Toc233044425"/>
      <w:r w:rsidR="006D7848">
        <w:rPr>
          <w:b w:val="0"/>
          <w:sz w:val="28"/>
          <w:szCs w:val="28"/>
        </w:rPr>
        <w:t>Provozní</w:t>
      </w:r>
      <w:r w:rsidR="006D7848" w:rsidRPr="009E4196">
        <w:rPr>
          <w:b w:val="0"/>
          <w:sz w:val="28"/>
          <w:szCs w:val="28"/>
        </w:rPr>
        <w:t xml:space="preserve"> fáze podnikového investičního procesu</w:t>
      </w:r>
      <w:bookmarkEnd w:id="498"/>
    </w:p>
    <w:p w:rsidR="006D7848" w:rsidRDefault="004D60E5" w:rsidP="00E63315">
      <w:pPr>
        <w:spacing w:line="360" w:lineRule="auto"/>
        <w:jc w:val="both"/>
      </w:pPr>
      <w:r>
        <w:t xml:space="preserve"> </w:t>
      </w:r>
    </w:p>
    <w:p w:rsidR="00875B98" w:rsidRDefault="004D60E5" w:rsidP="00E63315">
      <w:pPr>
        <w:spacing w:line="360" w:lineRule="auto"/>
        <w:jc w:val="both"/>
      </w:pPr>
      <w:r>
        <w:t xml:space="preserve">    </w:t>
      </w:r>
      <w:r w:rsidR="00E414E3">
        <w:t xml:space="preserve">Schváleným investičním návrhům je přiřazen číselný kód a jsou </w:t>
      </w:r>
      <w:r w:rsidR="005D3113">
        <w:t xml:space="preserve">vloženy do evidence </w:t>
      </w:r>
      <w:r w:rsidR="00E414E3">
        <w:t xml:space="preserve">všech investičních návrhů. </w:t>
      </w:r>
    </w:p>
    <w:p w:rsidR="00E414E3" w:rsidRDefault="00E414E3" w:rsidP="00E63315">
      <w:pPr>
        <w:spacing w:line="360" w:lineRule="auto"/>
        <w:jc w:val="both"/>
      </w:pPr>
      <w:r>
        <w:t xml:space="preserve">     Pod přiděleným kódem pak dochází k čerpání kapitálových a provozních výdajů ve prospěch příslušného projektu. Předinvestiční fáze tak přechází ve fázi investiční, respektive ve fázi provozní, která se v souladu s teoretickými východisky vyznačuje tokem příjmových a výdajových položek a kontrolou jejich výše oproti původním předpokladům.</w:t>
      </w:r>
    </w:p>
    <w:p w:rsidR="00E414E3" w:rsidRDefault="00E414E3" w:rsidP="00E414E3">
      <w:pPr>
        <w:spacing w:line="360" w:lineRule="auto"/>
        <w:jc w:val="both"/>
      </w:pPr>
      <w:r>
        <w:t xml:space="preserve">     Pro potřeby kontroly investičních a provozních výdajů a kontroly realizace benefitů v průběhu životnosti investice je v rámci společnosti vytvořen následující systém. Kontrolou realizovaných investic jsou pověřeny tyto organizační jednotky</w:t>
      </w:r>
      <w:r w:rsidR="005E7E3B">
        <w:rPr>
          <w:rStyle w:val="Znakapoznpodarou"/>
        </w:rPr>
        <w:footnoteReference w:id="79"/>
      </w:r>
      <w:r>
        <w:t>:</w:t>
      </w:r>
    </w:p>
    <w:p w:rsidR="00E414E3" w:rsidRDefault="00E414E3" w:rsidP="00E414E3">
      <w:pPr>
        <w:spacing w:line="360" w:lineRule="auto"/>
        <w:jc w:val="both"/>
      </w:pPr>
    </w:p>
    <w:p w:rsidR="00E414E3" w:rsidRDefault="00E414E3" w:rsidP="00B329BD">
      <w:pPr>
        <w:pStyle w:val="Odstavecseseznamem"/>
        <w:numPr>
          <w:ilvl w:val="0"/>
          <w:numId w:val="40"/>
        </w:numPr>
        <w:spacing w:line="360" w:lineRule="auto"/>
        <w:ind w:left="754" w:hanging="357"/>
        <w:jc w:val="both"/>
      </w:pPr>
      <w:r>
        <w:t>Korporátní finanční controlling, zaměřující se na všechny schválené investice,</w:t>
      </w:r>
    </w:p>
    <w:p w:rsidR="00E414E3" w:rsidRDefault="00E414E3" w:rsidP="00B329BD">
      <w:pPr>
        <w:pStyle w:val="Odstavecseseznamem"/>
        <w:numPr>
          <w:ilvl w:val="0"/>
          <w:numId w:val="40"/>
        </w:numPr>
        <w:spacing w:line="360" w:lineRule="auto"/>
        <w:ind w:left="754" w:hanging="357"/>
        <w:jc w:val="both"/>
      </w:pPr>
      <w:r>
        <w:t>Finanční controlling organizačních jednotek, zaměřuje se na investice schválené příslušnou investiční komisí organizační jednotky.</w:t>
      </w:r>
    </w:p>
    <w:p w:rsidR="00E414E3" w:rsidRDefault="00E414E3" w:rsidP="00E414E3">
      <w:pPr>
        <w:spacing w:line="360" w:lineRule="auto"/>
        <w:jc w:val="both"/>
      </w:pPr>
    </w:p>
    <w:p w:rsidR="00E414E3" w:rsidRDefault="00E414E3" w:rsidP="00E414E3">
      <w:pPr>
        <w:spacing w:line="360" w:lineRule="auto"/>
        <w:jc w:val="both"/>
      </w:pPr>
      <w:r>
        <w:t xml:space="preserve">     </w:t>
      </w:r>
      <w:r w:rsidR="005D3113">
        <w:t>Kontrola realizace investic</w:t>
      </w:r>
      <w:r>
        <w:t xml:space="preserve"> se zaměřuje na následující oblasti:</w:t>
      </w:r>
    </w:p>
    <w:p w:rsidR="00E414E3" w:rsidRDefault="00E414E3" w:rsidP="00E414E3">
      <w:pPr>
        <w:spacing w:line="360" w:lineRule="auto"/>
        <w:jc w:val="both"/>
      </w:pPr>
    </w:p>
    <w:p w:rsidR="00E414E3" w:rsidRDefault="00E414E3" w:rsidP="00B329BD">
      <w:pPr>
        <w:pStyle w:val="Odstavecseseznamem"/>
        <w:numPr>
          <w:ilvl w:val="0"/>
          <w:numId w:val="41"/>
        </w:numPr>
        <w:spacing w:line="360" w:lineRule="auto"/>
        <w:ind w:left="754" w:hanging="357"/>
        <w:jc w:val="both"/>
      </w:pPr>
      <w:r>
        <w:t>systematické sledování výše a časové struktury čerpání přidělených kapitálových výdajů, které probíhá v pravidelných intervalech stanovených Korporátním finančním controllingem, evidence je vedena v podnikovém informačním systému SAP,</w:t>
      </w:r>
    </w:p>
    <w:p w:rsidR="00E414E3" w:rsidRDefault="00E414E3" w:rsidP="00B329BD">
      <w:pPr>
        <w:pStyle w:val="Odstavecseseznamem"/>
        <w:numPr>
          <w:ilvl w:val="0"/>
          <w:numId w:val="41"/>
        </w:numPr>
        <w:spacing w:line="360" w:lineRule="auto"/>
        <w:ind w:left="754" w:hanging="357"/>
        <w:jc w:val="both"/>
      </w:pPr>
      <w:r>
        <w:t>systematické sledování výše a časové struktury použití provozních výdajů, formou přiřazení kódu investice k provozním výdajům v SAP,</w:t>
      </w:r>
    </w:p>
    <w:p w:rsidR="00E414E3" w:rsidRDefault="00E414E3" w:rsidP="00B329BD">
      <w:pPr>
        <w:pStyle w:val="Odstavecseseznamem"/>
        <w:numPr>
          <w:ilvl w:val="0"/>
          <w:numId w:val="41"/>
        </w:numPr>
        <w:spacing w:line="360" w:lineRule="auto"/>
        <w:ind w:left="754" w:hanging="357"/>
        <w:jc w:val="both"/>
      </w:pPr>
      <w:r>
        <w:t>celkové vyhodnocení vybraných investičních návrhů, které zařadila centrální investiční komise nebo investiční komise organizační jednotky do režimu pravidelného monitorování.</w:t>
      </w:r>
    </w:p>
    <w:p w:rsidR="00E414E3" w:rsidRDefault="00E414E3" w:rsidP="00E414E3">
      <w:pPr>
        <w:spacing w:line="360" w:lineRule="auto"/>
        <w:jc w:val="both"/>
      </w:pPr>
    </w:p>
    <w:p w:rsidR="00E414E3" w:rsidRDefault="00E414E3" w:rsidP="00E414E3">
      <w:pPr>
        <w:spacing w:line="360" w:lineRule="auto"/>
        <w:jc w:val="both"/>
      </w:pPr>
      <w:r>
        <w:t xml:space="preserve">     Kromě celopodnikového informačního systému SAP, v rámci kterého se primárně sleduje čerpání kapitálových a provozních výdajů příslušnými podnikovými útvary, používá společnost také aplikaci Lotus Notes, představující manažerský nástroj na evidenci všech investičních projektů předkládaných za daná období do investičních komisí, tedy i projektů neschválených</w:t>
      </w:r>
      <w:r w:rsidR="005D3113">
        <w:t xml:space="preserve"> nebo upravených</w:t>
      </w:r>
      <w:r>
        <w:t xml:space="preserve">.  </w:t>
      </w:r>
    </w:p>
    <w:p w:rsidR="00E414E3" w:rsidRDefault="00E414E3" w:rsidP="00E414E3">
      <w:pPr>
        <w:spacing w:line="360" w:lineRule="auto"/>
        <w:jc w:val="both"/>
      </w:pPr>
      <w:r>
        <w:lastRenderedPageBreak/>
        <w:t xml:space="preserve">     Pokud dojde k odchýlení reálného vývoje od schváleného obsahu investičního návrhu jsou předkladatel a realizátor povinni postupovat následovně:</w:t>
      </w:r>
    </w:p>
    <w:p w:rsidR="00E414E3" w:rsidRDefault="00E414E3" w:rsidP="00E414E3">
      <w:pPr>
        <w:spacing w:line="360" w:lineRule="auto"/>
        <w:jc w:val="both"/>
      </w:pPr>
    </w:p>
    <w:p w:rsidR="00E414E3" w:rsidRDefault="00E414E3" w:rsidP="00B329BD">
      <w:pPr>
        <w:pStyle w:val="Odstavecseseznamem"/>
        <w:numPr>
          <w:ilvl w:val="0"/>
          <w:numId w:val="42"/>
        </w:numPr>
        <w:spacing w:line="360" w:lineRule="auto"/>
        <w:ind w:left="754" w:hanging="357"/>
        <w:jc w:val="both"/>
      </w:pPr>
      <w:r>
        <w:t>pokud navýšení kapitálových nebo provozních výdajů přesáhne 10% nebo 2 mil. Kč nebo dojde k vyčerpání těchto prostředků, předkladatel si vyžádá schválení aktualizované verze investičního návrhu příslušnou investiční komisí,</w:t>
      </w:r>
    </w:p>
    <w:p w:rsidR="00E414E3" w:rsidRDefault="00E414E3" w:rsidP="00B329BD">
      <w:pPr>
        <w:pStyle w:val="Odstavecseseznamem"/>
        <w:numPr>
          <w:ilvl w:val="0"/>
          <w:numId w:val="42"/>
        </w:numPr>
        <w:spacing w:line="360" w:lineRule="auto"/>
        <w:ind w:left="754" w:hanging="357"/>
        <w:jc w:val="both"/>
      </w:pPr>
      <w:r>
        <w:t>pokud však dojde k navýšení původního rozpočtu nad limit pro schvalování centrální investiční komisí, musí předkladatel po opětovném schválení investiční komisí organizační jednotky předložit tento aktualizovaný návrh centrální investiční komisi,</w:t>
      </w:r>
    </w:p>
    <w:p w:rsidR="00E414E3" w:rsidRDefault="00E414E3" w:rsidP="00B329BD">
      <w:pPr>
        <w:pStyle w:val="Odstavecseseznamem"/>
        <w:numPr>
          <w:ilvl w:val="0"/>
          <w:numId w:val="42"/>
        </w:numPr>
        <w:spacing w:line="360" w:lineRule="auto"/>
        <w:ind w:left="754" w:hanging="357"/>
        <w:jc w:val="both"/>
      </w:pPr>
      <w:r>
        <w:t>pokud vznikne riziko poklesu benefitů o více než 20% oproti předloženému návrhu, je předkladatel povinen si neprodleně vyžádat schválení aktualizované verze v příslušné komisi.</w:t>
      </w:r>
    </w:p>
    <w:p w:rsidR="00E414E3" w:rsidRDefault="00E414E3" w:rsidP="00E414E3">
      <w:pPr>
        <w:spacing w:line="360" w:lineRule="auto"/>
        <w:jc w:val="both"/>
      </w:pPr>
    </w:p>
    <w:p w:rsidR="005D3113" w:rsidRDefault="005D3113" w:rsidP="005D3113">
      <w:pPr>
        <w:spacing w:line="360" w:lineRule="auto"/>
        <w:jc w:val="both"/>
      </w:pPr>
      <w:r>
        <w:t xml:space="preserve">     Jak bylo uvedeno, kontrolou </w:t>
      </w:r>
      <w:r w:rsidR="00E414E3">
        <w:t>schválených investičních návrh</w:t>
      </w:r>
      <w:r>
        <w:t>ů</w:t>
      </w:r>
      <w:r w:rsidR="00E414E3">
        <w:t xml:space="preserve"> jsou pověřeny organizační jednotky Korporátní finanční controlling a Finanční controlling organizačních jednotek.</w:t>
      </w:r>
    </w:p>
    <w:p w:rsidR="005D3113" w:rsidRDefault="00E414E3" w:rsidP="005D3113">
      <w:pPr>
        <w:spacing w:line="360" w:lineRule="auto"/>
        <w:jc w:val="both"/>
      </w:pPr>
      <w:r>
        <w:t xml:space="preserve"> </w:t>
      </w:r>
      <w:r w:rsidR="005D3113">
        <w:t xml:space="preserve">    </w:t>
      </w:r>
      <w:r>
        <w:t xml:space="preserve">V podnikovém informačním systému SAP je vedena přehledná evidence o čerpání kapitálových výdajů ve prospěch příslušných sválených projektů, podobná přehledná evidence je rovněž vedena v případě výdajů provozních. </w:t>
      </w:r>
    </w:p>
    <w:p w:rsidR="00133463" w:rsidRDefault="005D3113" w:rsidP="005D3113">
      <w:pPr>
        <w:spacing w:line="360" w:lineRule="auto"/>
        <w:jc w:val="both"/>
      </w:pPr>
      <w:r>
        <w:t xml:space="preserve">     </w:t>
      </w:r>
      <w:r w:rsidR="00E414E3">
        <w:t>Schválené</w:t>
      </w:r>
      <w:r>
        <w:t>,</w:t>
      </w:r>
      <w:r w:rsidR="00E414E3">
        <w:t xml:space="preserve"> neschválené</w:t>
      </w:r>
      <w:r>
        <w:t xml:space="preserve"> nebo upravené</w:t>
      </w:r>
      <w:r w:rsidR="00E414E3">
        <w:t xml:space="preserve"> investiční návrhy jsou evidovány mimo celopodnikový informační systém v aplikaci Lotus Notes. Aplikace Lotus Notes má však pouze evidenční, nikoli analytický charakter. </w:t>
      </w:r>
    </w:p>
    <w:p w:rsidR="00E414E3" w:rsidRDefault="00133463" w:rsidP="005D3113">
      <w:pPr>
        <w:spacing w:line="360" w:lineRule="auto"/>
        <w:jc w:val="both"/>
      </w:pPr>
      <w:r>
        <w:t xml:space="preserve">     </w:t>
      </w:r>
      <w:r w:rsidR="00E414E3">
        <w:t>V podnikových směrnicích je rovněž zakotven princip celkového vyhodnocení vybraných investičních návrhů, které zařadila centrální investiční komise nebo investiční komise organizační jednotky do režimu pravidelného monitorování. Překvapující je však skutečnost, že uvedený princip se v praxi téměř neaplikuje a také fakt, že v rámci podniku neexistuje systematický způsob vyhodnocování schválených investičních návrhů, kdy dochází ve shodě s teoretickými východisky k systematickému shromažďování a využívání cenných poznatků a zkušeností pro tvorbu budoucích investičních projektů.</w:t>
      </w:r>
    </w:p>
    <w:p w:rsidR="00E414E3" w:rsidRDefault="00E414E3" w:rsidP="00E414E3">
      <w:pPr>
        <w:spacing w:line="360" w:lineRule="auto"/>
        <w:jc w:val="both"/>
      </w:pPr>
      <w:r>
        <w:t xml:space="preserve">     Na základě tohoto zjištění lze považovat za nezbytné </w:t>
      </w:r>
      <w:r w:rsidR="00133463">
        <w:t xml:space="preserve">integrovat do </w:t>
      </w:r>
      <w:r>
        <w:t xml:space="preserve">stávajícího celopodnikového systému analytickou databázi obsahující vstupní a výsledná data všech schválených investičních projektů, tedy údaje o shodě základních předpokladů, shodě hospodářských výsledků, faktorech, které významných způsobem negativně nebo pozitivně ovlivnily projekt, </w:t>
      </w:r>
      <w:r w:rsidR="00133463">
        <w:t>jakož</w:t>
      </w:r>
      <w:r>
        <w:t xml:space="preserve"> i údaje o způsobech řešení krizových situací. Výsledné retrospektivní analýzy potom </w:t>
      </w:r>
      <w:r w:rsidR="006B076A">
        <w:t>reportovat</w:t>
      </w:r>
      <w:r>
        <w:t xml:space="preserve"> na příslušné schvalovací úrovně. </w:t>
      </w:r>
    </w:p>
    <w:p w:rsidR="00875B98" w:rsidRPr="00DA1BE0" w:rsidRDefault="001B7560" w:rsidP="001B7560">
      <w:pPr>
        <w:pStyle w:val="Nadpis2"/>
        <w:ind w:left="0" w:firstLine="0"/>
        <w:rPr>
          <w:b w:val="0"/>
          <w:sz w:val="28"/>
          <w:szCs w:val="28"/>
        </w:rPr>
      </w:pPr>
      <w:r>
        <w:rPr>
          <w:b w:val="0"/>
          <w:sz w:val="28"/>
          <w:szCs w:val="28"/>
        </w:rPr>
        <w:lastRenderedPageBreak/>
        <w:t xml:space="preserve">  </w:t>
      </w:r>
      <w:bookmarkStart w:id="499" w:name="_Toc233044426"/>
      <w:r w:rsidR="00DA1BE0" w:rsidRPr="00DA1BE0">
        <w:rPr>
          <w:b w:val="0"/>
          <w:sz w:val="28"/>
          <w:szCs w:val="28"/>
        </w:rPr>
        <w:t>Určení peněžních toků investičních projektů</w:t>
      </w:r>
      <w:bookmarkEnd w:id="499"/>
    </w:p>
    <w:p w:rsidR="00875B98" w:rsidRDefault="00875B98" w:rsidP="00E63315">
      <w:pPr>
        <w:spacing w:line="360" w:lineRule="auto"/>
        <w:jc w:val="both"/>
      </w:pPr>
    </w:p>
    <w:p w:rsidR="00DE28C0" w:rsidRDefault="00DE28C0" w:rsidP="00E63315">
      <w:pPr>
        <w:spacing w:line="360" w:lineRule="auto"/>
        <w:jc w:val="both"/>
      </w:pPr>
      <w:r>
        <w:t xml:space="preserve">     Zatímco v rámci analýzy standardního investičního návrhu šlo o určení výše peněžních toků z hlediska jejich opodstatnění, zaměříme se nyní na analýzu jejich vymezení z hlediska modelového vyjádření zavedeného v rámci teoretických východisek této práce. </w:t>
      </w:r>
    </w:p>
    <w:p w:rsidR="00A82F06" w:rsidRDefault="00DE28C0" w:rsidP="00E63315">
      <w:pPr>
        <w:spacing w:line="360" w:lineRule="auto"/>
        <w:jc w:val="both"/>
      </w:pPr>
      <w:r>
        <w:t xml:space="preserve">     Než přistoupíme k vymezení kapitálových výdajů a peněžních příjmů, jak jsou zavedeny ve finanční analýze používané podnikem, podívejme</w:t>
      </w:r>
      <w:r w:rsidR="008E4FB0">
        <w:t xml:space="preserve"> se</w:t>
      </w:r>
      <w:r>
        <w:t>, jak podnik respektuje</w:t>
      </w:r>
      <w:r w:rsidR="00A82F06">
        <w:t xml:space="preserve"> některé</w:t>
      </w:r>
      <w:r>
        <w:t xml:space="preserve"> obecné principy predikce peněžních toků z investičních projektů.</w:t>
      </w:r>
      <w:r w:rsidR="00A82F06">
        <w:t xml:space="preserve"> K tomuto účelu použijeme</w:t>
      </w:r>
      <w:r w:rsidR="008E4FB0">
        <w:t xml:space="preserve"> pro názornost</w:t>
      </w:r>
      <w:r w:rsidR="00A82F06">
        <w:t xml:space="preserve"> detail finanční analýzy </w:t>
      </w:r>
      <w:r w:rsidR="001D67F8">
        <w:t xml:space="preserve">vybraného </w:t>
      </w:r>
      <w:r w:rsidR="00A82F06">
        <w:t>investičního projektu</w:t>
      </w:r>
      <w:r w:rsidR="001D67F8">
        <w:t>:</w:t>
      </w:r>
    </w:p>
    <w:p w:rsidR="00A55CCE" w:rsidRDefault="00A55CCE" w:rsidP="00E63315">
      <w:pPr>
        <w:spacing w:line="360" w:lineRule="auto"/>
        <w:jc w:val="both"/>
      </w:pPr>
    </w:p>
    <w:p w:rsidR="003F23D0" w:rsidRDefault="00A82F06" w:rsidP="001346D8">
      <w:pPr>
        <w:pStyle w:val="Nzev"/>
      </w:pPr>
      <w:bookmarkStart w:id="500" w:name="_Toc233044446"/>
      <w:r>
        <w:t xml:space="preserve">Tabulka č. </w:t>
      </w:r>
      <w:r w:rsidR="001346D8">
        <w:t xml:space="preserve">12 – </w:t>
      </w:r>
      <w:r>
        <w:t xml:space="preserve">Detailní finanční analýzy </w:t>
      </w:r>
      <w:r w:rsidR="00423A71">
        <w:t>vybraného investičního projektu</w:t>
      </w:r>
      <w:bookmarkEnd w:id="500"/>
      <w:r>
        <w:t xml:space="preserve"> </w:t>
      </w:r>
    </w:p>
    <w:p w:rsidR="00A82F06" w:rsidRDefault="003F23D0" w:rsidP="00E63315">
      <w:pPr>
        <w:spacing w:line="360" w:lineRule="auto"/>
        <w:jc w:val="both"/>
      </w:pPr>
      <w:r>
        <w:rPr>
          <w:noProof/>
        </w:rPr>
        <w:drawing>
          <wp:anchor distT="0" distB="0" distL="114300" distR="114300" simplePos="0" relativeHeight="251709440" behindDoc="0" locked="0" layoutInCell="1" allowOverlap="1">
            <wp:simplePos x="0" y="0"/>
            <wp:positionH relativeFrom="column">
              <wp:posOffset>10160</wp:posOffset>
            </wp:positionH>
            <wp:positionV relativeFrom="paragraph">
              <wp:posOffset>149225</wp:posOffset>
            </wp:positionV>
            <wp:extent cx="5286375" cy="5172075"/>
            <wp:effectExtent l="19050" t="0" r="9525" b="0"/>
            <wp:wrapNone/>
            <wp:docPr id="23" name="obrázek 1"/>
            <wp:cNvGraphicFramePr/>
            <a:graphic xmlns:a="http://schemas.openxmlformats.org/drawingml/2006/main">
              <a:graphicData uri="http://schemas.openxmlformats.org/drawingml/2006/picture">
                <pic:pic xmlns:pic="http://schemas.openxmlformats.org/drawingml/2006/picture">
                  <pic:nvPicPr>
                    <pic:cNvPr id="3073" name="Picture 1"/>
                    <pic:cNvPicPr>
                      <a:picLocks noChangeAspect="1" noChangeArrowheads="1"/>
                    </pic:cNvPicPr>
                  </pic:nvPicPr>
                  <pic:blipFill>
                    <a:blip r:embed="rId32"/>
                    <a:srcRect/>
                    <a:stretch>
                      <a:fillRect/>
                    </a:stretch>
                  </pic:blipFill>
                  <pic:spPr bwMode="auto">
                    <a:xfrm>
                      <a:off x="0" y="0"/>
                      <a:ext cx="5286375" cy="5172075"/>
                    </a:xfrm>
                    <a:prstGeom prst="rect">
                      <a:avLst/>
                    </a:prstGeom>
                    <a:noFill/>
                    <a:ln w="1">
                      <a:noFill/>
                      <a:miter lim="800000"/>
                      <a:headEnd/>
                      <a:tailEnd type="none" w="med" len="med"/>
                    </a:ln>
                    <a:effectLst/>
                  </pic:spPr>
                </pic:pic>
              </a:graphicData>
            </a:graphic>
          </wp:anchor>
        </w:drawing>
      </w:r>
    </w:p>
    <w:p w:rsidR="00A82F06" w:rsidRDefault="002B769D" w:rsidP="00E63315">
      <w:pPr>
        <w:spacing w:line="360" w:lineRule="auto"/>
        <w:jc w:val="both"/>
      </w:pPr>
      <w:r>
        <w:rPr>
          <w:noProof/>
        </w:rPr>
        <w:pict>
          <v:oval id="_x0000_s1037" style="position:absolute;left:0;text-align:left;margin-left:286.25pt;margin-top:.8pt;width:126.75pt;height:34.5pt;z-index:251720704" filled="f" strokecolor="#c00000" strokeweight="2.25pt">
            <v:textbox>
              <w:txbxContent>
                <w:p w:rsidR="001B7A76" w:rsidRDefault="001B7A76" w:rsidP="003F23D0">
                  <w:r>
                    <w:t>Peněžní příjmy</w:t>
                  </w:r>
                </w:p>
              </w:txbxContent>
            </v:textbox>
          </v:oval>
        </w:pict>
      </w:r>
      <w:r>
        <w:rPr>
          <w:noProof/>
        </w:rPr>
        <w:pict>
          <v:oval id="_x0000_s1035" style="position:absolute;left:0;text-align:left;margin-left:135.5pt;margin-top:.8pt;width:143.25pt;height:34.5pt;z-index:251719680" filled="f" strokecolor="#c00000" strokeweight="2.25pt">
            <v:textbox>
              <w:txbxContent>
                <w:p w:rsidR="001B7A76" w:rsidRDefault="001B7A76">
                  <w:r>
                    <w:t>Kapitálové výdaje</w:t>
                  </w:r>
                </w:p>
              </w:txbxContent>
            </v:textbox>
          </v:oval>
        </w:pict>
      </w:r>
    </w:p>
    <w:p w:rsidR="00A82F06" w:rsidRDefault="002B769D" w:rsidP="00E63315">
      <w:pPr>
        <w:spacing w:line="360" w:lineRule="auto"/>
        <w:jc w:val="both"/>
      </w:pPr>
      <w:r>
        <w:rPr>
          <w:noProof/>
        </w:rPr>
        <w:pict>
          <v:shapetype id="_x0000_t32" coordsize="21600,21600" o:spt="32" o:oned="t" path="m,l21600,21600e" filled="f">
            <v:path arrowok="t" fillok="f" o:connecttype="none"/>
            <o:lock v:ext="edit" shapetype="t"/>
          </v:shapetype>
          <v:shape id="_x0000_s1038" type="#_x0000_t32" style="position:absolute;left:0;text-align:left;margin-left:195.5pt;margin-top:14.45pt;width:8.25pt;height:252.9pt;flip:x;z-index:251721728;mso-position-vertical:absolute" o:connectortype="straight" strokecolor="#c00000">
            <v:stroke endarrow="block"/>
          </v:shape>
        </w:pict>
      </w:r>
      <w:r>
        <w:rPr>
          <w:noProof/>
        </w:rPr>
        <w:pict>
          <v:shape id="_x0000_s1045" type="#_x0000_t32" style="position:absolute;left:0;text-align:left;margin-left:350.75pt;margin-top:14.45pt;width:49.5pt;height:213pt;z-index:251728896;mso-position-vertical:absolute" o:connectortype="straight" strokecolor="#c00000">
            <v:stroke endarrow="block"/>
          </v:shape>
        </w:pict>
      </w:r>
      <w:r>
        <w:rPr>
          <w:noProof/>
        </w:rPr>
        <w:pict>
          <v:shape id="_x0000_s1044" type="#_x0000_t32" style="position:absolute;left:0;text-align:left;margin-left:307.25pt;margin-top:14.45pt;width:43.5pt;height:305.25pt;flip:x;z-index:251727872;mso-position-vertical:absolute" o:connectortype="straight" strokecolor="#c00000">
            <v:stroke endarrow="block"/>
          </v:shape>
        </w:pict>
      </w:r>
      <w:r>
        <w:rPr>
          <w:noProof/>
        </w:rPr>
        <w:pict>
          <v:shape id="_x0000_s1043" type="#_x0000_t32" style="position:absolute;left:0;text-align:left;margin-left:350.75pt;margin-top:14.45pt;width:0;height:252.9pt;z-index:251726848" o:connectortype="straight" strokecolor="#c00000">
            <v:stroke endarrow="block"/>
          </v:shape>
        </w:pict>
      </w:r>
      <w:r>
        <w:rPr>
          <w:noProof/>
        </w:rPr>
        <w:pict>
          <v:shape id="_x0000_s1042" type="#_x0000_t32" style="position:absolute;left:0;text-align:left;margin-left:350.75pt;margin-top:14.45pt;width:19.5pt;height:168.15pt;z-index:251725824" o:connectortype="straight" strokecolor="#c00000">
            <v:stroke endarrow="block"/>
          </v:shape>
        </w:pict>
      </w:r>
      <w:r>
        <w:rPr>
          <w:noProof/>
        </w:rPr>
        <w:pict>
          <v:shape id="_x0000_s1041" type="#_x0000_t32" style="position:absolute;left:0;text-align:left;margin-left:334.25pt;margin-top:14.45pt;width:16.5pt;height:229.55pt;flip:x;z-index:251724800;mso-position-vertical:absolute" o:connectortype="straight" strokecolor="#c00000">
            <v:stroke endarrow="block"/>
          </v:shape>
        </w:pict>
      </w:r>
      <w:r>
        <w:rPr>
          <w:noProof/>
        </w:rPr>
        <w:pict>
          <v:shape id="_x0000_s1040" type="#_x0000_t32" style="position:absolute;left:0;text-align:left;margin-left:204.5pt;margin-top:14.45pt;width:15.75pt;height:217.65pt;z-index:251723776" o:connectortype="straight" strokecolor="#c00000">
            <v:stroke endarrow="block"/>
          </v:shape>
        </w:pict>
      </w:r>
      <w:r>
        <w:rPr>
          <w:noProof/>
        </w:rPr>
        <w:pict>
          <v:shape id="_x0000_s1039" type="#_x0000_t32" style="position:absolute;left:0;text-align:left;margin-left:204.5pt;margin-top:14.45pt;width:4.55pt;height:305.4pt;z-index:251722752" o:connectortype="straight" strokecolor="#c00000">
            <v:stroke endarrow="block"/>
          </v:shape>
        </w:pict>
      </w:r>
    </w:p>
    <w:p w:rsidR="00A82F06" w:rsidRDefault="00A82F06" w:rsidP="00E63315">
      <w:pPr>
        <w:spacing w:line="360" w:lineRule="auto"/>
        <w:jc w:val="both"/>
      </w:pPr>
    </w:p>
    <w:p w:rsidR="00A82F06" w:rsidRDefault="00A82F06" w:rsidP="00E63315">
      <w:pPr>
        <w:spacing w:line="360" w:lineRule="auto"/>
        <w:jc w:val="both"/>
      </w:pPr>
    </w:p>
    <w:p w:rsidR="00A82F06" w:rsidRDefault="002B769D" w:rsidP="00E63315">
      <w:pPr>
        <w:spacing w:line="360" w:lineRule="auto"/>
        <w:jc w:val="both"/>
      </w:pPr>
      <w:r>
        <w:rPr>
          <w:noProof/>
        </w:rPr>
        <w:pict>
          <v:oval id="_x0000_s1034" style="position:absolute;left:0;text-align:left;margin-left:-2.9pt;margin-top:2.8pt;width:125.75pt;height:19.7pt;z-index:251718656" filled="f" strokecolor="#7f7f7f [1612]" strokeweight="2.25pt"/>
        </w:pict>
      </w:r>
    </w:p>
    <w:p w:rsidR="00A82F06" w:rsidRDefault="002B769D" w:rsidP="00E63315">
      <w:pPr>
        <w:spacing w:line="360" w:lineRule="auto"/>
        <w:jc w:val="both"/>
      </w:pPr>
      <w:r>
        <w:rPr>
          <w:noProof/>
        </w:rPr>
        <w:pict>
          <v:oval id="_x0000_s1027" style="position:absolute;left:0;text-align:left;margin-left:16.35pt;margin-top:2.45pt;width:50.95pt;height:16.3pt;z-index:251711488" filled="f" strokecolor="#7f7f7f [1612]" strokeweight="2.25pt"/>
        </w:pict>
      </w:r>
    </w:p>
    <w:p w:rsidR="00A82F06" w:rsidRDefault="00A82F06" w:rsidP="00E63315">
      <w:pPr>
        <w:spacing w:line="360" w:lineRule="auto"/>
        <w:jc w:val="both"/>
      </w:pPr>
    </w:p>
    <w:p w:rsidR="00A82F06" w:rsidRDefault="002B769D" w:rsidP="00E63315">
      <w:pPr>
        <w:spacing w:line="360" w:lineRule="auto"/>
        <w:jc w:val="both"/>
      </w:pPr>
      <w:r>
        <w:rPr>
          <w:noProof/>
        </w:rPr>
        <w:pict>
          <v:oval id="_x0000_s1028" style="position:absolute;left:0;text-align:left;margin-left:17.75pt;margin-top:17.4pt;width:50.95pt;height:16.3pt;z-index:251712512" filled="f" strokecolor="#7f7f7f [1612]" strokeweight="2.25pt"/>
        </w:pict>
      </w:r>
    </w:p>
    <w:p w:rsidR="00A82F06" w:rsidRDefault="00A82F06" w:rsidP="00E63315">
      <w:pPr>
        <w:spacing w:line="360" w:lineRule="auto"/>
        <w:jc w:val="both"/>
      </w:pPr>
    </w:p>
    <w:p w:rsidR="00A82F06" w:rsidRDefault="002B769D" w:rsidP="00E63315">
      <w:pPr>
        <w:spacing w:line="360" w:lineRule="auto"/>
        <w:jc w:val="both"/>
      </w:pPr>
      <w:r>
        <w:rPr>
          <w:noProof/>
        </w:rPr>
        <w:pict>
          <v:oval id="_x0000_s1032" style="position:absolute;left:0;text-align:left;margin-left:-3.6pt;margin-top:12.75pt;width:93.15pt;height:19.7pt;z-index:251716608" filled="f" strokecolor="#7f7f7f [1612]" strokeweight="2.25pt"/>
        </w:pict>
      </w:r>
    </w:p>
    <w:p w:rsidR="00A82F06" w:rsidRDefault="00A82F06" w:rsidP="00E63315">
      <w:pPr>
        <w:spacing w:line="360" w:lineRule="auto"/>
        <w:jc w:val="both"/>
      </w:pPr>
    </w:p>
    <w:p w:rsidR="00DE28C0" w:rsidRDefault="002B769D" w:rsidP="00E63315">
      <w:pPr>
        <w:spacing w:line="360" w:lineRule="auto"/>
        <w:jc w:val="both"/>
      </w:pPr>
      <w:r>
        <w:rPr>
          <w:noProof/>
        </w:rPr>
        <w:pict>
          <v:oval id="_x0000_s1033" style="position:absolute;left:0;text-align:left;margin-left:-4.3pt;margin-top:16.8pt;width:116.25pt;height:20.4pt;z-index:251717632" filled="f" strokecolor="#7f7f7f [1612]" strokeweight="2.25pt"/>
        </w:pict>
      </w:r>
      <w:r w:rsidR="00DE28C0">
        <w:t xml:space="preserve">     </w:t>
      </w:r>
    </w:p>
    <w:p w:rsidR="00DA1BE0" w:rsidRDefault="00DA1BE0" w:rsidP="00E63315">
      <w:pPr>
        <w:spacing w:line="360" w:lineRule="auto"/>
        <w:jc w:val="both"/>
      </w:pPr>
      <w:r>
        <w:t xml:space="preserve">          </w:t>
      </w:r>
    </w:p>
    <w:p w:rsidR="00875B98" w:rsidRDefault="00875B98" w:rsidP="00E63315">
      <w:pPr>
        <w:spacing w:line="360" w:lineRule="auto"/>
        <w:jc w:val="both"/>
      </w:pPr>
    </w:p>
    <w:p w:rsidR="00E63315" w:rsidRDefault="002B769D" w:rsidP="00E63315">
      <w:pPr>
        <w:spacing w:line="360" w:lineRule="auto"/>
        <w:jc w:val="both"/>
      </w:pPr>
      <w:r>
        <w:rPr>
          <w:noProof/>
        </w:rPr>
        <w:pict>
          <v:oval id="_x0000_s1030" style="position:absolute;left:0;text-align:left;margin-left:16.35pt;margin-top:2.2pt;width:50.95pt;height:16.3pt;z-index:251714560" filled="f" strokecolor="#7f7f7f [1612]" strokeweight="2.25pt"/>
        </w:pict>
      </w:r>
      <w:r w:rsidR="004C203C">
        <w:t xml:space="preserve">   </w:t>
      </w:r>
    </w:p>
    <w:p w:rsidR="00E63315" w:rsidRDefault="00E63315" w:rsidP="00E63315">
      <w:pPr>
        <w:spacing w:line="360" w:lineRule="auto"/>
        <w:jc w:val="both"/>
      </w:pPr>
    </w:p>
    <w:p w:rsidR="00857AA8" w:rsidRDefault="002B769D" w:rsidP="00857AA8">
      <w:pPr>
        <w:spacing w:line="360" w:lineRule="auto"/>
        <w:jc w:val="both"/>
      </w:pPr>
      <w:r>
        <w:rPr>
          <w:noProof/>
        </w:rPr>
        <w:pict>
          <v:oval id="_x0000_s1031" style="position:absolute;left:0;text-align:left;margin-left:-2.9pt;margin-top:17.9pt;width:50.95pt;height:16.3pt;z-index:251715584" filled="f" strokecolor="#7f7f7f [1612]" strokeweight="2.25pt"/>
        </w:pict>
      </w:r>
    </w:p>
    <w:p w:rsidR="00857AA8" w:rsidRDefault="00857AA8" w:rsidP="00857AA8">
      <w:pPr>
        <w:spacing w:line="360" w:lineRule="auto"/>
        <w:jc w:val="both"/>
      </w:pPr>
    </w:p>
    <w:p w:rsidR="00857AA8" w:rsidRDefault="00857AA8" w:rsidP="008D5E9B">
      <w:pPr>
        <w:spacing w:line="360" w:lineRule="auto"/>
        <w:jc w:val="both"/>
      </w:pPr>
    </w:p>
    <w:p w:rsidR="00C74DBF" w:rsidRDefault="00596309" w:rsidP="008D5E9B">
      <w:pPr>
        <w:spacing w:line="360" w:lineRule="auto"/>
        <w:jc w:val="both"/>
      </w:pPr>
      <w:r>
        <w:t xml:space="preserve">  </w:t>
      </w:r>
      <w:r w:rsidR="00C74DBF">
        <w:t xml:space="preserve">     </w:t>
      </w:r>
    </w:p>
    <w:p w:rsidR="00E25D35" w:rsidRPr="00A82F06" w:rsidRDefault="00E25D35" w:rsidP="008D5E9B">
      <w:pPr>
        <w:spacing w:line="360" w:lineRule="auto"/>
        <w:jc w:val="both"/>
        <w:rPr>
          <w:i/>
          <w:sz w:val="18"/>
          <w:szCs w:val="18"/>
        </w:rPr>
      </w:pPr>
      <w:r w:rsidRPr="00A82F06">
        <w:rPr>
          <w:i/>
          <w:sz w:val="18"/>
          <w:szCs w:val="18"/>
        </w:rPr>
        <w:t xml:space="preserve"> </w:t>
      </w:r>
      <w:r w:rsidR="00A82F06" w:rsidRPr="00A82F06">
        <w:rPr>
          <w:i/>
          <w:sz w:val="18"/>
          <w:szCs w:val="18"/>
        </w:rPr>
        <w:t xml:space="preserve">Zdroj: Finanční analýza </w:t>
      </w:r>
      <w:r w:rsidR="00423A71">
        <w:rPr>
          <w:i/>
          <w:sz w:val="18"/>
          <w:szCs w:val="18"/>
        </w:rPr>
        <w:t>vybraného investičního projektu poskytnutá organizační jednotkou Korporátní finance</w:t>
      </w:r>
      <w:r w:rsidRPr="00A82F06">
        <w:rPr>
          <w:i/>
          <w:sz w:val="18"/>
          <w:szCs w:val="18"/>
        </w:rPr>
        <w:t xml:space="preserve">    </w:t>
      </w:r>
    </w:p>
    <w:p w:rsidR="003E6DBB" w:rsidRDefault="00E71420" w:rsidP="008D5E9B">
      <w:pPr>
        <w:spacing w:line="360" w:lineRule="auto"/>
        <w:jc w:val="both"/>
      </w:pPr>
      <w:r>
        <w:t xml:space="preserve">   </w:t>
      </w:r>
      <w:r w:rsidR="000C48E1">
        <w:t xml:space="preserve">  </w:t>
      </w:r>
    </w:p>
    <w:p w:rsidR="003F23D0" w:rsidRDefault="003E6DBB" w:rsidP="008D5E9B">
      <w:pPr>
        <w:spacing w:line="360" w:lineRule="auto"/>
        <w:jc w:val="both"/>
      </w:pPr>
      <w:r>
        <w:lastRenderedPageBreak/>
        <w:t xml:space="preserve">     </w:t>
      </w:r>
      <w:r w:rsidR="003F23D0">
        <w:t>Vidíme, že peněžní toky:</w:t>
      </w:r>
    </w:p>
    <w:p w:rsidR="003F23D0" w:rsidRDefault="003F23D0" w:rsidP="008D5E9B">
      <w:pPr>
        <w:spacing w:line="360" w:lineRule="auto"/>
        <w:jc w:val="both"/>
      </w:pPr>
    </w:p>
    <w:p w:rsidR="003F23D0" w:rsidRDefault="003F23D0" w:rsidP="00B329BD">
      <w:pPr>
        <w:pStyle w:val="Odstavecseseznamem"/>
        <w:numPr>
          <w:ilvl w:val="0"/>
          <w:numId w:val="67"/>
        </w:numPr>
        <w:spacing w:line="360" w:lineRule="auto"/>
        <w:ind w:left="754" w:hanging="357"/>
        <w:jc w:val="both"/>
      </w:pPr>
      <w:r>
        <w:t xml:space="preserve">vycházejí z přírůstkových veličin (incremental), </w:t>
      </w:r>
    </w:p>
    <w:p w:rsidR="003F23D0" w:rsidRDefault="003F23D0" w:rsidP="00B329BD">
      <w:pPr>
        <w:pStyle w:val="Odstavecseseznamem"/>
        <w:numPr>
          <w:ilvl w:val="0"/>
          <w:numId w:val="67"/>
        </w:numPr>
        <w:spacing w:line="360" w:lineRule="auto"/>
        <w:ind w:left="754" w:hanging="357"/>
        <w:jc w:val="both"/>
      </w:pPr>
      <w:r>
        <w:t xml:space="preserve">odpisy nejsou součástí výdajů (incremental depreciation), </w:t>
      </w:r>
    </w:p>
    <w:p w:rsidR="003F23D0" w:rsidRDefault="003F23D0" w:rsidP="00B329BD">
      <w:pPr>
        <w:pStyle w:val="Odstavecseseznamem"/>
        <w:numPr>
          <w:ilvl w:val="0"/>
          <w:numId w:val="67"/>
        </w:numPr>
        <w:spacing w:line="360" w:lineRule="auto"/>
        <w:ind w:left="754" w:hanging="357"/>
        <w:jc w:val="both"/>
      </w:pPr>
      <w:r>
        <w:t>peněžní tok zobrazuje zdanění (incremental adjusted taxation),</w:t>
      </w:r>
    </w:p>
    <w:p w:rsidR="003F23D0" w:rsidRDefault="003F23D0" w:rsidP="00B329BD">
      <w:pPr>
        <w:pStyle w:val="Odstavecseseznamem"/>
        <w:numPr>
          <w:ilvl w:val="0"/>
          <w:numId w:val="67"/>
        </w:numPr>
        <w:spacing w:line="360" w:lineRule="auto"/>
        <w:ind w:left="754" w:hanging="357"/>
        <w:jc w:val="both"/>
      </w:pPr>
      <w:r>
        <w:t>jsou zahrnuty i nepřímé důsledky investování (secondary revenue impact).</w:t>
      </w:r>
    </w:p>
    <w:p w:rsidR="00E71420" w:rsidRDefault="003F23D0" w:rsidP="008D5E9B">
      <w:pPr>
        <w:spacing w:line="360" w:lineRule="auto"/>
        <w:jc w:val="both"/>
      </w:pPr>
      <w:r>
        <w:t xml:space="preserve">   </w:t>
      </w:r>
      <w:r w:rsidR="00E71420">
        <w:t xml:space="preserve">  </w:t>
      </w:r>
    </w:p>
    <w:p w:rsidR="003E6DBB" w:rsidRDefault="000C48E1" w:rsidP="008D5E9B">
      <w:pPr>
        <w:spacing w:line="360" w:lineRule="auto"/>
        <w:jc w:val="both"/>
        <w:rPr>
          <w:i/>
        </w:rPr>
      </w:pPr>
      <w:r>
        <w:t xml:space="preserve">     V rámci teoretických východisek bylo zavedeno modelové vyjádření kapitálových výdajů ve tvaru: </w:t>
      </w:r>
      <w:r w:rsidRPr="00BD0199">
        <w:rPr>
          <w:i/>
        </w:rPr>
        <w:t>K = I + O – P ± D</w:t>
      </w:r>
      <w:r w:rsidR="003E6DBB">
        <w:rPr>
          <w:i/>
        </w:rPr>
        <w:t>.</w:t>
      </w:r>
    </w:p>
    <w:p w:rsidR="00955A4E" w:rsidRDefault="003E6DBB" w:rsidP="008D5E9B">
      <w:pPr>
        <w:spacing w:line="360" w:lineRule="auto"/>
        <w:jc w:val="both"/>
      </w:pPr>
      <w:r>
        <w:rPr>
          <w:i/>
        </w:rPr>
        <w:t xml:space="preserve">     </w:t>
      </w:r>
      <w:r>
        <w:t>U</w:t>
      </w:r>
      <w:r w:rsidR="000C48E1">
        <w:t>vedený model můžeme snadno v rámci finanční analýzy podnikových investičních projektů</w:t>
      </w:r>
      <w:r w:rsidR="00A62A04">
        <w:t xml:space="preserve"> snadno nalézt</w:t>
      </w:r>
      <w:r w:rsidR="000C48E1">
        <w:t xml:space="preserve">. </w:t>
      </w:r>
      <w:r w:rsidR="00A62A04">
        <w:t>Výdaje na pořízení dlouhodobého majetku a výdaje na trvalý přírůstek čistého pracovního kapitálu nalezneme pod položkou incremental capex, příjem z prodeje nahrazovaného dlouhodobého majetku pod položkou cash impact of assets sale, daňový efekt potom pod položkou incremental adjusted taxation.</w:t>
      </w:r>
      <w:r w:rsidR="007C0793">
        <w:t xml:space="preserve"> </w:t>
      </w:r>
    </w:p>
    <w:p w:rsidR="00955A4E" w:rsidRDefault="00955A4E" w:rsidP="008D5E9B">
      <w:pPr>
        <w:spacing w:line="360" w:lineRule="auto"/>
        <w:jc w:val="both"/>
      </w:pPr>
    </w:p>
    <w:p w:rsidR="003E6DBB" w:rsidRDefault="00955A4E" w:rsidP="00B329BD">
      <w:pPr>
        <w:pStyle w:val="Odstavecseseznamem"/>
        <w:numPr>
          <w:ilvl w:val="0"/>
          <w:numId w:val="68"/>
        </w:numPr>
        <w:spacing w:line="360" w:lineRule="auto"/>
        <w:ind w:left="754" w:hanging="357"/>
        <w:jc w:val="both"/>
      </w:pPr>
      <w:r>
        <w:t>K</w:t>
      </w:r>
      <w:r w:rsidR="007C0793">
        <w:t>apitálové výdaje za 2Q 2007 můžeme určit jako K = 500 + 0 – 0 – 0 = 500.</w:t>
      </w:r>
    </w:p>
    <w:p w:rsidR="00955A4E" w:rsidRDefault="00955A4E" w:rsidP="00A62A04">
      <w:pPr>
        <w:spacing w:line="360" w:lineRule="auto"/>
        <w:jc w:val="both"/>
      </w:pPr>
    </w:p>
    <w:p w:rsidR="003E6DBB" w:rsidRDefault="00A62A04" w:rsidP="00A62A04">
      <w:pPr>
        <w:spacing w:line="360" w:lineRule="auto"/>
        <w:jc w:val="both"/>
        <w:rPr>
          <w:i/>
        </w:rPr>
      </w:pPr>
      <w:r>
        <w:t xml:space="preserve">     Modelové vyjádření peněžních příjmů bylo zavedeno vztahem: </w:t>
      </w:r>
      <w:r>
        <w:rPr>
          <w:i/>
        </w:rPr>
        <w:t>P</w:t>
      </w:r>
      <w:r w:rsidRPr="00BD0199">
        <w:rPr>
          <w:i/>
        </w:rPr>
        <w:t xml:space="preserve"> = </w:t>
      </w:r>
      <w:r>
        <w:rPr>
          <w:i/>
        </w:rPr>
        <w:t>Z</w:t>
      </w:r>
      <w:r w:rsidRPr="00BD0199">
        <w:rPr>
          <w:i/>
        </w:rPr>
        <w:t xml:space="preserve"> +</w:t>
      </w:r>
      <w:r>
        <w:rPr>
          <w:i/>
        </w:rPr>
        <w:t xml:space="preserve"> A</w:t>
      </w:r>
      <w:r w:rsidRPr="00BD0199">
        <w:rPr>
          <w:i/>
        </w:rPr>
        <w:t xml:space="preserve"> </w:t>
      </w:r>
      <w:r>
        <w:rPr>
          <w:i/>
        </w:rPr>
        <w:t>+ O + P</w:t>
      </w:r>
      <w:r w:rsidRPr="009F754E">
        <w:rPr>
          <w:i/>
          <w:position w:val="-6"/>
          <w:sz w:val="20"/>
          <w:szCs w:val="20"/>
        </w:rPr>
        <w:t>M</w:t>
      </w:r>
      <w:r w:rsidRPr="009F754E">
        <w:rPr>
          <w:i/>
          <w:position w:val="-6"/>
        </w:rPr>
        <w:t xml:space="preserve"> </w:t>
      </w:r>
      <w:r>
        <w:rPr>
          <w:i/>
        </w:rPr>
        <w:t>+</w:t>
      </w:r>
      <w:r w:rsidRPr="00BD0199">
        <w:rPr>
          <w:i/>
        </w:rPr>
        <w:t xml:space="preserve"> D</w:t>
      </w:r>
      <w:r w:rsidR="003E6DBB">
        <w:rPr>
          <w:i/>
        </w:rPr>
        <w:t>.</w:t>
      </w:r>
    </w:p>
    <w:p w:rsidR="00955A4E" w:rsidRDefault="003E6DBB" w:rsidP="00A62A04">
      <w:pPr>
        <w:spacing w:line="360" w:lineRule="auto"/>
        <w:jc w:val="both"/>
      </w:pPr>
      <w:r>
        <w:t xml:space="preserve">     I</w:t>
      </w:r>
      <w:r w:rsidR="00A62A04">
        <w:t xml:space="preserve"> toto modelové vyjádření je z předmětné analýzy snadno patrné. </w:t>
      </w:r>
      <w:r w:rsidR="00A62A04" w:rsidRPr="003E6DBB">
        <w:t xml:space="preserve">Roční přírůstek zisku po zdanění nalezneme pod položkou incremental profit after tax, přírůstek ročních odpisů pod položkou </w:t>
      </w:r>
      <w:r w:rsidRPr="003E6DBB">
        <w:t xml:space="preserve">incremental depreciation, </w:t>
      </w:r>
      <w:r w:rsidR="00A62A04" w:rsidRPr="003E6DBB">
        <w:t>změna čistého pracovního kapitálu</w:t>
      </w:r>
      <w:r w:rsidRPr="003E6DBB">
        <w:t xml:space="preserve">, jak již bylo uvedeno, pod položkou incremental capex, jakož i </w:t>
      </w:r>
      <w:r w:rsidR="00A62A04" w:rsidRPr="003E6DBB">
        <w:t xml:space="preserve">příjem z prodeje dlouhodobého majetku </w:t>
      </w:r>
      <w:r w:rsidRPr="003E6DBB">
        <w:t xml:space="preserve">pod položkou cash impact of assets sale a </w:t>
      </w:r>
      <w:r w:rsidR="00A62A04" w:rsidRPr="003E6DBB">
        <w:t>daňový efekt z prodeje dlouhodobého majetku</w:t>
      </w:r>
      <w:r w:rsidRPr="003E6DBB">
        <w:t xml:space="preserve"> pod položkou incremental adjusted taxation.</w:t>
      </w:r>
      <w:r w:rsidR="007C0793">
        <w:t xml:space="preserve"> </w:t>
      </w:r>
    </w:p>
    <w:p w:rsidR="00955A4E" w:rsidRDefault="00955A4E" w:rsidP="00A62A04">
      <w:pPr>
        <w:spacing w:line="360" w:lineRule="auto"/>
        <w:jc w:val="both"/>
      </w:pPr>
    </w:p>
    <w:p w:rsidR="007C0793" w:rsidRDefault="00955A4E" w:rsidP="00B329BD">
      <w:pPr>
        <w:pStyle w:val="Odstavecseseznamem"/>
        <w:numPr>
          <w:ilvl w:val="0"/>
          <w:numId w:val="69"/>
        </w:numPr>
        <w:spacing w:line="360" w:lineRule="auto"/>
        <w:ind w:left="754" w:hanging="357"/>
        <w:jc w:val="both"/>
      </w:pPr>
      <w:r>
        <w:t>P</w:t>
      </w:r>
      <w:r w:rsidR="007C0793">
        <w:t>eněžní příjem za 4Q 2008 můžeme určit jako P = 4427,5 + 41,7 + 0 + 0 + 0 = 4469,2.</w:t>
      </w:r>
    </w:p>
    <w:p w:rsidR="00955A4E" w:rsidRDefault="00955A4E" w:rsidP="00A62A04">
      <w:pPr>
        <w:spacing w:line="360" w:lineRule="auto"/>
        <w:jc w:val="both"/>
      </w:pPr>
    </w:p>
    <w:p w:rsidR="007C0793" w:rsidRDefault="007C0793" w:rsidP="00A62A04">
      <w:pPr>
        <w:spacing w:line="360" w:lineRule="auto"/>
        <w:jc w:val="both"/>
      </w:pPr>
      <w:r>
        <w:t xml:space="preserve">     Z uvedené analýzy je patrné, že podnik respektuje obecné principy predikce peněžních toků a vymezuje kapitálové výdaje i peněžní příjmy v souladu se zavedeným modelovým vyjádřením.</w:t>
      </w:r>
      <w:r w:rsidR="00955A4E">
        <w:t xml:space="preserve"> V této oblasti tedy nelze spatřovat žádné rezervy.</w:t>
      </w:r>
    </w:p>
    <w:p w:rsidR="00A62A04" w:rsidRDefault="007C0793" w:rsidP="00A62A04">
      <w:pPr>
        <w:spacing w:line="360" w:lineRule="auto"/>
        <w:jc w:val="both"/>
      </w:pPr>
      <w:r>
        <w:t xml:space="preserve"> </w:t>
      </w:r>
    </w:p>
    <w:p w:rsidR="00E12DE0" w:rsidRPr="00E12DE0" w:rsidRDefault="001B7560" w:rsidP="001B7560">
      <w:pPr>
        <w:pStyle w:val="Nadpis2"/>
        <w:ind w:left="0" w:firstLine="0"/>
        <w:rPr>
          <w:b w:val="0"/>
          <w:sz w:val="28"/>
          <w:szCs w:val="28"/>
        </w:rPr>
      </w:pPr>
      <w:r>
        <w:rPr>
          <w:b w:val="0"/>
          <w:sz w:val="28"/>
          <w:szCs w:val="28"/>
        </w:rPr>
        <w:lastRenderedPageBreak/>
        <w:t xml:space="preserve">  </w:t>
      </w:r>
      <w:bookmarkStart w:id="501" w:name="_Toc233044427"/>
      <w:r w:rsidR="00E12DE0" w:rsidRPr="00E12DE0">
        <w:rPr>
          <w:b w:val="0"/>
          <w:sz w:val="28"/>
          <w:szCs w:val="28"/>
        </w:rPr>
        <w:t>Určení podnikové diskontní sazby</w:t>
      </w:r>
      <w:bookmarkEnd w:id="501"/>
    </w:p>
    <w:p w:rsidR="00E12DE0" w:rsidRDefault="00E12DE0" w:rsidP="003076BE">
      <w:pPr>
        <w:spacing w:line="360" w:lineRule="auto"/>
        <w:jc w:val="both"/>
      </w:pPr>
    </w:p>
    <w:p w:rsidR="00955A4E" w:rsidRDefault="003076BE" w:rsidP="003076BE">
      <w:pPr>
        <w:spacing w:line="360" w:lineRule="auto"/>
        <w:jc w:val="both"/>
      </w:pPr>
      <w:r>
        <w:t xml:space="preserve">     </w:t>
      </w:r>
      <w:r w:rsidR="00E12DE0">
        <w:t>Určení podnikové diskontní sazby je v souladu s teoretickými východisky vedle určení peněžních toků druhým klíčovým faktorem hodnocení ekonomické efektivnosti investi</w:t>
      </w:r>
      <w:r w:rsidR="00C92C9B">
        <w:t>c</w:t>
      </w:r>
      <w:r w:rsidR="00E12DE0">
        <w:t xml:space="preserve">. </w:t>
      </w:r>
    </w:p>
    <w:p w:rsidR="003076BE" w:rsidRDefault="00955A4E" w:rsidP="003076BE">
      <w:pPr>
        <w:spacing w:line="360" w:lineRule="auto"/>
        <w:jc w:val="both"/>
      </w:pPr>
      <w:r>
        <w:t xml:space="preserve">     </w:t>
      </w:r>
      <w:r w:rsidR="00E12DE0">
        <w:t>P</w:t>
      </w:r>
      <w:r w:rsidR="003076BE">
        <w:t>odnik používá výlučně nominální diskontní sazbu ve výši 15% a to pro všechny typy navrhovaných investic založených na modelu čisté současné hodnoty. Tuto hodnotu používá historicky na základě výpočtu poradenské společnosti. Podívejme se nyní, zda tato hodnota odpovídá podnikovým nákladům</w:t>
      </w:r>
      <w:r w:rsidR="00912E5E">
        <w:t xml:space="preserve"> na</w:t>
      </w:r>
      <w:r w:rsidR="003076BE">
        <w:t xml:space="preserve"> kapitál. </w:t>
      </w:r>
    </w:p>
    <w:p w:rsidR="003076BE" w:rsidRDefault="003076BE" w:rsidP="003076BE">
      <w:pPr>
        <w:spacing w:line="360" w:lineRule="auto"/>
        <w:jc w:val="both"/>
      </w:pPr>
      <w:r>
        <w:t xml:space="preserve">     Neboť společnost Telefónica O2 Czech Republic, a.s. obchoduje své akcie na kapitálovém trhu, použijeme jako výchozí způsob stanovení výše nákladů vlastního kapitálu model oceňování kapitálových aktiv. Při výpočtu rizikové prémie, respektive </w:t>
      </w:r>
      <w:r w:rsidR="008D4226">
        <w:t>nákladů vlastního kapitálu, budeme</w:t>
      </w:r>
      <w:r>
        <w:t xml:space="preserve"> vycházet z údajů autorů, kteří se problematikou výpočtu β koeficientů, výnosností zcela nerizikových investic a výnosností tržního portfolia akcií již zabývali. </w:t>
      </w:r>
    </w:p>
    <w:p w:rsidR="003076BE" w:rsidRDefault="003076BE" w:rsidP="003076BE">
      <w:pPr>
        <w:spacing w:line="360" w:lineRule="auto"/>
        <w:jc w:val="both"/>
      </w:pPr>
      <w:r>
        <w:t xml:space="preserve">     Jak uvádí Pařenicová</w:t>
      </w:r>
      <w:r>
        <w:rPr>
          <w:rStyle w:val="Znakapoznpodarou"/>
        </w:rPr>
        <w:footnoteReference w:id="80"/>
      </w:r>
      <w:r>
        <w:t>, β koeficient společnosti Telefónica O2 Czech Republic, a.s. činí 1,31, podobnou hodnotu uvádí i Prodělal</w:t>
      </w:r>
      <w:r>
        <w:rPr>
          <w:rStyle w:val="Znakapoznpodarou"/>
        </w:rPr>
        <w:footnoteReference w:id="81"/>
      </w:r>
      <w:r>
        <w:t>, podle kterého nabývá pro uvedenou společnost hodnoty 1,34 (pro účely následného výpočtu použ</w:t>
      </w:r>
      <w:r w:rsidR="008D4226">
        <w:t>ijeme</w:t>
      </w:r>
      <w:r>
        <w:t xml:space="preserve"> střední hodnotu 1,325). Zmíněný autor dále uvádí i průměrnou výnosnost akcií zahrnutých do indexu PX za období uplynulých deseti let ve výši 13,62% a také průměrnou výnosnost státních dluhopisů ve výši 5,75%.</w:t>
      </w:r>
    </w:p>
    <w:p w:rsidR="003076BE" w:rsidRDefault="003076BE" w:rsidP="003076BE">
      <w:pPr>
        <w:spacing w:line="360" w:lineRule="auto"/>
        <w:jc w:val="both"/>
      </w:pPr>
      <w:r>
        <w:t xml:space="preserve">     I když délka časových řad údajů českého kapitálového trhu neumožňuje výsledky výpočtů nikterak generalizovat, pokusme se přesto na základě těchto údajů stanovit náklady vlastního kapitálu pomocí modelu oceňování kapitálových aktiv:</w:t>
      </w:r>
    </w:p>
    <w:p w:rsidR="003076BE" w:rsidRDefault="003076BE" w:rsidP="00A27B69">
      <w:pPr>
        <w:jc w:val="both"/>
      </w:pPr>
    </w:p>
    <w:p w:rsidR="003076BE" w:rsidRDefault="003076BE" w:rsidP="00A27B69">
      <w:pPr>
        <w:jc w:val="both"/>
      </w:pPr>
      <w:r>
        <w:t>RP = β × (R</w:t>
      </w:r>
      <w:r w:rsidRPr="00206EB0">
        <w:rPr>
          <w:position w:val="-6"/>
        </w:rPr>
        <w:t>m</w:t>
      </w:r>
      <w:r>
        <w:t xml:space="preserve"> – R</w:t>
      </w:r>
      <w:r w:rsidRPr="00206EB0">
        <w:rPr>
          <w:position w:val="-6"/>
        </w:rPr>
        <w:t>d</w:t>
      </w:r>
      <w:r>
        <w:t>) = 1,325 × (13,62 – 5,75) = 1,325 × 7,87 = 10,4.</w:t>
      </w:r>
    </w:p>
    <w:p w:rsidR="003076BE" w:rsidRDefault="003076BE" w:rsidP="00A27B69">
      <w:pPr>
        <w:jc w:val="both"/>
      </w:pPr>
    </w:p>
    <w:p w:rsidR="003076BE" w:rsidRDefault="003076BE" w:rsidP="003076BE">
      <w:pPr>
        <w:spacing w:line="360" w:lineRule="auto"/>
        <w:jc w:val="both"/>
      </w:pPr>
      <w:r>
        <w:t xml:space="preserve">     Náklady vlastního kapitálu potom stanovíme podle zavedeného vztahu:</w:t>
      </w:r>
    </w:p>
    <w:p w:rsidR="003076BE" w:rsidRDefault="003076BE" w:rsidP="00A27B69">
      <w:pPr>
        <w:jc w:val="both"/>
      </w:pPr>
    </w:p>
    <w:p w:rsidR="003076BE" w:rsidRDefault="003076BE" w:rsidP="00A27B69">
      <w:pPr>
        <w:jc w:val="both"/>
      </w:pPr>
      <w:r>
        <w:t>PV = r</w:t>
      </w:r>
      <w:r w:rsidRPr="00D964FF">
        <w:rPr>
          <w:position w:val="-6"/>
        </w:rPr>
        <w:t>0</w:t>
      </w:r>
      <w:r>
        <w:t xml:space="preserve"> + RP = 5,75 + 10,4 = 16,15%.</w:t>
      </w:r>
    </w:p>
    <w:p w:rsidR="003076BE" w:rsidRDefault="003076BE" w:rsidP="00A27B69">
      <w:pPr>
        <w:jc w:val="both"/>
      </w:pPr>
    </w:p>
    <w:p w:rsidR="003076BE" w:rsidRDefault="003076BE" w:rsidP="003076BE">
      <w:pPr>
        <w:spacing w:line="360" w:lineRule="auto"/>
        <w:jc w:val="both"/>
      </w:pPr>
      <w:r>
        <w:t xml:space="preserve">     Pokusme se nyní stanovit náklady vlastního kapitálu alternativním způsobem, jak byl popsán v teoretické části</w:t>
      </w:r>
      <w:r w:rsidR="008D4226">
        <w:t xml:space="preserve"> práce</w:t>
      </w:r>
      <w:r>
        <w:t xml:space="preserve">. K výpočtu nákladů vlastního kapitálu je třeba zjistit poměr dividendy k tržní ceně akcie, růst ceny akcií nebo dividendy. </w:t>
      </w:r>
    </w:p>
    <w:p w:rsidR="003076BE" w:rsidRDefault="003076BE" w:rsidP="003076BE">
      <w:pPr>
        <w:spacing w:line="360" w:lineRule="auto"/>
        <w:jc w:val="both"/>
      </w:pPr>
      <w:r>
        <w:t xml:space="preserve">     Průměrný roční poměr dividendového výnosu oproti tržní ceně akcie, který byl stanoven aritmetickým průměrem hodnot, vyjadřuje tabulka: </w:t>
      </w:r>
    </w:p>
    <w:p w:rsidR="003076BE" w:rsidRDefault="003076BE" w:rsidP="0091493F">
      <w:pPr>
        <w:pStyle w:val="Nzev"/>
        <w:jc w:val="both"/>
      </w:pPr>
      <w:bookmarkStart w:id="502" w:name="_Toc231112347"/>
      <w:bookmarkStart w:id="503" w:name="_Toc233044447"/>
      <w:r w:rsidRPr="000B76A6">
        <w:lastRenderedPageBreak/>
        <w:t xml:space="preserve">Tabulka č. </w:t>
      </w:r>
      <w:r w:rsidR="001346D8">
        <w:t>13</w:t>
      </w:r>
      <w:r w:rsidR="00EE717C" w:rsidRPr="000B76A6">
        <w:t xml:space="preserve"> – P</w:t>
      </w:r>
      <w:r w:rsidRPr="000B76A6">
        <w:t>růměrný roční dividendový výnos</w:t>
      </w:r>
      <w:bookmarkEnd w:id="502"/>
      <w:bookmarkEnd w:id="503"/>
    </w:p>
    <w:p w:rsidR="0091493F" w:rsidRPr="000B76A6" w:rsidRDefault="00955A4E" w:rsidP="0091493F">
      <w:pPr>
        <w:pStyle w:val="Nzev"/>
        <w:jc w:val="both"/>
      </w:pPr>
      <w:r>
        <w:rPr>
          <w:noProof/>
        </w:rPr>
        <w:drawing>
          <wp:anchor distT="0" distB="0" distL="114300" distR="114300" simplePos="0" relativeHeight="251691008" behindDoc="0" locked="0" layoutInCell="1" allowOverlap="1">
            <wp:simplePos x="0" y="0"/>
            <wp:positionH relativeFrom="column">
              <wp:posOffset>-6986</wp:posOffset>
            </wp:positionH>
            <wp:positionV relativeFrom="paragraph">
              <wp:posOffset>147320</wp:posOffset>
            </wp:positionV>
            <wp:extent cx="5400675" cy="1140576"/>
            <wp:effectExtent l="19050" t="0" r="9525" b="0"/>
            <wp:wrapNone/>
            <wp:docPr id="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a:stretch>
                      <a:fillRect/>
                    </a:stretch>
                  </pic:blipFill>
                  <pic:spPr bwMode="auto">
                    <a:xfrm>
                      <a:off x="0" y="0"/>
                      <a:ext cx="5400675" cy="1140576"/>
                    </a:xfrm>
                    <a:prstGeom prst="rect">
                      <a:avLst/>
                    </a:prstGeom>
                    <a:noFill/>
                    <a:ln w="9525">
                      <a:noFill/>
                      <a:miter lim="800000"/>
                      <a:headEnd/>
                      <a:tailEnd/>
                    </a:ln>
                  </pic:spPr>
                </pic:pic>
              </a:graphicData>
            </a:graphic>
          </wp:anchor>
        </w:drawing>
      </w:r>
    </w:p>
    <w:p w:rsidR="003076BE" w:rsidRDefault="003076BE" w:rsidP="003076BE">
      <w:pPr>
        <w:spacing w:line="360" w:lineRule="auto"/>
        <w:jc w:val="both"/>
      </w:pPr>
    </w:p>
    <w:p w:rsidR="003076BE" w:rsidRDefault="003076BE" w:rsidP="003076BE">
      <w:pPr>
        <w:spacing w:line="360" w:lineRule="auto"/>
        <w:jc w:val="both"/>
      </w:pPr>
    </w:p>
    <w:p w:rsidR="003076BE" w:rsidRDefault="003076BE" w:rsidP="003076BE">
      <w:pPr>
        <w:spacing w:line="360" w:lineRule="auto"/>
        <w:jc w:val="both"/>
      </w:pPr>
    </w:p>
    <w:p w:rsidR="003076BE" w:rsidRDefault="003076BE" w:rsidP="003076BE">
      <w:pPr>
        <w:spacing w:line="360" w:lineRule="auto"/>
        <w:jc w:val="both"/>
      </w:pPr>
    </w:p>
    <w:p w:rsidR="00955A4E" w:rsidRDefault="00955A4E" w:rsidP="003076BE">
      <w:pPr>
        <w:rPr>
          <w:sz w:val="18"/>
          <w:szCs w:val="18"/>
        </w:rPr>
      </w:pPr>
    </w:p>
    <w:p w:rsidR="00955A4E" w:rsidRDefault="00955A4E" w:rsidP="003076BE">
      <w:pPr>
        <w:rPr>
          <w:sz w:val="18"/>
          <w:szCs w:val="18"/>
        </w:rPr>
      </w:pPr>
    </w:p>
    <w:p w:rsidR="003076BE" w:rsidRPr="00955A4E" w:rsidRDefault="003076BE" w:rsidP="003076BE">
      <w:pPr>
        <w:rPr>
          <w:i/>
          <w:sz w:val="18"/>
          <w:szCs w:val="18"/>
        </w:rPr>
      </w:pPr>
      <w:r w:rsidRPr="00955A4E">
        <w:rPr>
          <w:i/>
          <w:sz w:val="18"/>
          <w:szCs w:val="18"/>
        </w:rPr>
        <w:t>Zdroj: Výroční zprávy 200</w:t>
      </w:r>
      <w:r w:rsidR="001D67F8">
        <w:rPr>
          <w:i/>
          <w:sz w:val="18"/>
          <w:szCs w:val="18"/>
        </w:rPr>
        <w:t>4</w:t>
      </w:r>
      <w:r w:rsidRPr="00955A4E">
        <w:rPr>
          <w:i/>
          <w:sz w:val="18"/>
          <w:szCs w:val="18"/>
        </w:rPr>
        <w:t xml:space="preserve"> – 2008, </w:t>
      </w:r>
      <w:r w:rsidR="000437AE" w:rsidRPr="00955A4E">
        <w:rPr>
          <w:i/>
          <w:sz w:val="18"/>
          <w:szCs w:val="18"/>
        </w:rPr>
        <w:t xml:space="preserve">dostupné na: </w:t>
      </w:r>
      <w:hyperlink r:id="rId34" w:history="1">
        <w:r w:rsidR="000437AE" w:rsidRPr="00955A4E">
          <w:rPr>
            <w:rStyle w:val="Hypertextovodkaz"/>
            <w:i/>
            <w:sz w:val="18"/>
            <w:szCs w:val="18"/>
          </w:rPr>
          <w:t>http://www.cz.o2.com/osobni/o_nas/investor_relations/vyrocni_a_pololetni_zpravy/index.html</w:t>
        </w:r>
      </w:hyperlink>
      <w:r w:rsidR="000437AE" w:rsidRPr="00955A4E">
        <w:rPr>
          <w:i/>
        </w:rPr>
        <w:t xml:space="preserve">, </w:t>
      </w:r>
      <w:r w:rsidRPr="00955A4E">
        <w:rPr>
          <w:i/>
          <w:sz w:val="18"/>
          <w:szCs w:val="18"/>
        </w:rPr>
        <w:t>propočty autora</w:t>
      </w:r>
    </w:p>
    <w:p w:rsidR="00955A4E" w:rsidRPr="000437AE" w:rsidRDefault="00955A4E" w:rsidP="003076BE"/>
    <w:p w:rsidR="003076BE" w:rsidRDefault="003076BE" w:rsidP="003076BE">
      <w:pPr>
        <w:spacing w:line="360" w:lineRule="auto"/>
        <w:jc w:val="both"/>
      </w:pPr>
      <w:r>
        <w:t xml:space="preserve">     Pro stanovení růstu ceny akcií vyjdeme z údajů o ceně akcií na kapitálovém trhu s využitím matematického aparátu zmíněného v teoretických východiscích. Průměrný roční růst ceny akcií vyjadřuje tabulka:</w:t>
      </w:r>
    </w:p>
    <w:p w:rsidR="003076BE" w:rsidRDefault="003076BE" w:rsidP="00A27B69">
      <w:pPr>
        <w:jc w:val="both"/>
      </w:pPr>
    </w:p>
    <w:p w:rsidR="003076BE" w:rsidRDefault="003076BE" w:rsidP="0091493F">
      <w:pPr>
        <w:pStyle w:val="Nzev"/>
        <w:jc w:val="both"/>
      </w:pPr>
      <w:bookmarkStart w:id="504" w:name="_Toc231112348"/>
      <w:bookmarkStart w:id="505" w:name="_Toc233044448"/>
      <w:r w:rsidRPr="000B76A6">
        <w:t>Tabulka č.</w:t>
      </w:r>
      <w:r w:rsidR="000437AE" w:rsidRPr="000B76A6">
        <w:t xml:space="preserve"> 14 – </w:t>
      </w:r>
      <w:r w:rsidRPr="000B76A6">
        <w:t>Tržní cena akcie a roční výnos</w:t>
      </w:r>
      <w:bookmarkEnd w:id="504"/>
      <w:bookmarkEnd w:id="505"/>
    </w:p>
    <w:p w:rsidR="0091493F" w:rsidRPr="000B76A6" w:rsidRDefault="00955A4E" w:rsidP="0091493F">
      <w:pPr>
        <w:pStyle w:val="Nzev"/>
        <w:jc w:val="both"/>
      </w:pPr>
      <w:r>
        <w:rPr>
          <w:noProof/>
        </w:rPr>
        <w:drawing>
          <wp:anchor distT="0" distB="0" distL="114300" distR="114300" simplePos="0" relativeHeight="251692032" behindDoc="0" locked="0" layoutInCell="1" allowOverlap="1">
            <wp:simplePos x="0" y="0"/>
            <wp:positionH relativeFrom="column">
              <wp:posOffset>12065</wp:posOffset>
            </wp:positionH>
            <wp:positionV relativeFrom="paragraph">
              <wp:posOffset>123190</wp:posOffset>
            </wp:positionV>
            <wp:extent cx="5381625" cy="1104900"/>
            <wp:effectExtent l="19050" t="0" r="9525" b="0"/>
            <wp:wrapNone/>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5381625" cy="1104900"/>
                    </a:xfrm>
                    <a:prstGeom prst="rect">
                      <a:avLst/>
                    </a:prstGeom>
                    <a:noFill/>
                    <a:ln w="9525">
                      <a:noFill/>
                      <a:miter lim="800000"/>
                      <a:headEnd/>
                      <a:tailEnd/>
                    </a:ln>
                  </pic:spPr>
                </pic:pic>
              </a:graphicData>
            </a:graphic>
          </wp:anchor>
        </w:drawing>
      </w:r>
    </w:p>
    <w:p w:rsidR="003076BE" w:rsidRDefault="003076BE" w:rsidP="003076BE">
      <w:pPr>
        <w:spacing w:line="360" w:lineRule="auto"/>
        <w:jc w:val="both"/>
      </w:pPr>
    </w:p>
    <w:p w:rsidR="003076BE" w:rsidRDefault="003076BE" w:rsidP="003076BE">
      <w:pPr>
        <w:spacing w:line="360" w:lineRule="auto"/>
        <w:jc w:val="both"/>
      </w:pPr>
      <w:r>
        <w:t xml:space="preserve"> </w:t>
      </w:r>
    </w:p>
    <w:p w:rsidR="003076BE" w:rsidRDefault="003076BE" w:rsidP="003076BE">
      <w:pPr>
        <w:spacing w:line="360" w:lineRule="auto"/>
        <w:jc w:val="both"/>
      </w:pPr>
    </w:p>
    <w:p w:rsidR="00955A4E" w:rsidRDefault="00955A4E" w:rsidP="003076BE">
      <w:pPr>
        <w:jc w:val="both"/>
        <w:rPr>
          <w:sz w:val="18"/>
          <w:szCs w:val="18"/>
        </w:rPr>
      </w:pPr>
    </w:p>
    <w:p w:rsidR="00955A4E" w:rsidRDefault="00955A4E" w:rsidP="003076BE">
      <w:pPr>
        <w:jc w:val="both"/>
        <w:rPr>
          <w:sz w:val="18"/>
          <w:szCs w:val="18"/>
        </w:rPr>
      </w:pPr>
    </w:p>
    <w:p w:rsidR="00955A4E" w:rsidRDefault="00955A4E" w:rsidP="003076BE">
      <w:pPr>
        <w:jc w:val="both"/>
        <w:rPr>
          <w:sz w:val="18"/>
          <w:szCs w:val="18"/>
        </w:rPr>
      </w:pPr>
    </w:p>
    <w:p w:rsidR="003076BE" w:rsidRPr="00955A4E" w:rsidRDefault="003076BE" w:rsidP="003076BE">
      <w:pPr>
        <w:jc w:val="both"/>
        <w:rPr>
          <w:i/>
          <w:sz w:val="18"/>
          <w:szCs w:val="18"/>
        </w:rPr>
      </w:pPr>
      <w:r w:rsidRPr="00955A4E">
        <w:rPr>
          <w:i/>
          <w:sz w:val="18"/>
          <w:szCs w:val="18"/>
        </w:rPr>
        <w:t xml:space="preserve">Zdroj: </w:t>
      </w:r>
      <w:r w:rsidR="00A55CCE">
        <w:rPr>
          <w:i/>
          <w:sz w:val="18"/>
          <w:szCs w:val="18"/>
        </w:rPr>
        <w:t>V</w:t>
      </w:r>
      <w:r w:rsidRPr="00955A4E">
        <w:rPr>
          <w:i/>
          <w:sz w:val="18"/>
          <w:szCs w:val="18"/>
        </w:rPr>
        <w:t xml:space="preserve">ývoj ceny akcií dostupný na: </w:t>
      </w:r>
      <w:hyperlink r:id="rId36" w:history="1">
        <w:r w:rsidRPr="00955A4E">
          <w:rPr>
            <w:rStyle w:val="Hypertextovodkaz"/>
            <w:i/>
            <w:sz w:val="18"/>
            <w:szCs w:val="18"/>
          </w:rPr>
          <w:t>http://www.cz.o2.com/osobni/o_nas/investor_relations/investor_relations-informace_o_akciich.html</w:t>
        </w:r>
      </w:hyperlink>
      <w:r w:rsidRPr="00955A4E">
        <w:rPr>
          <w:i/>
          <w:sz w:val="18"/>
          <w:szCs w:val="18"/>
        </w:rPr>
        <w:t xml:space="preserve">, </w:t>
      </w:r>
      <w:r w:rsidR="00B304B7" w:rsidRPr="00955A4E">
        <w:rPr>
          <w:i/>
          <w:sz w:val="18"/>
          <w:szCs w:val="18"/>
        </w:rPr>
        <w:t>propočty</w:t>
      </w:r>
      <w:r w:rsidRPr="00955A4E">
        <w:rPr>
          <w:i/>
          <w:sz w:val="18"/>
          <w:szCs w:val="18"/>
        </w:rPr>
        <w:t xml:space="preserve"> autora</w:t>
      </w:r>
    </w:p>
    <w:p w:rsidR="003076BE" w:rsidRDefault="003076BE" w:rsidP="003076BE">
      <w:pPr>
        <w:spacing w:line="360" w:lineRule="auto"/>
        <w:jc w:val="both"/>
      </w:pPr>
    </w:p>
    <w:p w:rsidR="003076BE" w:rsidRDefault="003076BE" w:rsidP="003076BE">
      <w:pPr>
        <w:spacing w:line="360" w:lineRule="auto"/>
        <w:jc w:val="both"/>
      </w:pPr>
      <w:r>
        <w:t xml:space="preserve">     Pokud jde o růst ceny dividendy, pak s přihlédnutím k prohlášení společnosti o absenci dividendové politiky a stálé částce dividendy za poslední tři období, budeme pro potřeby výpočtu považovat tuto hodnotu za nulovou</w:t>
      </w:r>
      <w:r w:rsidR="008D4226">
        <w:t>.</w:t>
      </w:r>
      <w:r>
        <w:t xml:space="preserve"> </w:t>
      </w:r>
      <w:r w:rsidR="008D4226">
        <w:t>M</w:t>
      </w:r>
      <w:r>
        <w:t>ůžeme tedy přikročit k výpočtu:</w:t>
      </w:r>
    </w:p>
    <w:p w:rsidR="003076BE" w:rsidRDefault="003076BE" w:rsidP="00A27B69">
      <w:pPr>
        <w:jc w:val="both"/>
      </w:pPr>
    </w:p>
    <w:p w:rsidR="003076BE" w:rsidRDefault="003076BE" w:rsidP="00A27B69">
      <w:pPr>
        <w:jc w:val="both"/>
      </w:pPr>
      <w:r>
        <w:t>PV = dividenda/cena akcie + růst ceny akcií nebo růst dividend = 7,91 + 6,99 + 0 = 14,9%.</w:t>
      </w:r>
    </w:p>
    <w:p w:rsidR="003076BE" w:rsidRDefault="003076BE" w:rsidP="00A27B69">
      <w:pPr>
        <w:jc w:val="both"/>
      </w:pPr>
    </w:p>
    <w:p w:rsidR="003076BE" w:rsidRDefault="003076BE" w:rsidP="003076BE">
      <w:pPr>
        <w:spacing w:line="360" w:lineRule="auto"/>
        <w:jc w:val="both"/>
      </w:pPr>
      <w:r>
        <w:t xml:space="preserve">     Jak je patrné, že ani druhý způsob výpočtu nepracuje s delší časovou řadou, přesto můžeme považovat tento způsob výpočtu nákladů vlastního kapitálu za relevantnější a s hodnotou 14,9% dále pracovat. Pokud jde o velikost vlastního kapitálu, můžeme ji určit součinem průměrné tržní ceny akcie v období 2004 – 2008 (461,47) a počtem akcií (322089900), výsledkem je tedy hodnota 148 635 mil. Kč. </w:t>
      </w:r>
    </w:p>
    <w:p w:rsidR="003076BE" w:rsidRDefault="003076BE" w:rsidP="003076BE">
      <w:pPr>
        <w:spacing w:line="360" w:lineRule="auto"/>
        <w:jc w:val="both"/>
      </w:pPr>
      <w:r>
        <w:t xml:space="preserve">      Stanovení nákladů cizího kapitálu bude o poznání jednodušší, vyjdeme z jednotlivých položek zpoplatněného cizího kapitálu evidovaných v účetnictví, respektive z míry jejich zpoplatnění. Náklady cizího kapitálu stanovíme s přihlédnutím k míře jejich zpoplatnění a </w:t>
      </w:r>
      <w:r>
        <w:lastRenderedPageBreak/>
        <w:t>jejich váze na celkové výši cizího zpoplatněného kapitálu za období 2004 – 2008. Z údajů společnosti vyplývají skutečnosti uvedené v tabulce:</w:t>
      </w:r>
    </w:p>
    <w:p w:rsidR="003076BE" w:rsidRDefault="003076BE" w:rsidP="00A27B69">
      <w:pPr>
        <w:jc w:val="both"/>
      </w:pPr>
    </w:p>
    <w:p w:rsidR="003076BE" w:rsidRPr="000B76A6" w:rsidRDefault="003076BE" w:rsidP="0091493F">
      <w:pPr>
        <w:pStyle w:val="Nzev"/>
        <w:jc w:val="both"/>
      </w:pPr>
      <w:bookmarkStart w:id="506" w:name="_Toc231112349"/>
      <w:bookmarkStart w:id="507" w:name="_Toc233044449"/>
      <w:r w:rsidRPr="000B76A6">
        <w:t xml:space="preserve">Tabulka č. </w:t>
      </w:r>
      <w:r w:rsidR="00B304B7" w:rsidRPr="000B76A6">
        <w:t xml:space="preserve">15 – </w:t>
      </w:r>
      <w:r w:rsidRPr="000B76A6">
        <w:t>Cizí zpoplatněný kapitál</w:t>
      </w:r>
      <w:bookmarkEnd w:id="506"/>
      <w:bookmarkEnd w:id="507"/>
    </w:p>
    <w:p w:rsidR="003076BE" w:rsidRDefault="00B304B7" w:rsidP="003076BE">
      <w:pPr>
        <w:spacing w:line="360" w:lineRule="auto"/>
        <w:jc w:val="both"/>
      </w:pPr>
      <w:r>
        <w:rPr>
          <w:noProof/>
        </w:rPr>
        <w:drawing>
          <wp:anchor distT="0" distB="0" distL="114300" distR="114300" simplePos="0" relativeHeight="251693056" behindDoc="0" locked="0" layoutInCell="1" allowOverlap="1">
            <wp:simplePos x="0" y="0"/>
            <wp:positionH relativeFrom="column">
              <wp:posOffset>15875</wp:posOffset>
            </wp:positionH>
            <wp:positionV relativeFrom="paragraph">
              <wp:posOffset>132080</wp:posOffset>
            </wp:positionV>
            <wp:extent cx="5372100" cy="1114425"/>
            <wp:effectExtent l="19050" t="0" r="0" b="0"/>
            <wp:wrapNone/>
            <wp:docPr id="2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a:stretch>
                      <a:fillRect/>
                    </a:stretch>
                  </pic:blipFill>
                  <pic:spPr bwMode="auto">
                    <a:xfrm>
                      <a:off x="0" y="0"/>
                      <a:ext cx="5373541" cy="1114724"/>
                    </a:xfrm>
                    <a:prstGeom prst="rect">
                      <a:avLst/>
                    </a:prstGeom>
                    <a:noFill/>
                    <a:ln w="9525">
                      <a:noFill/>
                      <a:miter lim="800000"/>
                      <a:headEnd/>
                      <a:tailEnd/>
                    </a:ln>
                  </pic:spPr>
                </pic:pic>
              </a:graphicData>
            </a:graphic>
          </wp:anchor>
        </w:drawing>
      </w:r>
    </w:p>
    <w:p w:rsidR="003076BE" w:rsidRDefault="003076BE" w:rsidP="003076BE">
      <w:pPr>
        <w:spacing w:line="360" w:lineRule="auto"/>
        <w:jc w:val="both"/>
      </w:pPr>
    </w:p>
    <w:p w:rsidR="003076BE" w:rsidRDefault="003076BE" w:rsidP="003076BE">
      <w:pPr>
        <w:spacing w:line="360" w:lineRule="auto"/>
        <w:jc w:val="both"/>
      </w:pPr>
    </w:p>
    <w:p w:rsidR="003076BE" w:rsidRDefault="003076BE" w:rsidP="003076BE">
      <w:pPr>
        <w:spacing w:line="360" w:lineRule="auto"/>
        <w:jc w:val="both"/>
      </w:pPr>
    </w:p>
    <w:p w:rsidR="003076BE" w:rsidRDefault="003076BE" w:rsidP="003076BE">
      <w:pPr>
        <w:spacing w:line="360" w:lineRule="auto"/>
        <w:jc w:val="both"/>
      </w:pPr>
      <w:r>
        <w:t xml:space="preserve">      </w:t>
      </w:r>
    </w:p>
    <w:p w:rsidR="00A27B69" w:rsidRDefault="00A27B69" w:rsidP="003076BE">
      <w:pPr>
        <w:rPr>
          <w:sz w:val="18"/>
          <w:szCs w:val="18"/>
        </w:rPr>
      </w:pPr>
    </w:p>
    <w:p w:rsidR="00C92C9B" w:rsidRPr="00955A4E" w:rsidRDefault="003076BE" w:rsidP="003076BE">
      <w:pPr>
        <w:rPr>
          <w:i/>
          <w:sz w:val="18"/>
          <w:szCs w:val="18"/>
        </w:rPr>
      </w:pPr>
      <w:r w:rsidRPr="00955A4E">
        <w:rPr>
          <w:i/>
          <w:sz w:val="18"/>
          <w:szCs w:val="18"/>
        </w:rPr>
        <w:t xml:space="preserve">Zdroj: </w:t>
      </w:r>
      <w:r w:rsidR="00423A71" w:rsidRPr="00955A4E">
        <w:rPr>
          <w:i/>
          <w:sz w:val="18"/>
          <w:szCs w:val="18"/>
        </w:rPr>
        <w:t>Výroční zprávy 200</w:t>
      </w:r>
      <w:r w:rsidR="00423A71">
        <w:rPr>
          <w:i/>
          <w:sz w:val="18"/>
          <w:szCs w:val="18"/>
        </w:rPr>
        <w:t>4</w:t>
      </w:r>
      <w:r w:rsidR="00423A71" w:rsidRPr="00955A4E">
        <w:rPr>
          <w:i/>
          <w:sz w:val="18"/>
          <w:szCs w:val="18"/>
        </w:rPr>
        <w:t xml:space="preserve"> – 2008, dostupné na:</w:t>
      </w:r>
      <w:r w:rsidR="00423A71">
        <w:rPr>
          <w:i/>
          <w:sz w:val="18"/>
          <w:szCs w:val="18"/>
        </w:rPr>
        <w:t xml:space="preserve"> </w:t>
      </w:r>
      <w:hyperlink r:id="rId38" w:history="1">
        <w:r w:rsidR="00423A71" w:rsidRPr="00955A4E">
          <w:rPr>
            <w:rStyle w:val="Hypertextovodkaz"/>
            <w:i/>
            <w:sz w:val="18"/>
            <w:szCs w:val="18"/>
          </w:rPr>
          <w:t>http://www.cz.o2.com/osobni/o_nas/investor_relations/vyrocni_a_pololetni_zpravy/index.html</w:t>
        </w:r>
      </w:hyperlink>
      <w:r w:rsidR="00423A71" w:rsidRPr="00955A4E">
        <w:rPr>
          <w:i/>
        </w:rPr>
        <w:t xml:space="preserve">, </w:t>
      </w:r>
      <w:r w:rsidR="00423A71" w:rsidRPr="00955A4E">
        <w:rPr>
          <w:i/>
          <w:sz w:val="18"/>
          <w:szCs w:val="18"/>
        </w:rPr>
        <w:t>propočty autora</w:t>
      </w:r>
    </w:p>
    <w:p w:rsidR="00955A4E" w:rsidRPr="00BD140F" w:rsidRDefault="00955A4E" w:rsidP="003076BE">
      <w:pPr>
        <w:rPr>
          <w:sz w:val="18"/>
          <w:szCs w:val="18"/>
        </w:rPr>
      </w:pPr>
    </w:p>
    <w:p w:rsidR="003076BE" w:rsidRDefault="003076BE" w:rsidP="003076BE">
      <w:pPr>
        <w:spacing w:line="360" w:lineRule="auto"/>
        <w:jc w:val="both"/>
      </w:pPr>
      <w:r>
        <w:t xml:space="preserve">     Na základě těchto údajů činí vážený průměr nákladů cizího zpoplatněného kapitálu hodnotu 5,13%, přičemž celková velikost cizího zpoplatněného kapitálu činí 11 246 mil. Kč.</w:t>
      </w:r>
    </w:p>
    <w:p w:rsidR="003076BE" w:rsidRDefault="003076BE" w:rsidP="003076BE">
      <w:pPr>
        <w:spacing w:line="360" w:lineRule="auto"/>
        <w:jc w:val="both"/>
      </w:pPr>
      <w:r>
        <w:t xml:space="preserve">     Přistupme nyní ke stanovení podnikových nákladů </w:t>
      </w:r>
      <w:r w:rsidR="00C92C9B">
        <w:t xml:space="preserve">na </w:t>
      </w:r>
      <w:r>
        <w:t>kapitálu, podle vztahu zavedené</w:t>
      </w:r>
      <w:r w:rsidR="00912E5E">
        <w:t>ho</w:t>
      </w:r>
      <w:r>
        <w:t xml:space="preserve"> v teoretické části práce</w:t>
      </w:r>
      <w:r w:rsidR="00C92C9B">
        <w:t xml:space="preserve"> za použití </w:t>
      </w:r>
      <w:r>
        <w:t>průměrné sazbě daně</w:t>
      </w:r>
      <w:r w:rsidR="00912E5E">
        <w:t xml:space="preserve"> za sledované období </w:t>
      </w:r>
      <w:r>
        <w:t xml:space="preserve">ve výši 24,6%: </w:t>
      </w:r>
    </w:p>
    <w:p w:rsidR="003076BE" w:rsidRDefault="003076BE" w:rsidP="00A27B69">
      <w:pPr>
        <w:jc w:val="both"/>
      </w:pPr>
    </w:p>
    <w:p w:rsidR="003076BE" w:rsidRDefault="003076BE" w:rsidP="00A27B69">
      <w:pPr>
        <w:jc w:val="both"/>
      </w:pPr>
      <w:r>
        <w:t>n</w:t>
      </w:r>
      <w:r w:rsidRPr="006176F3">
        <w:rPr>
          <w:position w:val="-6"/>
        </w:rPr>
        <w:t>k</w:t>
      </w:r>
      <w:r>
        <w:t xml:space="preserve"> =  </w:t>
      </w:r>
      <m:oMath>
        <m:f>
          <m:fPr>
            <m:ctrlPr>
              <w:rPr>
                <w:rFonts w:ascii="Cambria Math" w:hAnsi="Cambria Math"/>
                <w:i/>
              </w:rPr>
            </m:ctrlPr>
          </m:fPr>
          <m:num>
            <m:r>
              <w:rPr>
                <w:rFonts w:ascii="Cambria Math" w:hAnsi="Cambria Math"/>
              </w:rPr>
              <m:t>148 635</m:t>
            </m:r>
          </m:num>
          <m:den>
            <m:r>
              <w:rPr>
                <w:rFonts w:ascii="Cambria Math" w:hAnsi="Cambria Math"/>
              </w:rPr>
              <m:t>159 881</m:t>
            </m:r>
          </m:den>
        </m:f>
        <m:r>
          <w:rPr>
            <w:rFonts w:ascii="Cambria Math" w:hAnsi="Cambria Math"/>
          </w:rPr>
          <m:t xml:space="preserve"> ×14,9 + </m:t>
        </m:r>
        <m:f>
          <m:fPr>
            <m:ctrlPr>
              <w:rPr>
                <w:rFonts w:ascii="Cambria Math" w:hAnsi="Cambria Math"/>
                <w:i/>
              </w:rPr>
            </m:ctrlPr>
          </m:fPr>
          <m:num>
            <m:r>
              <w:rPr>
                <w:rFonts w:ascii="Cambria Math" w:hAnsi="Cambria Math"/>
              </w:rPr>
              <m:t>11 246</m:t>
            </m:r>
          </m:num>
          <m:den>
            <m:r>
              <w:rPr>
                <w:rFonts w:ascii="Cambria Math" w:hAnsi="Cambria Math"/>
              </w:rPr>
              <m:t>159 881</m:t>
            </m:r>
          </m:den>
        </m:f>
        <m:r>
          <w:rPr>
            <w:rFonts w:ascii="Cambria Math" w:hAnsi="Cambria Math"/>
          </w:rPr>
          <m:t xml:space="preserve"> × </m:t>
        </m:r>
        <m:d>
          <m:dPr>
            <m:ctrlPr>
              <w:rPr>
                <w:rFonts w:ascii="Cambria Math" w:hAnsi="Cambria Math"/>
                <w:i/>
              </w:rPr>
            </m:ctrlPr>
          </m:dPr>
          <m:e>
            <m:r>
              <w:rPr>
                <w:rFonts w:ascii="Cambria Math" w:hAnsi="Cambria Math"/>
              </w:rPr>
              <m:t>1-0,246</m:t>
            </m:r>
          </m:e>
        </m:d>
        <m:r>
          <w:rPr>
            <w:rFonts w:ascii="Cambria Math" w:hAnsi="Cambria Math"/>
          </w:rPr>
          <m:t xml:space="preserve"> ×5,13</m:t>
        </m:r>
      </m:oMath>
      <w:r>
        <w:t xml:space="preserve"> = 13,85 + 0,27 = 14,12%.</w:t>
      </w:r>
    </w:p>
    <w:p w:rsidR="003076BE" w:rsidRDefault="003076BE" w:rsidP="00A27B69">
      <w:pPr>
        <w:jc w:val="both"/>
      </w:pPr>
    </w:p>
    <w:p w:rsidR="00C92C9B" w:rsidRDefault="003076BE" w:rsidP="003076BE">
      <w:pPr>
        <w:spacing w:line="360" w:lineRule="auto"/>
        <w:jc w:val="both"/>
      </w:pPr>
      <w:r>
        <w:t xml:space="preserve">     Používání diskontní sazby podnikem ve výši 15%</w:t>
      </w:r>
      <w:r w:rsidR="003B73A9">
        <w:t xml:space="preserve"> </w:t>
      </w:r>
      <w:r>
        <w:t>se v souvislosti s provedenými výpočty j</w:t>
      </w:r>
      <w:r w:rsidR="00912E5E">
        <w:t>eví jako opodstatněné, neboť nominálně vyjadřuje podnikové náklady na kapitál</w:t>
      </w:r>
      <w:r w:rsidR="00C92C9B">
        <w:t>, nedochází</w:t>
      </w:r>
      <w:r>
        <w:t xml:space="preserve"> tedy k neopodstatněnému podhodnocování či nadhodnocování čisté současné hodnoty projekt</w:t>
      </w:r>
      <w:r w:rsidR="00912E5E">
        <w:t>ů</w:t>
      </w:r>
      <w:r>
        <w:t>, respektive k prodlužování či zkracování doby návratnosti.</w:t>
      </w:r>
      <w:r w:rsidR="00792FE1">
        <w:t xml:space="preserve"> </w:t>
      </w:r>
      <w:r w:rsidR="003B73A9">
        <w:t>Neboť společnost vyjadřuje efekty investice v kvartálním souhrnu, použijme matematický aparát zmíněný v teoretické části práce a proveďme výpočet kvartální diskontní sazby:</w:t>
      </w:r>
      <w:r w:rsidR="00C92C9B">
        <w:t xml:space="preserve"> </w:t>
      </w:r>
    </w:p>
    <w:p w:rsidR="00C92C9B" w:rsidRDefault="00C92C9B" w:rsidP="003076BE">
      <w:pPr>
        <w:spacing w:line="360" w:lineRule="auto"/>
        <w:jc w:val="both"/>
      </w:pPr>
    </w:p>
    <w:p w:rsidR="00792FE1" w:rsidRPr="00C92C9B" w:rsidRDefault="00792FE1" w:rsidP="003076BE">
      <w:pPr>
        <w:spacing w:line="360" w:lineRule="auto"/>
        <w:jc w:val="both"/>
      </w:pPr>
      <m:oMath>
        <m:r>
          <w:rPr>
            <w:rFonts w:ascii="Cambria Math" w:hAnsi="Cambria Math"/>
          </w:rPr>
          <m:t>d</m:t>
        </m:r>
        <m:r>
          <w:rPr>
            <w:rFonts w:ascii="Cambria Math" w:hAnsi="Cambria Math"/>
            <w:position w:val="-6"/>
          </w:rPr>
          <m:t>u</m:t>
        </m:r>
        <m:r>
          <w:rPr>
            <w:rFonts w:ascii="Cambria Math"/>
          </w:rPr>
          <m:t xml:space="preserve"> = </m:t>
        </m:r>
        <m:rad>
          <m:radPr>
            <m:ctrlPr>
              <w:rPr>
                <w:rFonts w:ascii="Cambria Math" w:hAnsi="Cambria Math"/>
                <w:i/>
              </w:rPr>
            </m:ctrlPr>
          </m:radPr>
          <m:deg>
            <m:r>
              <w:rPr>
                <w:rFonts w:ascii="Cambria Math" w:hAnsi="Cambria Math"/>
              </w:rPr>
              <m:t>n</m:t>
            </m:r>
          </m:deg>
          <m:e>
            <m:r>
              <w:rPr>
                <w:rFonts w:ascii="Cambria Math"/>
              </w:rPr>
              <m:t>1 +</m:t>
            </m:r>
            <m:r>
              <w:rPr>
                <w:rFonts w:ascii="Cambria Math" w:hAnsi="Cambria Math"/>
              </w:rPr>
              <m:t>d</m:t>
            </m:r>
            <m:r>
              <w:rPr>
                <w:rFonts w:ascii="Cambria Math"/>
              </w:rPr>
              <m:t xml:space="preserve"> </m:t>
            </m:r>
          </m:e>
        </m:rad>
        <m:r>
          <w:rPr>
            <w:rFonts w:ascii="Cambria Math"/>
          </w:rPr>
          <m:t xml:space="preserve"> </m:t>
        </m:r>
        <m:r>
          <w:rPr>
            <w:rFonts w:ascii="Cambria Math"/>
          </w:rPr>
          <m:t>-</m:t>
        </m:r>
        <m:r>
          <w:rPr>
            <w:rFonts w:ascii="Cambria Math"/>
          </w:rPr>
          <m:t>1</m:t>
        </m:r>
      </m:oMath>
      <w:r w:rsidRPr="00C92C9B">
        <w:t xml:space="preserve"> = </w:t>
      </w:r>
      <m:oMath>
        <m:rad>
          <m:radPr>
            <m:ctrlPr>
              <w:rPr>
                <w:rFonts w:ascii="Cambria Math" w:hAnsi="Cambria Math"/>
                <w:i/>
              </w:rPr>
            </m:ctrlPr>
          </m:radPr>
          <m:deg>
            <m:r>
              <w:rPr>
                <w:rFonts w:ascii="Cambria Math"/>
              </w:rPr>
              <m:t>4</m:t>
            </m:r>
          </m:deg>
          <m:e>
            <m:r>
              <w:rPr>
                <w:rFonts w:ascii="Cambria Math"/>
              </w:rPr>
              <m:t xml:space="preserve">1 +0,15 </m:t>
            </m:r>
          </m:e>
        </m:rad>
        <m:r>
          <w:rPr>
            <w:rFonts w:ascii="Cambria Math"/>
          </w:rPr>
          <m:t xml:space="preserve"> </m:t>
        </m:r>
        <m:r>
          <w:rPr>
            <w:rFonts w:ascii="Cambria Math"/>
          </w:rPr>
          <m:t>-</m:t>
        </m:r>
        <m:r>
          <w:rPr>
            <w:rFonts w:ascii="Cambria Math"/>
          </w:rPr>
          <m:t>1</m:t>
        </m:r>
      </m:oMath>
      <w:r w:rsidRPr="00C92C9B">
        <w:t xml:space="preserve"> = 1,0356 – 1 = 0,0356 = 3,56 %.</w:t>
      </w:r>
    </w:p>
    <w:p w:rsidR="00792FE1" w:rsidRDefault="00792FE1" w:rsidP="003076BE">
      <w:pPr>
        <w:spacing w:line="360" w:lineRule="auto"/>
        <w:jc w:val="both"/>
      </w:pPr>
    </w:p>
    <w:p w:rsidR="00792FE1" w:rsidRDefault="00792FE1" w:rsidP="003076BE">
      <w:pPr>
        <w:spacing w:line="360" w:lineRule="auto"/>
        <w:jc w:val="both"/>
      </w:pPr>
      <w:r>
        <w:t xml:space="preserve">     Používaná roční i kvartální diskontní sazb</w:t>
      </w:r>
      <w:r w:rsidR="00C92C9B">
        <w:t>y</w:t>
      </w:r>
      <w:r>
        <w:t xml:space="preserve"> je v souladu s teoretickými východisky.</w:t>
      </w:r>
    </w:p>
    <w:p w:rsidR="003B73A9" w:rsidRDefault="003B73A9" w:rsidP="003076BE">
      <w:pPr>
        <w:spacing w:line="360" w:lineRule="auto"/>
        <w:jc w:val="both"/>
      </w:pPr>
    </w:p>
    <w:p w:rsidR="00C92C9B" w:rsidRDefault="00C92C9B" w:rsidP="00F65CF7">
      <w:pPr>
        <w:pStyle w:val="Nzev"/>
      </w:pPr>
      <w:bookmarkStart w:id="508" w:name="_Toc233044450"/>
      <w:r>
        <w:t xml:space="preserve">Tabulka č. </w:t>
      </w:r>
      <w:r w:rsidR="001346D8">
        <w:t xml:space="preserve">16 – </w:t>
      </w:r>
      <w:r>
        <w:t>Roční a kvartální diskontní sazba používaná v rámci finanční analýzy</w:t>
      </w:r>
      <w:bookmarkEnd w:id="508"/>
    </w:p>
    <w:p w:rsidR="003B73A9" w:rsidRDefault="003B73A9" w:rsidP="003076BE">
      <w:pPr>
        <w:spacing w:line="360" w:lineRule="auto"/>
        <w:jc w:val="both"/>
      </w:pPr>
      <w:r>
        <w:rPr>
          <w:noProof/>
        </w:rPr>
        <w:drawing>
          <wp:anchor distT="0" distB="0" distL="114300" distR="114300" simplePos="0" relativeHeight="251729920" behindDoc="0" locked="0" layoutInCell="1" allowOverlap="1">
            <wp:simplePos x="0" y="0"/>
            <wp:positionH relativeFrom="column">
              <wp:posOffset>-41275</wp:posOffset>
            </wp:positionH>
            <wp:positionV relativeFrom="paragraph">
              <wp:posOffset>120015</wp:posOffset>
            </wp:positionV>
            <wp:extent cx="5429250" cy="895350"/>
            <wp:effectExtent l="19050" t="0" r="0" b="0"/>
            <wp:wrapNone/>
            <wp:docPr id="2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srcRect/>
                    <a:stretch>
                      <a:fillRect/>
                    </a:stretch>
                  </pic:blipFill>
                  <pic:spPr bwMode="auto">
                    <a:xfrm>
                      <a:off x="0" y="0"/>
                      <a:ext cx="5429250" cy="895350"/>
                    </a:xfrm>
                    <a:prstGeom prst="rect">
                      <a:avLst/>
                    </a:prstGeom>
                    <a:noFill/>
                    <a:ln w="9525">
                      <a:noFill/>
                      <a:miter lim="800000"/>
                      <a:headEnd/>
                      <a:tailEnd/>
                    </a:ln>
                  </pic:spPr>
                </pic:pic>
              </a:graphicData>
            </a:graphic>
          </wp:anchor>
        </w:drawing>
      </w:r>
    </w:p>
    <w:p w:rsidR="003B73A9" w:rsidRDefault="003B73A9" w:rsidP="003076BE">
      <w:pPr>
        <w:spacing w:line="360" w:lineRule="auto"/>
        <w:jc w:val="both"/>
      </w:pPr>
    </w:p>
    <w:p w:rsidR="003B73A9" w:rsidRDefault="003B73A9" w:rsidP="003076BE">
      <w:pPr>
        <w:spacing w:line="360" w:lineRule="auto"/>
        <w:jc w:val="both"/>
      </w:pPr>
    </w:p>
    <w:p w:rsidR="003B73A9" w:rsidRDefault="003B73A9" w:rsidP="003076BE">
      <w:pPr>
        <w:spacing w:line="360" w:lineRule="auto"/>
        <w:jc w:val="both"/>
      </w:pPr>
    </w:p>
    <w:p w:rsidR="00C92C9B" w:rsidRDefault="00C92C9B" w:rsidP="003076BE">
      <w:pPr>
        <w:spacing w:line="360" w:lineRule="auto"/>
        <w:jc w:val="both"/>
        <w:rPr>
          <w:i/>
          <w:sz w:val="18"/>
          <w:szCs w:val="18"/>
        </w:rPr>
      </w:pPr>
    </w:p>
    <w:p w:rsidR="003B73A9" w:rsidRPr="00C92C9B" w:rsidRDefault="00C92C9B" w:rsidP="003076BE">
      <w:pPr>
        <w:spacing w:line="360" w:lineRule="auto"/>
        <w:jc w:val="both"/>
        <w:rPr>
          <w:i/>
          <w:sz w:val="18"/>
          <w:szCs w:val="18"/>
        </w:rPr>
      </w:pPr>
      <w:r w:rsidRPr="00C92C9B">
        <w:rPr>
          <w:i/>
          <w:sz w:val="18"/>
          <w:szCs w:val="18"/>
        </w:rPr>
        <w:t xml:space="preserve">Zdroj: </w:t>
      </w:r>
      <w:r w:rsidR="002A3088" w:rsidRPr="00A82F06">
        <w:rPr>
          <w:i/>
          <w:sz w:val="18"/>
          <w:szCs w:val="18"/>
        </w:rPr>
        <w:t xml:space="preserve">Finanční analýza </w:t>
      </w:r>
      <w:r w:rsidR="002A3088">
        <w:rPr>
          <w:i/>
          <w:sz w:val="18"/>
          <w:szCs w:val="18"/>
        </w:rPr>
        <w:t>vybraného investičního projektu poskytnutá organizační jednotkou Korporátní finance</w:t>
      </w:r>
      <w:r w:rsidR="002A3088" w:rsidRPr="00A82F06">
        <w:rPr>
          <w:i/>
          <w:sz w:val="18"/>
          <w:szCs w:val="18"/>
        </w:rPr>
        <w:t xml:space="preserve">    </w:t>
      </w:r>
    </w:p>
    <w:p w:rsidR="003B73A9" w:rsidRPr="00C92C9B" w:rsidRDefault="001B7560" w:rsidP="001B7560">
      <w:pPr>
        <w:pStyle w:val="Nadpis2"/>
        <w:ind w:left="0" w:firstLine="0"/>
        <w:rPr>
          <w:b w:val="0"/>
          <w:sz w:val="28"/>
          <w:szCs w:val="28"/>
        </w:rPr>
      </w:pPr>
      <w:r>
        <w:rPr>
          <w:b w:val="0"/>
          <w:sz w:val="28"/>
          <w:szCs w:val="28"/>
        </w:rPr>
        <w:lastRenderedPageBreak/>
        <w:t xml:space="preserve">  </w:t>
      </w:r>
      <w:bookmarkStart w:id="509" w:name="_Toc233044428"/>
      <w:r w:rsidR="00C92C9B" w:rsidRPr="00C92C9B">
        <w:rPr>
          <w:b w:val="0"/>
          <w:sz w:val="28"/>
          <w:szCs w:val="28"/>
        </w:rPr>
        <w:t xml:space="preserve">Zohlednění </w:t>
      </w:r>
      <w:r w:rsidR="00165052">
        <w:rPr>
          <w:b w:val="0"/>
          <w:sz w:val="28"/>
          <w:szCs w:val="28"/>
        </w:rPr>
        <w:t>inflace</w:t>
      </w:r>
      <w:r w:rsidR="00C92C9B" w:rsidRPr="00C92C9B">
        <w:rPr>
          <w:b w:val="0"/>
          <w:sz w:val="28"/>
          <w:szCs w:val="28"/>
        </w:rPr>
        <w:t xml:space="preserve"> v investičním rozhodování</w:t>
      </w:r>
      <w:bookmarkEnd w:id="509"/>
    </w:p>
    <w:p w:rsidR="003B73A9" w:rsidRDefault="003B73A9" w:rsidP="003076BE">
      <w:pPr>
        <w:spacing w:line="360" w:lineRule="auto"/>
        <w:jc w:val="both"/>
      </w:pPr>
    </w:p>
    <w:p w:rsidR="00165052" w:rsidRDefault="00165052" w:rsidP="00165052">
      <w:pPr>
        <w:spacing w:line="360" w:lineRule="auto"/>
        <w:jc w:val="both"/>
      </w:pPr>
      <w:r>
        <w:t xml:space="preserve">     Zohlednění vlivu inflace v investičním rozhodování má, jak je patrné z teoretických východisek, přímou vazbu jak na peněžní toky projektu, tak na stanovenou diskontní sazbu. Podívejme se tedy, jak podnik inflaci v investičním rozhodování aplikuje. Jak již bylo uvedeno, součástí finanční analýzy standardního formátu pro investiční návrh jsou makroekonomické předpoklady, které jsou průběžně aktualizovány organizační jednotkou Korporátní finace.  Níže uvedenou tabulku tvoří příslušný list finanční analýzy.</w:t>
      </w:r>
    </w:p>
    <w:p w:rsidR="00165052" w:rsidRDefault="00165052" w:rsidP="00165052">
      <w:pPr>
        <w:spacing w:line="360" w:lineRule="auto"/>
        <w:jc w:val="both"/>
      </w:pPr>
    </w:p>
    <w:p w:rsidR="00165052" w:rsidRDefault="00165052" w:rsidP="00F65CF7">
      <w:pPr>
        <w:pStyle w:val="Nzev"/>
      </w:pPr>
      <w:bookmarkStart w:id="510" w:name="_Toc233044451"/>
      <w:r>
        <w:t xml:space="preserve">Tabulka č. </w:t>
      </w:r>
      <w:r w:rsidR="001346D8">
        <w:t xml:space="preserve">17 – </w:t>
      </w:r>
      <w:r>
        <w:t>Makroekonomické předpoklady finanční analýzy modelu</w:t>
      </w:r>
      <w:bookmarkEnd w:id="510"/>
      <w:r>
        <w:t xml:space="preserve">      </w:t>
      </w:r>
    </w:p>
    <w:p w:rsidR="00165052" w:rsidRDefault="00165052" w:rsidP="00165052">
      <w:pPr>
        <w:spacing w:line="360" w:lineRule="auto"/>
        <w:jc w:val="both"/>
      </w:pPr>
      <w:r>
        <w:rPr>
          <w:noProof/>
        </w:rPr>
        <w:drawing>
          <wp:anchor distT="0" distB="0" distL="114300" distR="114300" simplePos="0" relativeHeight="251731968" behindDoc="0" locked="0" layoutInCell="1" allowOverlap="1">
            <wp:simplePos x="0" y="0"/>
            <wp:positionH relativeFrom="column">
              <wp:posOffset>2540</wp:posOffset>
            </wp:positionH>
            <wp:positionV relativeFrom="paragraph">
              <wp:posOffset>93980</wp:posOffset>
            </wp:positionV>
            <wp:extent cx="5762625" cy="3543300"/>
            <wp:effectExtent l="19050" t="0" r="952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40"/>
                    <a:srcRect/>
                    <a:stretch>
                      <a:fillRect/>
                    </a:stretch>
                  </pic:blipFill>
                  <pic:spPr bwMode="auto">
                    <a:xfrm>
                      <a:off x="0" y="0"/>
                      <a:ext cx="5762625" cy="3543300"/>
                    </a:xfrm>
                    <a:prstGeom prst="rect">
                      <a:avLst/>
                    </a:prstGeom>
                    <a:noFill/>
                    <a:ln w="9525">
                      <a:noFill/>
                      <a:miter lim="800000"/>
                      <a:headEnd/>
                      <a:tailEnd/>
                    </a:ln>
                  </pic:spPr>
                </pic:pic>
              </a:graphicData>
            </a:graphic>
          </wp:anchor>
        </w:drawing>
      </w:r>
      <w:r>
        <w:t xml:space="preserve">    </w:t>
      </w:r>
    </w:p>
    <w:p w:rsidR="00165052" w:rsidRDefault="00165052" w:rsidP="00165052">
      <w:pPr>
        <w:spacing w:line="360" w:lineRule="auto"/>
        <w:jc w:val="both"/>
      </w:pPr>
    </w:p>
    <w:p w:rsidR="00165052" w:rsidRDefault="002B769D" w:rsidP="00165052">
      <w:pPr>
        <w:spacing w:line="360" w:lineRule="auto"/>
        <w:jc w:val="both"/>
      </w:pPr>
      <w:r>
        <w:rPr>
          <w:noProof/>
        </w:rPr>
        <w:pict>
          <v:oval id="_x0000_s1049" style="position:absolute;left:0;text-align:left;margin-left:-3.5pt;margin-top:8.75pt;width:25.45pt;height:47.25pt;z-index:251734016" filled="f" strokecolor="#c00000" strokeweight="2.25pt"/>
        </w:pict>
      </w:r>
    </w:p>
    <w:p w:rsidR="00165052" w:rsidRDefault="00165052" w:rsidP="00165052">
      <w:pPr>
        <w:spacing w:line="360" w:lineRule="auto"/>
        <w:jc w:val="both"/>
      </w:pPr>
    </w:p>
    <w:p w:rsidR="00165052" w:rsidRDefault="002B769D" w:rsidP="00165052">
      <w:pPr>
        <w:spacing w:line="360" w:lineRule="auto"/>
        <w:jc w:val="both"/>
      </w:pPr>
      <w:r>
        <w:rPr>
          <w:noProof/>
        </w:rPr>
        <w:pict>
          <v:shape id="_x0000_s1050" type="#_x0000_t32" style="position:absolute;left:0;text-align:left;margin-left:8.45pt;margin-top:14.45pt;width:51pt;height:159.75pt;z-index:251735040" o:connectortype="straight" strokecolor="#c00000">
            <v:stroke endarrow="block"/>
          </v:shape>
        </w:pict>
      </w:r>
    </w:p>
    <w:p w:rsidR="00165052" w:rsidRDefault="00165052" w:rsidP="00165052">
      <w:pPr>
        <w:spacing w:line="360" w:lineRule="auto"/>
        <w:jc w:val="both"/>
      </w:pPr>
    </w:p>
    <w:p w:rsidR="00165052" w:rsidRDefault="00165052" w:rsidP="00165052">
      <w:pPr>
        <w:spacing w:line="360" w:lineRule="auto"/>
        <w:jc w:val="both"/>
      </w:pPr>
    </w:p>
    <w:p w:rsidR="00165052" w:rsidRDefault="00165052" w:rsidP="00165052">
      <w:pPr>
        <w:spacing w:line="360" w:lineRule="auto"/>
        <w:jc w:val="both"/>
      </w:pPr>
      <w:r>
        <w:t xml:space="preserve">   </w:t>
      </w:r>
    </w:p>
    <w:p w:rsidR="00165052" w:rsidRDefault="00165052" w:rsidP="00165052">
      <w:pPr>
        <w:spacing w:line="360" w:lineRule="auto"/>
        <w:jc w:val="both"/>
      </w:pPr>
    </w:p>
    <w:p w:rsidR="00165052" w:rsidRDefault="00165052" w:rsidP="00165052">
      <w:pPr>
        <w:spacing w:line="360" w:lineRule="auto"/>
        <w:jc w:val="both"/>
      </w:pPr>
    </w:p>
    <w:p w:rsidR="00165052" w:rsidRDefault="00165052" w:rsidP="00165052">
      <w:pPr>
        <w:spacing w:line="360" w:lineRule="auto"/>
        <w:jc w:val="both"/>
      </w:pPr>
    </w:p>
    <w:p w:rsidR="00165052" w:rsidRDefault="00165052" w:rsidP="00165052">
      <w:pPr>
        <w:spacing w:line="360" w:lineRule="auto"/>
        <w:jc w:val="both"/>
      </w:pPr>
    </w:p>
    <w:p w:rsidR="00165052" w:rsidRDefault="002B769D" w:rsidP="00165052">
      <w:pPr>
        <w:spacing w:line="360" w:lineRule="auto"/>
        <w:jc w:val="both"/>
      </w:pPr>
      <w:r>
        <w:rPr>
          <w:noProof/>
        </w:rPr>
        <w:pict>
          <v:oval id="_x0000_s1048" style="position:absolute;left:0;text-align:left;margin-left:20.8pt;margin-top:4.3pt;width:182.65pt;height:40.5pt;z-index:251732992" filled="f" strokecolor="#c00000" strokeweight="2.25pt"/>
        </w:pict>
      </w:r>
    </w:p>
    <w:p w:rsidR="00165052" w:rsidRDefault="00165052" w:rsidP="00165052">
      <w:pPr>
        <w:spacing w:line="360" w:lineRule="auto"/>
        <w:jc w:val="both"/>
      </w:pPr>
    </w:p>
    <w:p w:rsidR="00165052" w:rsidRDefault="00165052" w:rsidP="00165052">
      <w:pPr>
        <w:spacing w:line="360" w:lineRule="auto"/>
        <w:jc w:val="both"/>
        <w:rPr>
          <w:i/>
          <w:sz w:val="18"/>
          <w:szCs w:val="18"/>
        </w:rPr>
      </w:pPr>
    </w:p>
    <w:p w:rsidR="00165052" w:rsidRPr="002011C9" w:rsidRDefault="00165052" w:rsidP="00165052">
      <w:pPr>
        <w:spacing w:line="360" w:lineRule="auto"/>
        <w:jc w:val="both"/>
        <w:rPr>
          <w:i/>
          <w:sz w:val="18"/>
          <w:szCs w:val="18"/>
        </w:rPr>
      </w:pPr>
      <w:r w:rsidRPr="002011C9">
        <w:rPr>
          <w:i/>
          <w:sz w:val="18"/>
          <w:szCs w:val="18"/>
        </w:rPr>
        <w:t>Zdroj:</w:t>
      </w:r>
      <w:r w:rsidR="00A55CCE">
        <w:rPr>
          <w:i/>
          <w:sz w:val="18"/>
          <w:szCs w:val="18"/>
        </w:rPr>
        <w:t>L</w:t>
      </w:r>
      <w:r w:rsidRPr="002011C9">
        <w:rPr>
          <w:i/>
          <w:sz w:val="18"/>
          <w:szCs w:val="18"/>
        </w:rPr>
        <w:t>ist vzorového dokumentu poskytnutý organizační jednotou Korporátní finance</w:t>
      </w:r>
    </w:p>
    <w:p w:rsidR="00165052" w:rsidRDefault="00165052" w:rsidP="00165052">
      <w:pPr>
        <w:spacing w:line="360" w:lineRule="auto"/>
        <w:jc w:val="both"/>
      </w:pPr>
    </w:p>
    <w:p w:rsidR="00165052" w:rsidRDefault="00165052" w:rsidP="00165052">
      <w:pPr>
        <w:spacing w:line="360" w:lineRule="auto"/>
        <w:jc w:val="both"/>
      </w:pPr>
      <w:r>
        <w:t xml:space="preserve">     </w:t>
      </w:r>
      <w:r w:rsidRPr="002011C9">
        <w:t>Jak vidíme, společnost pracuje se třemi různými cenovými indexy</w:t>
      </w:r>
      <w:r>
        <w:rPr>
          <w:rStyle w:val="Znakapoznpodarou"/>
        </w:rPr>
        <w:footnoteReference w:id="82"/>
      </w:r>
      <w:r w:rsidRPr="002011C9">
        <w:t xml:space="preserve">, s indexem cen </w:t>
      </w:r>
      <w:r>
        <w:t xml:space="preserve">průmyslových </w:t>
      </w:r>
      <w:r w:rsidRPr="002011C9">
        <w:t xml:space="preserve">výrobců, který je určován pro různá odvětví a obory, indexem spotřebitelských cen, který vyjadřuje cenovou hladinu spotřebitelského koše výrobků a služeb a </w:t>
      </w:r>
      <w:r w:rsidRPr="002011C9">
        <w:rPr>
          <w:bCs/>
        </w:rPr>
        <w:t>indexem cen tržních služeb, který zahrnuje</w:t>
      </w:r>
      <w:r w:rsidRPr="002011C9">
        <w:t xml:space="preserve"> ceny služeb v </w:t>
      </w:r>
      <w:r>
        <w:t>produkční</w:t>
      </w:r>
      <w:r w:rsidRPr="002011C9">
        <w:t xml:space="preserve"> sféře. </w:t>
      </w:r>
      <w:r>
        <w:t>Dané indexy jsou aplikovány na příslušná vstupní data modelu, což je v souladu s teoretickými východisky. Vliv inflace se zohledňuje následujícím způsobem.</w:t>
      </w:r>
    </w:p>
    <w:p w:rsidR="00165052" w:rsidRDefault="00165052" w:rsidP="00165052">
      <w:pPr>
        <w:spacing w:line="360" w:lineRule="auto"/>
        <w:jc w:val="both"/>
      </w:pPr>
      <w:r>
        <w:lastRenderedPageBreak/>
        <w:t xml:space="preserve">     Všechny vstupy jsou pro začátek odhadnuty a zavedeny ve skutečné podobě, tedy bez inflace, teprve následně jsou upraveny o míru inflaci daného roku života projektu. </w:t>
      </w:r>
    </w:p>
    <w:p w:rsidR="00165052" w:rsidRDefault="00165052" w:rsidP="00165052">
      <w:pPr>
        <w:spacing w:line="360" w:lineRule="auto"/>
        <w:jc w:val="both"/>
      </w:pPr>
      <w:r>
        <w:t xml:space="preserve">     Pokud se tedy například očekává, že ceny v prvním roce života projektu poklesnou o 20% a v dalším roce o 10%, tak pokud byla výchozí cenová úroveň 100, dostáváme hodnoty:</w:t>
      </w:r>
    </w:p>
    <w:p w:rsidR="00165052" w:rsidRDefault="00165052" w:rsidP="00165052">
      <w:pPr>
        <w:spacing w:line="360" w:lineRule="auto"/>
        <w:jc w:val="both"/>
      </w:pPr>
    </w:p>
    <w:p w:rsidR="00165052" w:rsidRDefault="00165052" w:rsidP="00B329BD">
      <w:pPr>
        <w:pStyle w:val="Odstavecseseznamem"/>
        <w:numPr>
          <w:ilvl w:val="0"/>
          <w:numId w:val="69"/>
        </w:numPr>
        <w:spacing w:line="360" w:lineRule="auto"/>
        <w:ind w:left="754" w:hanging="357"/>
        <w:jc w:val="both"/>
      </w:pPr>
      <w:r>
        <w:t>v prvním roce,</w:t>
      </w:r>
      <m:oMath>
        <m:r>
          <w:rPr>
            <w:rFonts w:ascii="Cambria Math" w:hAnsi="Cambria Math"/>
          </w:rPr>
          <m:t>100 ×0,8=80</m:t>
        </m:r>
      </m:oMath>
      <w:r>
        <w:t xml:space="preserve">,  </w:t>
      </w:r>
    </w:p>
    <w:p w:rsidR="00165052" w:rsidRDefault="00165052" w:rsidP="00B329BD">
      <w:pPr>
        <w:pStyle w:val="Odstavecseseznamem"/>
        <w:numPr>
          <w:ilvl w:val="0"/>
          <w:numId w:val="69"/>
        </w:numPr>
        <w:spacing w:line="360" w:lineRule="auto"/>
        <w:ind w:left="754" w:hanging="357"/>
        <w:jc w:val="both"/>
      </w:pPr>
      <w:r>
        <w:t xml:space="preserve">v druhém roce, </w:t>
      </w:r>
      <m:oMath>
        <m:r>
          <w:rPr>
            <w:rFonts w:ascii="Cambria Math" w:hAnsi="Cambria Math"/>
          </w:rPr>
          <m:t>100 ×0,8 ×0,9=72</m:t>
        </m:r>
      </m:oMath>
      <w:r>
        <w:t>.</w:t>
      </w:r>
    </w:p>
    <w:p w:rsidR="00165052" w:rsidRDefault="00165052" w:rsidP="00165052">
      <w:pPr>
        <w:spacing w:line="360" w:lineRule="auto"/>
        <w:jc w:val="both"/>
      </w:pPr>
    </w:p>
    <w:p w:rsidR="00165052" w:rsidRDefault="00165052" w:rsidP="00165052">
      <w:pPr>
        <w:spacing w:line="360" w:lineRule="auto"/>
        <w:jc w:val="both"/>
      </w:pPr>
      <w:r>
        <w:t xml:space="preserve">     Pokud bude míra inflace v prvním roce činit 4% a v druhém roce 5% budou výsledné ceny vstupů následující:</w:t>
      </w:r>
    </w:p>
    <w:p w:rsidR="00165052" w:rsidRDefault="00165052" w:rsidP="00165052">
      <w:pPr>
        <w:spacing w:line="360" w:lineRule="auto"/>
        <w:jc w:val="both"/>
      </w:pPr>
    </w:p>
    <w:p w:rsidR="00165052" w:rsidRDefault="00165052" w:rsidP="00B329BD">
      <w:pPr>
        <w:pStyle w:val="Odstavecseseznamem"/>
        <w:numPr>
          <w:ilvl w:val="0"/>
          <w:numId w:val="70"/>
        </w:numPr>
        <w:spacing w:line="360" w:lineRule="auto"/>
        <w:ind w:left="754" w:hanging="357"/>
        <w:jc w:val="both"/>
      </w:pPr>
      <w:r>
        <w:t>v prvním roce, 80</w:t>
      </w:r>
      <m:oMath>
        <m:r>
          <w:rPr>
            <w:rFonts w:ascii="Cambria Math" w:hAnsi="Cambria Math"/>
          </w:rPr>
          <m:t xml:space="preserve"> ×1,04=83,02</m:t>
        </m:r>
      </m:oMath>
      <w:r>
        <w:t>,</w:t>
      </w:r>
    </w:p>
    <w:p w:rsidR="00165052" w:rsidRDefault="00165052" w:rsidP="00B329BD">
      <w:pPr>
        <w:pStyle w:val="Odstavecseseznamem"/>
        <w:numPr>
          <w:ilvl w:val="0"/>
          <w:numId w:val="70"/>
        </w:numPr>
        <w:spacing w:line="360" w:lineRule="auto"/>
        <w:ind w:left="754" w:hanging="357"/>
        <w:jc w:val="both"/>
      </w:pPr>
      <w:r>
        <w:t>v druhém roce, 72</w:t>
      </w:r>
      <m:oMath>
        <m:r>
          <w:rPr>
            <w:rFonts w:ascii="Cambria Math" w:hAnsi="Cambria Math"/>
          </w:rPr>
          <m:t xml:space="preserve"> ×1,04 ×1,05=78,62 .</m:t>
        </m:r>
      </m:oMath>
    </w:p>
    <w:p w:rsidR="00165052" w:rsidRDefault="00165052" w:rsidP="00165052">
      <w:pPr>
        <w:spacing w:line="360" w:lineRule="auto"/>
        <w:jc w:val="both"/>
      </w:pPr>
    </w:p>
    <w:p w:rsidR="00165052" w:rsidRDefault="00165052" w:rsidP="00165052">
      <w:pPr>
        <w:spacing w:line="360" w:lineRule="auto"/>
        <w:jc w:val="both"/>
      </w:pPr>
      <w:r>
        <w:t xml:space="preserve">     Z uvedených souvislostí je patrné, že peněžní toky jsou v rámci standardního formátu vyjádřeny v běžných cenách. Dostáváme se tedy k dalšímu potvrzení teoretických východisek, kdy nominální peněžní toky jsou diskontovány nominální diskontní sazbou.</w:t>
      </w:r>
    </w:p>
    <w:p w:rsidR="00165052" w:rsidRDefault="00165052" w:rsidP="00165052">
      <w:pPr>
        <w:spacing w:line="360" w:lineRule="auto"/>
        <w:jc w:val="both"/>
      </w:pPr>
      <w:r>
        <w:t xml:space="preserve">     Potvrzení teoretických východisek můžeme konstatovat i u samotného vyjádření nominálních hodnot. Vyjádření hodnot ve stálých cenách by nebylo vhodné, neboť míra inflace je u některých indexů vyšší než 1 – 2 %, přičemž tempa míry inflace vstupů a výstupů jsou odlišná. </w:t>
      </w:r>
    </w:p>
    <w:p w:rsidR="00165052" w:rsidRDefault="00165052" w:rsidP="003076BE">
      <w:pPr>
        <w:spacing w:line="360" w:lineRule="auto"/>
        <w:jc w:val="both"/>
      </w:pPr>
    </w:p>
    <w:p w:rsidR="00354A48" w:rsidRPr="008818E9" w:rsidRDefault="001B7560" w:rsidP="001B7560">
      <w:pPr>
        <w:pStyle w:val="Nadpis2"/>
        <w:ind w:left="0" w:firstLine="0"/>
        <w:rPr>
          <w:b w:val="0"/>
          <w:sz w:val="28"/>
          <w:szCs w:val="28"/>
        </w:rPr>
      </w:pPr>
      <w:r>
        <w:rPr>
          <w:b w:val="0"/>
          <w:sz w:val="28"/>
          <w:szCs w:val="28"/>
        </w:rPr>
        <w:t xml:space="preserve">  </w:t>
      </w:r>
      <w:bookmarkStart w:id="511" w:name="_Toc233044429"/>
      <w:r w:rsidR="008818E9" w:rsidRPr="008818E9">
        <w:rPr>
          <w:b w:val="0"/>
          <w:sz w:val="28"/>
          <w:szCs w:val="28"/>
        </w:rPr>
        <w:t>Zohlednění rizika v investičním rozhodování</w:t>
      </w:r>
      <w:bookmarkEnd w:id="511"/>
    </w:p>
    <w:p w:rsidR="00354A48" w:rsidRDefault="00354A48" w:rsidP="003076BE">
      <w:pPr>
        <w:spacing w:line="360" w:lineRule="auto"/>
        <w:jc w:val="both"/>
      </w:pPr>
    </w:p>
    <w:p w:rsidR="00984FD7" w:rsidRDefault="003076BE" w:rsidP="00984FD7">
      <w:pPr>
        <w:spacing w:line="360" w:lineRule="auto"/>
        <w:jc w:val="both"/>
      </w:pPr>
      <w:r>
        <w:t xml:space="preserve">     Riziko je v rámci standardního formátu pro investiční návrh</w:t>
      </w:r>
      <w:r w:rsidR="00984FD7">
        <w:t>, jak již bylo uvedeno,</w:t>
      </w:r>
      <w:r>
        <w:t xml:space="preserve"> vyjádřeno v podobě analýzy citlivosti, respektive analýzy scénářů.</w:t>
      </w:r>
      <w:r w:rsidR="00984FD7">
        <w:t xml:space="preserve"> Cílem je identifikovat rizika návrhu spojená se změnami klíčových proměnných a předpokladů, které jsou kritické pro přesnost modelu. </w:t>
      </w:r>
    </w:p>
    <w:p w:rsidR="00984FD7" w:rsidRDefault="00984FD7" w:rsidP="00984FD7">
      <w:pPr>
        <w:spacing w:line="360" w:lineRule="auto"/>
        <w:jc w:val="both"/>
      </w:pPr>
      <w:r>
        <w:t xml:space="preserve">     Předkladatel musí tyto proměnné identifikovat a zejména potom vysvětlit okolnosti jejich změny a také jaká jsou pravděpodobná rozmezí jejich hodnot. V návaznosti na tento krok pak musí zjistit dopad změn klíčových proměnných o stejnou relativní hodnotu v každém roce životnosti návrhu na čistou současnou hodnotu modelu a tyto výsledky podle míry vlivu sestupně uspořádat. Příklad takového výsledku vyjadřuje graf: </w:t>
      </w:r>
    </w:p>
    <w:p w:rsidR="00984FD7" w:rsidRDefault="00984FD7" w:rsidP="003076BE">
      <w:pPr>
        <w:spacing w:line="360" w:lineRule="auto"/>
        <w:jc w:val="both"/>
      </w:pPr>
    </w:p>
    <w:p w:rsidR="00984FD7" w:rsidRPr="00CA662C" w:rsidRDefault="00984FD7" w:rsidP="00984FD7">
      <w:pPr>
        <w:pStyle w:val="Titulek"/>
        <w:spacing w:before="0" w:after="0"/>
      </w:pPr>
      <w:bookmarkStart w:id="512" w:name="_Toc233044460"/>
      <w:r w:rsidRPr="00CA662C">
        <w:lastRenderedPageBreak/>
        <w:t xml:space="preserve">Graf č. </w:t>
      </w:r>
      <w:r w:rsidR="00F65CF7">
        <w:t>5</w:t>
      </w:r>
      <w:r w:rsidRPr="00CA662C">
        <w:t xml:space="preserve"> – Vliv změny klíčových předpokladů na čistou současnou hodnotu modelu</w:t>
      </w:r>
      <w:bookmarkEnd w:id="512"/>
    </w:p>
    <w:p w:rsidR="00984FD7" w:rsidRDefault="00984FD7" w:rsidP="003076BE">
      <w:pPr>
        <w:spacing w:line="360" w:lineRule="auto"/>
        <w:jc w:val="both"/>
      </w:pPr>
    </w:p>
    <w:p w:rsidR="00984FD7" w:rsidRDefault="00984FD7" w:rsidP="003076BE">
      <w:pPr>
        <w:spacing w:line="360" w:lineRule="auto"/>
        <w:jc w:val="both"/>
      </w:pPr>
      <w:r w:rsidRPr="00984FD7">
        <w:rPr>
          <w:noProof/>
        </w:rPr>
        <w:drawing>
          <wp:inline distT="0" distB="0" distL="0" distR="0">
            <wp:extent cx="5715000" cy="3552825"/>
            <wp:effectExtent l="19050" t="0" r="19050" b="0"/>
            <wp:docPr id="3" name="objek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84FD7" w:rsidRDefault="00984FD7" w:rsidP="00984FD7">
      <w:pPr>
        <w:spacing w:line="360" w:lineRule="auto"/>
        <w:jc w:val="both"/>
        <w:rPr>
          <w:i/>
          <w:sz w:val="18"/>
          <w:szCs w:val="18"/>
        </w:rPr>
      </w:pPr>
    </w:p>
    <w:p w:rsidR="00984FD7" w:rsidRPr="00984FD7" w:rsidRDefault="00984FD7" w:rsidP="00984FD7">
      <w:pPr>
        <w:spacing w:line="360" w:lineRule="auto"/>
        <w:jc w:val="both"/>
        <w:rPr>
          <w:i/>
          <w:sz w:val="18"/>
          <w:szCs w:val="18"/>
        </w:rPr>
      </w:pPr>
      <w:r w:rsidRPr="00984FD7">
        <w:rPr>
          <w:i/>
          <w:sz w:val="18"/>
          <w:szCs w:val="18"/>
        </w:rPr>
        <w:t xml:space="preserve">Zdroj: </w:t>
      </w:r>
      <w:r w:rsidR="005E7E3B">
        <w:rPr>
          <w:i/>
          <w:sz w:val="18"/>
          <w:szCs w:val="18"/>
        </w:rPr>
        <w:t xml:space="preserve">Postup POS – 51, Postupy a nástroje pro zpracování investičních návrhů předkládaných do CIK a IK  </w:t>
      </w:r>
    </w:p>
    <w:p w:rsidR="00984FD7" w:rsidRDefault="00984FD7" w:rsidP="003076BE">
      <w:pPr>
        <w:spacing w:line="360" w:lineRule="auto"/>
        <w:jc w:val="both"/>
      </w:pPr>
    </w:p>
    <w:p w:rsidR="005131EC" w:rsidRDefault="00984FD7" w:rsidP="003076BE">
      <w:pPr>
        <w:spacing w:line="360" w:lineRule="auto"/>
        <w:jc w:val="both"/>
      </w:pPr>
      <w:r>
        <w:t xml:space="preserve">     Z takto zpracovaného přehledu vybere předkladatel tři nejvýznamnější ukazatele a přiřadí jim hodnoty založené na </w:t>
      </w:r>
      <w:r w:rsidR="00D54BFE">
        <w:t xml:space="preserve">pravděpodobnosti </w:t>
      </w:r>
      <w:r w:rsidR="005131EC">
        <w:t>špatných, očekávaných a velmi dobrých podmínkách. Výsledek tohoto kroku znázorňuje tabulka:</w:t>
      </w:r>
    </w:p>
    <w:p w:rsidR="005131EC" w:rsidRDefault="005131EC" w:rsidP="003076BE">
      <w:pPr>
        <w:spacing w:line="360" w:lineRule="auto"/>
        <w:jc w:val="both"/>
      </w:pPr>
    </w:p>
    <w:p w:rsidR="00984FD7" w:rsidRDefault="005131EC" w:rsidP="00F65CF7">
      <w:pPr>
        <w:pStyle w:val="Nzev"/>
      </w:pPr>
      <w:bookmarkStart w:id="513" w:name="_Toc233044452"/>
      <w:r>
        <w:t xml:space="preserve">Tabulka č. </w:t>
      </w:r>
      <w:r w:rsidR="00F65CF7">
        <w:t xml:space="preserve">18 – </w:t>
      </w:r>
      <w:r>
        <w:t>Analýza scénářů pravděpodobných podmínek</w:t>
      </w:r>
      <w:bookmarkEnd w:id="513"/>
      <w:r>
        <w:t xml:space="preserve">   </w:t>
      </w:r>
      <w:r w:rsidR="00984FD7">
        <w:t xml:space="preserve">  </w:t>
      </w:r>
    </w:p>
    <w:tbl>
      <w:tblPr>
        <w:tblW w:w="0" w:type="auto"/>
        <w:tblLayout w:type="fixed"/>
        <w:tblLook w:val="0000"/>
      </w:tblPr>
      <w:tblGrid>
        <w:gridCol w:w="2208"/>
        <w:gridCol w:w="2208"/>
        <w:gridCol w:w="2208"/>
        <w:gridCol w:w="2415"/>
      </w:tblGrid>
      <w:tr w:rsidR="005131EC" w:rsidRPr="005131EC" w:rsidTr="005131EC">
        <w:trPr>
          <w:cantSplit/>
        </w:trPr>
        <w:tc>
          <w:tcPr>
            <w:tcW w:w="2208" w:type="dxa"/>
            <w:tcBorders>
              <w:bottom w:val="single" w:sz="12" w:space="0" w:color="auto"/>
            </w:tcBorders>
          </w:tcPr>
          <w:p w:rsidR="005131EC" w:rsidRPr="005131EC" w:rsidRDefault="005131EC" w:rsidP="005131EC">
            <w:pPr>
              <w:spacing w:before="60" w:after="60"/>
              <w:jc w:val="both"/>
              <w:rPr>
                <w:b/>
                <w:szCs w:val="20"/>
              </w:rPr>
            </w:pPr>
            <w:r w:rsidRPr="005131EC">
              <w:rPr>
                <w:b/>
                <w:szCs w:val="20"/>
              </w:rPr>
              <w:t>Scénář</w:t>
            </w:r>
          </w:p>
        </w:tc>
        <w:tc>
          <w:tcPr>
            <w:tcW w:w="2208" w:type="dxa"/>
            <w:tcBorders>
              <w:bottom w:val="single" w:sz="12" w:space="0" w:color="auto"/>
            </w:tcBorders>
          </w:tcPr>
          <w:p w:rsidR="005131EC" w:rsidRPr="005131EC" w:rsidRDefault="005131EC" w:rsidP="005131EC">
            <w:pPr>
              <w:spacing w:before="60" w:after="60"/>
              <w:jc w:val="both"/>
              <w:rPr>
                <w:b/>
                <w:szCs w:val="20"/>
              </w:rPr>
            </w:pPr>
            <w:r w:rsidRPr="005131EC">
              <w:rPr>
                <w:b/>
                <w:szCs w:val="20"/>
              </w:rPr>
              <w:t>Cena</w:t>
            </w:r>
          </w:p>
          <w:p w:rsidR="005131EC" w:rsidRPr="005131EC" w:rsidRDefault="005131EC" w:rsidP="005131EC">
            <w:pPr>
              <w:spacing w:before="60" w:after="60"/>
              <w:jc w:val="both"/>
              <w:rPr>
                <w:szCs w:val="20"/>
              </w:rPr>
            </w:pPr>
            <w:r w:rsidRPr="005131EC">
              <w:rPr>
                <w:szCs w:val="20"/>
              </w:rPr>
              <w:t>v CZK</w:t>
            </w:r>
          </w:p>
        </w:tc>
        <w:tc>
          <w:tcPr>
            <w:tcW w:w="2208" w:type="dxa"/>
            <w:tcBorders>
              <w:bottom w:val="single" w:sz="12" w:space="0" w:color="auto"/>
            </w:tcBorders>
          </w:tcPr>
          <w:p w:rsidR="005131EC" w:rsidRPr="005131EC" w:rsidRDefault="005131EC" w:rsidP="005131EC">
            <w:pPr>
              <w:spacing w:before="60" w:after="60"/>
              <w:jc w:val="both"/>
              <w:rPr>
                <w:b/>
                <w:szCs w:val="20"/>
              </w:rPr>
            </w:pPr>
            <w:r w:rsidRPr="005131EC">
              <w:rPr>
                <w:b/>
                <w:szCs w:val="20"/>
              </w:rPr>
              <w:t>Podíl na trhu</w:t>
            </w:r>
          </w:p>
          <w:p w:rsidR="005131EC" w:rsidRPr="005131EC" w:rsidRDefault="005131EC" w:rsidP="005131EC">
            <w:pPr>
              <w:spacing w:before="60" w:after="60"/>
              <w:jc w:val="both"/>
              <w:rPr>
                <w:b/>
                <w:szCs w:val="20"/>
              </w:rPr>
            </w:pPr>
            <w:r w:rsidRPr="005131EC">
              <w:rPr>
                <w:szCs w:val="20"/>
              </w:rPr>
              <w:t>Procenta</w:t>
            </w:r>
          </w:p>
        </w:tc>
        <w:tc>
          <w:tcPr>
            <w:tcW w:w="2415" w:type="dxa"/>
            <w:tcBorders>
              <w:bottom w:val="single" w:sz="12" w:space="0" w:color="auto"/>
            </w:tcBorders>
          </w:tcPr>
          <w:p w:rsidR="005131EC" w:rsidRPr="005131EC" w:rsidRDefault="005131EC" w:rsidP="005131EC">
            <w:pPr>
              <w:spacing w:before="60" w:after="60"/>
              <w:jc w:val="both"/>
              <w:rPr>
                <w:b/>
                <w:szCs w:val="20"/>
              </w:rPr>
            </w:pPr>
            <w:r>
              <w:rPr>
                <w:b/>
                <w:szCs w:val="20"/>
              </w:rPr>
              <w:t xml:space="preserve">Kapitálové </w:t>
            </w:r>
            <w:r w:rsidRPr="005131EC">
              <w:rPr>
                <w:b/>
                <w:szCs w:val="20"/>
              </w:rPr>
              <w:t>náklady</w:t>
            </w:r>
          </w:p>
          <w:p w:rsidR="005131EC" w:rsidRPr="005131EC" w:rsidRDefault="005131EC" w:rsidP="005131EC">
            <w:pPr>
              <w:spacing w:before="60" w:after="60"/>
              <w:jc w:val="both"/>
              <w:rPr>
                <w:szCs w:val="20"/>
              </w:rPr>
            </w:pPr>
            <w:r w:rsidRPr="005131EC">
              <w:rPr>
                <w:szCs w:val="20"/>
              </w:rPr>
              <w:t>v miliónech CZK</w:t>
            </w:r>
          </w:p>
        </w:tc>
      </w:tr>
      <w:tr w:rsidR="005131EC" w:rsidRPr="005131EC" w:rsidTr="005131EC">
        <w:trPr>
          <w:cantSplit/>
        </w:trPr>
        <w:tc>
          <w:tcPr>
            <w:tcW w:w="2208" w:type="dxa"/>
          </w:tcPr>
          <w:p w:rsidR="005131EC" w:rsidRPr="005131EC" w:rsidRDefault="005131EC" w:rsidP="005131EC">
            <w:pPr>
              <w:spacing w:before="60" w:after="60"/>
              <w:jc w:val="both"/>
              <w:rPr>
                <w:szCs w:val="20"/>
              </w:rPr>
            </w:pPr>
            <w:r w:rsidRPr="005131EC">
              <w:rPr>
                <w:szCs w:val="20"/>
              </w:rPr>
              <w:t>Nejhorší případ</w:t>
            </w:r>
          </w:p>
        </w:tc>
        <w:tc>
          <w:tcPr>
            <w:tcW w:w="2208" w:type="dxa"/>
          </w:tcPr>
          <w:p w:rsidR="005131EC" w:rsidRPr="005131EC" w:rsidRDefault="005131EC" w:rsidP="005131EC">
            <w:pPr>
              <w:spacing w:before="60" w:after="60"/>
              <w:jc w:val="both"/>
              <w:rPr>
                <w:szCs w:val="20"/>
              </w:rPr>
            </w:pPr>
            <w:r w:rsidRPr="005131EC">
              <w:rPr>
                <w:szCs w:val="20"/>
              </w:rPr>
              <w:t>8</w:t>
            </w:r>
          </w:p>
        </w:tc>
        <w:tc>
          <w:tcPr>
            <w:tcW w:w="2208" w:type="dxa"/>
          </w:tcPr>
          <w:p w:rsidR="005131EC" w:rsidRPr="005131EC" w:rsidRDefault="005131EC" w:rsidP="005131EC">
            <w:pPr>
              <w:spacing w:before="60" w:after="60"/>
              <w:jc w:val="both"/>
              <w:rPr>
                <w:szCs w:val="20"/>
              </w:rPr>
            </w:pPr>
            <w:r w:rsidRPr="005131EC">
              <w:rPr>
                <w:szCs w:val="20"/>
              </w:rPr>
              <w:t>5</w:t>
            </w:r>
          </w:p>
        </w:tc>
        <w:tc>
          <w:tcPr>
            <w:tcW w:w="2415" w:type="dxa"/>
          </w:tcPr>
          <w:p w:rsidR="005131EC" w:rsidRPr="005131EC" w:rsidRDefault="005131EC" w:rsidP="005131EC">
            <w:pPr>
              <w:spacing w:before="60" w:after="60"/>
              <w:jc w:val="both"/>
              <w:rPr>
                <w:szCs w:val="20"/>
              </w:rPr>
            </w:pPr>
            <w:r w:rsidRPr="005131EC">
              <w:rPr>
                <w:szCs w:val="20"/>
              </w:rPr>
              <w:t>4.5</w:t>
            </w:r>
          </w:p>
        </w:tc>
      </w:tr>
      <w:tr w:rsidR="005131EC" w:rsidRPr="005131EC" w:rsidTr="005131EC">
        <w:trPr>
          <w:cantSplit/>
        </w:trPr>
        <w:tc>
          <w:tcPr>
            <w:tcW w:w="2208" w:type="dxa"/>
          </w:tcPr>
          <w:p w:rsidR="005131EC" w:rsidRPr="005131EC" w:rsidRDefault="005131EC" w:rsidP="005131EC">
            <w:pPr>
              <w:spacing w:before="60" w:after="60"/>
              <w:jc w:val="both"/>
              <w:rPr>
                <w:szCs w:val="20"/>
              </w:rPr>
            </w:pPr>
            <w:r w:rsidRPr="005131EC">
              <w:rPr>
                <w:szCs w:val="20"/>
              </w:rPr>
              <w:t>Základní případ</w:t>
            </w:r>
          </w:p>
        </w:tc>
        <w:tc>
          <w:tcPr>
            <w:tcW w:w="2208" w:type="dxa"/>
          </w:tcPr>
          <w:p w:rsidR="005131EC" w:rsidRPr="005131EC" w:rsidRDefault="005131EC" w:rsidP="005131EC">
            <w:pPr>
              <w:spacing w:before="60" w:after="60"/>
              <w:jc w:val="both"/>
              <w:rPr>
                <w:szCs w:val="20"/>
              </w:rPr>
            </w:pPr>
            <w:r w:rsidRPr="005131EC">
              <w:rPr>
                <w:szCs w:val="20"/>
              </w:rPr>
              <w:t>10</w:t>
            </w:r>
          </w:p>
        </w:tc>
        <w:tc>
          <w:tcPr>
            <w:tcW w:w="2208" w:type="dxa"/>
          </w:tcPr>
          <w:p w:rsidR="005131EC" w:rsidRPr="005131EC" w:rsidRDefault="005131EC" w:rsidP="005131EC">
            <w:pPr>
              <w:spacing w:before="60" w:after="60"/>
              <w:jc w:val="both"/>
              <w:rPr>
                <w:szCs w:val="20"/>
              </w:rPr>
            </w:pPr>
            <w:r w:rsidRPr="005131EC">
              <w:rPr>
                <w:szCs w:val="20"/>
              </w:rPr>
              <w:t>12</w:t>
            </w:r>
          </w:p>
        </w:tc>
        <w:tc>
          <w:tcPr>
            <w:tcW w:w="2415" w:type="dxa"/>
          </w:tcPr>
          <w:p w:rsidR="005131EC" w:rsidRPr="005131EC" w:rsidRDefault="005131EC" w:rsidP="005131EC">
            <w:pPr>
              <w:spacing w:before="60" w:after="60"/>
              <w:jc w:val="both"/>
              <w:rPr>
                <w:szCs w:val="20"/>
              </w:rPr>
            </w:pPr>
            <w:r w:rsidRPr="005131EC">
              <w:rPr>
                <w:szCs w:val="20"/>
              </w:rPr>
              <w:t>3.6</w:t>
            </w:r>
          </w:p>
        </w:tc>
      </w:tr>
      <w:tr w:rsidR="005131EC" w:rsidRPr="005131EC" w:rsidTr="005131EC">
        <w:trPr>
          <w:cantSplit/>
        </w:trPr>
        <w:tc>
          <w:tcPr>
            <w:tcW w:w="2208" w:type="dxa"/>
          </w:tcPr>
          <w:p w:rsidR="005131EC" w:rsidRPr="005131EC" w:rsidRDefault="005131EC" w:rsidP="005131EC">
            <w:pPr>
              <w:spacing w:before="60" w:after="60"/>
              <w:jc w:val="both"/>
              <w:rPr>
                <w:szCs w:val="20"/>
              </w:rPr>
            </w:pPr>
            <w:r w:rsidRPr="005131EC">
              <w:rPr>
                <w:szCs w:val="20"/>
              </w:rPr>
              <w:t>Nejlepší případ</w:t>
            </w:r>
          </w:p>
        </w:tc>
        <w:tc>
          <w:tcPr>
            <w:tcW w:w="2208" w:type="dxa"/>
          </w:tcPr>
          <w:p w:rsidR="005131EC" w:rsidRPr="005131EC" w:rsidRDefault="005131EC" w:rsidP="005131EC">
            <w:pPr>
              <w:spacing w:before="60" w:after="60"/>
              <w:jc w:val="both"/>
              <w:rPr>
                <w:szCs w:val="20"/>
              </w:rPr>
            </w:pPr>
            <w:r w:rsidRPr="005131EC">
              <w:rPr>
                <w:szCs w:val="20"/>
              </w:rPr>
              <w:t>11</w:t>
            </w:r>
          </w:p>
        </w:tc>
        <w:tc>
          <w:tcPr>
            <w:tcW w:w="2208" w:type="dxa"/>
          </w:tcPr>
          <w:p w:rsidR="005131EC" w:rsidRPr="005131EC" w:rsidRDefault="005131EC" w:rsidP="005131EC">
            <w:pPr>
              <w:spacing w:before="60" w:after="60"/>
              <w:jc w:val="both"/>
              <w:rPr>
                <w:szCs w:val="20"/>
              </w:rPr>
            </w:pPr>
            <w:r w:rsidRPr="005131EC">
              <w:rPr>
                <w:szCs w:val="20"/>
              </w:rPr>
              <w:t>15</w:t>
            </w:r>
          </w:p>
        </w:tc>
        <w:tc>
          <w:tcPr>
            <w:tcW w:w="2415" w:type="dxa"/>
          </w:tcPr>
          <w:p w:rsidR="005131EC" w:rsidRPr="005131EC" w:rsidRDefault="005131EC" w:rsidP="005131EC">
            <w:pPr>
              <w:spacing w:before="60" w:after="60"/>
              <w:jc w:val="both"/>
              <w:rPr>
                <w:szCs w:val="20"/>
              </w:rPr>
            </w:pPr>
            <w:r w:rsidRPr="005131EC">
              <w:rPr>
                <w:szCs w:val="20"/>
              </w:rPr>
              <w:t>3.2</w:t>
            </w:r>
          </w:p>
        </w:tc>
      </w:tr>
    </w:tbl>
    <w:p w:rsidR="00984FD7" w:rsidRDefault="00984FD7" w:rsidP="003076BE">
      <w:pPr>
        <w:spacing w:line="360" w:lineRule="auto"/>
        <w:jc w:val="both"/>
      </w:pPr>
    </w:p>
    <w:p w:rsidR="00984FD7" w:rsidRDefault="005131EC" w:rsidP="003076BE">
      <w:pPr>
        <w:spacing w:line="360" w:lineRule="auto"/>
        <w:jc w:val="both"/>
        <w:rPr>
          <w:i/>
          <w:sz w:val="18"/>
          <w:szCs w:val="18"/>
        </w:rPr>
      </w:pPr>
      <w:r w:rsidRPr="005131EC">
        <w:rPr>
          <w:i/>
          <w:sz w:val="18"/>
          <w:szCs w:val="18"/>
        </w:rPr>
        <w:t xml:space="preserve">Zdroj: </w:t>
      </w:r>
      <w:r w:rsidR="005E7E3B">
        <w:rPr>
          <w:i/>
          <w:sz w:val="18"/>
          <w:szCs w:val="18"/>
        </w:rPr>
        <w:t>Postup POS – 51, Postupy a nástroje pro zpracování investičních návrhů předkládaných do CIK a IK</w:t>
      </w:r>
    </w:p>
    <w:p w:rsidR="005131EC" w:rsidRDefault="005131EC" w:rsidP="003076BE">
      <w:pPr>
        <w:spacing w:line="360" w:lineRule="auto"/>
        <w:jc w:val="both"/>
      </w:pPr>
    </w:p>
    <w:p w:rsidR="005131EC" w:rsidRDefault="005131EC" w:rsidP="003076BE">
      <w:pPr>
        <w:spacing w:line="360" w:lineRule="auto"/>
        <w:jc w:val="both"/>
      </w:pPr>
      <w:r>
        <w:t xml:space="preserve">     Na základě těchto údajů potom vypočítá čistou současnou hodnotu modelu pro každou uvažovanou situaci. Cílový výsledek analýzy scénářů potom předkladatel může vyjádřit</w:t>
      </w:r>
      <w:r w:rsidR="00B237A0">
        <w:t xml:space="preserve"> tabulkou</w:t>
      </w:r>
      <w:r>
        <w:t xml:space="preserve">: </w:t>
      </w:r>
    </w:p>
    <w:p w:rsidR="005131EC" w:rsidRDefault="005131EC" w:rsidP="003076BE">
      <w:pPr>
        <w:spacing w:line="360" w:lineRule="auto"/>
        <w:jc w:val="both"/>
      </w:pPr>
    </w:p>
    <w:p w:rsidR="005131EC" w:rsidRDefault="00B237A0" w:rsidP="00F65CF7">
      <w:pPr>
        <w:pStyle w:val="Nzev"/>
      </w:pPr>
      <w:bookmarkStart w:id="514" w:name="_Toc233044453"/>
      <w:r>
        <w:lastRenderedPageBreak/>
        <w:t xml:space="preserve">Tabulka č. </w:t>
      </w:r>
      <w:r w:rsidR="00F65CF7">
        <w:t xml:space="preserve">19 – </w:t>
      </w:r>
      <w:r>
        <w:t>Výsledná čistá současná hodnota scénářů</w:t>
      </w:r>
      <w:bookmarkEnd w:id="514"/>
      <w:r w:rsidR="005131EC">
        <w:t xml:space="preserve"> </w:t>
      </w:r>
    </w:p>
    <w:tbl>
      <w:tblPr>
        <w:tblW w:w="0" w:type="auto"/>
        <w:tblLayout w:type="fixed"/>
        <w:tblLook w:val="0000"/>
      </w:tblPr>
      <w:tblGrid>
        <w:gridCol w:w="4417"/>
        <w:gridCol w:w="4417"/>
      </w:tblGrid>
      <w:tr w:rsidR="005131EC" w:rsidRPr="005131EC" w:rsidTr="00D54BFE">
        <w:trPr>
          <w:cantSplit/>
        </w:trPr>
        <w:tc>
          <w:tcPr>
            <w:tcW w:w="4417" w:type="dxa"/>
            <w:tcBorders>
              <w:bottom w:val="single" w:sz="12" w:space="0" w:color="auto"/>
            </w:tcBorders>
          </w:tcPr>
          <w:p w:rsidR="005131EC" w:rsidRPr="005131EC" w:rsidRDefault="005131EC" w:rsidP="005131EC">
            <w:pPr>
              <w:spacing w:before="60" w:after="60"/>
              <w:jc w:val="both"/>
              <w:rPr>
                <w:b/>
                <w:szCs w:val="20"/>
              </w:rPr>
            </w:pPr>
            <w:r w:rsidRPr="005131EC">
              <w:rPr>
                <w:b/>
                <w:szCs w:val="20"/>
              </w:rPr>
              <w:t>Scénář</w:t>
            </w:r>
          </w:p>
        </w:tc>
        <w:tc>
          <w:tcPr>
            <w:tcW w:w="4417" w:type="dxa"/>
            <w:tcBorders>
              <w:bottom w:val="single" w:sz="12" w:space="0" w:color="auto"/>
            </w:tcBorders>
          </w:tcPr>
          <w:p w:rsidR="005131EC" w:rsidRPr="005131EC" w:rsidRDefault="005131EC" w:rsidP="005131EC">
            <w:pPr>
              <w:spacing w:before="60" w:after="60"/>
              <w:jc w:val="both"/>
              <w:rPr>
                <w:b/>
                <w:szCs w:val="20"/>
              </w:rPr>
            </w:pPr>
            <w:r w:rsidRPr="005131EC">
              <w:rPr>
                <w:b/>
                <w:szCs w:val="20"/>
              </w:rPr>
              <w:t>Čistá současná hodnota</w:t>
            </w:r>
          </w:p>
          <w:p w:rsidR="005131EC" w:rsidRPr="005131EC" w:rsidRDefault="005131EC" w:rsidP="005131EC">
            <w:pPr>
              <w:spacing w:before="60" w:after="60"/>
              <w:jc w:val="both"/>
              <w:rPr>
                <w:szCs w:val="20"/>
              </w:rPr>
            </w:pPr>
            <w:r w:rsidRPr="005131EC">
              <w:rPr>
                <w:szCs w:val="20"/>
              </w:rPr>
              <w:t>v miliónech CZK</w:t>
            </w:r>
          </w:p>
        </w:tc>
      </w:tr>
      <w:tr w:rsidR="005131EC" w:rsidRPr="005131EC" w:rsidTr="00D54BFE">
        <w:trPr>
          <w:cantSplit/>
        </w:trPr>
        <w:tc>
          <w:tcPr>
            <w:tcW w:w="4417" w:type="dxa"/>
          </w:tcPr>
          <w:p w:rsidR="005131EC" w:rsidRPr="005131EC" w:rsidRDefault="005131EC" w:rsidP="005131EC">
            <w:pPr>
              <w:spacing w:before="60" w:after="60"/>
              <w:jc w:val="both"/>
              <w:rPr>
                <w:szCs w:val="20"/>
              </w:rPr>
            </w:pPr>
            <w:r w:rsidRPr="005131EC">
              <w:rPr>
                <w:szCs w:val="20"/>
              </w:rPr>
              <w:t>Nejhorší případ</w:t>
            </w:r>
          </w:p>
        </w:tc>
        <w:tc>
          <w:tcPr>
            <w:tcW w:w="4417" w:type="dxa"/>
          </w:tcPr>
          <w:p w:rsidR="005131EC" w:rsidRPr="005131EC" w:rsidRDefault="005131EC" w:rsidP="005131EC">
            <w:pPr>
              <w:spacing w:before="60" w:after="60"/>
              <w:jc w:val="both"/>
              <w:rPr>
                <w:szCs w:val="20"/>
              </w:rPr>
            </w:pPr>
            <w:r w:rsidRPr="005131EC">
              <w:rPr>
                <w:szCs w:val="20"/>
              </w:rPr>
              <w:t>250</w:t>
            </w:r>
          </w:p>
        </w:tc>
      </w:tr>
      <w:tr w:rsidR="005131EC" w:rsidRPr="005131EC" w:rsidTr="00D54BFE">
        <w:trPr>
          <w:cantSplit/>
        </w:trPr>
        <w:tc>
          <w:tcPr>
            <w:tcW w:w="4417" w:type="dxa"/>
          </w:tcPr>
          <w:p w:rsidR="005131EC" w:rsidRPr="005131EC" w:rsidRDefault="005131EC" w:rsidP="005131EC">
            <w:pPr>
              <w:spacing w:before="60" w:after="60"/>
              <w:jc w:val="both"/>
              <w:rPr>
                <w:szCs w:val="20"/>
              </w:rPr>
            </w:pPr>
            <w:r w:rsidRPr="005131EC">
              <w:rPr>
                <w:szCs w:val="20"/>
              </w:rPr>
              <w:t>Základní případ</w:t>
            </w:r>
          </w:p>
        </w:tc>
        <w:tc>
          <w:tcPr>
            <w:tcW w:w="4417" w:type="dxa"/>
          </w:tcPr>
          <w:p w:rsidR="005131EC" w:rsidRPr="005131EC" w:rsidRDefault="005131EC" w:rsidP="005131EC">
            <w:pPr>
              <w:spacing w:before="60" w:after="60"/>
              <w:jc w:val="both"/>
              <w:rPr>
                <w:szCs w:val="20"/>
              </w:rPr>
            </w:pPr>
            <w:r w:rsidRPr="005131EC">
              <w:rPr>
                <w:szCs w:val="20"/>
              </w:rPr>
              <w:t>1000</w:t>
            </w:r>
          </w:p>
        </w:tc>
      </w:tr>
      <w:tr w:rsidR="005131EC" w:rsidRPr="005131EC" w:rsidTr="00D54BFE">
        <w:trPr>
          <w:cantSplit/>
        </w:trPr>
        <w:tc>
          <w:tcPr>
            <w:tcW w:w="4417" w:type="dxa"/>
          </w:tcPr>
          <w:p w:rsidR="005131EC" w:rsidRPr="005131EC" w:rsidRDefault="005131EC" w:rsidP="005131EC">
            <w:pPr>
              <w:spacing w:before="60" w:after="60"/>
              <w:jc w:val="both"/>
              <w:rPr>
                <w:szCs w:val="20"/>
              </w:rPr>
            </w:pPr>
            <w:r w:rsidRPr="005131EC">
              <w:rPr>
                <w:szCs w:val="20"/>
              </w:rPr>
              <w:t>Nejlepší případ</w:t>
            </w:r>
          </w:p>
        </w:tc>
        <w:tc>
          <w:tcPr>
            <w:tcW w:w="4417" w:type="dxa"/>
          </w:tcPr>
          <w:p w:rsidR="005131EC" w:rsidRPr="005131EC" w:rsidRDefault="005131EC" w:rsidP="005131EC">
            <w:pPr>
              <w:spacing w:before="60" w:after="60"/>
              <w:jc w:val="both"/>
              <w:rPr>
                <w:szCs w:val="20"/>
              </w:rPr>
            </w:pPr>
            <w:r w:rsidRPr="005131EC">
              <w:rPr>
                <w:szCs w:val="20"/>
              </w:rPr>
              <w:t>2000</w:t>
            </w:r>
          </w:p>
        </w:tc>
      </w:tr>
    </w:tbl>
    <w:p w:rsidR="00B237A0" w:rsidRDefault="00B237A0" w:rsidP="003076BE">
      <w:pPr>
        <w:spacing w:line="360" w:lineRule="auto"/>
        <w:jc w:val="both"/>
        <w:rPr>
          <w:i/>
        </w:rPr>
      </w:pPr>
    </w:p>
    <w:p w:rsidR="00B237A0" w:rsidRPr="00B237A0" w:rsidRDefault="00B237A0" w:rsidP="003076BE">
      <w:pPr>
        <w:spacing w:line="360" w:lineRule="auto"/>
        <w:jc w:val="both"/>
        <w:rPr>
          <w:i/>
          <w:sz w:val="18"/>
          <w:szCs w:val="18"/>
        </w:rPr>
      </w:pPr>
      <w:r w:rsidRPr="00B237A0">
        <w:rPr>
          <w:i/>
          <w:sz w:val="18"/>
          <w:szCs w:val="18"/>
        </w:rPr>
        <w:t xml:space="preserve">Zdroj: </w:t>
      </w:r>
      <w:r w:rsidR="005E7E3B">
        <w:rPr>
          <w:i/>
          <w:sz w:val="18"/>
          <w:szCs w:val="18"/>
        </w:rPr>
        <w:t>Postup POS – 51, Postupy a nástroje pro zpracování investičních návrhů předkládaných do CIK a IK</w:t>
      </w:r>
    </w:p>
    <w:p w:rsidR="005131EC" w:rsidRDefault="005131EC" w:rsidP="003076BE">
      <w:pPr>
        <w:spacing w:line="360" w:lineRule="auto"/>
        <w:jc w:val="both"/>
      </w:pPr>
    </w:p>
    <w:p w:rsidR="00B237A0" w:rsidRDefault="003076BE" w:rsidP="003076BE">
      <w:pPr>
        <w:spacing w:line="360" w:lineRule="auto"/>
        <w:jc w:val="both"/>
      </w:pPr>
      <w:r>
        <w:t xml:space="preserve">     Zahrnutí těchto prvků práce s rizikem </w:t>
      </w:r>
      <w:r w:rsidR="00AD75BD">
        <w:t>lze</w:t>
      </w:r>
      <w:r>
        <w:t xml:space="preserve"> </w:t>
      </w:r>
      <w:r w:rsidR="00AD75BD">
        <w:t xml:space="preserve">považovat </w:t>
      </w:r>
      <w:r>
        <w:t xml:space="preserve">za </w:t>
      </w:r>
      <w:r w:rsidR="00CD7C92">
        <w:t>účelné</w:t>
      </w:r>
      <w:r>
        <w:t xml:space="preserve">, </w:t>
      </w:r>
      <w:r w:rsidR="00AD75BD">
        <w:t>jako rezerva se však jeví absence kvantifikace rizika pomocí statistických metod. Analýzu scénářů je proto vhodné doplnit o relativní míru rizika projektu vyjádřenou variačním koeficientem, jak byl zaveden v teoretické části práce a daný koeficient potom uvádět jako základní veličinu charakterizující investiční návrh.</w:t>
      </w:r>
      <w:r w:rsidR="001E6881">
        <w:t xml:space="preserve"> Variační koeficient by </w:t>
      </w:r>
      <w:r w:rsidR="00D00FC3">
        <w:t xml:space="preserve">se měl stát nezbytnou </w:t>
      </w:r>
      <w:r w:rsidR="001E6881">
        <w:t>součástí</w:t>
      </w:r>
      <w:r w:rsidR="00D00FC3">
        <w:t xml:space="preserve"> krycího listu investičního návrhu, případně součástí úvodního stručného shrnutí.</w:t>
      </w:r>
      <w:r w:rsidR="001E6881">
        <w:t xml:space="preserve"> </w:t>
      </w:r>
      <w:r w:rsidR="00AD75BD">
        <w:t xml:space="preserve"> </w:t>
      </w:r>
    </w:p>
    <w:p w:rsidR="00B237A0" w:rsidRDefault="00720519" w:rsidP="003076BE">
      <w:pPr>
        <w:spacing w:line="360" w:lineRule="auto"/>
        <w:jc w:val="both"/>
      </w:pPr>
      <w:r>
        <w:t xml:space="preserve">     Vyjděme nyní z tabulky výsledných čistých současných hodnot scénářů a předpokládejme, že předkladatel stanovil pravděpodobnost </w:t>
      </w:r>
      <w:r w:rsidR="002609C2">
        <w:t xml:space="preserve">základního scénáře na 60%, ostatní scénáře potom shodně 20%. </w:t>
      </w:r>
      <w:r w:rsidR="00D00FC3">
        <w:t>Variační koeficient vypočítáme podle zavedených vztahů takto</w:t>
      </w:r>
      <w:r w:rsidR="002609C2">
        <w:t>:</w:t>
      </w:r>
    </w:p>
    <w:p w:rsidR="002609C2" w:rsidRDefault="002609C2" w:rsidP="003076BE">
      <w:pPr>
        <w:spacing w:line="360" w:lineRule="auto"/>
        <w:jc w:val="both"/>
      </w:pPr>
    </w:p>
    <w:p w:rsidR="002609C2" w:rsidRDefault="002B769D" w:rsidP="00B329BD">
      <w:pPr>
        <w:pStyle w:val="Odstavecseseznamem"/>
        <w:numPr>
          <w:ilvl w:val="0"/>
          <w:numId w:val="71"/>
        </w:numPr>
        <w:spacing w:line="360" w:lineRule="auto"/>
        <w:ind w:left="754" w:hanging="357"/>
        <w:jc w:val="both"/>
      </w:pPr>
      <m:oMath>
        <m:acc>
          <m:accPr>
            <m:chr m:val="̅"/>
            <m:ctrlPr>
              <w:rPr>
                <w:rFonts w:ascii="Cambria Math" w:hAnsi="Cambria Math"/>
                <w:i/>
              </w:rPr>
            </m:ctrlPr>
          </m:accPr>
          <m:e>
            <m:r>
              <w:rPr>
                <w:rFonts w:ascii="Cambria Math" w:hAnsi="Cambria Math"/>
              </w:rPr>
              <m:t xml:space="preserve">P </m:t>
            </m:r>
          </m:e>
        </m:acc>
        <m:r>
          <w:rPr>
            <w:rFonts w:ascii="Cambria Math" w:hAnsi="Cambria Math"/>
          </w:rPr>
          <m:t>=</m:t>
        </m:r>
        <m:d>
          <m:dPr>
            <m:ctrlPr>
              <w:rPr>
                <w:rFonts w:ascii="Cambria Math" w:hAnsi="Cambria Math"/>
                <w:i/>
              </w:rPr>
            </m:ctrlPr>
          </m:dPr>
          <m:e>
            <m:r>
              <w:rPr>
                <w:rFonts w:ascii="Cambria Math" w:hAnsi="Cambria Math"/>
              </w:rPr>
              <m:t>250 ×0,2</m:t>
            </m:r>
          </m:e>
        </m:d>
        <m:r>
          <w:rPr>
            <w:rFonts w:ascii="Cambria Math" w:hAnsi="Cambria Math"/>
          </w:rPr>
          <m:t>+</m:t>
        </m:r>
        <m:d>
          <m:dPr>
            <m:ctrlPr>
              <w:rPr>
                <w:rFonts w:ascii="Cambria Math" w:hAnsi="Cambria Math"/>
                <w:i/>
              </w:rPr>
            </m:ctrlPr>
          </m:dPr>
          <m:e>
            <m:r>
              <w:rPr>
                <w:rFonts w:ascii="Cambria Math" w:hAnsi="Cambria Math"/>
              </w:rPr>
              <m:t>1000 ×0,6</m:t>
            </m:r>
          </m:e>
        </m:d>
        <m:r>
          <w:rPr>
            <w:rFonts w:ascii="Cambria Math" w:hAnsi="Cambria Math"/>
          </w:rPr>
          <m:t xml:space="preserve">+ </m:t>
        </m:r>
        <m:d>
          <m:dPr>
            <m:ctrlPr>
              <w:rPr>
                <w:rFonts w:ascii="Cambria Math" w:hAnsi="Cambria Math"/>
                <w:i/>
              </w:rPr>
            </m:ctrlPr>
          </m:dPr>
          <m:e>
            <m:r>
              <w:rPr>
                <w:rFonts w:ascii="Cambria Math" w:hAnsi="Cambria Math"/>
              </w:rPr>
              <m:t>2000 ×0,2</m:t>
            </m:r>
          </m:e>
        </m:d>
        <m:r>
          <w:rPr>
            <w:rFonts w:ascii="Cambria Math" w:hAnsi="Cambria Math"/>
          </w:rPr>
          <m:t xml:space="preserve">=1050  </m:t>
        </m:r>
      </m:oMath>
      <w:r w:rsidR="002609C2">
        <w:t xml:space="preserve"> </w:t>
      </w:r>
    </w:p>
    <w:p w:rsidR="001E6881" w:rsidRDefault="002B769D" w:rsidP="00B329BD">
      <w:pPr>
        <w:pStyle w:val="Odstavecseseznamem"/>
        <w:numPr>
          <w:ilvl w:val="0"/>
          <w:numId w:val="71"/>
        </w:numPr>
        <w:spacing w:line="360" w:lineRule="auto"/>
        <w:ind w:left="754" w:hanging="357"/>
        <w:jc w:val="both"/>
      </w:pP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 xml:space="preserve"> = </m:t>
        </m:r>
        <m:sSup>
          <m:sSupPr>
            <m:ctrlPr>
              <w:rPr>
                <w:rFonts w:ascii="Cambria Math" w:hAnsi="Cambria Math"/>
                <w:i/>
              </w:rPr>
            </m:ctrlPr>
          </m:sSupPr>
          <m:e>
            <m:r>
              <w:rPr>
                <w:rFonts w:ascii="Cambria Math" w:hAnsi="Cambria Math"/>
              </w:rPr>
              <m:t>(</m:t>
            </m:r>
            <m:d>
              <m:dPr>
                <m:ctrlPr>
                  <w:rPr>
                    <w:rFonts w:ascii="Cambria Math" w:hAnsi="Cambria Math"/>
                    <w:i/>
                  </w:rPr>
                </m:ctrlPr>
              </m:dPr>
              <m:e>
                <m:r>
                  <w:rPr>
                    <w:rFonts w:ascii="Cambria Math" w:hAnsi="Cambria Math"/>
                  </w:rPr>
                  <m:t>250 - 1050</m:t>
                </m:r>
              </m:e>
            </m:d>
          </m:e>
          <m:sup>
            <m:r>
              <w:rPr>
                <w:rFonts w:ascii="Cambria Math" w:hAnsi="Cambria Math"/>
              </w:rPr>
              <m:t>2</m:t>
            </m:r>
          </m:sup>
        </m:sSup>
        <m:r>
          <w:rPr>
            <w:rFonts w:ascii="Cambria Math" w:hAnsi="Cambria Math"/>
          </w:rPr>
          <m:t xml:space="preserve"> ×0,2</m:t>
        </m:r>
      </m:oMath>
      <w:r w:rsidR="002609C2">
        <w:rPr>
          <w:position w:val="-6"/>
        </w:rPr>
        <w:t xml:space="preserve"> </w:t>
      </w:r>
      <w:r w:rsidR="002609C2" w:rsidRPr="002609C2">
        <w:t>)</w:t>
      </w:r>
      <w:r w:rsidR="002609C2">
        <w:t xml:space="preserve"> + </w:t>
      </w:r>
      <m:oMath>
        <m:sSup>
          <m:sSupPr>
            <m:ctrlPr>
              <w:rPr>
                <w:rFonts w:ascii="Cambria Math" w:hAnsi="Cambria Math"/>
                <w:i/>
              </w:rPr>
            </m:ctrlPr>
          </m:sSupPr>
          <m:e>
            <m:r>
              <w:rPr>
                <w:rFonts w:ascii="Cambria Math" w:hAnsi="Cambria Math"/>
              </w:rPr>
              <m:t>(</m:t>
            </m:r>
            <m:d>
              <m:dPr>
                <m:ctrlPr>
                  <w:rPr>
                    <w:rFonts w:ascii="Cambria Math" w:hAnsi="Cambria Math"/>
                    <w:i/>
                  </w:rPr>
                </m:ctrlPr>
              </m:dPr>
              <m:e>
                <m:r>
                  <w:rPr>
                    <w:rFonts w:ascii="Cambria Math" w:hAnsi="Cambria Math"/>
                  </w:rPr>
                  <m:t>1000</m:t>
                </m:r>
                <m:r>
                  <w:rPr>
                    <w:rFonts w:ascii="Cambria Math" w:hAnsi="Cambria Math"/>
                    <w:position w:val="-6"/>
                  </w:rPr>
                  <m:t xml:space="preserve"> </m:t>
                </m:r>
                <m:r>
                  <w:rPr>
                    <w:rFonts w:ascii="Cambria Math" w:hAnsi="Cambria Math"/>
                  </w:rPr>
                  <m:t>- 1050</m:t>
                </m:r>
              </m:e>
            </m:d>
          </m:e>
          <m:sup>
            <m:r>
              <w:rPr>
                <w:rFonts w:ascii="Cambria Math" w:hAnsi="Cambria Math"/>
              </w:rPr>
              <m:t>2</m:t>
            </m:r>
          </m:sup>
        </m:sSup>
        <m:r>
          <w:rPr>
            <w:rFonts w:ascii="Cambria Math" w:hAnsi="Cambria Math"/>
          </w:rPr>
          <m:t xml:space="preserve"> ×0,6</m:t>
        </m:r>
      </m:oMath>
      <w:r w:rsidR="002609C2">
        <w:rPr>
          <w:position w:val="-6"/>
        </w:rPr>
        <w:t xml:space="preserve"> </w:t>
      </w:r>
      <w:r w:rsidR="002609C2" w:rsidRPr="002609C2">
        <w:t>)</w:t>
      </w:r>
      <w:r w:rsidR="002609C2">
        <w:t xml:space="preserve"> + </w:t>
      </w:r>
      <m:oMath>
        <m:sSup>
          <m:sSupPr>
            <m:ctrlPr>
              <w:rPr>
                <w:rFonts w:ascii="Cambria Math" w:hAnsi="Cambria Math"/>
                <w:i/>
              </w:rPr>
            </m:ctrlPr>
          </m:sSupPr>
          <m:e>
            <m:r>
              <w:rPr>
                <w:rFonts w:ascii="Cambria Math" w:hAnsi="Cambria Math"/>
              </w:rPr>
              <m:t>(</m:t>
            </m:r>
            <m:d>
              <m:dPr>
                <m:ctrlPr>
                  <w:rPr>
                    <w:rFonts w:ascii="Cambria Math" w:hAnsi="Cambria Math"/>
                    <w:i/>
                  </w:rPr>
                </m:ctrlPr>
              </m:dPr>
              <m:e>
                <m:r>
                  <w:rPr>
                    <w:rFonts w:ascii="Cambria Math" w:hAnsi="Cambria Math"/>
                  </w:rPr>
                  <m:t>2000</m:t>
                </m:r>
                <m:r>
                  <w:rPr>
                    <w:rFonts w:ascii="Cambria Math" w:hAnsi="Cambria Math"/>
                    <w:position w:val="-6"/>
                  </w:rPr>
                  <m:t xml:space="preserve"> </m:t>
                </m:r>
                <m:r>
                  <w:rPr>
                    <w:rFonts w:ascii="Cambria Math" w:hAnsi="Cambria Math"/>
                  </w:rPr>
                  <m:t>- 1050</m:t>
                </m:r>
              </m:e>
            </m:d>
          </m:e>
          <m:sup>
            <m:r>
              <w:rPr>
                <w:rFonts w:ascii="Cambria Math" w:hAnsi="Cambria Math"/>
              </w:rPr>
              <m:t>2</m:t>
            </m:r>
          </m:sup>
        </m:sSup>
        <m:r>
          <w:rPr>
            <w:rFonts w:ascii="Cambria Math" w:hAnsi="Cambria Math"/>
          </w:rPr>
          <m:t xml:space="preserve"> ×0,2</m:t>
        </m:r>
      </m:oMath>
      <w:r w:rsidR="002609C2">
        <w:rPr>
          <w:position w:val="-6"/>
        </w:rPr>
        <w:t xml:space="preserve"> </w:t>
      </w:r>
      <w:r w:rsidR="002609C2" w:rsidRPr="002609C2">
        <w:t>)</w:t>
      </w:r>
      <w:r w:rsidR="002609C2">
        <w:t xml:space="preserve">  =  </w:t>
      </w:r>
      <w:r w:rsidR="001E6881">
        <w:t>310000</w:t>
      </w:r>
    </w:p>
    <w:p w:rsidR="002609C2" w:rsidRDefault="001E6881" w:rsidP="00B329BD">
      <w:pPr>
        <w:pStyle w:val="Odstavecseseznamem"/>
        <w:numPr>
          <w:ilvl w:val="0"/>
          <w:numId w:val="71"/>
        </w:numPr>
        <w:spacing w:line="360" w:lineRule="auto"/>
        <w:ind w:left="754" w:hanging="357"/>
        <w:jc w:val="both"/>
      </w:pPr>
      <m:oMath>
        <m:r>
          <w:rPr>
            <w:rFonts w:ascii="Cambria Math" w:hAnsi="Cambria Math"/>
          </w:rPr>
          <m:t>σ =</m:t>
        </m:r>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 xml:space="preserve"> σ</m:t>
                </m:r>
              </m:e>
              <m:sup>
                <m:r>
                  <w:rPr>
                    <w:rFonts w:ascii="Cambria Math" w:hAnsi="Cambria Math"/>
                  </w:rPr>
                  <m:t>2</m:t>
                </m:r>
              </m:sup>
            </m:sSup>
            <m:r>
              <w:rPr>
                <w:rFonts w:ascii="Cambria Math" w:hAnsi="Cambria Math"/>
              </w:rPr>
              <m:t xml:space="preserve"> </m:t>
            </m:r>
          </m:e>
        </m:rad>
        <m:r>
          <w:rPr>
            <w:rFonts w:ascii="Cambria Math" w:hAnsi="Cambria Math"/>
          </w:rPr>
          <m:t xml:space="preserve"> =  </m:t>
        </m:r>
        <m:rad>
          <m:radPr>
            <m:degHide m:val="on"/>
            <m:ctrlPr>
              <w:rPr>
                <w:rFonts w:ascii="Cambria Math" w:hAnsi="Cambria Math"/>
                <w:i/>
              </w:rPr>
            </m:ctrlPr>
          </m:radPr>
          <m:deg/>
          <m:e>
            <m:r>
              <w:rPr>
                <w:rFonts w:ascii="Cambria Math" w:hAnsi="Cambria Math"/>
              </w:rPr>
              <m:t xml:space="preserve">310000 </m:t>
            </m:r>
          </m:e>
        </m:rad>
      </m:oMath>
      <w:r>
        <w:t xml:space="preserve">  =  556,77</w:t>
      </w:r>
    </w:p>
    <w:p w:rsidR="001E6881" w:rsidRDefault="001E6881" w:rsidP="00B329BD">
      <w:pPr>
        <w:pStyle w:val="Odstavecseseznamem"/>
        <w:numPr>
          <w:ilvl w:val="0"/>
          <w:numId w:val="71"/>
        </w:numPr>
        <w:spacing w:line="360" w:lineRule="auto"/>
        <w:ind w:left="754" w:hanging="357"/>
        <w:jc w:val="both"/>
      </w:pPr>
      <m:oMath>
        <m:r>
          <w:rPr>
            <w:rFonts w:ascii="Cambria Math" w:hAnsi="Cambria Math"/>
          </w:rPr>
          <m:t xml:space="preserve">V= </m:t>
        </m:r>
        <m:f>
          <m:fPr>
            <m:ctrlPr>
              <w:rPr>
                <w:rFonts w:ascii="Cambria Math" w:hAnsi="Cambria Math"/>
                <w:i/>
              </w:rPr>
            </m:ctrlPr>
          </m:fPr>
          <m:num>
            <m:r>
              <w:rPr>
                <w:rFonts w:ascii="Cambria Math" w:hAnsi="Cambria Math"/>
              </w:rPr>
              <m:t>σ</m:t>
            </m:r>
          </m:num>
          <m:den>
            <m:acc>
              <m:accPr>
                <m:chr m:val="̅"/>
                <m:ctrlPr>
                  <w:rPr>
                    <w:rFonts w:ascii="Cambria Math" w:hAnsi="Cambria Math"/>
                    <w:i/>
                  </w:rPr>
                </m:ctrlPr>
              </m:accPr>
              <m:e>
                <m:r>
                  <w:rPr>
                    <w:rFonts w:ascii="Cambria Math" w:hAnsi="Cambria Math"/>
                  </w:rPr>
                  <m:t>P</m:t>
                </m:r>
              </m:e>
            </m:acc>
          </m:den>
        </m:f>
        <m:r>
          <w:rPr>
            <w:rFonts w:ascii="Cambria Math" w:hAnsi="Cambria Math"/>
          </w:rPr>
          <m:t xml:space="preserve"> =  </m:t>
        </m:r>
        <m:f>
          <m:fPr>
            <m:ctrlPr>
              <w:rPr>
                <w:rFonts w:ascii="Cambria Math" w:hAnsi="Cambria Math"/>
                <w:i/>
              </w:rPr>
            </m:ctrlPr>
          </m:fPr>
          <m:num>
            <m:r>
              <w:rPr>
                <w:rFonts w:ascii="Cambria Math" w:hAnsi="Cambria Math"/>
              </w:rPr>
              <m:t>556,77</m:t>
            </m:r>
          </m:num>
          <m:den>
            <m:r>
              <w:rPr>
                <w:rFonts w:ascii="Cambria Math" w:hAnsi="Cambria Math"/>
              </w:rPr>
              <m:t>1050</m:t>
            </m:r>
          </m:den>
        </m:f>
        <m:r>
          <w:rPr>
            <w:rFonts w:ascii="Cambria Math" w:hAnsi="Cambria Math"/>
          </w:rPr>
          <m:t xml:space="preserve"> =  </m:t>
        </m:r>
        <m:r>
          <m:rPr>
            <m:sty m:val="bi"/>
          </m:rPr>
          <w:rPr>
            <w:rFonts w:ascii="Cambria Math" w:hAnsi="Cambria Math"/>
          </w:rPr>
          <m:t>0,53</m:t>
        </m:r>
      </m:oMath>
    </w:p>
    <w:p w:rsidR="002609C2" w:rsidRDefault="002609C2" w:rsidP="002609C2">
      <w:pPr>
        <w:spacing w:line="360" w:lineRule="auto"/>
        <w:jc w:val="both"/>
      </w:pPr>
    </w:p>
    <w:p w:rsidR="001E6881" w:rsidRDefault="001E6881" w:rsidP="002609C2">
      <w:pPr>
        <w:spacing w:line="360" w:lineRule="auto"/>
        <w:jc w:val="both"/>
      </w:pPr>
      <w:r>
        <w:t xml:space="preserve">     Z daného modelového příkladu potom dostáváme hodnotu variačního koeficientu na úrovni 0,53.</w:t>
      </w:r>
    </w:p>
    <w:p w:rsidR="00984FD7" w:rsidRDefault="001E6881" w:rsidP="003076BE">
      <w:pPr>
        <w:spacing w:line="360" w:lineRule="auto"/>
        <w:jc w:val="both"/>
      </w:pPr>
      <w:r>
        <w:t xml:space="preserve">     </w:t>
      </w:r>
      <w:r w:rsidR="00AD75BD">
        <w:t xml:space="preserve">Kvantifikace rizika pomocí statistických metod je nezbytná nejen z hlediska schvalování investičního návrhu, </w:t>
      </w:r>
      <w:r w:rsidR="00D00FC3">
        <w:t>významnou</w:t>
      </w:r>
      <w:r w:rsidR="00AD75BD">
        <w:t xml:space="preserve"> úlohu může sehrát i v rámci retrospektivních analýz </w:t>
      </w:r>
      <w:r w:rsidR="00CD7C92">
        <w:t>realizovaných investičních projektů.</w:t>
      </w:r>
      <w:r w:rsidR="00D00FC3">
        <w:t xml:space="preserve"> V tomto kontextu by byl z hlediska těchto analýz stěžejní vztah mezi variačním koeficientem schválených investičních návrhů a výslednými odchylkami realizovaných projektů od předpokladů.</w:t>
      </w:r>
      <w:r w:rsidR="00AD75BD">
        <w:t xml:space="preserve">   </w:t>
      </w:r>
    </w:p>
    <w:p w:rsidR="00984FD7" w:rsidRDefault="00984FD7" w:rsidP="003076BE">
      <w:pPr>
        <w:spacing w:line="360" w:lineRule="auto"/>
        <w:jc w:val="both"/>
      </w:pPr>
    </w:p>
    <w:p w:rsidR="00D00FC3" w:rsidRDefault="00D00FC3" w:rsidP="003076BE">
      <w:pPr>
        <w:spacing w:line="360" w:lineRule="auto"/>
        <w:jc w:val="both"/>
      </w:pPr>
    </w:p>
    <w:p w:rsidR="00D00FC3" w:rsidRDefault="001B7560" w:rsidP="001B7560">
      <w:pPr>
        <w:pStyle w:val="Nadpis2"/>
        <w:ind w:left="0" w:firstLine="0"/>
        <w:rPr>
          <w:b w:val="0"/>
          <w:sz w:val="28"/>
          <w:szCs w:val="28"/>
        </w:rPr>
      </w:pPr>
      <w:r>
        <w:rPr>
          <w:b w:val="0"/>
          <w:sz w:val="28"/>
          <w:szCs w:val="28"/>
        </w:rPr>
        <w:lastRenderedPageBreak/>
        <w:t xml:space="preserve">  </w:t>
      </w:r>
      <w:bookmarkStart w:id="515" w:name="_Toc233044430"/>
      <w:r w:rsidR="00D00FC3" w:rsidRPr="00D00FC3">
        <w:rPr>
          <w:b w:val="0"/>
          <w:sz w:val="28"/>
          <w:szCs w:val="28"/>
        </w:rPr>
        <w:t>Metody hodnocení ekonomické efektivnosti investičních projektů a posouzení možností užití alternativních metod</w:t>
      </w:r>
      <w:bookmarkEnd w:id="515"/>
    </w:p>
    <w:p w:rsidR="00AD75BD" w:rsidRDefault="00AD75BD" w:rsidP="003076BE">
      <w:pPr>
        <w:spacing w:line="360" w:lineRule="auto"/>
        <w:jc w:val="both"/>
      </w:pPr>
    </w:p>
    <w:p w:rsidR="00B97A74" w:rsidRDefault="00CD7C92" w:rsidP="00CD7C92">
      <w:pPr>
        <w:spacing w:line="360" w:lineRule="auto"/>
        <w:jc w:val="both"/>
      </w:pPr>
      <w:r>
        <w:t xml:space="preserve">     </w:t>
      </w:r>
      <w:r w:rsidR="000A1689">
        <w:t xml:space="preserve">Volba metody hodnocení ekonomické efektivnosti investičních projektů </w:t>
      </w:r>
      <w:r w:rsidR="00825EC5">
        <w:t xml:space="preserve">předurčuje výsledky, na základě kterých dochází k investičním rozhodnutím, ta by potom měla naplňovat cíle, které podnik od takového postupu očekává. Rozhodnutí o systémovém užití některé z hodnotících metod je tedy nanejvýš významné. </w:t>
      </w:r>
    </w:p>
    <w:p w:rsidR="00825EC5" w:rsidRDefault="00B97A74" w:rsidP="00CD7C92">
      <w:pPr>
        <w:spacing w:line="360" w:lineRule="auto"/>
        <w:jc w:val="both"/>
      </w:pPr>
      <w:r>
        <w:t xml:space="preserve">     </w:t>
      </w:r>
      <w:r w:rsidR="00825EC5">
        <w:t>V následující části této kapitoly se</w:t>
      </w:r>
      <w:r>
        <w:t xml:space="preserve"> tedy</w:t>
      </w:r>
      <w:r w:rsidR="00825EC5">
        <w:t xml:space="preserve"> budeme věnovat otázce, jaké </w:t>
      </w:r>
      <w:r>
        <w:t xml:space="preserve">hodnotící metody společnost Telefónica O2 Czech Republic, a.s. v souvislosti s hodnocením investičních návrhů používá a zda specifické podnikové podmínky umožňují alternativní přístup, tedy užití alternativních metod. </w:t>
      </w:r>
      <w:r w:rsidR="00825EC5">
        <w:t xml:space="preserve">   </w:t>
      </w:r>
    </w:p>
    <w:p w:rsidR="00B97A74" w:rsidRDefault="00825EC5" w:rsidP="00CD7C92">
      <w:pPr>
        <w:spacing w:line="360" w:lineRule="auto"/>
        <w:jc w:val="both"/>
      </w:pPr>
      <w:r>
        <w:t xml:space="preserve"> </w:t>
      </w:r>
      <w:r w:rsidR="00B97A74">
        <w:t xml:space="preserve">     Společnost v současné době používá tuto strukturu hodnotících metod:</w:t>
      </w:r>
    </w:p>
    <w:p w:rsidR="00B97A74" w:rsidRDefault="00B97A74" w:rsidP="00CD7C92">
      <w:pPr>
        <w:spacing w:line="360" w:lineRule="auto"/>
        <w:jc w:val="both"/>
      </w:pPr>
    </w:p>
    <w:p w:rsidR="00B97A74" w:rsidRDefault="00B97A74" w:rsidP="00B329BD">
      <w:pPr>
        <w:pStyle w:val="Odstavecseseznamem"/>
        <w:numPr>
          <w:ilvl w:val="0"/>
          <w:numId w:val="72"/>
        </w:numPr>
        <w:spacing w:line="360" w:lineRule="auto"/>
        <w:jc w:val="both"/>
      </w:pPr>
      <w:r>
        <w:t>Metodu čisté současné hodnoty – jako metodu výchozí,</w:t>
      </w:r>
    </w:p>
    <w:p w:rsidR="00B97A74" w:rsidRDefault="00B97A74" w:rsidP="00B329BD">
      <w:pPr>
        <w:pStyle w:val="Odstavecseseznamem"/>
        <w:numPr>
          <w:ilvl w:val="0"/>
          <w:numId w:val="72"/>
        </w:numPr>
        <w:spacing w:line="360" w:lineRule="auto"/>
        <w:jc w:val="both"/>
      </w:pPr>
      <w:r>
        <w:t xml:space="preserve">Metodu doby návratnosti upravenou diskontováním – jako metodu doplňkovou, </w:t>
      </w:r>
    </w:p>
    <w:p w:rsidR="00B97A74" w:rsidRDefault="00B97A74" w:rsidP="00B329BD">
      <w:pPr>
        <w:pStyle w:val="Odstavecseseznamem"/>
        <w:numPr>
          <w:ilvl w:val="0"/>
          <w:numId w:val="72"/>
        </w:numPr>
        <w:spacing w:line="360" w:lineRule="auto"/>
        <w:jc w:val="both"/>
      </w:pPr>
      <w:r>
        <w:t>Metodu reálných opcí – jako metodu doplňkovou.</w:t>
      </w:r>
    </w:p>
    <w:p w:rsidR="00B97A74" w:rsidRDefault="00B97A74" w:rsidP="00B97A74">
      <w:pPr>
        <w:spacing w:line="360" w:lineRule="auto"/>
        <w:jc w:val="both"/>
      </w:pPr>
    </w:p>
    <w:p w:rsidR="00B97A74" w:rsidRDefault="00B97A74" w:rsidP="00B97A74">
      <w:pPr>
        <w:spacing w:line="360" w:lineRule="auto"/>
        <w:jc w:val="both"/>
      </w:pPr>
      <w:r>
        <w:t xml:space="preserve">     Podívejme se nyní, zda někter</w:t>
      </w:r>
      <w:r w:rsidR="006F3F56">
        <w:t>é</w:t>
      </w:r>
      <w:r>
        <w:t xml:space="preserve"> z metod hodnocení ekonomické efektivnosti investičních projektů, jak byly popsány v teoretické části této práce, nabízí v rámci podnikových podmínek svoji alternativu.</w:t>
      </w:r>
    </w:p>
    <w:p w:rsidR="00343F81" w:rsidRDefault="00B97A74" w:rsidP="008B0C98">
      <w:pPr>
        <w:spacing w:line="360" w:lineRule="auto"/>
        <w:jc w:val="both"/>
      </w:pPr>
      <w:r>
        <w:t xml:space="preserve">     </w:t>
      </w:r>
      <w:r w:rsidR="008B0C98">
        <w:t xml:space="preserve">     </w:t>
      </w:r>
      <w:r w:rsidR="008C79B9" w:rsidRPr="008B0C98">
        <w:rPr>
          <w:i/>
        </w:rPr>
        <w:t>Metoda průměrných ročních nákladů</w:t>
      </w:r>
      <w:r w:rsidR="008C79B9">
        <w:t xml:space="preserve"> představuje statickou nákladovou metodu, kterou nelze v rámci podniku systémově aplikovat, neboť podnikové investiční projekty je třeba vyjadřovat komplexně, tedy včetně přínosů ve formě realizovaných výkonů. Metodu nelze aplikovat ani jako doplňkovou</w:t>
      </w:r>
      <w:r w:rsidR="00343F81">
        <w:t>, neboť podnikové investiční projekty nezajišťují stejný objem produkce a stejné realizační ceny.</w:t>
      </w:r>
    </w:p>
    <w:p w:rsidR="00ED6001" w:rsidRDefault="008B0C98" w:rsidP="008B0C98">
      <w:pPr>
        <w:spacing w:line="360" w:lineRule="auto"/>
        <w:jc w:val="both"/>
      </w:pPr>
      <w:r>
        <w:t xml:space="preserve">     </w:t>
      </w:r>
      <w:r w:rsidR="00343F81" w:rsidRPr="008B0C98">
        <w:rPr>
          <w:i/>
        </w:rPr>
        <w:t>Metoda výnosnosti investic</w:t>
      </w:r>
      <w:r w:rsidR="00343F81">
        <w:t xml:space="preserve"> představuje statickou ziskovou metodu, kterou rovněž nelze systémově aplikovat, neboť v dynamickém prostředí, ve kterém podnik realizuje svoji činnost, dochází často k neplánovaným změnám způsobů odepisování, které daňové předpisy umožňují</w:t>
      </w:r>
      <w:r w:rsidR="00ED6001">
        <w:t xml:space="preserve"> a které zásadně ovlivňují výši zisku. Neméně podstatný je i fakt, že metoda nepřihlíží k rozložení zisku v čase, tedy k různé časové hodnotě peněz. V daném kontextu by používání této metody </w:t>
      </w:r>
      <w:r w:rsidR="006F6B00">
        <w:t xml:space="preserve">ani </w:t>
      </w:r>
      <w:r w:rsidR="00ED6001">
        <w:t>jako pomocné či doplňkové zřejmě také nebylo účelné.</w:t>
      </w:r>
    </w:p>
    <w:p w:rsidR="006F6B00" w:rsidRDefault="008B0C98" w:rsidP="008B0C98">
      <w:pPr>
        <w:spacing w:line="360" w:lineRule="auto"/>
        <w:jc w:val="both"/>
      </w:pPr>
      <w:r>
        <w:t xml:space="preserve">     </w:t>
      </w:r>
      <w:r w:rsidR="006F6B00" w:rsidRPr="008B0C98">
        <w:rPr>
          <w:i/>
        </w:rPr>
        <w:t>Metoda diskontovaných nákladů</w:t>
      </w:r>
      <w:r w:rsidR="006F6B00">
        <w:t xml:space="preserve"> představuje dynamickou nákladovou metodu, kterou nelze z důvodů, které byly popsány u metody průměrných ročních nákladů, systémově aplikovat. </w:t>
      </w:r>
    </w:p>
    <w:p w:rsidR="006C7C75" w:rsidRDefault="008B0C98" w:rsidP="008B0C98">
      <w:pPr>
        <w:spacing w:line="360" w:lineRule="auto"/>
        <w:jc w:val="both"/>
      </w:pPr>
      <w:r>
        <w:lastRenderedPageBreak/>
        <w:t xml:space="preserve">     </w:t>
      </w:r>
      <w:r w:rsidR="006F6B00" w:rsidRPr="008B0C98">
        <w:rPr>
          <w:i/>
        </w:rPr>
        <w:t>Metoda indexu rentability</w:t>
      </w:r>
      <w:r w:rsidR="006F6B00">
        <w:t xml:space="preserve"> představuje dynamickou metodu opírající se o peněžní příjem z projektu. </w:t>
      </w:r>
      <w:r w:rsidR="008E3942">
        <w:t xml:space="preserve">Jak již bylo naznačeno v teoretické části práce, u vzájemně se nevylučujících projektů podává tato metoda stejné výsledky jako metoda čisté současné hodnoty. Za podmínek omezeného rozpočtu na investice však může dojít ke specifické situaci, kdy užití této metody vede, na rozdíl od metody čisté současné hodnoty, k dosažení vyšší čisté současné hodnoty celého souhrnu omezených zdrojů. Pro posouzení jejího užití jako systémové alternativy musíme nejdříve zjistit, zda se podnik v této situaci nachází. </w:t>
      </w:r>
      <w:r w:rsidR="008D3831">
        <w:t xml:space="preserve">V kapitole věnované plánování podnikových investic již bylo </w:t>
      </w:r>
      <w:r w:rsidR="006C7C75">
        <w:t>naznačeno</w:t>
      </w:r>
      <w:r w:rsidR="008D3831">
        <w:t>, že investiční rozpočet společnosti je omezený, rozveďme nyní toto konstatování detailněji. Níže uvedená tabulka vyjadřuje za období posledních třech let výší investičních rozpočtů, poč</w:t>
      </w:r>
      <w:r w:rsidR="005554DA">
        <w:t>et</w:t>
      </w:r>
      <w:r w:rsidR="008D3831">
        <w:t xml:space="preserve"> investičních návrhů a celkový požadavek na kapitálové výdaje </w:t>
      </w:r>
      <w:r w:rsidR="00B2721E">
        <w:t>klíčových</w:t>
      </w:r>
      <w:r w:rsidR="008D3831">
        <w:t xml:space="preserve"> </w:t>
      </w:r>
      <w:r w:rsidR="00B2721E">
        <w:t>organizačních jednotek společnosti</w:t>
      </w:r>
      <w:r w:rsidR="008D3831">
        <w:t xml:space="preserve">. </w:t>
      </w:r>
      <w:r w:rsidR="005554DA">
        <w:t xml:space="preserve">Uvedeny jsou pouze </w:t>
      </w:r>
      <w:r w:rsidR="00B2721E">
        <w:t>rozpočty a návrhy investic</w:t>
      </w:r>
      <w:r w:rsidR="008D3831">
        <w:t xml:space="preserve">, jejichž hodnocení </w:t>
      </w:r>
      <w:r w:rsidR="008B6FF3">
        <w:t>je</w:t>
      </w:r>
      <w:r w:rsidR="008D3831">
        <w:t xml:space="preserve"> založeno na modelu čisté současné hodnoty.</w:t>
      </w:r>
      <w:r w:rsidR="006C7C75">
        <w:t xml:space="preserve"> Výsledky popisuje tabulka: </w:t>
      </w:r>
    </w:p>
    <w:p w:rsidR="006C7C75" w:rsidRDefault="006C7C75" w:rsidP="006C7C75">
      <w:pPr>
        <w:spacing w:line="360" w:lineRule="auto"/>
        <w:jc w:val="both"/>
      </w:pPr>
    </w:p>
    <w:p w:rsidR="008D3831" w:rsidRDefault="006C7C75" w:rsidP="00AB0BF5">
      <w:pPr>
        <w:pStyle w:val="Nzev"/>
      </w:pPr>
      <w:bookmarkStart w:id="516" w:name="_Toc233044454"/>
      <w:r>
        <w:t xml:space="preserve">Tabulka č. 20 – Investiční rozpočty podnikových útvarů </w:t>
      </w:r>
      <w:r w:rsidR="00AB0BF5">
        <w:t>oproti investičním návrhům</w:t>
      </w:r>
      <w:bookmarkEnd w:id="516"/>
      <w:r w:rsidR="008D3831">
        <w:t xml:space="preserve"> </w:t>
      </w:r>
    </w:p>
    <w:p w:rsidR="00B97A74" w:rsidRDefault="005554DA" w:rsidP="008D3831">
      <w:pPr>
        <w:spacing w:line="360" w:lineRule="auto"/>
        <w:jc w:val="both"/>
      </w:pPr>
      <w:r>
        <w:rPr>
          <w:noProof/>
        </w:rPr>
        <w:drawing>
          <wp:anchor distT="0" distB="0" distL="114300" distR="114300" simplePos="0" relativeHeight="251736064" behindDoc="0" locked="0" layoutInCell="1" allowOverlap="1">
            <wp:simplePos x="0" y="0"/>
            <wp:positionH relativeFrom="column">
              <wp:posOffset>15875</wp:posOffset>
            </wp:positionH>
            <wp:positionV relativeFrom="paragraph">
              <wp:posOffset>180340</wp:posOffset>
            </wp:positionV>
            <wp:extent cx="5762625" cy="2790825"/>
            <wp:effectExtent l="19050" t="0" r="9525" b="0"/>
            <wp:wrapNone/>
            <wp:docPr id="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5762625" cy="2790825"/>
                    </a:xfrm>
                    <a:prstGeom prst="rect">
                      <a:avLst/>
                    </a:prstGeom>
                    <a:noFill/>
                    <a:ln w="9525">
                      <a:noFill/>
                      <a:miter lim="800000"/>
                      <a:headEnd/>
                      <a:tailEnd/>
                    </a:ln>
                  </pic:spPr>
                </pic:pic>
              </a:graphicData>
            </a:graphic>
          </wp:anchor>
        </w:drawing>
      </w:r>
      <w:r w:rsidR="008D3831">
        <w:t xml:space="preserve">     </w:t>
      </w:r>
      <w:r w:rsidR="008E3942">
        <w:t xml:space="preserve">  </w:t>
      </w:r>
      <w:r w:rsidR="00ED6001">
        <w:t xml:space="preserve"> </w:t>
      </w:r>
      <w:r w:rsidR="00343F81">
        <w:t xml:space="preserve"> </w:t>
      </w:r>
      <w:r w:rsidR="008C79B9">
        <w:t xml:space="preserve">   </w:t>
      </w:r>
    </w:p>
    <w:p w:rsidR="00B97A74" w:rsidRDefault="00B97A74" w:rsidP="00B97A74">
      <w:pPr>
        <w:spacing w:line="360" w:lineRule="auto"/>
        <w:jc w:val="both"/>
      </w:pPr>
      <w:r>
        <w:t xml:space="preserve"> </w:t>
      </w:r>
    </w:p>
    <w:p w:rsidR="00B97A74" w:rsidRDefault="00B97A74" w:rsidP="00B97A74">
      <w:pPr>
        <w:spacing w:line="360" w:lineRule="auto"/>
        <w:ind w:left="360"/>
        <w:jc w:val="both"/>
      </w:pPr>
    </w:p>
    <w:p w:rsidR="00B97A74" w:rsidRDefault="00B97A74" w:rsidP="00B97A74">
      <w:pPr>
        <w:spacing w:line="360" w:lineRule="auto"/>
        <w:ind w:left="360"/>
        <w:jc w:val="both"/>
      </w:pPr>
    </w:p>
    <w:p w:rsidR="00B97A74" w:rsidRDefault="002B769D" w:rsidP="00B97A74">
      <w:pPr>
        <w:spacing w:line="360" w:lineRule="auto"/>
        <w:ind w:left="360"/>
        <w:jc w:val="both"/>
      </w:pPr>
      <w:r>
        <w:rPr>
          <w:noProof/>
        </w:rPr>
        <w:pict>
          <v:shape id="_x0000_s1059" type="#_x0000_t32" style="position:absolute;left:0;text-align:left;margin-left:347.75pt;margin-top:19.15pt;width:0;height:53.25pt;flip:y;z-index:251744256;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c00000">
            <v:stroke endarrow="block"/>
          </v:shape>
        </w:pict>
      </w:r>
      <w:r>
        <w:rPr>
          <w:noProof/>
        </w:rPr>
        <w:pict>
          <v:shape id="_x0000_s1060" type="#_x0000_t32" style="position:absolute;left:0;text-align:left;margin-left:257.75pt;margin-top:19.15pt;width:0;height:53.25pt;flip:y;z-index:251745280;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c00000">
            <v:stroke endarrow="block"/>
          </v:shape>
        </w:pict>
      </w:r>
      <w:r>
        <w:rPr>
          <w:noProof/>
        </w:rPr>
        <w:pict>
          <v:shape id="_x0000_s1058" type="#_x0000_t32" style="position:absolute;left:0;text-align:left;margin-left:167pt;margin-top:19.15pt;width:0;height:53.25pt;flip:y;z-index:251743232;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c00000">
            <v:stroke endarrow="block"/>
          </v:shape>
        </w:pict>
      </w:r>
      <w:r>
        <w:rPr>
          <w:noProof/>
        </w:rPr>
        <w:pict>
          <v:shape id="_x0000_s1057" type="#_x0000_t32" style="position:absolute;left:0;text-align:left;margin-left:77pt;margin-top:19.3pt;width:0;height:53.25pt;flip:y;z-index:251742208;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c00000">
            <v:stroke endarrow="block"/>
          </v:shape>
        </w:pict>
      </w:r>
      <w:r>
        <w:rPr>
          <w:noProof/>
        </w:rPr>
        <w:pict>
          <v:shape id="_x0000_s1061" type="#_x0000_t32" style="position:absolute;left:0;text-align:left;margin-left:437pt;margin-top:19.3pt;width:0;height:53.25pt;flip:y;z-index:251746304;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color="#c00000">
            <v:stroke endarrow="block"/>
          </v:shape>
        </w:pict>
      </w:r>
    </w:p>
    <w:p w:rsidR="006C7C75" w:rsidRDefault="006C7C75" w:rsidP="00B97A74">
      <w:pPr>
        <w:spacing w:line="360" w:lineRule="auto"/>
        <w:ind w:left="360"/>
        <w:jc w:val="both"/>
      </w:pPr>
    </w:p>
    <w:p w:rsidR="006C7C75" w:rsidRDefault="006C7C75" w:rsidP="00B97A74">
      <w:pPr>
        <w:spacing w:line="360" w:lineRule="auto"/>
        <w:ind w:left="360"/>
        <w:jc w:val="both"/>
      </w:pPr>
    </w:p>
    <w:p w:rsidR="006C7C75" w:rsidRDefault="002B769D" w:rsidP="00B97A74">
      <w:pPr>
        <w:spacing w:line="360" w:lineRule="auto"/>
        <w:ind w:left="360"/>
        <w:jc w:val="both"/>
      </w:pPr>
      <w:r>
        <w:rPr>
          <w:noProof/>
        </w:rPr>
        <w:pict>
          <v:roundrect id="_x0000_s1056" style="position:absolute;left:0;text-align:left;margin-left:424.25pt;margin-top:10.3pt;width:28.5pt;height:52.65pt;z-index:251741184" arcsize="10923f" filled="f" strokecolor="#c00000" strokeweight="2pt"/>
        </w:pict>
      </w:r>
      <w:r>
        <w:rPr>
          <w:noProof/>
        </w:rPr>
        <w:pict>
          <v:roundrect id="_x0000_s1055" style="position:absolute;left:0;text-align:left;margin-left:333.5pt;margin-top:10.3pt;width:28.5pt;height:52.65pt;z-index:251740160" arcsize="10923f" filled="f" strokecolor="#c00000" strokeweight="2pt"/>
        </w:pict>
      </w:r>
      <w:r>
        <w:rPr>
          <w:noProof/>
        </w:rPr>
        <w:pict>
          <v:roundrect id="_x0000_s1054" style="position:absolute;left:0;text-align:left;margin-left:243.5pt;margin-top:10.3pt;width:28.5pt;height:52.65pt;z-index:251739136" arcsize="10923f" filled="f" strokecolor="#c00000" strokeweight="2pt"/>
        </w:pict>
      </w:r>
      <w:r>
        <w:rPr>
          <w:noProof/>
        </w:rPr>
        <w:pict>
          <v:roundrect id="_x0000_s1053" style="position:absolute;left:0;text-align:left;margin-left:152.75pt;margin-top:10.3pt;width:28.5pt;height:52.65pt;z-index:251738112" arcsize="10923f" filled="f" strokecolor="#c00000" strokeweight="2pt"/>
        </w:pict>
      </w:r>
      <w:r>
        <w:rPr>
          <w:noProof/>
        </w:rPr>
        <w:pict>
          <v:roundrect id="_x0000_s1052" style="position:absolute;left:0;text-align:left;margin-left:62.75pt;margin-top:10.3pt;width:28.5pt;height:52.65pt;z-index:251737088" arcsize="10923f" filled="f" strokecolor="#c00000" strokeweight="2pt"/>
        </w:pict>
      </w:r>
    </w:p>
    <w:p w:rsidR="006C7C75" w:rsidRDefault="006C7C75" w:rsidP="00B97A74">
      <w:pPr>
        <w:spacing w:line="360" w:lineRule="auto"/>
        <w:ind w:left="360"/>
        <w:jc w:val="both"/>
      </w:pPr>
    </w:p>
    <w:p w:rsidR="006C7C75" w:rsidRDefault="006C7C75" w:rsidP="00B97A74">
      <w:pPr>
        <w:spacing w:line="360" w:lineRule="auto"/>
        <w:ind w:left="360"/>
        <w:jc w:val="both"/>
      </w:pPr>
    </w:p>
    <w:p w:rsidR="006C7C75" w:rsidRDefault="006C7C75" w:rsidP="00B97A74">
      <w:pPr>
        <w:spacing w:line="360" w:lineRule="auto"/>
        <w:ind w:left="360"/>
        <w:jc w:val="both"/>
      </w:pPr>
    </w:p>
    <w:p w:rsidR="006C7C75" w:rsidRDefault="006C7C75" w:rsidP="005554DA">
      <w:pPr>
        <w:spacing w:line="360" w:lineRule="auto"/>
        <w:jc w:val="both"/>
      </w:pPr>
    </w:p>
    <w:p w:rsidR="005554DA" w:rsidRPr="005554DA" w:rsidRDefault="005554DA" w:rsidP="005554DA">
      <w:pPr>
        <w:spacing w:line="360" w:lineRule="auto"/>
        <w:jc w:val="both"/>
        <w:rPr>
          <w:i/>
          <w:sz w:val="18"/>
          <w:szCs w:val="18"/>
        </w:rPr>
      </w:pPr>
      <w:r w:rsidRPr="005554DA">
        <w:rPr>
          <w:i/>
          <w:sz w:val="18"/>
          <w:szCs w:val="18"/>
        </w:rPr>
        <w:t xml:space="preserve">Zdroj: obchodní plány společnosti, podniková aplikace Lotus Notes  </w:t>
      </w:r>
    </w:p>
    <w:p w:rsidR="005554DA" w:rsidRDefault="005554DA" w:rsidP="005554DA">
      <w:pPr>
        <w:spacing w:line="360" w:lineRule="auto"/>
        <w:jc w:val="both"/>
      </w:pPr>
    </w:p>
    <w:p w:rsidR="005554DA" w:rsidRDefault="005554DA" w:rsidP="005554DA">
      <w:pPr>
        <w:spacing w:line="360" w:lineRule="auto"/>
        <w:jc w:val="both"/>
      </w:pPr>
      <w:r>
        <w:t xml:space="preserve">     Z uvedeného výčtu je patrné, že požadavky jednotlivých podnikových útvarů na kapitálové výdaje jsou vyšší, než rozpočtované výdaje v rámci ročních obchodních plánů. V</w:t>
      </w:r>
      <w:r w:rsidR="004616AD">
        <w:t xml:space="preserve"> praxi tak dochází k situacím, kdy v rámci jednání centrální investiční komise nebo investičních komisí organizačních jednotek není možné přijmou všechny předložené návrhy, byť každý vykazuje kladnou čistou současnou hodnotu. </w:t>
      </w:r>
      <w:r w:rsidR="006F3F56">
        <w:t xml:space="preserve">Z tohoto pohledu se jeví užití metody indexu rentability </w:t>
      </w:r>
      <w:r w:rsidR="006F3F56">
        <w:lastRenderedPageBreak/>
        <w:t xml:space="preserve">jako vhodná systémová alternativa stávající podnikové praxe. Metodu lze užit jako metodu výchozí.    </w:t>
      </w:r>
      <w:r w:rsidR="004616AD">
        <w:t xml:space="preserve">  </w:t>
      </w:r>
      <w:r>
        <w:t xml:space="preserve">  </w:t>
      </w:r>
    </w:p>
    <w:p w:rsidR="009F080A" w:rsidRDefault="006F3F56" w:rsidP="005554DA">
      <w:pPr>
        <w:spacing w:line="360" w:lineRule="auto"/>
        <w:jc w:val="both"/>
      </w:pPr>
      <w:r>
        <w:t xml:space="preserve">     </w:t>
      </w:r>
      <w:r w:rsidRPr="00B90C90">
        <w:rPr>
          <w:i/>
        </w:rPr>
        <w:t>Metoda vnitřního výnosového procenta</w:t>
      </w:r>
      <w:r>
        <w:t xml:space="preserve"> představuje dynamickou metodu opírající se o peněžní příjem z</w:t>
      </w:r>
      <w:r w:rsidR="00B90C90">
        <w:t> </w:t>
      </w:r>
      <w:r>
        <w:t>projektu</w:t>
      </w:r>
      <w:r w:rsidR="00B90C90">
        <w:t xml:space="preserve">. </w:t>
      </w:r>
      <w:r w:rsidR="00050C4D">
        <w:t xml:space="preserve">V souladu s teoretickými východisky je podstatou této metody nalezení míry výnosu, při níž se čistá současná hodnota projektu rovná nule, za přijatelné potom považujeme projekty s vyšší mírou výnosu, než je požadovaná míra výnosu, tedy podniková diskontní sazba projektu. </w:t>
      </w:r>
      <w:r w:rsidR="009F080A">
        <w:t>Uvedenou metoda, jak bylo uvedeno, nelze užít u projektů s nekonvenčními peněžními toky a dále u projektů vzájemně se vylučujících. Z tohoto výčtu je patrné, že tuto metodu v podmínkách podniku možné systémově aplikovat. Pro úplnost můžeme znázornit členění investičních návrhů podle charakteru peněžních toků, jak bylo zavedeno v teoretické části práce.</w:t>
      </w:r>
    </w:p>
    <w:p w:rsidR="009F080A" w:rsidRDefault="009F080A" w:rsidP="005554DA">
      <w:pPr>
        <w:spacing w:line="360" w:lineRule="auto"/>
        <w:jc w:val="both"/>
      </w:pPr>
    </w:p>
    <w:p w:rsidR="006F3F56" w:rsidRDefault="009F080A" w:rsidP="009F080A">
      <w:pPr>
        <w:pStyle w:val="Nzev"/>
      </w:pPr>
      <w:bookmarkStart w:id="517" w:name="_Toc233044455"/>
      <w:r>
        <w:t xml:space="preserve">Tabulka č. 21 – </w:t>
      </w:r>
      <w:r w:rsidR="004D3236">
        <w:t>Investiční návrhy s nekonvenčním peněžním tokem</w:t>
      </w:r>
      <w:bookmarkEnd w:id="517"/>
      <w:r w:rsidR="004D3236">
        <w:t xml:space="preserve"> </w:t>
      </w:r>
      <w:r>
        <w:t xml:space="preserve">   </w:t>
      </w:r>
      <w:r w:rsidR="00050C4D">
        <w:t xml:space="preserve">  </w:t>
      </w:r>
    </w:p>
    <w:p w:rsidR="0008263F" w:rsidRDefault="0008263F" w:rsidP="005554DA">
      <w:pPr>
        <w:spacing w:line="360" w:lineRule="auto"/>
        <w:jc w:val="both"/>
      </w:pPr>
      <w:r>
        <w:rPr>
          <w:noProof/>
        </w:rPr>
        <w:drawing>
          <wp:anchor distT="0" distB="0" distL="114300" distR="114300" simplePos="0" relativeHeight="251747328" behindDoc="0" locked="0" layoutInCell="1" allowOverlap="1">
            <wp:simplePos x="0" y="0"/>
            <wp:positionH relativeFrom="column">
              <wp:posOffset>21590</wp:posOffset>
            </wp:positionH>
            <wp:positionV relativeFrom="paragraph">
              <wp:posOffset>153670</wp:posOffset>
            </wp:positionV>
            <wp:extent cx="5762625" cy="1562100"/>
            <wp:effectExtent l="19050" t="0" r="9525" b="0"/>
            <wp:wrapNone/>
            <wp:docPr id="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5762625" cy="1562100"/>
                    </a:xfrm>
                    <a:prstGeom prst="rect">
                      <a:avLst/>
                    </a:prstGeom>
                    <a:noFill/>
                    <a:ln w="9525">
                      <a:noFill/>
                      <a:miter lim="800000"/>
                      <a:headEnd/>
                      <a:tailEnd/>
                    </a:ln>
                  </pic:spPr>
                </pic:pic>
              </a:graphicData>
            </a:graphic>
          </wp:anchor>
        </w:drawing>
      </w:r>
    </w:p>
    <w:p w:rsidR="0008263F" w:rsidRDefault="0008263F" w:rsidP="005554DA">
      <w:pPr>
        <w:spacing w:line="360" w:lineRule="auto"/>
        <w:jc w:val="both"/>
      </w:pPr>
    </w:p>
    <w:p w:rsidR="0008263F" w:rsidRDefault="0008263F" w:rsidP="005554DA">
      <w:pPr>
        <w:spacing w:line="360" w:lineRule="auto"/>
        <w:jc w:val="both"/>
      </w:pPr>
    </w:p>
    <w:p w:rsidR="0008263F" w:rsidRDefault="0008263F" w:rsidP="005554DA">
      <w:pPr>
        <w:spacing w:line="360" w:lineRule="auto"/>
        <w:jc w:val="both"/>
      </w:pPr>
    </w:p>
    <w:p w:rsidR="0008263F" w:rsidRDefault="0008263F" w:rsidP="005554DA">
      <w:pPr>
        <w:spacing w:line="360" w:lineRule="auto"/>
        <w:jc w:val="both"/>
      </w:pPr>
    </w:p>
    <w:p w:rsidR="0008263F" w:rsidRDefault="0008263F" w:rsidP="005554DA">
      <w:pPr>
        <w:spacing w:line="360" w:lineRule="auto"/>
        <w:jc w:val="both"/>
      </w:pPr>
    </w:p>
    <w:p w:rsidR="006F3F56" w:rsidRDefault="006F3F56" w:rsidP="005554DA">
      <w:pPr>
        <w:spacing w:line="360" w:lineRule="auto"/>
        <w:jc w:val="both"/>
      </w:pPr>
    </w:p>
    <w:p w:rsidR="004D3236" w:rsidRPr="004D3236" w:rsidRDefault="004D3236" w:rsidP="005554DA">
      <w:pPr>
        <w:spacing w:line="360" w:lineRule="auto"/>
        <w:jc w:val="both"/>
        <w:rPr>
          <w:i/>
          <w:sz w:val="18"/>
          <w:szCs w:val="18"/>
        </w:rPr>
      </w:pPr>
      <w:r w:rsidRPr="004D3236">
        <w:rPr>
          <w:i/>
          <w:sz w:val="18"/>
          <w:szCs w:val="18"/>
        </w:rPr>
        <w:t>Zdroj: podniková aplikace Lotus Notes</w:t>
      </w:r>
    </w:p>
    <w:p w:rsidR="004D3236" w:rsidRDefault="004D3236" w:rsidP="005554DA">
      <w:pPr>
        <w:spacing w:line="360" w:lineRule="auto"/>
        <w:jc w:val="both"/>
      </w:pPr>
    </w:p>
    <w:p w:rsidR="000452FF" w:rsidRDefault="004D3236" w:rsidP="005554DA">
      <w:pPr>
        <w:spacing w:line="360" w:lineRule="auto"/>
        <w:jc w:val="both"/>
      </w:pPr>
      <w:r>
        <w:t xml:space="preserve">     </w:t>
      </w:r>
      <w:r w:rsidR="00F37FCF">
        <w:t>Metodu vnitřního výnosového procenta tedy nelze aplikovat i z důvodu výskytu investičních návrhů s nekonvenčním peněžním tokem. Aplikace této metody v rámci systémového přístupu podniku by přinášela zavádějící výsledky investičních návrhů hodnocených podle tohoto kritéria.</w:t>
      </w:r>
    </w:p>
    <w:p w:rsidR="00873581" w:rsidRDefault="000452FF" w:rsidP="00CD7C92">
      <w:pPr>
        <w:spacing w:line="360" w:lineRule="auto"/>
        <w:jc w:val="both"/>
      </w:pPr>
      <w:r>
        <w:t xml:space="preserve">     Společnost Telefónica O2 Czech republic, a.s. používá v rámci hodnocení investičních projektů metodu čisté současné hodnoty, doplněnou o metodu doby návratnosti upravenou diskontováním a v předem definovaných situacích rovněž metodu reálných opcí.</w:t>
      </w:r>
      <w:r w:rsidR="005554DA">
        <w:t xml:space="preserve"> </w:t>
      </w:r>
      <w:r w:rsidR="00CD7C92">
        <w:t xml:space="preserve">V kontextu podnikatelské činnosti společnosti, tedy </w:t>
      </w:r>
      <w:r w:rsidR="00873581">
        <w:t xml:space="preserve">dynamice </w:t>
      </w:r>
      <w:r w:rsidR="00CD7C92">
        <w:t>odvětví, ve kterém podnik působí, a míře konkurence, lze užití těchto metod považovat za opodstatněné, nelze však pominout skutečnost, že v daném rozvržení nemusí podnik</w:t>
      </w:r>
      <w:r w:rsidR="00873581">
        <w:t xml:space="preserve"> vzhledem ke specifickým podmínkám, tedy omezenému rozpočtu na investice, </w:t>
      </w:r>
      <w:r w:rsidR="00CD7C92">
        <w:t xml:space="preserve">dosáhnout nejvyšší čisté současné hodnoty celého souhrnu omezených kapitálových zdrojů. Rezervu je tedy třeba spatřovat v absenci užití metody indexu rentability, kterou je třeba vnímat jako systémovou alternativu metody čisté současné </w:t>
      </w:r>
      <w:r w:rsidR="00CD7C92">
        <w:lastRenderedPageBreak/>
        <w:t>hodnoty zabezpečující svojí podstatou volbu hodnocených projektů v pořadí, které zabezpečí nejvyšší možný úhrn čisté současné hodnoty všech projektů omezených kapitálovými zdroji.</w:t>
      </w:r>
      <w:r w:rsidR="00873581">
        <w:t xml:space="preserve"> Možnost a</w:t>
      </w:r>
      <w:r w:rsidR="00CD7C92">
        <w:t>lternativní</w:t>
      </w:r>
      <w:r w:rsidR="00873581">
        <w:t>ho</w:t>
      </w:r>
      <w:r w:rsidR="00CD7C92">
        <w:t xml:space="preserve"> užití některé </w:t>
      </w:r>
      <w:r>
        <w:t>jiné metody</w:t>
      </w:r>
      <w:r w:rsidR="00873581">
        <w:t xml:space="preserve"> hodnocení ekonomické efektivnosti investičních projektů nebyla shledána, </w:t>
      </w:r>
      <w:r w:rsidR="00D34455">
        <w:t xml:space="preserve">relevantní </w:t>
      </w:r>
      <w:r w:rsidR="00873581">
        <w:t>argumenty byly uvedeny. Jako optimální se tedy jeví následující struktura hodnotících metod:</w:t>
      </w:r>
    </w:p>
    <w:p w:rsidR="00873581" w:rsidRDefault="00873581" w:rsidP="00CD7C92">
      <w:pPr>
        <w:spacing w:line="360" w:lineRule="auto"/>
        <w:jc w:val="both"/>
      </w:pPr>
    </w:p>
    <w:p w:rsidR="00873581" w:rsidRDefault="00873581" w:rsidP="00B329BD">
      <w:pPr>
        <w:pStyle w:val="Odstavecseseznamem"/>
        <w:numPr>
          <w:ilvl w:val="0"/>
          <w:numId w:val="72"/>
        </w:numPr>
        <w:spacing w:line="360" w:lineRule="auto"/>
        <w:ind w:left="754" w:hanging="357"/>
        <w:jc w:val="both"/>
      </w:pPr>
      <w:r>
        <w:t>Metoda indexu rentability – jako metoda výchozí,</w:t>
      </w:r>
    </w:p>
    <w:p w:rsidR="00873581" w:rsidRDefault="00873581" w:rsidP="00B329BD">
      <w:pPr>
        <w:pStyle w:val="Odstavecseseznamem"/>
        <w:numPr>
          <w:ilvl w:val="0"/>
          <w:numId w:val="72"/>
        </w:numPr>
        <w:spacing w:line="360" w:lineRule="auto"/>
        <w:ind w:left="754" w:hanging="357"/>
        <w:jc w:val="both"/>
      </w:pPr>
      <w:r>
        <w:t xml:space="preserve">Metoda doby návratnosti upravená diskontováním – jako metoda doplňková, </w:t>
      </w:r>
    </w:p>
    <w:p w:rsidR="00873581" w:rsidRDefault="00873581" w:rsidP="00B329BD">
      <w:pPr>
        <w:pStyle w:val="Odstavecseseznamem"/>
        <w:numPr>
          <w:ilvl w:val="0"/>
          <w:numId w:val="72"/>
        </w:numPr>
        <w:spacing w:line="360" w:lineRule="auto"/>
        <w:ind w:left="754" w:hanging="357"/>
        <w:jc w:val="both"/>
      </w:pPr>
      <w:r>
        <w:t>Metoda reálných opcí – jako metoda doplňková.</w:t>
      </w:r>
    </w:p>
    <w:p w:rsidR="00873581" w:rsidRDefault="00873581" w:rsidP="00873581">
      <w:pPr>
        <w:spacing w:line="360" w:lineRule="auto"/>
        <w:jc w:val="both"/>
      </w:pPr>
    </w:p>
    <w:p w:rsidR="00873581" w:rsidRDefault="0008263F" w:rsidP="00873581">
      <w:pPr>
        <w:spacing w:line="360" w:lineRule="auto"/>
        <w:jc w:val="both"/>
      </w:pPr>
      <w:r>
        <w:t xml:space="preserve">     Navržená struktura se jeví jako optimální z hlediska systémového naplňování nejvyšších podnikových cílů s přihlédnutím ke specifickým podmínkám daného podniku.  </w:t>
      </w:r>
    </w:p>
    <w:p w:rsidR="0054502D" w:rsidRDefault="0054502D" w:rsidP="0054502D">
      <w:pPr>
        <w:pStyle w:val="Nadpis1"/>
        <w:numPr>
          <w:ilvl w:val="0"/>
          <w:numId w:val="0"/>
        </w:numPr>
        <w:spacing w:line="360" w:lineRule="auto"/>
        <w:rPr>
          <w:b w:val="0"/>
          <w:szCs w:val="32"/>
        </w:rPr>
      </w:pPr>
      <w:bookmarkStart w:id="518" w:name="_Toc233044431"/>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p w:rsidR="0054502D" w:rsidRDefault="0054502D" w:rsidP="0054502D">
      <w:pPr>
        <w:pStyle w:val="Nadpis1"/>
        <w:numPr>
          <w:ilvl w:val="0"/>
          <w:numId w:val="0"/>
        </w:numPr>
        <w:spacing w:line="360" w:lineRule="auto"/>
        <w:rPr>
          <w:b w:val="0"/>
          <w:szCs w:val="32"/>
        </w:rPr>
      </w:pPr>
    </w:p>
    <w:bookmarkEnd w:id="518"/>
    <w:p w:rsidR="00627031" w:rsidRDefault="00627031" w:rsidP="00F61EF1"/>
    <w:p w:rsidR="0054502D" w:rsidRPr="00F61EF1" w:rsidRDefault="00F61EF1" w:rsidP="0054502D">
      <w:pPr>
        <w:pStyle w:val="Nadpis1"/>
        <w:numPr>
          <w:ilvl w:val="0"/>
          <w:numId w:val="0"/>
        </w:numPr>
        <w:spacing w:line="360" w:lineRule="auto"/>
        <w:rPr>
          <w:b w:val="0"/>
          <w:szCs w:val="32"/>
        </w:rPr>
      </w:pPr>
      <w:r>
        <w:lastRenderedPageBreak/>
        <w:t xml:space="preserve">    </w:t>
      </w:r>
      <w:r w:rsidR="0054502D" w:rsidRPr="00F61EF1">
        <w:rPr>
          <w:b w:val="0"/>
          <w:szCs w:val="32"/>
        </w:rPr>
        <w:t>Závěr</w:t>
      </w:r>
    </w:p>
    <w:p w:rsidR="0054502D" w:rsidRDefault="0054502D" w:rsidP="00F61EF1">
      <w:pPr>
        <w:spacing w:line="360" w:lineRule="auto"/>
        <w:jc w:val="both"/>
      </w:pPr>
    </w:p>
    <w:p w:rsidR="0054338A" w:rsidRDefault="0054502D" w:rsidP="00F61EF1">
      <w:pPr>
        <w:spacing w:line="360" w:lineRule="auto"/>
        <w:jc w:val="both"/>
      </w:pPr>
      <w:r>
        <w:t xml:space="preserve">     </w:t>
      </w:r>
      <w:r w:rsidR="000A70FD">
        <w:t xml:space="preserve">Na základě teoretických východisek byla provedena </w:t>
      </w:r>
      <w:r w:rsidR="00F61EF1">
        <w:t>analýz</w:t>
      </w:r>
      <w:r w:rsidR="000A70FD">
        <w:t>a</w:t>
      </w:r>
      <w:r w:rsidR="00F61EF1">
        <w:t xml:space="preserve"> postupů využívaných při hodnocení investičních projektů v</w:t>
      </w:r>
      <w:r w:rsidR="000A70FD">
        <w:t>e společnosti Telefónica O2 Czech Republic, a.s. a</w:t>
      </w:r>
      <w:r w:rsidR="00F61EF1">
        <w:t xml:space="preserve"> posouzení možností využití alternativních metod.</w:t>
      </w:r>
      <w:r w:rsidR="00E23225">
        <w:t xml:space="preserve"> Analýza byla zaměřena na čtyři dílčí oblasti s tímto výsledkem</w:t>
      </w:r>
      <w:r w:rsidR="00B329BD">
        <w:t>.</w:t>
      </w:r>
    </w:p>
    <w:p w:rsidR="00B329BD" w:rsidRDefault="00B329BD" w:rsidP="00F61EF1">
      <w:pPr>
        <w:spacing w:line="360" w:lineRule="auto"/>
        <w:jc w:val="both"/>
      </w:pPr>
    </w:p>
    <w:p w:rsidR="00E23225" w:rsidRDefault="0054338A" w:rsidP="00B329BD">
      <w:pPr>
        <w:pStyle w:val="Odstavecseseznamem"/>
        <w:numPr>
          <w:ilvl w:val="0"/>
          <w:numId w:val="73"/>
        </w:numPr>
        <w:spacing w:line="360" w:lineRule="auto"/>
        <w:ind w:left="754" w:hanging="357"/>
        <w:jc w:val="both"/>
      </w:pPr>
      <w:r>
        <w:t>V</w:t>
      </w:r>
      <w:r w:rsidR="00070338">
        <w:t xml:space="preserve"> oblasti </w:t>
      </w:r>
      <w:r w:rsidR="00070338" w:rsidRPr="00B329BD">
        <w:rPr>
          <w:i/>
        </w:rPr>
        <w:t>plánování podnikových investic a jejich klasifikace</w:t>
      </w:r>
      <w:r w:rsidR="00070338">
        <w:t xml:space="preserve"> </w:t>
      </w:r>
      <w:r w:rsidR="00E644A9">
        <w:t xml:space="preserve">byla </w:t>
      </w:r>
      <w:r>
        <w:t>konstatov</w:t>
      </w:r>
      <w:r w:rsidR="00E644A9">
        <w:t>ána</w:t>
      </w:r>
      <w:r w:rsidR="00070338">
        <w:t xml:space="preserve"> shodu s teoretickým </w:t>
      </w:r>
      <w:r>
        <w:t>konceptem.</w:t>
      </w:r>
      <w:r w:rsidR="00070338">
        <w:t xml:space="preserve"> Plánování investic a tvorba investičního rozpočtu vychází ze strategického obchodního plánu společnosti. </w:t>
      </w:r>
      <w:r>
        <w:t>Podnik člení investice podle dvou klasifikačních kritérií, přičemž každé kriterium sleduje samostatný účel.</w:t>
      </w:r>
      <w:r w:rsidR="00070338">
        <w:t xml:space="preserve"> </w:t>
      </w:r>
      <w:r>
        <w:t>Prvním základním kriteriem je vztah investice k rozvoji podniku s přímou vazbou na požadovanou formu investiční dokumentace z hlediska struktury a obsahu. Druhým kriteriem je velikost investice vyjádřená velikostí kapitálových výdajů s přímou vazbou na definované schvalovací kompetence</w:t>
      </w:r>
      <w:r w:rsidR="00070338">
        <w:t>.</w:t>
      </w:r>
      <w:r w:rsidR="00F61EF1">
        <w:t xml:space="preserve"> </w:t>
      </w:r>
    </w:p>
    <w:p w:rsidR="00064715" w:rsidRDefault="00064715" w:rsidP="00B329BD">
      <w:pPr>
        <w:pStyle w:val="Odstavecseseznamem"/>
        <w:numPr>
          <w:ilvl w:val="0"/>
          <w:numId w:val="74"/>
        </w:numPr>
        <w:spacing w:line="360" w:lineRule="auto"/>
        <w:ind w:left="754" w:hanging="357"/>
        <w:jc w:val="both"/>
      </w:pPr>
      <w:r>
        <w:t xml:space="preserve">V oblasti </w:t>
      </w:r>
      <w:r w:rsidRPr="00B329BD">
        <w:rPr>
          <w:i/>
        </w:rPr>
        <w:t xml:space="preserve">jednotlivých </w:t>
      </w:r>
      <w:r w:rsidR="00E644A9" w:rsidRPr="00B329BD">
        <w:rPr>
          <w:i/>
        </w:rPr>
        <w:t xml:space="preserve">fází podnikového </w:t>
      </w:r>
      <w:r w:rsidRPr="00B329BD">
        <w:rPr>
          <w:i/>
        </w:rPr>
        <w:t>investičníh</w:t>
      </w:r>
      <w:r w:rsidR="00E644A9" w:rsidRPr="00B329BD">
        <w:rPr>
          <w:i/>
        </w:rPr>
        <w:t>o procesu</w:t>
      </w:r>
      <w:r>
        <w:t xml:space="preserve"> </w:t>
      </w:r>
      <w:r w:rsidR="00E644A9">
        <w:t xml:space="preserve">byly vyvozeny následující závěry. </w:t>
      </w:r>
      <w:r w:rsidR="00F93923">
        <w:t>V předinvestiční fázi identifikují p</w:t>
      </w:r>
      <w:r w:rsidR="00E644A9">
        <w:t xml:space="preserve">odnikové útvary podnikatelské příležitost a k návrhům </w:t>
      </w:r>
      <w:r w:rsidR="00F93923">
        <w:t xml:space="preserve">konkrétních </w:t>
      </w:r>
      <w:r w:rsidR="00E644A9">
        <w:t xml:space="preserve">investic zpracovávají požadovanou dokumentaci. </w:t>
      </w:r>
      <w:r w:rsidR="004C0E7D">
        <w:t xml:space="preserve">Tato dokumentace svými </w:t>
      </w:r>
      <w:r w:rsidR="00E644A9">
        <w:t>složk</w:t>
      </w:r>
      <w:r w:rsidR="004C0E7D">
        <w:t>ami odpovídá složkám technicko-ekonomické studie, jak jsou zavedeny v odborné literatuře.</w:t>
      </w:r>
      <w:r w:rsidR="00F93923">
        <w:t xml:space="preserve"> Se zpracovanou dokumentací se předkladatel obrací na příslušnou schvalovací úroveň, přičemž v</w:t>
      </w:r>
      <w:r w:rsidR="004C0E7D">
        <w:t xml:space="preserve"> rámci podniku jsou definovány dvě základní schvalovací úrovně. Na základě analýzy skutečně schválených investičních návrhů jednotlivými úrovněmi se </w:t>
      </w:r>
      <w:r w:rsidR="001949CD">
        <w:t xml:space="preserve">jeví </w:t>
      </w:r>
      <w:r w:rsidR="004C0E7D">
        <w:t>účelné stanovit</w:t>
      </w:r>
      <w:r w:rsidR="00F93923">
        <w:t xml:space="preserve"> hranici maximálního počtu projednávaných investičních návrhů nejvyšší rozhodovací úrovně k eliminaci rizika chybného rozhodnutí vlivem jejího přetížení</w:t>
      </w:r>
      <w:r w:rsidR="004C0E7D">
        <w:t>.</w:t>
      </w:r>
      <w:r w:rsidR="001949CD">
        <w:t xml:space="preserve"> Optimální se zdá být hodnota kolem 120 investičních návrhů ročně.</w:t>
      </w:r>
      <w:r w:rsidR="00F93923">
        <w:t xml:space="preserve"> Uvolněním finančních prostředků ve prospěch schválených projektů počíná provozní fáze. Rezervu této fáze je třeba spatřovat v absenci systematického provádění retrospektivních analýz a hodnocení. Na základě tohoto zjištění lze považovat za nezbytné integrovat do stávajícího celopodnikového systému analytickou databázi a její výsledky pravidelně </w:t>
      </w:r>
      <w:r w:rsidR="0046699A">
        <w:t xml:space="preserve">reportovat </w:t>
      </w:r>
      <w:r w:rsidR="00F93923">
        <w:t xml:space="preserve">na příslušné schvalovací úrovně.  </w:t>
      </w:r>
      <w:r w:rsidR="004C0E7D">
        <w:t xml:space="preserve">  </w:t>
      </w:r>
      <w:r w:rsidR="00E644A9">
        <w:t xml:space="preserve">   </w:t>
      </w:r>
      <w:r>
        <w:t xml:space="preserve"> </w:t>
      </w:r>
    </w:p>
    <w:p w:rsidR="00353889" w:rsidRDefault="0046699A" w:rsidP="00B329BD">
      <w:pPr>
        <w:pStyle w:val="Odstavecseseznamem"/>
        <w:numPr>
          <w:ilvl w:val="0"/>
          <w:numId w:val="75"/>
        </w:numPr>
        <w:spacing w:line="360" w:lineRule="auto"/>
        <w:ind w:left="754" w:hanging="357"/>
        <w:jc w:val="both"/>
      </w:pPr>
      <w:r>
        <w:t xml:space="preserve">V oblasti </w:t>
      </w:r>
      <w:r w:rsidRPr="00B329BD">
        <w:rPr>
          <w:i/>
        </w:rPr>
        <w:t>klíčových aspektů investičních projektů</w:t>
      </w:r>
      <w:r w:rsidR="00636AE2">
        <w:t xml:space="preserve"> bylo analyzováno stanovení peněžních toků investičních projektů, podnikové diskontní sazby, jakož i zohlednění inflace a rizika v investičním rozhodování. Určení peněžních toků investičních </w:t>
      </w:r>
      <w:r w:rsidR="00636AE2">
        <w:lastRenderedPageBreak/>
        <w:t>projektů je v souladu s teoretickými východisky, jejich pojetí odpovídá zavedenému modelovému vyjádření. Podnikovou diskontní sazbu lze podle provedených propočtů považovat za správně stanovenou, její nominální výše odpovídá podnikovým nákladům na kapitál. Vliv inflace je zohledněn v souladu s</w:t>
      </w:r>
      <w:r w:rsidR="001949CD">
        <w:t xml:space="preserve">e zavedeným </w:t>
      </w:r>
      <w:r w:rsidR="00636AE2">
        <w:t>teoretickým</w:t>
      </w:r>
      <w:r w:rsidR="001949CD">
        <w:t xml:space="preserve"> přístupem</w:t>
      </w:r>
      <w:r w:rsidR="00633492">
        <w:t>, vstupní údaje peněžních toků investičních projektů jsou vyjádřeny v běžných cenách, dostáváme se t</w:t>
      </w:r>
      <w:r w:rsidR="001949CD">
        <w:t>ak</w:t>
      </w:r>
      <w:r w:rsidR="00633492">
        <w:t> </w:t>
      </w:r>
      <w:r w:rsidR="001949CD">
        <w:t xml:space="preserve">k </w:t>
      </w:r>
      <w:r w:rsidR="00633492">
        <w:t>dalšímu potvrzení teoretických východisek, kdy nominální peněžní toky jsou diskontovány nominální diskontní sazbou. Vliv rizika je v rámci standardního investičního návrhu zohledněn analýzou citlivosti, na jejímž základě je zpracována analýza scénářů. Rezervu</w:t>
      </w:r>
      <w:r w:rsidR="00353889">
        <w:t xml:space="preserve"> tohoto přístupu </w:t>
      </w:r>
      <w:r w:rsidR="00633492">
        <w:t>je třeba spatřovat v absenci kvantifikace rizika pomocí statistických metod</w:t>
      </w:r>
      <w:r w:rsidR="001949CD">
        <w:t>.</w:t>
      </w:r>
      <w:r w:rsidR="00633492">
        <w:t xml:space="preserve"> </w:t>
      </w:r>
      <w:r w:rsidR="001949CD">
        <w:t>U</w:t>
      </w:r>
      <w:r w:rsidR="00633492">
        <w:t>žití</w:t>
      </w:r>
      <w:r w:rsidR="001949CD">
        <w:t xml:space="preserve"> variačního koeficientu kvantifikujícího riziko daného projektu </w:t>
      </w:r>
      <w:r w:rsidR="00633492">
        <w:t>se jeví jako žádoucí</w:t>
      </w:r>
      <w:r w:rsidR="00353889">
        <w:t xml:space="preserve"> nejen z hlediska schvalování investičních návrhů, významnou úlohu může sehrát i v rámci retrospektivních analýz realizovaných investičních projektů. </w:t>
      </w:r>
    </w:p>
    <w:p w:rsidR="00ED6F6F" w:rsidRDefault="00353889" w:rsidP="00B329BD">
      <w:pPr>
        <w:pStyle w:val="Odstavecseseznamem"/>
        <w:numPr>
          <w:ilvl w:val="0"/>
          <w:numId w:val="76"/>
        </w:numPr>
        <w:spacing w:line="360" w:lineRule="auto"/>
        <w:ind w:left="754" w:hanging="357"/>
        <w:jc w:val="both"/>
      </w:pPr>
      <w:r>
        <w:t xml:space="preserve">V oblasti </w:t>
      </w:r>
      <w:r w:rsidRPr="00B329BD">
        <w:rPr>
          <w:i/>
        </w:rPr>
        <w:t>metod hodnocení ekonomické efektivnosti investičních projektů</w:t>
      </w:r>
      <w:r>
        <w:t xml:space="preserve"> a posouzení možností užití alternativních metod byly shledány následující skutečnosti.</w:t>
      </w:r>
      <w:r w:rsidR="00ED6F6F">
        <w:t xml:space="preserve"> Jako výchozí hodnotící metodu užívá podnik metodu čisté současné hodnoty doplněnou o metodu doby návratnosti upravené diskontováním a metodu reálných opcí. V kontextu podnikatelské činnosti společnosti, tedy dynamice odvětví, ve kterém podnik působí, a míře konkurence, lze užití těchto metod považovat za opodstatněné, nelze však pominout skutečnost, že v daném rozvržení nemusí podnik vzhledem ke specifickým podmínkám, tedy omezenému rozpočtu na investice, dosáhnout nejvyšší čisté současné hodnoty celého souhrnu omezených kapitálových zdrojů. Rezervu je tedy třeba spatřovat v absenci užití metody indexu rentability, kterou je třeba vnímat jako systémovou alternativu metody čisté současné hodnoty zabezpečující svojí podstatou volbu hodnocených projektů v pořadí, které zabezpečí nejvyšší možný úhrn čisté současné hodnoty všech projektů omezených kapitálovými zdroji. Možnost alternativního užití některé jiné metody hodnocení ekonomické efektivnosti investičních projektů nebyla shledána.  </w:t>
      </w:r>
    </w:p>
    <w:p w:rsidR="00ED6F6F" w:rsidRDefault="00ED6F6F" w:rsidP="00ED6F6F">
      <w:pPr>
        <w:spacing w:line="360" w:lineRule="auto"/>
        <w:jc w:val="both"/>
      </w:pPr>
    </w:p>
    <w:p w:rsidR="004D3236" w:rsidRDefault="00F61EF1" w:rsidP="004D3236">
      <w:pPr>
        <w:spacing w:line="360" w:lineRule="auto"/>
        <w:jc w:val="both"/>
      </w:pPr>
      <w:r>
        <w:t xml:space="preserve">     Uvedená systémová a dílčí opatření v oblasti hodnocení investičních projektů v podniku mohou vést ke zkvalitnění celého procesu řízení podnikových investic, zejména potom k lepšímu naplnění </w:t>
      </w:r>
      <w:r w:rsidR="00B329BD">
        <w:t>nejvyšších podnikových cílů</w:t>
      </w:r>
      <w:r>
        <w:t xml:space="preserve">, tedy k efektivnějšímu využívání </w:t>
      </w:r>
      <w:r w:rsidR="004D3236">
        <w:t>omezených kapitálových zdrojů.</w:t>
      </w:r>
    </w:p>
    <w:p w:rsidR="004D3236" w:rsidRDefault="004D3236" w:rsidP="004D3236">
      <w:pPr>
        <w:spacing w:line="360" w:lineRule="auto"/>
        <w:jc w:val="both"/>
      </w:pPr>
    </w:p>
    <w:p w:rsidR="000044EB" w:rsidRPr="00CA662C" w:rsidRDefault="000044EB" w:rsidP="00CA662C">
      <w:pPr>
        <w:pStyle w:val="Nadpis1"/>
        <w:numPr>
          <w:ilvl w:val="0"/>
          <w:numId w:val="0"/>
        </w:numPr>
        <w:ind w:left="432" w:hanging="432"/>
        <w:rPr>
          <w:b w:val="0"/>
        </w:rPr>
      </w:pPr>
      <w:bookmarkStart w:id="519" w:name="_Toc233044432"/>
      <w:r w:rsidRPr="00CA662C">
        <w:rPr>
          <w:b w:val="0"/>
        </w:rPr>
        <w:lastRenderedPageBreak/>
        <w:t>Seznam použité literatury</w:t>
      </w:r>
      <w:bookmarkEnd w:id="519"/>
    </w:p>
    <w:p w:rsidR="00426524" w:rsidRPr="00A00565" w:rsidRDefault="00426524" w:rsidP="00426524"/>
    <w:p w:rsidR="008A5692" w:rsidRPr="00B63E07" w:rsidRDefault="000044EB" w:rsidP="00B63E07">
      <w:pPr>
        <w:spacing w:line="360" w:lineRule="auto"/>
        <w:rPr>
          <w:sz w:val="28"/>
          <w:szCs w:val="28"/>
        </w:rPr>
      </w:pPr>
      <w:r w:rsidRPr="00B63E07">
        <w:rPr>
          <w:sz w:val="28"/>
          <w:szCs w:val="28"/>
        </w:rPr>
        <w:t>Monografie</w:t>
      </w:r>
    </w:p>
    <w:p w:rsidR="00BB3EEE" w:rsidRPr="00BB3EEE" w:rsidRDefault="00BB3EEE" w:rsidP="00BB3EEE"/>
    <w:p w:rsidR="000C6DC0" w:rsidRPr="00B11DE1" w:rsidRDefault="000C6DC0" w:rsidP="00B329BD">
      <w:pPr>
        <w:pStyle w:val="Textpoznpodarou"/>
        <w:numPr>
          <w:ilvl w:val="0"/>
          <w:numId w:val="44"/>
        </w:numPr>
        <w:spacing w:line="360" w:lineRule="auto"/>
        <w:ind w:left="567" w:hanging="567"/>
        <w:jc w:val="both"/>
      </w:pPr>
      <w:r w:rsidRPr="008A5692">
        <w:rPr>
          <w:sz w:val="24"/>
          <w:szCs w:val="24"/>
        </w:rPr>
        <w:t xml:space="preserve">VALACH, J. </w:t>
      </w:r>
      <w:r w:rsidRPr="008A5692">
        <w:rPr>
          <w:i/>
          <w:sz w:val="24"/>
          <w:szCs w:val="24"/>
        </w:rPr>
        <w:t>Investiční rozhodování a dlouhodobé financování</w:t>
      </w:r>
      <w:r w:rsidRPr="008A5692">
        <w:rPr>
          <w:sz w:val="24"/>
          <w:szCs w:val="24"/>
        </w:rPr>
        <w:t xml:space="preserve"> </w:t>
      </w:r>
      <w:r w:rsidR="00B11DE1">
        <w:rPr>
          <w:sz w:val="24"/>
          <w:szCs w:val="24"/>
        </w:rPr>
        <w:t>1</w:t>
      </w:r>
      <w:r w:rsidRPr="008A5692">
        <w:rPr>
          <w:sz w:val="24"/>
          <w:szCs w:val="24"/>
        </w:rPr>
        <w:t xml:space="preserve">. </w:t>
      </w:r>
      <w:r w:rsidR="003000D7">
        <w:rPr>
          <w:sz w:val="24"/>
          <w:szCs w:val="24"/>
        </w:rPr>
        <w:t>v</w:t>
      </w:r>
      <w:r w:rsidRPr="008A5692">
        <w:rPr>
          <w:sz w:val="24"/>
          <w:szCs w:val="24"/>
        </w:rPr>
        <w:t>yd. Praha: Ekopress, 200</w:t>
      </w:r>
      <w:r w:rsidR="00B11DE1">
        <w:rPr>
          <w:sz w:val="24"/>
          <w:szCs w:val="24"/>
        </w:rPr>
        <w:t>1</w:t>
      </w:r>
      <w:r w:rsidRPr="008A5692">
        <w:rPr>
          <w:sz w:val="24"/>
          <w:szCs w:val="24"/>
        </w:rPr>
        <w:t>. 4</w:t>
      </w:r>
      <w:r w:rsidR="00B11DE1">
        <w:rPr>
          <w:sz w:val="24"/>
          <w:szCs w:val="24"/>
        </w:rPr>
        <w:t>47</w:t>
      </w:r>
      <w:r w:rsidRPr="008A5692">
        <w:rPr>
          <w:sz w:val="24"/>
          <w:szCs w:val="24"/>
        </w:rPr>
        <w:t xml:space="preserve"> s. ISBN 80-</w:t>
      </w:r>
      <w:r w:rsidR="00B11DE1">
        <w:rPr>
          <w:sz w:val="24"/>
          <w:szCs w:val="24"/>
        </w:rPr>
        <w:t>86119</w:t>
      </w:r>
      <w:r w:rsidRPr="008A5692">
        <w:rPr>
          <w:sz w:val="24"/>
          <w:szCs w:val="24"/>
        </w:rPr>
        <w:t>-</w:t>
      </w:r>
      <w:r w:rsidR="00B11DE1">
        <w:rPr>
          <w:sz w:val="24"/>
          <w:szCs w:val="24"/>
        </w:rPr>
        <w:t>38</w:t>
      </w:r>
      <w:r w:rsidRPr="008A5692">
        <w:rPr>
          <w:sz w:val="24"/>
          <w:szCs w:val="24"/>
        </w:rPr>
        <w:t>-</w:t>
      </w:r>
      <w:r w:rsidR="00B11DE1">
        <w:rPr>
          <w:sz w:val="24"/>
          <w:szCs w:val="24"/>
        </w:rPr>
        <w:t>6</w:t>
      </w:r>
    </w:p>
    <w:p w:rsidR="00B11DE1" w:rsidRPr="008A5692" w:rsidRDefault="00B11DE1" w:rsidP="00B329BD">
      <w:pPr>
        <w:pStyle w:val="Textpoznpodarou"/>
        <w:numPr>
          <w:ilvl w:val="0"/>
          <w:numId w:val="44"/>
        </w:numPr>
        <w:spacing w:line="360" w:lineRule="auto"/>
        <w:ind w:left="567" w:hanging="567"/>
        <w:jc w:val="both"/>
      </w:pPr>
      <w:r w:rsidRPr="008A5692">
        <w:rPr>
          <w:sz w:val="24"/>
          <w:szCs w:val="24"/>
        </w:rPr>
        <w:t xml:space="preserve">VALACH, J. </w:t>
      </w:r>
      <w:r w:rsidRPr="008A5692">
        <w:rPr>
          <w:i/>
          <w:sz w:val="24"/>
          <w:szCs w:val="24"/>
        </w:rPr>
        <w:t>Investiční rozhodování a dlouhodobé financování</w:t>
      </w:r>
      <w:r w:rsidRPr="008A5692">
        <w:rPr>
          <w:sz w:val="24"/>
          <w:szCs w:val="24"/>
        </w:rPr>
        <w:t xml:space="preserve"> 2. </w:t>
      </w:r>
      <w:r w:rsidR="003000D7">
        <w:rPr>
          <w:sz w:val="24"/>
          <w:szCs w:val="24"/>
        </w:rPr>
        <w:t>v</w:t>
      </w:r>
      <w:r w:rsidRPr="008A5692">
        <w:rPr>
          <w:sz w:val="24"/>
          <w:szCs w:val="24"/>
        </w:rPr>
        <w:t>yd. Praha: Ekopress, 2006. 465 s. ISBN 80-86929-01-9</w:t>
      </w:r>
    </w:p>
    <w:p w:rsidR="00B11DE1" w:rsidRDefault="008A5692" w:rsidP="00B329BD">
      <w:pPr>
        <w:pStyle w:val="Textpoznpodarou"/>
        <w:numPr>
          <w:ilvl w:val="0"/>
          <w:numId w:val="44"/>
        </w:numPr>
        <w:spacing w:line="360" w:lineRule="auto"/>
        <w:ind w:left="567" w:hanging="567"/>
        <w:jc w:val="both"/>
        <w:rPr>
          <w:sz w:val="24"/>
          <w:szCs w:val="24"/>
        </w:rPr>
      </w:pPr>
      <w:r w:rsidRPr="008A5692">
        <w:rPr>
          <w:sz w:val="24"/>
          <w:szCs w:val="24"/>
        </w:rPr>
        <w:t xml:space="preserve">SYNEK, M. a kol. </w:t>
      </w:r>
      <w:r w:rsidRPr="008A5692">
        <w:rPr>
          <w:i/>
          <w:sz w:val="24"/>
          <w:szCs w:val="24"/>
        </w:rPr>
        <w:t>Podniková ekonomika</w:t>
      </w:r>
      <w:r w:rsidRPr="008A5692">
        <w:rPr>
          <w:sz w:val="24"/>
          <w:szCs w:val="24"/>
        </w:rPr>
        <w:t xml:space="preserve"> 3. vyd. Praha : C.H.Beck, 2002. 479 s. ISBN 80-7179-736-7</w:t>
      </w:r>
    </w:p>
    <w:p w:rsidR="008A5692" w:rsidRPr="00B11DE1" w:rsidRDefault="00B11DE1" w:rsidP="00B329BD">
      <w:pPr>
        <w:pStyle w:val="Textpoznpodarou"/>
        <w:numPr>
          <w:ilvl w:val="0"/>
          <w:numId w:val="44"/>
        </w:numPr>
        <w:spacing w:line="360" w:lineRule="auto"/>
        <w:ind w:left="567" w:hanging="567"/>
        <w:jc w:val="both"/>
        <w:rPr>
          <w:sz w:val="24"/>
          <w:szCs w:val="24"/>
        </w:rPr>
      </w:pPr>
      <w:r w:rsidRPr="00BB3EEE">
        <w:rPr>
          <w:sz w:val="24"/>
          <w:szCs w:val="24"/>
        </w:rPr>
        <w:t xml:space="preserve">SYNEK, M. a kol. </w:t>
      </w:r>
      <w:r w:rsidRPr="00BB3EEE">
        <w:rPr>
          <w:i/>
          <w:sz w:val="24"/>
          <w:szCs w:val="24"/>
        </w:rPr>
        <w:t>Manažerská ekonomika</w:t>
      </w:r>
      <w:r w:rsidRPr="00BB3EEE">
        <w:rPr>
          <w:sz w:val="24"/>
          <w:szCs w:val="24"/>
        </w:rPr>
        <w:t xml:space="preserve"> 3. vyd. Praha : Grada, 2003. 472 s. ISBN 80-247-0515-X</w:t>
      </w:r>
      <w:r w:rsidR="008A5692" w:rsidRPr="00B11DE1">
        <w:rPr>
          <w:sz w:val="24"/>
          <w:szCs w:val="24"/>
        </w:rPr>
        <w:t xml:space="preserve">  </w:t>
      </w:r>
    </w:p>
    <w:p w:rsidR="008A5692" w:rsidRDefault="00BB3EEE" w:rsidP="00B329BD">
      <w:pPr>
        <w:pStyle w:val="Textpoznpodarou"/>
        <w:numPr>
          <w:ilvl w:val="0"/>
          <w:numId w:val="44"/>
        </w:numPr>
        <w:spacing w:line="360" w:lineRule="auto"/>
        <w:ind w:left="567" w:hanging="567"/>
        <w:jc w:val="both"/>
        <w:rPr>
          <w:sz w:val="24"/>
          <w:szCs w:val="24"/>
        </w:rPr>
      </w:pPr>
      <w:r w:rsidRPr="00BB3EEE">
        <w:rPr>
          <w:sz w:val="24"/>
          <w:szCs w:val="24"/>
        </w:rPr>
        <w:t xml:space="preserve">WÖHE, G. </w:t>
      </w:r>
      <w:r w:rsidRPr="00BB3EEE">
        <w:rPr>
          <w:i/>
          <w:sz w:val="24"/>
          <w:szCs w:val="24"/>
        </w:rPr>
        <w:t>Úvod do podnikového hospodářství</w:t>
      </w:r>
      <w:r w:rsidRPr="00BB3EEE">
        <w:rPr>
          <w:sz w:val="24"/>
          <w:szCs w:val="24"/>
        </w:rPr>
        <w:t xml:space="preserve"> 1. vyd. Praha : C.H.Beck, 1995. 748 s. ISBN 80-7179-014-1</w:t>
      </w:r>
    </w:p>
    <w:p w:rsidR="00B11DE1" w:rsidRDefault="00B11DE1" w:rsidP="00B329BD">
      <w:pPr>
        <w:pStyle w:val="Textpoznpodarou"/>
        <w:numPr>
          <w:ilvl w:val="0"/>
          <w:numId w:val="44"/>
        </w:numPr>
        <w:spacing w:line="360" w:lineRule="auto"/>
        <w:ind w:left="567" w:hanging="567"/>
        <w:jc w:val="both"/>
        <w:rPr>
          <w:sz w:val="24"/>
          <w:szCs w:val="24"/>
        </w:rPr>
      </w:pPr>
      <w:r w:rsidRPr="00B11DE1">
        <w:rPr>
          <w:sz w:val="24"/>
          <w:szCs w:val="24"/>
        </w:rPr>
        <w:t xml:space="preserve">WÖHE, G. KISLINGEROVÁ, E. </w:t>
      </w:r>
      <w:r w:rsidRPr="00B11DE1">
        <w:rPr>
          <w:i/>
          <w:sz w:val="24"/>
          <w:szCs w:val="24"/>
        </w:rPr>
        <w:t>Úvod do podnikového hospodářství</w:t>
      </w:r>
      <w:r w:rsidRPr="00B11DE1">
        <w:rPr>
          <w:sz w:val="24"/>
          <w:szCs w:val="24"/>
        </w:rPr>
        <w:t xml:space="preserve"> 2. vyd. Praha : C.H.Beck, 2007. 928 s. ISBN 978-80-7179-897-2</w:t>
      </w:r>
    </w:p>
    <w:p w:rsidR="00B11DE1" w:rsidRPr="001A500E" w:rsidRDefault="001A500E" w:rsidP="00B329BD">
      <w:pPr>
        <w:pStyle w:val="Textpoznpodarou"/>
        <w:numPr>
          <w:ilvl w:val="0"/>
          <w:numId w:val="44"/>
        </w:numPr>
        <w:spacing w:line="360" w:lineRule="auto"/>
        <w:ind w:left="567" w:hanging="567"/>
        <w:jc w:val="both"/>
        <w:rPr>
          <w:sz w:val="24"/>
          <w:szCs w:val="24"/>
        </w:rPr>
      </w:pPr>
      <w:r w:rsidRPr="001A500E">
        <w:rPr>
          <w:sz w:val="24"/>
          <w:szCs w:val="24"/>
        </w:rPr>
        <w:t xml:space="preserve">KISLINGEROVÁ, E. a kol. </w:t>
      </w:r>
      <w:r w:rsidRPr="001A500E">
        <w:rPr>
          <w:i/>
          <w:sz w:val="24"/>
          <w:szCs w:val="24"/>
        </w:rPr>
        <w:t xml:space="preserve">Manažerské finance </w:t>
      </w:r>
      <w:r w:rsidRPr="001A500E">
        <w:rPr>
          <w:sz w:val="24"/>
          <w:szCs w:val="24"/>
        </w:rPr>
        <w:t xml:space="preserve">1. </w:t>
      </w:r>
      <w:r w:rsidR="003000D7">
        <w:rPr>
          <w:sz w:val="24"/>
          <w:szCs w:val="24"/>
        </w:rPr>
        <w:t>v</w:t>
      </w:r>
      <w:r w:rsidRPr="001A500E">
        <w:rPr>
          <w:sz w:val="24"/>
          <w:szCs w:val="24"/>
        </w:rPr>
        <w:t xml:space="preserve">yd. Praha : C. H. Beck, 2004. 714 </w:t>
      </w:r>
      <w:r>
        <w:rPr>
          <w:sz w:val="24"/>
          <w:szCs w:val="24"/>
        </w:rPr>
        <w:t>s. ISBN 80-7179-802-9</w:t>
      </w:r>
    </w:p>
    <w:p w:rsidR="00BB3EEE" w:rsidRDefault="00BB3EEE" w:rsidP="00B329BD">
      <w:pPr>
        <w:pStyle w:val="Textpoznpodarou"/>
        <w:numPr>
          <w:ilvl w:val="0"/>
          <w:numId w:val="44"/>
        </w:numPr>
        <w:spacing w:line="360" w:lineRule="auto"/>
        <w:ind w:left="567" w:hanging="567"/>
        <w:jc w:val="both"/>
        <w:rPr>
          <w:sz w:val="24"/>
          <w:szCs w:val="24"/>
        </w:rPr>
      </w:pPr>
      <w:r w:rsidRPr="00BB3EEE">
        <w:rPr>
          <w:sz w:val="24"/>
          <w:szCs w:val="24"/>
        </w:rPr>
        <w:t xml:space="preserve">FOTR, J. SOUČEK, I. </w:t>
      </w:r>
      <w:r w:rsidRPr="00BB3EEE">
        <w:rPr>
          <w:i/>
          <w:sz w:val="24"/>
          <w:szCs w:val="24"/>
        </w:rPr>
        <w:t>Podnikatelský záměr a investiční rozhodování</w:t>
      </w:r>
      <w:r w:rsidRPr="00BB3EEE">
        <w:rPr>
          <w:sz w:val="24"/>
          <w:szCs w:val="24"/>
        </w:rPr>
        <w:t xml:space="preserve"> 1. </w:t>
      </w:r>
      <w:r w:rsidR="003000D7">
        <w:rPr>
          <w:sz w:val="24"/>
          <w:szCs w:val="24"/>
        </w:rPr>
        <w:t>v</w:t>
      </w:r>
      <w:r w:rsidRPr="00BB3EEE">
        <w:rPr>
          <w:sz w:val="24"/>
          <w:szCs w:val="24"/>
        </w:rPr>
        <w:t>yd. Praha : Grada, 2005. 356 s. ISBN 80-247-0939-2</w:t>
      </w:r>
    </w:p>
    <w:p w:rsidR="00BB3EEE" w:rsidRDefault="00953512" w:rsidP="00B329BD">
      <w:pPr>
        <w:pStyle w:val="Textpoznpodarou"/>
        <w:numPr>
          <w:ilvl w:val="0"/>
          <w:numId w:val="44"/>
        </w:numPr>
        <w:spacing w:line="360" w:lineRule="auto"/>
        <w:ind w:left="567" w:hanging="567"/>
        <w:jc w:val="both"/>
        <w:rPr>
          <w:sz w:val="24"/>
          <w:szCs w:val="24"/>
        </w:rPr>
      </w:pPr>
      <w:r w:rsidRPr="00953512">
        <w:rPr>
          <w:sz w:val="24"/>
          <w:szCs w:val="24"/>
        </w:rPr>
        <w:t xml:space="preserve">CIPRA, T. </w:t>
      </w:r>
      <w:r w:rsidRPr="00953512">
        <w:rPr>
          <w:i/>
          <w:sz w:val="24"/>
          <w:szCs w:val="24"/>
        </w:rPr>
        <w:t>Matematika cenných papírů</w:t>
      </w:r>
      <w:r w:rsidRPr="00953512">
        <w:rPr>
          <w:sz w:val="24"/>
          <w:szCs w:val="24"/>
        </w:rPr>
        <w:t xml:space="preserve"> 1. vyd. Praha : HZ Praha, 2000. 241 s. ISBN 80-86009-35-1</w:t>
      </w:r>
    </w:p>
    <w:p w:rsidR="00627031" w:rsidRDefault="00953512" w:rsidP="00B329BD">
      <w:pPr>
        <w:pStyle w:val="Textpoznpodarou"/>
        <w:numPr>
          <w:ilvl w:val="0"/>
          <w:numId w:val="44"/>
        </w:numPr>
        <w:spacing w:line="360" w:lineRule="auto"/>
        <w:ind w:left="567" w:hanging="567"/>
        <w:jc w:val="both"/>
        <w:rPr>
          <w:sz w:val="24"/>
          <w:szCs w:val="24"/>
        </w:rPr>
      </w:pPr>
      <w:r w:rsidRPr="00953512">
        <w:rPr>
          <w:sz w:val="24"/>
          <w:szCs w:val="24"/>
        </w:rPr>
        <w:t xml:space="preserve">RADOVÁ, J. DVOŘÁK, P. MÁLEK, J. </w:t>
      </w:r>
      <w:r w:rsidRPr="00953512">
        <w:rPr>
          <w:i/>
          <w:sz w:val="24"/>
          <w:szCs w:val="24"/>
        </w:rPr>
        <w:t>Finanční matematika pro každého</w:t>
      </w:r>
      <w:r w:rsidRPr="00953512">
        <w:rPr>
          <w:sz w:val="24"/>
          <w:szCs w:val="24"/>
        </w:rPr>
        <w:t xml:space="preserve"> 6. vyd. Praha : Grada, 2007. 296 s. ISBN 978-80-247-2233-7</w:t>
      </w:r>
    </w:p>
    <w:p w:rsidR="00171116" w:rsidRDefault="00171116" w:rsidP="00B329BD">
      <w:pPr>
        <w:pStyle w:val="Textpoznpodarou"/>
        <w:numPr>
          <w:ilvl w:val="0"/>
          <w:numId w:val="44"/>
        </w:numPr>
        <w:spacing w:line="360" w:lineRule="auto"/>
        <w:ind w:left="567" w:hanging="567"/>
        <w:jc w:val="both"/>
        <w:rPr>
          <w:sz w:val="24"/>
          <w:szCs w:val="24"/>
        </w:rPr>
      </w:pPr>
      <w:r w:rsidRPr="00171116">
        <w:rPr>
          <w:sz w:val="24"/>
          <w:szCs w:val="24"/>
          <w:lang w:val="pl-PL"/>
        </w:rPr>
        <w:t>NOVOTNÝ</w:t>
      </w:r>
      <w:r w:rsidRPr="00171116">
        <w:rPr>
          <w:sz w:val="24"/>
          <w:szCs w:val="24"/>
        </w:rPr>
        <w:t xml:space="preserve">, J. SUCHÁNEK, P. </w:t>
      </w:r>
      <w:r w:rsidRPr="00171116">
        <w:rPr>
          <w:i/>
          <w:sz w:val="24"/>
          <w:szCs w:val="24"/>
        </w:rPr>
        <w:t>Nauka o podniku I</w:t>
      </w:r>
      <w:r w:rsidRPr="00171116">
        <w:rPr>
          <w:i/>
          <w:iCs/>
          <w:sz w:val="24"/>
          <w:szCs w:val="24"/>
        </w:rPr>
        <w:t>.</w:t>
      </w:r>
      <w:r w:rsidRPr="00171116">
        <w:rPr>
          <w:sz w:val="24"/>
          <w:szCs w:val="24"/>
        </w:rPr>
        <w:t xml:space="preserve"> 1. vyd. Brno: MU, 2004. 184 s. ISBN 80-210-3333-9</w:t>
      </w:r>
    </w:p>
    <w:p w:rsidR="0006159F" w:rsidRDefault="0006159F" w:rsidP="00B329BD">
      <w:pPr>
        <w:pStyle w:val="Textpoznpodarou"/>
        <w:numPr>
          <w:ilvl w:val="0"/>
          <w:numId w:val="44"/>
        </w:numPr>
        <w:spacing w:line="360" w:lineRule="auto"/>
        <w:ind w:left="567" w:hanging="567"/>
        <w:jc w:val="both"/>
        <w:rPr>
          <w:sz w:val="24"/>
          <w:szCs w:val="24"/>
        </w:rPr>
      </w:pPr>
      <w:r w:rsidRPr="00171116">
        <w:rPr>
          <w:sz w:val="24"/>
          <w:szCs w:val="24"/>
          <w:lang w:val="pl-PL"/>
        </w:rPr>
        <w:t>NOVOTNÝ</w:t>
      </w:r>
      <w:r w:rsidRPr="00171116">
        <w:rPr>
          <w:sz w:val="24"/>
          <w:szCs w:val="24"/>
        </w:rPr>
        <w:t xml:space="preserve">, J. SUCHÁNEK, P. </w:t>
      </w:r>
      <w:r w:rsidRPr="00171116">
        <w:rPr>
          <w:i/>
          <w:sz w:val="24"/>
          <w:szCs w:val="24"/>
        </w:rPr>
        <w:t xml:space="preserve">Nauka o podniku </w:t>
      </w:r>
      <w:r>
        <w:rPr>
          <w:i/>
          <w:sz w:val="24"/>
          <w:szCs w:val="24"/>
        </w:rPr>
        <w:t>I</w:t>
      </w:r>
      <w:r w:rsidRPr="00171116">
        <w:rPr>
          <w:i/>
          <w:sz w:val="24"/>
          <w:szCs w:val="24"/>
        </w:rPr>
        <w:t>I</w:t>
      </w:r>
      <w:r w:rsidRPr="00171116">
        <w:rPr>
          <w:i/>
          <w:iCs/>
          <w:sz w:val="24"/>
          <w:szCs w:val="24"/>
        </w:rPr>
        <w:t>.</w:t>
      </w:r>
      <w:r w:rsidRPr="00171116">
        <w:rPr>
          <w:sz w:val="24"/>
          <w:szCs w:val="24"/>
        </w:rPr>
        <w:t xml:space="preserve"> 1. vyd. Brno: MU, 200</w:t>
      </w:r>
      <w:r>
        <w:rPr>
          <w:sz w:val="24"/>
          <w:szCs w:val="24"/>
        </w:rPr>
        <w:t>7</w:t>
      </w:r>
      <w:r w:rsidRPr="00171116">
        <w:rPr>
          <w:sz w:val="24"/>
          <w:szCs w:val="24"/>
        </w:rPr>
        <w:t>. 1</w:t>
      </w:r>
      <w:r>
        <w:rPr>
          <w:sz w:val="24"/>
          <w:szCs w:val="24"/>
        </w:rPr>
        <w:t>72</w:t>
      </w:r>
      <w:r w:rsidRPr="00171116">
        <w:rPr>
          <w:sz w:val="24"/>
          <w:szCs w:val="24"/>
        </w:rPr>
        <w:t xml:space="preserve"> s. ISBN </w:t>
      </w:r>
      <w:r>
        <w:rPr>
          <w:sz w:val="24"/>
          <w:szCs w:val="24"/>
        </w:rPr>
        <w:t>978</w:t>
      </w:r>
      <w:r w:rsidRPr="00171116">
        <w:rPr>
          <w:sz w:val="24"/>
          <w:szCs w:val="24"/>
        </w:rPr>
        <w:t>-</w:t>
      </w:r>
      <w:r>
        <w:rPr>
          <w:sz w:val="24"/>
          <w:szCs w:val="24"/>
        </w:rPr>
        <w:t>80</w:t>
      </w:r>
      <w:r w:rsidRPr="00171116">
        <w:rPr>
          <w:sz w:val="24"/>
          <w:szCs w:val="24"/>
        </w:rPr>
        <w:t>-</w:t>
      </w:r>
      <w:r>
        <w:rPr>
          <w:sz w:val="24"/>
          <w:szCs w:val="24"/>
        </w:rPr>
        <w:t>210-4496</w:t>
      </w:r>
      <w:r w:rsidRPr="00171116">
        <w:rPr>
          <w:sz w:val="24"/>
          <w:szCs w:val="24"/>
        </w:rPr>
        <w:t>-</w:t>
      </w:r>
      <w:r>
        <w:rPr>
          <w:sz w:val="24"/>
          <w:szCs w:val="24"/>
        </w:rPr>
        <w:t>8</w:t>
      </w:r>
    </w:p>
    <w:p w:rsidR="0006159F" w:rsidRDefault="0006159F" w:rsidP="00B329BD">
      <w:pPr>
        <w:pStyle w:val="Textpoznpodarou"/>
        <w:numPr>
          <w:ilvl w:val="0"/>
          <w:numId w:val="44"/>
        </w:numPr>
        <w:spacing w:line="360" w:lineRule="auto"/>
        <w:ind w:left="567" w:hanging="567"/>
        <w:jc w:val="both"/>
        <w:rPr>
          <w:sz w:val="24"/>
          <w:szCs w:val="24"/>
        </w:rPr>
      </w:pPr>
      <w:r w:rsidRPr="0006159F">
        <w:rPr>
          <w:sz w:val="24"/>
          <w:szCs w:val="24"/>
        </w:rPr>
        <w:t xml:space="preserve">NOVOTNÝ, J. </w:t>
      </w:r>
      <w:r w:rsidRPr="0006159F">
        <w:rPr>
          <w:i/>
          <w:sz w:val="24"/>
          <w:szCs w:val="24"/>
        </w:rPr>
        <w:t>Nauka o podniku. Výstavba podniku</w:t>
      </w:r>
      <w:r w:rsidRPr="0006159F">
        <w:rPr>
          <w:sz w:val="24"/>
          <w:szCs w:val="24"/>
        </w:rPr>
        <w:t>.1. vyd. Plzeň : Aleš Čeněk, 2007. 213 s.</w:t>
      </w:r>
      <w:r>
        <w:rPr>
          <w:sz w:val="24"/>
          <w:szCs w:val="24"/>
        </w:rPr>
        <w:t xml:space="preserve"> ISBN 978-80-7380-071-0</w:t>
      </w:r>
    </w:p>
    <w:p w:rsidR="00F56468" w:rsidRDefault="00F56468" w:rsidP="00B329BD">
      <w:pPr>
        <w:pStyle w:val="Textpoznpodarou"/>
        <w:numPr>
          <w:ilvl w:val="0"/>
          <w:numId w:val="44"/>
        </w:numPr>
        <w:spacing w:line="360" w:lineRule="auto"/>
        <w:ind w:left="567" w:hanging="567"/>
        <w:jc w:val="both"/>
        <w:rPr>
          <w:sz w:val="24"/>
          <w:szCs w:val="24"/>
        </w:rPr>
      </w:pPr>
      <w:r w:rsidRPr="00F56468">
        <w:rPr>
          <w:sz w:val="24"/>
          <w:szCs w:val="24"/>
        </w:rPr>
        <w:t xml:space="preserve">SEDLÁČEK, J. </w:t>
      </w:r>
      <w:r w:rsidRPr="00F56468">
        <w:rPr>
          <w:i/>
          <w:sz w:val="24"/>
          <w:szCs w:val="24"/>
        </w:rPr>
        <w:t>Cash Flow</w:t>
      </w:r>
      <w:r w:rsidRPr="00F56468">
        <w:rPr>
          <w:sz w:val="24"/>
          <w:szCs w:val="24"/>
        </w:rPr>
        <w:t xml:space="preserve"> 1. vyd. Brno : Computer Press, 2003</w:t>
      </w:r>
      <w:r>
        <w:rPr>
          <w:sz w:val="24"/>
          <w:szCs w:val="24"/>
        </w:rPr>
        <w:t>. 190 s. ISBN 80-7226-875-9</w:t>
      </w:r>
    </w:p>
    <w:p w:rsidR="00F56468" w:rsidRDefault="00506C21" w:rsidP="00B329BD">
      <w:pPr>
        <w:pStyle w:val="Textpoznpodarou"/>
        <w:numPr>
          <w:ilvl w:val="0"/>
          <w:numId w:val="44"/>
        </w:numPr>
        <w:spacing w:line="360" w:lineRule="auto"/>
        <w:ind w:left="567" w:hanging="567"/>
        <w:jc w:val="both"/>
        <w:rPr>
          <w:sz w:val="24"/>
          <w:szCs w:val="24"/>
        </w:rPr>
      </w:pPr>
      <w:r w:rsidRPr="00506C21">
        <w:rPr>
          <w:sz w:val="24"/>
          <w:szCs w:val="24"/>
        </w:rPr>
        <w:t xml:space="preserve">KISLINGEROVÁ, E. </w:t>
      </w:r>
      <w:r w:rsidRPr="00506C21">
        <w:rPr>
          <w:i/>
          <w:sz w:val="24"/>
          <w:szCs w:val="24"/>
        </w:rPr>
        <w:t>Oceňování podniku</w:t>
      </w:r>
      <w:r w:rsidRPr="00506C21">
        <w:rPr>
          <w:sz w:val="24"/>
          <w:szCs w:val="24"/>
        </w:rPr>
        <w:t xml:space="preserve"> 2. vyd. Praha : C. H. Beck, 2001. 367 s. ISBN 80-7179-529-1</w:t>
      </w:r>
    </w:p>
    <w:p w:rsidR="00506C21" w:rsidRPr="00F56468" w:rsidRDefault="00506C21" w:rsidP="00B329BD">
      <w:pPr>
        <w:pStyle w:val="Textpoznpodarou"/>
        <w:numPr>
          <w:ilvl w:val="0"/>
          <w:numId w:val="44"/>
        </w:numPr>
        <w:spacing w:line="360" w:lineRule="auto"/>
        <w:ind w:left="567" w:hanging="567"/>
        <w:jc w:val="both"/>
        <w:rPr>
          <w:sz w:val="24"/>
          <w:szCs w:val="24"/>
        </w:rPr>
      </w:pPr>
      <w:r w:rsidRPr="00506C21">
        <w:rPr>
          <w:sz w:val="24"/>
          <w:szCs w:val="24"/>
        </w:rPr>
        <w:lastRenderedPageBreak/>
        <w:t xml:space="preserve">BREALEY, R.A. MYERS, S.C. </w:t>
      </w:r>
      <w:r w:rsidRPr="00506C21">
        <w:rPr>
          <w:i/>
          <w:sz w:val="24"/>
          <w:szCs w:val="24"/>
        </w:rPr>
        <w:t xml:space="preserve">Teorie a praxe firemních financí </w:t>
      </w:r>
      <w:r w:rsidRPr="00506C21">
        <w:rPr>
          <w:sz w:val="24"/>
          <w:szCs w:val="24"/>
        </w:rPr>
        <w:t>1 vyd. Praha : East Publishing, 1999. 971 s. ISBN 80-85605-24-4</w:t>
      </w:r>
    </w:p>
    <w:p w:rsidR="0006159F" w:rsidRPr="0006159F" w:rsidRDefault="0006159F" w:rsidP="00F56468">
      <w:pPr>
        <w:pStyle w:val="Textpoznpodarou"/>
        <w:spacing w:line="360" w:lineRule="auto"/>
        <w:jc w:val="both"/>
        <w:rPr>
          <w:sz w:val="24"/>
          <w:szCs w:val="24"/>
        </w:rPr>
      </w:pPr>
    </w:p>
    <w:p w:rsidR="000044EB" w:rsidRPr="00B63E07" w:rsidRDefault="00EF4287" w:rsidP="00B63E07">
      <w:pPr>
        <w:spacing w:line="360" w:lineRule="auto"/>
        <w:rPr>
          <w:sz w:val="28"/>
          <w:szCs w:val="28"/>
        </w:rPr>
      </w:pPr>
      <w:r w:rsidRPr="00B63E07">
        <w:rPr>
          <w:sz w:val="28"/>
          <w:szCs w:val="28"/>
        </w:rPr>
        <w:t>A</w:t>
      </w:r>
      <w:r w:rsidR="000044EB" w:rsidRPr="00B63E07">
        <w:rPr>
          <w:sz w:val="28"/>
          <w:szCs w:val="28"/>
        </w:rPr>
        <w:t>utor</w:t>
      </w:r>
      <w:r w:rsidRPr="00B63E07">
        <w:rPr>
          <w:sz w:val="28"/>
          <w:szCs w:val="28"/>
        </w:rPr>
        <w:t>ské práce</w:t>
      </w:r>
    </w:p>
    <w:p w:rsidR="00BB3EEE" w:rsidRPr="00BB3EEE" w:rsidRDefault="00BB3EEE" w:rsidP="00BB3EEE"/>
    <w:p w:rsidR="00BB3EEE" w:rsidRPr="00953512" w:rsidRDefault="00BB3EEE" w:rsidP="00B329BD">
      <w:pPr>
        <w:pStyle w:val="Odstavecseseznamem"/>
        <w:numPr>
          <w:ilvl w:val="0"/>
          <w:numId w:val="45"/>
        </w:numPr>
        <w:spacing w:line="360" w:lineRule="auto"/>
        <w:ind w:left="567" w:hanging="567"/>
        <w:jc w:val="both"/>
      </w:pPr>
      <w:r>
        <w:t xml:space="preserve">BLAŽEK, L </w:t>
      </w:r>
      <w:r w:rsidR="00171116" w:rsidRPr="00171116">
        <w:rPr>
          <w:i/>
        </w:rPr>
        <w:t>Rozhodování,</w:t>
      </w:r>
      <w:r w:rsidR="00171116">
        <w:t xml:space="preserve"> </w:t>
      </w:r>
      <w:r w:rsidR="00171116" w:rsidRPr="00171116">
        <w:t>s</w:t>
      </w:r>
      <w:r w:rsidRPr="00171116">
        <w:t xml:space="preserve">ylabus </w:t>
      </w:r>
      <w:r w:rsidR="00DC08DF">
        <w:t>do</w:t>
      </w:r>
      <w:r w:rsidRPr="00171116">
        <w:t> předmětu Management</w:t>
      </w:r>
    </w:p>
    <w:p w:rsidR="00171116" w:rsidRPr="00BB3EEE" w:rsidRDefault="00171116" w:rsidP="00B329BD">
      <w:pPr>
        <w:pStyle w:val="Odstavecseseznamem"/>
        <w:numPr>
          <w:ilvl w:val="0"/>
          <w:numId w:val="45"/>
        </w:numPr>
        <w:spacing w:line="360" w:lineRule="auto"/>
        <w:ind w:left="567" w:hanging="567"/>
        <w:jc w:val="both"/>
      </w:pPr>
      <w:r>
        <w:t xml:space="preserve">BLAŽEK, L. </w:t>
      </w:r>
      <w:r w:rsidRPr="0026474E">
        <w:rPr>
          <w:i/>
        </w:rPr>
        <w:t>Organizování,</w:t>
      </w:r>
      <w:r>
        <w:rPr>
          <w:i/>
        </w:rPr>
        <w:t xml:space="preserve"> </w:t>
      </w:r>
      <w:r>
        <w:t xml:space="preserve">sylabus do předmětu Management  </w:t>
      </w:r>
    </w:p>
    <w:p w:rsidR="00EB0EA9" w:rsidRDefault="00EB0EA9" w:rsidP="00B63E07">
      <w:pPr>
        <w:spacing w:line="360" w:lineRule="auto"/>
        <w:rPr>
          <w:sz w:val="28"/>
          <w:szCs w:val="28"/>
        </w:rPr>
      </w:pPr>
    </w:p>
    <w:p w:rsidR="000044EB" w:rsidRPr="00B63E07" w:rsidRDefault="000044EB" w:rsidP="00B63E07">
      <w:pPr>
        <w:spacing w:line="360" w:lineRule="auto"/>
        <w:rPr>
          <w:sz w:val="28"/>
          <w:szCs w:val="28"/>
        </w:rPr>
      </w:pPr>
      <w:r w:rsidRPr="00B63E07">
        <w:rPr>
          <w:sz w:val="28"/>
          <w:szCs w:val="28"/>
        </w:rPr>
        <w:t>Internetové zdroje</w:t>
      </w:r>
    </w:p>
    <w:p w:rsidR="00171116" w:rsidRPr="00A00565" w:rsidRDefault="00171116" w:rsidP="00426524">
      <w:pPr>
        <w:pStyle w:val="Zkladntext2"/>
        <w:spacing w:line="240" w:lineRule="auto"/>
      </w:pPr>
    </w:p>
    <w:p w:rsidR="00171116" w:rsidRDefault="000174F2" w:rsidP="00B329BD">
      <w:pPr>
        <w:pStyle w:val="Odstavecseseznamem"/>
        <w:numPr>
          <w:ilvl w:val="0"/>
          <w:numId w:val="46"/>
        </w:numPr>
        <w:spacing w:line="360" w:lineRule="auto"/>
        <w:ind w:left="567" w:hanging="567"/>
        <w:jc w:val="both"/>
      </w:pPr>
      <w:r w:rsidRPr="000174F2">
        <w:t>Odvětvová klasifikace ekonomických činností, dostupn</w:t>
      </w:r>
      <w:r>
        <w:t>é na WWW:</w:t>
      </w:r>
      <w:r w:rsidRPr="008129D7">
        <w:rPr>
          <w:sz w:val="18"/>
          <w:szCs w:val="18"/>
        </w:rPr>
        <w:t xml:space="preserve"> </w:t>
      </w:r>
      <w:r w:rsidRPr="00171116">
        <w:rPr>
          <w:lang w:val="en-US"/>
        </w:rPr>
        <w:t>&lt;</w:t>
      </w:r>
      <w:hyperlink r:id="rId44" w:history="1">
        <w:r w:rsidRPr="000174F2">
          <w:rPr>
            <w:rStyle w:val="Hypertextovodkaz"/>
          </w:rPr>
          <w:t>http://www.czso.cz/csu/klasifik.nsf/i/odvetvova_klasifikace_ekonomickych_cinnosti_(okec)</w:t>
        </w:r>
      </w:hyperlink>
      <w:r>
        <w:t>&gt;</w:t>
      </w:r>
    </w:p>
    <w:p w:rsidR="000174F2" w:rsidRDefault="000174F2" w:rsidP="00B329BD">
      <w:pPr>
        <w:pStyle w:val="Odstavecseseznamem"/>
        <w:numPr>
          <w:ilvl w:val="0"/>
          <w:numId w:val="46"/>
        </w:numPr>
        <w:spacing w:line="360" w:lineRule="auto"/>
        <w:ind w:left="567" w:hanging="567"/>
        <w:jc w:val="both"/>
      </w:pPr>
      <w:r>
        <w:t xml:space="preserve">Výroční zprávy Telefónica O2 Czech Republic, a.s. 2004-2008 dostupné na WWW: </w:t>
      </w:r>
      <w:r w:rsidRPr="00171116">
        <w:rPr>
          <w:lang w:val="en-US"/>
        </w:rPr>
        <w:t>&lt;</w:t>
      </w:r>
      <w:hyperlink r:id="rId45" w:history="1">
        <w:r w:rsidRPr="000174F2">
          <w:rPr>
            <w:rStyle w:val="Hypertextovodkaz"/>
          </w:rPr>
          <w:t>http://www.cz.o2.com/osobni/o_nas/investor_relations/vyrocni_a_pololetni_zpravy/index.html</w:t>
        </w:r>
      </w:hyperlink>
      <w:r>
        <w:t>&gt;</w:t>
      </w:r>
    </w:p>
    <w:p w:rsidR="009F5772" w:rsidRDefault="000174F2" w:rsidP="00B329BD">
      <w:pPr>
        <w:pStyle w:val="Odstavecseseznamem"/>
        <w:numPr>
          <w:ilvl w:val="0"/>
          <w:numId w:val="46"/>
        </w:numPr>
        <w:spacing w:line="360" w:lineRule="auto"/>
        <w:ind w:left="567" w:hanging="567"/>
        <w:jc w:val="both"/>
      </w:pPr>
      <w:r>
        <w:t xml:space="preserve">Internetové stránky Českého telekomunikačního úřadu, dostupné na WWW: </w:t>
      </w:r>
      <w:r w:rsidRPr="00171116">
        <w:rPr>
          <w:lang w:val="en-US"/>
        </w:rPr>
        <w:t>&lt;</w:t>
      </w:r>
      <w:hyperlink r:id="rId46" w:history="1">
        <w:r w:rsidRPr="000174F2">
          <w:rPr>
            <w:rStyle w:val="Hypertextovodkaz"/>
          </w:rPr>
          <w:t>http://www.ctu.cz/o-ctu/zakladni-informace.html</w:t>
        </w:r>
      </w:hyperlink>
      <w:r>
        <w:t>&gt;</w:t>
      </w:r>
    </w:p>
    <w:p w:rsidR="009F5772" w:rsidRPr="009F5772" w:rsidRDefault="009F5772" w:rsidP="00B329BD">
      <w:pPr>
        <w:pStyle w:val="Odstavecseseznamem"/>
        <w:numPr>
          <w:ilvl w:val="0"/>
          <w:numId w:val="46"/>
        </w:numPr>
        <w:spacing w:line="360" w:lineRule="auto"/>
        <w:ind w:left="567" w:hanging="567"/>
        <w:jc w:val="both"/>
      </w:pPr>
      <w:r>
        <w:t xml:space="preserve">DLUHOŠOVÁ, D. </w:t>
      </w:r>
      <w:r w:rsidRPr="009F5772">
        <w:rPr>
          <w:i/>
        </w:rPr>
        <w:t xml:space="preserve">Porovnání způsobů hodnocení investičních projektů - </w:t>
      </w:r>
      <w:r w:rsidRPr="002C6825">
        <w:t>p</w:t>
      </w:r>
      <w:r>
        <w:t>říspěvek v rámci 3. mezinárodní konference Řízení a modelování finančních rizik, dos</w:t>
      </w:r>
      <w:r w:rsidRPr="009F5772">
        <w:t xml:space="preserve">tupné na WWW: </w:t>
      </w:r>
      <w:r w:rsidR="00A00565" w:rsidRPr="00171116">
        <w:rPr>
          <w:lang w:val="en-US"/>
        </w:rPr>
        <w:t>&lt;</w:t>
      </w:r>
      <w:hyperlink r:id="rId47" w:history="1">
        <w:r w:rsidRPr="009F5772">
          <w:rPr>
            <w:rStyle w:val="Hypertextovodkaz"/>
          </w:rPr>
          <w:t>http://www.ekf.vsb.cz/shared/uploadedfiles/cul33/Dana.Dluhosova.pdf</w:t>
        </w:r>
      </w:hyperlink>
      <w:r w:rsidR="00A00565">
        <w:t>&gt;</w:t>
      </w:r>
    </w:p>
    <w:p w:rsidR="00A00565" w:rsidRPr="00A00565" w:rsidRDefault="00A00565" w:rsidP="00B329BD">
      <w:pPr>
        <w:pStyle w:val="Odstavecseseznamem"/>
        <w:numPr>
          <w:ilvl w:val="0"/>
          <w:numId w:val="46"/>
        </w:numPr>
        <w:spacing w:line="360" w:lineRule="auto"/>
        <w:ind w:left="567" w:hanging="567"/>
        <w:jc w:val="both"/>
      </w:pPr>
      <w:r w:rsidRPr="00A00565">
        <w:t xml:space="preserve">PAŘENICOVÁ, P </w:t>
      </w:r>
      <w:r w:rsidRPr="00A00565">
        <w:rPr>
          <w:i/>
        </w:rPr>
        <w:t>Odhad modelu oceňování kapitálových aktiv pomocí Kalmanova filtru</w:t>
      </w:r>
      <w:r w:rsidRPr="00A00565">
        <w:t>, dostupné na</w:t>
      </w:r>
      <w:r>
        <w:t xml:space="preserve"> WWW</w:t>
      </w:r>
      <w:r w:rsidRPr="00A00565">
        <w:t xml:space="preserve">: </w:t>
      </w:r>
      <w:r w:rsidRPr="00171116">
        <w:rPr>
          <w:lang w:val="en-US"/>
        </w:rPr>
        <w:t>&lt;</w:t>
      </w:r>
      <w:hyperlink r:id="rId48" w:history="1">
        <w:r w:rsidRPr="00A00565">
          <w:rPr>
            <w:rStyle w:val="Hypertextovodkaz"/>
          </w:rPr>
          <w:t>http://ies.fsv.cuni.cz/work/index/show/id/853/lang/cs</w:t>
        </w:r>
      </w:hyperlink>
      <w:r>
        <w:t>&gt;</w:t>
      </w:r>
    </w:p>
    <w:p w:rsidR="00A00565" w:rsidRPr="00A00565" w:rsidRDefault="00A00565" w:rsidP="00B329BD">
      <w:pPr>
        <w:pStyle w:val="Odstavecseseznamem"/>
        <w:numPr>
          <w:ilvl w:val="0"/>
          <w:numId w:val="46"/>
        </w:numPr>
        <w:spacing w:line="360" w:lineRule="auto"/>
        <w:ind w:left="567" w:hanging="567"/>
        <w:jc w:val="both"/>
      </w:pPr>
      <w:r w:rsidRPr="00A00565">
        <w:t xml:space="preserve">PRODĚLAL, F </w:t>
      </w:r>
      <w:r w:rsidRPr="00A00565">
        <w:rPr>
          <w:i/>
        </w:rPr>
        <w:t>Výpočet rizikové prémie trhu a koeficientu beta z dat českého kapitálového trhu</w:t>
      </w:r>
      <w:r w:rsidRPr="00A00565">
        <w:t>, dostupné na</w:t>
      </w:r>
      <w:r>
        <w:t xml:space="preserve"> WWW</w:t>
      </w:r>
      <w:r w:rsidRPr="00A00565">
        <w:t xml:space="preserve">: </w:t>
      </w:r>
      <w:r w:rsidRPr="00171116">
        <w:rPr>
          <w:lang w:val="en-US"/>
        </w:rPr>
        <w:t>&lt;</w:t>
      </w:r>
      <w:hyperlink r:id="rId49" w:history="1">
        <w:r w:rsidRPr="00A00565">
          <w:rPr>
            <w:rStyle w:val="Hypertextovodkaz"/>
          </w:rPr>
          <w:t>http://www.fce.vutbr.cz/veda/juniorstav2008_sekce/pdf/7/Prodelal_Frantisek_CL.pdf</w:t>
        </w:r>
      </w:hyperlink>
      <w:r>
        <w:t>&gt;</w:t>
      </w:r>
    </w:p>
    <w:p w:rsidR="00A00565" w:rsidRDefault="00A00565" w:rsidP="00B329BD">
      <w:pPr>
        <w:pStyle w:val="Odstavecseseznamem"/>
        <w:numPr>
          <w:ilvl w:val="0"/>
          <w:numId w:val="46"/>
        </w:numPr>
        <w:spacing w:line="360" w:lineRule="auto"/>
        <w:ind w:left="567" w:hanging="567"/>
        <w:jc w:val="both"/>
      </w:pPr>
      <w:r>
        <w:t>V</w:t>
      </w:r>
      <w:r w:rsidRPr="00A00565">
        <w:t>ývoj ceny akcií</w:t>
      </w:r>
      <w:r>
        <w:t xml:space="preserve"> společnosti Telefónica O2 Czech republic, a.s., </w:t>
      </w:r>
      <w:r w:rsidRPr="00A00565">
        <w:t>dostupn</w:t>
      </w:r>
      <w:r>
        <w:t>é</w:t>
      </w:r>
      <w:r w:rsidRPr="00A00565">
        <w:t xml:space="preserve"> na</w:t>
      </w:r>
      <w:r>
        <w:t xml:space="preserve"> WWW</w:t>
      </w:r>
      <w:r w:rsidRPr="00A00565">
        <w:t xml:space="preserve">: </w:t>
      </w:r>
      <w:r w:rsidRPr="00171116">
        <w:rPr>
          <w:lang w:val="en-US"/>
        </w:rPr>
        <w:t>&lt;</w:t>
      </w:r>
      <w:hyperlink r:id="rId50" w:history="1">
        <w:r w:rsidRPr="00A00565">
          <w:rPr>
            <w:rStyle w:val="Hypertextovodkaz"/>
          </w:rPr>
          <w:t>http://www.cz.o2.com/osobni/o_nas/investor_relations/investor_relations-informace_o_akciich.html</w:t>
        </w:r>
      </w:hyperlink>
      <w:r>
        <w:t>&gt;</w:t>
      </w:r>
    </w:p>
    <w:p w:rsidR="002A3088" w:rsidRPr="00A00565" w:rsidRDefault="002A3088" w:rsidP="00B329BD">
      <w:pPr>
        <w:pStyle w:val="Odstavecseseznamem"/>
        <w:numPr>
          <w:ilvl w:val="0"/>
          <w:numId w:val="46"/>
        </w:numPr>
        <w:spacing w:line="360" w:lineRule="auto"/>
        <w:ind w:left="567" w:hanging="567"/>
        <w:jc w:val="both"/>
      </w:pPr>
      <w:r>
        <w:t xml:space="preserve">Míra inflace, dostupné na WWW: </w:t>
      </w:r>
      <w:r w:rsidRPr="00171116">
        <w:rPr>
          <w:lang w:val="en-US"/>
        </w:rPr>
        <w:t>&lt;</w:t>
      </w:r>
      <w:hyperlink r:id="rId51" w:history="1">
        <w:r w:rsidRPr="00C21A6C">
          <w:rPr>
            <w:rStyle w:val="Hypertextovodkaz"/>
          </w:rPr>
          <w:t>http://www.czso.cz/csu/redakce.nsf/i/mira_inflace</w:t>
        </w:r>
      </w:hyperlink>
      <w:r>
        <w:t>&gt;</w:t>
      </w:r>
    </w:p>
    <w:p w:rsidR="00506C21" w:rsidRDefault="00506C21" w:rsidP="00BE42C8">
      <w:pPr>
        <w:pStyle w:val="Zkladntext2"/>
        <w:rPr>
          <w:sz w:val="28"/>
        </w:rPr>
      </w:pPr>
    </w:p>
    <w:p w:rsidR="00C51AD3" w:rsidRDefault="00C51AD3" w:rsidP="00B63E07">
      <w:pPr>
        <w:spacing w:line="360" w:lineRule="auto"/>
        <w:rPr>
          <w:sz w:val="28"/>
          <w:szCs w:val="28"/>
        </w:rPr>
      </w:pPr>
    </w:p>
    <w:p w:rsidR="00C51AD3" w:rsidRDefault="00C51AD3" w:rsidP="00B63E07">
      <w:pPr>
        <w:spacing w:line="360" w:lineRule="auto"/>
        <w:rPr>
          <w:sz w:val="28"/>
          <w:szCs w:val="28"/>
        </w:rPr>
      </w:pPr>
    </w:p>
    <w:p w:rsidR="00C51AD3" w:rsidRDefault="00C51AD3" w:rsidP="00B63E07">
      <w:pPr>
        <w:spacing w:line="360" w:lineRule="auto"/>
        <w:rPr>
          <w:sz w:val="28"/>
          <w:szCs w:val="28"/>
        </w:rPr>
      </w:pPr>
    </w:p>
    <w:p w:rsidR="000044EB" w:rsidRPr="00B63E07" w:rsidRDefault="000044EB" w:rsidP="00B63E07">
      <w:pPr>
        <w:spacing w:line="360" w:lineRule="auto"/>
        <w:rPr>
          <w:sz w:val="28"/>
          <w:szCs w:val="28"/>
        </w:rPr>
      </w:pPr>
      <w:r w:rsidRPr="00B63E07">
        <w:rPr>
          <w:sz w:val="28"/>
          <w:szCs w:val="28"/>
        </w:rPr>
        <w:lastRenderedPageBreak/>
        <w:t>Podnikové dokumenty</w:t>
      </w:r>
    </w:p>
    <w:p w:rsidR="000044EB" w:rsidRDefault="000044EB" w:rsidP="005B4DC7">
      <w:pPr>
        <w:pStyle w:val="Zkladntext2"/>
        <w:spacing w:line="240" w:lineRule="auto"/>
        <w:rPr>
          <w:sz w:val="28"/>
        </w:rPr>
      </w:pPr>
    </w:p>
    <w:p w:rsidR="00640509" w:rsidRDefault="00640509" w:rsidP="00B329BD">
      <w:pPr>
        <w:pStyle w:val="Zkladntext2"/>
        <w:numPr>
          <w:ilvl w:val="0"/>
          <w:numId w:val="47"/>
        </w:numPr>
        <w:ind w:left="567" w:hanging="567"/>
      </w:pPr>
      <w:r w:rsidRPr="00640509">
        <w:t>S</w:t>
      </w:r>
      <w:r>
        <w:t>MĚRNICE SME – 21, Proces řízení podnikových investic</w:t>
      </w:r>
    </w:p>
    <w:p w:rsidR="00640509" w:rsidRDefault="00640509" w:rsidP="00B329BD">
      <w:pPr>
        <w:pStyle w:val="Zkladntext2"/>
        <w:numPr>
          <w:ilvl w:val="0"/>
          <w:numId w:val="47"/>
        </w:numPr>
        <w:ind w:left="567" w:hanging="567"/>
      </w:pPr>
      <w:r>
        <w:t>POSTUP POS – 50, Proces řízení investic</w:t>
      </w:r>
    </w:p>
    <w:p w:rsidR="00640509" w:rsidRDefault="00640509" w:rsidP="00B329BD">
      <w:pPr>
        <w:pStyle w:val="Zkladntext2"/>
        <w:numPr>
          <w:ilvl w:val="0"/>
          <w:numId w:val="47"/>
        </w:numPr>
        <w:ind w:left="567" w:hanging="567"/>
      </w:pPr>
      <w:r>
        <w:t>POSTUP POS – 51, Postupy a nástroje pro zpracování investičních návrhů předkládaných do CIK a IK</w:t>
      </w:r>
    </w:p>
    <w:p w:rsidR="00640509" w:rsidRDefault="00640509" w:rsidP="00B329BD">
      <w:pPr>
        <w:pStyle w:val="Zkladntext2"/>
        <w:numPr>
          <w:ilvl w:val="0"/>
          <w:numId w:val="47"/>
        </w:numPr>
        <w:ind w:left="567" w:hanging="567"/>
      </w:pPr>
      <w:r>
        <w:t>POSTUP POS – 52, Příprava finančních analýz investičních návrhů</w:t>
      </w:r>
    </w:p>
    <w:p w:rsidR="00506C21" w:rsidRDefault="00506C21" w:rsidP="00CA662C">
      <w:pPr>
        <w:pStyle w:val="Nadpis1"/>
        <w:numPr>
          <w:ilvl w:val="0"/>
          <w:numId w:val="0"/>
        </w:numPr>
        <w:ind w:left="432" w:hanging="432"/>
        <w:rPr>
          <w:b w:val="0"/>
        </w:rPr>
      </w:pPr>
    </w:p>
    <w:p w:rsidR="007E5EB5" w:rsidRPr="00CA662C" w:rsidRDefault="007E5EB5" w:rsidP="00CA662C">
      <w:pPr>
        <w:pStyle w:val="Nadpis1"/>
        <w:numPr>
          <w:ilvl w:val="0"/>
          <w:numId w:val="0"/>
        </w:numPr>
        <w:ind w:left="432" w:hanging="432"/>
        <w:rPr>
          <w:b w:val="0"/>
        </w:rPr>
      </w:pPr>
      <w:bookmarkStart w:id="520" w:name="_Toc233044433"/>
      <w:r w:rsidRPr="00CA662C">
        <w:rPr>
          <w:b w:val="0"/>
        </w:rPr>
        <w:t>Seznam tabulek</w:t>
      </w:r>
      <w:bookmarkEnd w:id="520"/>
      <w:r w:rsidRPr="00CA662C">
        <w:rPr>
          <w:b w:val="0"/>
        </w:rPr>
        <w:t xml:space="preserve"> </w:t>
      </w:r>
    </w:p>
    <w:p w:rsidR="0091493F" w:rsidRDefault="0091493F" w:rsidP="00E649CC">
      <w:pPr>
        <w:pStyle w:val="Zkladntext2"/>
      </w:pPr>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r>
        <w:fldChar w:fldCharType="begin"/>
      </w:r>
      <w:r w:rsidR="0091493F">
        <w:instrText xml:space="preserve"> TOC \h \z \t "Název;Tabulka" \c </w:instrText>
      </w:r>
      <w:r>
        <w:fldChar w:fldCharType="separate"/>
      </w:r>
      <w:hyperlink w:anchor="_Toc233044435" w:history="1">
        <w:r w:rsidR="004E0460" w:rsidRPr="009D4B2C">
          <w:rPr>
            <w:rStyle w:val="Hypertextovodkaz"/>
            <w:noProof/>
          </w:rPr>
          <w:t>Tabulka č. 1 – Zdroje financování investic</w:t>
        </w:r>
        <w:r w:rsidR="004E0460">
          <w:rPr>
            <w:noProof/>
            <w:webHidden/>
          </w:rPr>
          <w:tab/>
        </w:r>
        <w:r>
          <w:rPr>
            <w:noProof/>
            <w:webHidden/>
          </w:rPr>
          <w:fldChar w:fldCharType="begin"/>
        </w:r>
        <w:r w:rsidR="004E0460">
          <w:rPr>
            <w:noProof/>
            <w:webHidden/>
          </w:rPr>
          <w:instrText xml:space="preserve"> PAGEREF _Toc233044435 \h </w:instrText>
        </w:r>
        <w:r>
          <w:rPr>
            <w:noProof/>
            <w:webHidden/>
          </w:rPr>
        </w:r>
        <w:r>
          <w:rPr>
            <w:noProof/>
            <w:webHidden/>
          </w:rPr>
          <w:fldChar w:fldCharType="separate"/>
        </w:r>
        <w:r w:rsidR="001B1475">
          <w:rPr>
            <w:noProof/>
            <w:webHidden/>
          </w:rPr>
          <w:t>9</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36" w:history="1">
        <w:r w:rsidR="004E0460" w:rsidRPr="009D4B2C">
          <w:rPr>
            <w:rStyle w:val="Hypertextovodkaz"/>
            <w:noProof/>
          </w:rPr>
          <w:t>Tabulka č. 2 – Úrovně investičního plánování</w:t>
        </w:r>
        <w:r w:rsidR="004E0460">
          <w:rPr>
            <w:noProof/>
            <w:webHidden/>
          </w:rPr>
          <w:tab/>
        </w:r>
        <w:r>
          <w:rPr>
            <w:noProof/>
            <w:webHidden/>
          </w:rPr>
          <w:fldChar w:fldCharType="begin"/>
        </w:r>
        <w:r w:rsidR="004E0460">
          <w:rPr>
            <w:noProof/>
            <w:webHidden/>
          </w:rPr>
          <w:instrText xml:space="preserve"> PAGEREF _Toc233044436 \h </w:instrText>
        </w:r>
        <w:r>
          <w:rPr>
            <w:noProof/>
            <w:webHidden/>
          </w:rPr>
        </w:r>
        <w:r>
          <w:rPr>
            <w:noProof/>
            <w:webHidden/>
          </w:rPr>
          <w:fldChar w:fldCharType="separate"/>
        </w:r>
        <w:r w:rsidR="001B1475">
          <w:rPr>
            <w:noProof/>
            <w:webHidden/>
          </w:rPr>
          <w:t>12</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37" w:history="1">
        <w:r w:rsidR="004E0460" w:rsidRPr="009D4B2C">
          <w:rPr>
            <w:rStyle w:val="Hypertextovodkaz"/>
            <w:noProof/>
          </w:rPr>
          <w:t>Tabulka č. 3 – Čistá současná hodnota a index ziskovosti u vzájemně se vylučujících projektů</w:t>
        </w:r>
        <w:r w:rsidR="004E0460">
          <w:rPr>
            <w:noProof/>
            <w:webHidden/>
          </w:rPr>
          <w:tab/>
        </w:r>
        <w:r>
          <w:rPr>
            <w:noProof/>
            <w:webHidden/>
          </w:rPr>
          <w:fldChar w:fldCharType="begin"/>
        </w:r>
        <w:r w:rsidR="004E0460">
          <w:rPr>
            <w:noProof/>
            <w:webHidden/>
          </w:rPr>
          <w:instrText xml:space="preserve"> PAGEREF _Toc233044437 \h </w:instrText>
        </w:r>
        <w:r>
          <w:rPr>
            <w:noProof/>
            <w:webHidden/>
          </w:rPr>
        </w:r>
        <w:r>
          <w:rPr>
            <w:noProof/>
            <w:webHidden/>
          </w:rPr>
          <w:fldChar w:fldCharType="separate"/>
        </w:r>
        <w:r w:rsidR="001B1475">
          <w:rPr>
            <w:noProof/>
            <w:webHidden/>
          </w:rPr>
          <w:t>40</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38" w:history="1">
        <w:r w:rsidR="004E0460" w:rsidRPr="009D4B2C">
          <w:rPr>
            <w:rStyle w:val="Hypertextovodkaz"/>
            <w:noProof/>
          </w:rPr>
          <w:t>Tabulka č. 4 – Struktura výnosů skupiny Telefónica O2 Czech Republic za období 2005 – 2008</w:t>
        </w:r>
        <w:r w:rsidR="004E0460">
          <w:rPr>
            <w:noProof/>
            <w:webHidden/>
          </w:rPr>
          <w:tab/>
        </w:r>
        <w:r>
          <w:rPr>
            <w:noProof/>
            <w:webHidden/>
          </w:rPr>
          <w:fldChar w:fldCharType="begin"/>
        </w:r>
        <w:r w:rsidR="004E0460">
          <w:rPr>
            <w:noProof/>
            <w:webHidden/>
          </w:rPr>
          <w:instrText xml:space="preserve"> PAGEREF _Toc233044438 \h </w:instrText>
        </w:r>
        <w:r>
          <w:rPr>
            <w:noProof/>
            <w:webHidden/>
          </w:rPr>
        </w:r>
        <w:r>
          <w:rPr>
            <w:noProof/>
            <w:webHidden/>
          </w:rPr>
          <w:fldChar w:fldCharType="separate"/>
        </w:r>
        <w:r w:rsidR="001B1475">
          <w:rPr>
            <w:noProof/>
            <w:webHidden/>
          </w:rPr>
          <w:t>45</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39" w:history="1">
        <w:r w:rsidR="004E0460" w:rsidRPr="009D4B2C">
          <w:rPr>
            <w:rStyle w:val="Hypertextovodkaz"/>
            <w:noProof/>
          </w:rPr>
          <w:t>Tabulka č. 5 – Vybrané strategické finanční cíle a jejich vývoj za období 2005 - 2008</w:t>
        </w:r>
        <w:r w:rsidR="004E0460">
          <w:rPr>
            <w:noProof/>
            <w:webHidden/>
          </w:rPr>
          <w:tab/>
        </w:r>
        <w:r>
          <w:rPr>
            <w:noProof/>
            <w:webHidden/>
          </w:rPr>
          <w:fldChar w:fldCharType="begin"/>
        </w:r>
        <w:r w:rsidR="004E0460">
          <w:rPr>
            <w:noProof/>
            <w:webHidden/>
          </w:rPr>
          <w:instrText xml:space="preserve"> PAGEREF _Toc233044439 \h </w:instrText>
        </w:r>
        <w:r>
          <w:rPr>
            <w:noProof/>
            <w:webHidden/>
          </w:rPr>
        </w:r>
        <w:r>
          <w:rPr>
            <w:noProof/>
            <w:webHidden/>
          </w:rPr>
          <w:fldChar w:fldCharType="separate"/>
        </w:r>
        <w:r w:rsidR="001B1475">
          <w:rPr>
            <w:noProof/>
            <w:webHidden/>
          </w:rPr>
          <w:t>50</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40" w:history="1">
        <w:r w:rsidR="004E0460" w:rsidRPr="009D4B2C">
          <w:rPr>
            <w:rStyle w:val="Hypertextovodkaz"/>
            <w:noProof/>
          </w:rPr>
          <w:t>Tabulka č. 6 – Vývoj výdajů na investice skupiny Telefónica O2 Czech Republic za období 2005 - 2008</w:t>
        </w:r>
        <w:r w:rsidR="004E0460">
          <w:rPr>
            <w:noProof/>
            <w:webHidden/>
          </w:rPr>
          <w:tab/>
        </w:r>
        <w:r>
          <w:rPr>
            <w:noProof/>
            <w:webHidden/>
          </w:rPr>
          <w:fldChar w:fldCharType="begin"/>
        </w:r>
        <w:r w:rsidR="004E0460">
          <w:rPr>
            <w:noProof/>
            <w:webHidden/>
          </w:rPr>
          <w:instrText xml:space="preserve"> PAGEREF _Toc233044440 \h </w:instrText>
        </w:r>
        <w:r>
          <w:rPr>
            <w:noProof/>
            <w:webHidden/>
          </w:rPr>
        </w:r>
        <w:r>
          <w:rPr>
            <w:noProof/>
            <w:webHidden/>
          </w:rPr>
          <w:fldChar w:fldCharType="separate"/>
        </w:r>
        <w:r w:rsidR="001B1475">
          <w:rPr>
            <w:noProof/>
            <w:webHidden/>
          </w:rPr>
          <w:t>51</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41" w:history="1">
        <w:r w:rsidR="004E0460" w:rsidRPr="009D4B2C">
          <w:rPr>
            <w:rStyle w:val="Hypertextovodkaz"/>
            <w:noProof/>
          </w:rPr>
          <w:t>Tabulka č. 7 – Hodnota poměrového ukazatele výdaje na investice/výnosy skupiny Telefónica O2 Czech Republic za období 2005 – 2008</w:t>
        </w:r>
        <w:r w:rsidR="004E0460">
          <w:rPr>
            <w:noProof/>
            <w:webHidden/>
          </w:rPr>
          <w:tab/>
        </w:r>
        <w:r>
          <w:rPr>
            <w:noProof/>
            <w:webHidden/>
          </w:rPr>
          <w:fldChar w:fldCharType="begin"/>
        </w:r>
        <w:r w:rsidR="004E0460">
          <w:rPr>
            <w:noProof/>
            <w:webHidden/>
          </w:rPr>
          <w:instrText xml:space="preserve"> PAGEREF _Toc233044441 \h </w:instrText>
        </w:r>
        <w:r>
          <w:rPr>
            <w:noProof/>
            <w:webHidden/>
          </w:rPr>
        </w:r>
        <w:r>
          <w:rPr>
            <w:noProof/>
            <w:webHidden/>
          </w:rPr>
          <w:fldChar w:fldCharType="separate"/>
        </w:r>
        <w:r w:rsidR="001B1475">
          <w:rPr>
            <w:noProof/>
            <w:webHidden/>
          </w:rPr>
          <w:t>51</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42" w:history="1">
        <w:r w:rsidR="004E0460" w:rsidRPr="009D4B2C">
          <w:rPr>
            <w:rStyle w:val="Hypertextovodkaz"/>
            <w:noProof/>
          </w:rPr>
          <w:t>Tabulka č. 8 – Typy podnikových investic</w:t>
        </w:r>
        <w:r w:rsidR="004E0460">
          <w:rPr>
            <w:noProof/>
            <w:webHidden/>
          </w:rPr>
          <w:tab/>
        </w:r>
        <w:r>
          <w:rPr>
            <w:noProof/>
            <w:webHidden/>
          </w:rPr>
          <w:fldChar w:fldCharType="begin"/>
        </w:r>
        <w:r w:rsidR="004E0460">
          <w:rPr>
            <w:noProof/>
            <w:webHidden/>
          </w:rPr>
          <w:instrText xml:space="preserve"> PAGEREF _Toc233044442 \h </w:instrText>
        </w:r>
        <w:r>
          <w:rPr>
            <w:noProof/>
            <w:webHidden/>
          </w:rPr>
        </w:r>
        <w:r>
          <w:rPr>
            <w:noProof/>
            <w:webHidden/>
          </w:rPr>
          <w:fldChar w:fldCharType="separate"/>
        </w:r>
        <w:r w:rsidR="001B1475">
          <w:rPr>
            <w:noProof/>
            <w:webHidden/>
          </w:rPr>
          <w:t>52</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43" w:history="1">
        <w:r w:rsidR="004E0460" w:rsidRPr="009D4B2C">
          <w:rPr>
            <w:rStyle w:val="Hypertextovodkaz"/>
            <w:noProof/>
          </w:rPr>
          <w:t>Tabulka č. 9 – Požadovaná dokumentace k jednotlivým typům investic</w:t>
        </w:r>
        <w:r w:rsidR="004E0460">
          <w:rPr>
            <w:noProof/>
            <w:webHidden/>
          </w:rPr>
          <w:tab/>
        </w:r>
        <w:r>
          <w:rPr>
            <w:noProof/>
            <w:webHidden/>
          </w:rPr>
          <w:fldChar w:fldCharType="begin"/>
        </w:r>
        <w:r w:rsidR="004E0460">
          <w:rPr>
            <w:noProof/>
            <w:webHidden/>
          </w:rPr>
          <w:instrText xml:space="preserve"> PAGEREF _Toc233044443 \h </w:instrText>
        </w:r>
        <w:r>
          <w:rPr>
            <w:noProof/>
            <w:webHidden/>
          </w:rPr>
        </w:r>
        <w:r>
          <w:rPr>
            <w:noProof/>
            <w:webHidden/>
          </w:rPr>
          <w:fldChar w:fldCharType="separate"/>
        </w:r>
        <w:r w:rsidR="001B1475">
          <w:rPr>
            <w:noProof/>
            <w:webHidden/>
          </w:rPr>
          <w:t>54</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44" w:history="1">
        <w:r w:rsidR="004E0460" w:rsidRPr="009D4B2C">
          <w:rPr>
            <w:rStyle w:val="Hypertextovodkaz"/>
            <w:noProof/>
          </w:rPr>
          <w:t>Tabulka č. 10 – Porovnání složek technicko-ekonomické studie a standardního investičního návrhu</w:t>
        </w:r>
        <w:r w:rsidR="004E0460">
          <w:rPr>
            <w:noProof/>
            <w:webHidden/>
          </w:rPr>
          <w:tab/>
        </w:r>
        <w:r>
          <w:rPr>
            <w:noProof/>
            <w:webHidden/>
          </w:rPr>
          <w:fldChar w:fldCharType="begin"/>
        </w:r>
        <w:r w:rsidR="004E0460">
          <w:rPr>
            <w:noProof/>
            <w:webHidden/>
          </w:rPr>
          <w:instrText xml:space="preserve"> PAGEREF _Toc233044444 \h </w:instrText>
        </w:r>
        <w:r>
          <w:rPr>
            <w:noProof/>
            <w:webHidden/>
          </w:rPr>
        </w:r>
        <w:r>
          <w:rPr>
            <w:noProof/>
            <w:webHidden/>
          </w:rPr>
          <w:fldChar w:fldCharType="separate"/>
        </w:r>
        <w:r w:rsidR="001B1475">
          <w:rPr>
            <w:noProof/>
            <w:webHidden/>
          </w:rPr>
          <w:t>57</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45" w:history="1">
        <w:r w:rsidR="004E0460" w:rsidRPr="009D4B2C">
          <w:rPr>
            <w:rStyle w:val="Hypertextovodkaz"/>
            <w:noProof/>
          </w:rPr>
          <w:t>Tabulka č. 11 – Detail schválených investic v období 2006 -  2008</w:t>
        </w:r>
        <w:r w:rsidR="004E0460">
          <w:rPr>
            <w:noProof/>
            <w:webHidden/>
          </w:rPr>
          <w:tab/>
        </w:r>
        <w:r>
          <w:rPr>
            <w:noProof/>
            <w:webHidden/>
          </w:rPr>
          <w:fldChar w:fldCharType="begin"/>
        </w:r>
        <w:r w:rsidR="004E0460">
          <w:rPr>
            <w:noProof/>
            <w:webHidden/>
          </w:rPr>
          <w:instrText xml:space="preserve"> PAGEREF _Toc233044445 \h </w:instrText>
        </w:r>
        <w:r>
          <w:rPr>
            <w:noProof/>
            <w:webHidden/>
          </w:rPr>
        </w:r>
        <w:r>
          <w:rPr>
            <w:noProof/>
            <w:webHidden/>
          </w:rPr>
          <w:fldChar w:fldCharType="separate"/>
        </w:r>
        <w:r w:rsidR="001B1475">
          <w:rPr>
            <w:noProof/>
            <w:webHidden/>
          </w:rPr>
          <w:t>60</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46" w:history="1">
        <w:r w:rsidR="004E0460" w:rsidRPr="009D4B2C">
          <w:rPr>
            <w:rStyle w:val="Hypertextovodkaz"/>
            <w:noProof/>
          </w:rPr>
          <w:t>Tabulka č. 12 – Detailní finanční analýzy vybraného investičního projektu</w:t>
        </w:r>
        <w:r w:rsidR="004E0460">
          <w:rPr>
            <w:noProof/>
            <w:webHidden/>
          </w:rPr>
          <w:tab/>
        </w:r>
        <w:r>
          <w:rPr>
            <w:noProof/>
            <w:webHidden/>
          </w:rPr>
          <w:fldChar w:fldCharType="begin"/>
        </w:r>
        <w:r w:rsidR="004E0460">
          <w:rPr>
            <w:noProof/>
            <w:webHidden/>
          </w:rPr>
          <w:instrText xml:space="preserve"> PAGEREF _Toc233044446 \h </w:instrText>
        </w:r>
        <w:r>
          <w:rPr>
            <w:noProof/>
            <w:webHidden/>
          </w:rPr>
        </w:r>
        <w:r>
          <w:rPr>
            <w:noProof/>
            <w:webHidden/>
          </w:rPr>
          <w:fldChar w:fldCharType="separate"/>
        </w:r>
        <w:r w:rsidR="001B1475">
          <w:rPr>
            <w:noProof/>
            <w:webHidden/>
          </w:rPr>
          <w:t>63</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47" w:history="1">
        <w:r w:rsidR="004E0460" w:rsidRPr="009D4B2C">
          <w:rPr>
            <w:rStyle w:val="Hypertextovodkaz"/>
            <w:noProof/>
          </w:rPr>
          <w:t>Tabulka č. 13 – Průměrný roční dividendový výnos</w:t>
        </w:r>
        <w:r w:rsidR="004E0460">
          <w:rPr>
            <w:noProof/>
            <w:webHidden/>
          </w:rPr>
          <w:tab/>
        </w:r>
        <w:r>
          <w:rPr>
            <w:noProof/>
            <w:webHidden/>
          </w:rPr>
          <w:fldChar w:fldCharType="begin"/>
        </w:r>
        <w:r w:rsidR="004E0460">
          <w:rPr>
            <w:noProof/>
            <w:webHidden/>
          </w:rPr>
          <w:instrText xml:space="preserve"> PAGEREF _Toc233044447 \h </w:instrText>
        </w:r>
        <w:r>
          <w:rPr>
            <w:noProof/>
            <w:webHidden/>
          </w:rPr>
        </w:r>
        <w:r>
          <w:rPr>
            <w:noProof/>
            <w:webHidden/>
          </w:rPr>
          <w:fldChar w:fldCharType="separate"/>
        </w:r>
        <w:r w:rsidR="001B1475">
          <w:rPr>
            <w:noProof/>
            <w:webHidden/>
          </w:rPr>
          <w:t>66</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48" w:history="1">
        <w:r w:rsidR="004E0460" w:rsidRPr="009D4B2C">
          <w:rPr>
            <w:rStyle w:val="Hypertextovodkaz"/>
            <w:noProof/>
          </w:rPr>
          <w:t>Tabulka č. 14 – Tržní cena akcie a roční výnos</w:t>
        </w:r>
        <w:r w:rsidR="004E0460">
          <w:rPr>
            <w:noProof/>
            <w:webHidden/>
          </w:rPr>
          <w:tab/>
        </w:r>
        <w:r>
          <w:rPr>
            <w:noProof/>
            <w:webHidden/>
          </w:rPr>
          <w:fldChar w:fldCharType="begin"/>
        </w:r>
        <w:r w:rsidR="004E0460">
          <w:rPr>
            <w:noProof/>
            <w:webHidden/>
          </w:rPr>
          <w:instrText xml:space="preserve"> PAGEREF _Toc233044448 \h </w:instrText>
        </w:r>
        <w:r>
          <w:rPr>
            <w:noProof/>
            <w:webHidden/>
          </w:rPr>
        </w:r>
        <w:r>
          <w:rPr>
            <w:noProof/>
            <w:webHidden/>
          </w:rPr>
          <w:fldChar w:fldCharType="separate"/>
        </w:r>
        <w:r w:rsidR="001B1475">
          <w:rPr>
            <w:noProof/>
            <w:webHidden/>
          </w:rPr>
          <w:t>66</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49" w:history="1">
        <w:r w:rsidR="004E0460" w:rsidRPr="009D4B2C">
          <w:rPr>
            <w:rStyle w:val="Hypertextovodkaz"/>
            <w:noProof/>
          </w:rPr>
          <w:t>Tabulka č. 15 – Cizí zpoplatněný kapitál</w:t>
        </w:r>
        <w:r w:rsidR="004E0460">
          <w:rPr>
            <w:noProof/>
            <w:webHidden/>
          </w:rPr>
          <w:tab/>
        </w:r>
        <w:r>
          <w:rPr>
            <w:noProof/>
            <w:webHidden/>
          </w:rPr>
          <w:fldChar w:fldCharType="begin"/>
        </w:r>
        <w:r w:rsidR="004E0460">
          <w:rPr>
            <w:noProof/>
            <w:webHidden/>
          </w:rPr>
          <w:instrText xml:space="preserve"> PAGEREF _Toc233044449 \h </w:instrText>
        </w:r>
        <w:r>
          <w:rPr>
            <w:noProof/>
            <w:webHidden/>
          </w:rPr>
        </w:r>
        <w:r>
          <w:rPr>
            <w:noProof/>
            <w:webHidden/>
          </w:rPr>
          <w:fldChar w:fldCharType="separate"/>
        </w:r>
        <w:r w:rsidR="001B1475">
          <w:rPr>
            <w:noProof/>
            <w:webHidden/>
          </w:rPr>
          <w:t>67</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50" w:history="1">
        <w:r w:rsidR="004E0460" w:rsidRPr="009D4B2C">
          <w:rPr>
            <w:rStyle w:val="Hypertextovodkaz"/>
            <w:noProof/>
          </w:rPr>
          <w:t>Tabulka č. 16 – Roční a kvartální diskontní sazba používaná v rámci finanční analýzy</w:t>
        </w:r>
        <w:r w:rsidR="004E0460">
          <w:rPr>
            <w:noProof/>
            <w:webHidden/>
          </w:rPr>
          <w:tab/>
        </w:r>
        <w:r>
          <w:rPr>
            <w:noProof/>
            <w:webHidden/>
          </w:rPr>
          <w:fldChar w:fldCharType="begin"/>
        </w:r>
        <w:r w:rsidR="004E0460">
          <w:rPr>
            <w:noProof/>
            <w:webHidden/>
          </w:rPr>
          <w:instrText xml:space="preserve"> PAGEREF _Toc233044450 \h </w:instrText>
        </w:r>
        <w:r>
          <w:rPr>
            <w:noProof/>
            <w:webHidden/>
          </w:rPr>
        </w:r>
        <w:r>
          <w:rPr>
            <w:noProof/>
            <w:webHidden/>
          </w:rPr>
          <w:fldChar w:fldCharType="separate"/>
        </w:r>
        <w:r w:rsidR="001B1475">
          <w:rPr>
            <w:noProof/>
            <w:webHidden/>
          </w:rPr>
          <w:t>67</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51" w:history="1">
        <w:r w:rsidR="004E0460" w:rsidRPr="009D4B2C">
          <w:rPr>
            <w:rStyle w:val="Hypertextovodkaz"/>
            <w:noProof/>
          </w:rPr>
          <w:t>Tabulka č. 17 – Makroekonomické předpoklady finanční analýzy modelu</w:t>
        </w:r>
        <w:r w:rsidR="004E0460">
          <w:rPr>
            <w:noProof/>
            <w:webHidden/>
          </w:rPr>
          <w:tab/>
        </w:r>
        <w:r>
          <w:rPr>
            <w:noProof/>
            <w:webHidden/>
          </w:rPr>
          <w:fldChar w:fldCharType="begin"/>
        </w:r>
        <w:r w:rsidR="004E0460">
          <w:rPr>
            <w:noProof/>
            <w:webHidden/>
          </w:rPr>
          <w:instrText xml:space="preserve"> PAGEREF _Toc233044451 \h </w:instrText>
        </w:r>
        <w:r>
          <w:rPr>
            <w:noProof/>
            <w:webHidden/>
          </w:rPr>
        </w:r>
        <w:r>
          <w:rPr>
            <w:noProof/>
            <w:webHidden/>
          </w:rPr>
          <w:fldChar w:fldCharType="separate"/>
        </w:r>
        <w:r w:rsidR="001B1475">
          <w:rPr>
            <w:noProof/>
            <w:webHidden/>
          </w:rPr>
          <w:t>68</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52" w:history="1">
        <w:r w:rsidR="004E0460" w:rsidRPr="009D4B2C">
          <w:rPr>
            <w:rStyle w:val="Hypertextovodkaz"/>
            <w:noProof/>
          </w:rPr>
          <w:t>Tabulka č. 18 – Analýza scénářů pravděpodobných podmínek</w:t>
        </w:r>
        <w:r w:rsidR="004E0460">
          <w:rPr>
            <w:noProof/>
            <w:webHidden/>
          </w:rPr>
          <w:tab/>
        </w:r>
        <w:r>
          <w:rPr>
            <w:noProof/>
            <w:webHidden/>
          </w:rPr>
          <w:fldChar w:fldCharType="begin"/>
        </w:r>
        <w:r w:rsidR="004E0460">
          <w:rPr>
            <w:noProof/>
            <w:webHidden/>
          </w:rPr>
          <w:instrText xml:space="preserve"> PAGEREF _Toc233044452 \h </w:instrText>
        </w:r>
        <w:r>
          <w:rPr>
            <w:noProof/>
            <w:webHidden/>
          </w:rPr>
        </w:r>
        <w:r>
          <w:rPr>
            <w:noProof/>
            <w:webHidden/>
          </w:rPr>
          <w:fldChar w:fldCharType="separate"/>
        </w:r>
        <w:r w:rsidR="001B1475">
          <w:rPr>
            <w:noProof/>
            <w:webHidden/>
          </w:rPr>
          <w:t>70</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53" w:history="1">
        <w:r w:rsidR="004E0460" w:rsidRPr="009D4B2C">
          <w:rPr>
            <w:rStyle w:val="Hypertextovodkaz"/>
            <w:noProof/>
          </w:rPr>
          <w:t>Tabulka č. 19 – Výsledná čistá současná hodnota scénářů</w:t>
        </w:r>
        <w:r w:rsidR="004E0460">
          <w:rPr>
            <w:noProof/>
            <w:webHidden/>
          </w:rPr>
          <w:tab/>
        </w:r>
        <w:r>
          <w:rPr>
            <w:noProof/>
            <w:webHidden/>
          </w:rPr>
          <w:fldChar w:fldCharType="begin"/>
        </w:r>
        <w:r w:rsidR="004E0460">
          <w:rPr>
            <w:noProof/>
            <w:webHidden/>
          </w:rPr>
          <w:instrText xml:space="preserve"> PAGEREF _Toc233044453 \h </w:instrText>
        </w:r>
        <w:r>
          <w:rPr>
            <w:noProof/>
            <w:webHidden/>
          </w:rPr>
        </w:r>
        <w:r>
          <w:rPr>
            <w:noProof/>
            <w:webHidden/>
          </w:rPr>
          <w:fldChar w:fldCharType="separate"/>
        </w:r>
        <w:r w:rsidR="001B1475">
          <w:rPr>
            <w:noProof/>
            <w:webHidden/>
          </w:rPr>
          <w:t>71</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54" w:history="1">
        <w:r w:rsidR="004E0460" w:rsidRPr="009D4B2C">
          <w:rPr>
            <w:rStyle w:val="Hypertextovodkaz"/>
            <w:noProof/>
          </w:rPr>
          <w:t>Tabulka č. 20 – Investiční rozpočty podnikových útvarů oproti investičním návrhům</w:t>
        </w:r>
        <w:r w:rsidR="004E0460">
          <w:rPr>
            <w:noProof/>
            <w:webHidden/>
          </w:rPr>
          <w:tab/>
        </w:r>
        <w:r>
          <w:rPr>
            <w:noProof/>
            <w:webHidden/>
          </w:rPr>
          <w:fldChar w:fldCharType="begin"/>
        </w:r>
        <w:r w:rsidR="004E0460">
          <w:rPr>
            <w:noProof/>
            <w:webHidden/>
          </w:rPr>
          <w:instrText xml:space="preserve"> PAGEREF _Toc233044454 \h </w:instrText>
        </w:r>
        <w:r>
          <w:rPr>
            <w:noProof/>
            <w:webHidden/>
          </w:rPr>
        </w:r>
        <w:r>
          <w:rPr>
            <w:noProof/>
            <w:webHidden/>
          </w:rPr>
          <w:fldChar w:fldCharType="separate"/>
        </w:r>
        <w:r w:rsidR="001B1475">
          <w:rPr>
            <w:noProof/>
            <w:webHidden/>
          </w:rPr>
          <w:t>73</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55" w:history="1">
        <w:r w:rsidR="004E0460" w:rsidRPr="009D4B2C">
          <w:rPr>
            <w:rStyle w:val="Hypertextovodkaz"/>
            <w:noProof/>
          </w:rPr>
          <w:t>Tabulka č. 21 – Investiční návrhy s nekonvenčním peněžním tokem</w:t>
        </w:r>
        <w:r w:rsidR="004E0460">
          <w:rPr>
            <w:noProof/>
            <w:webHidden/>
          </w:rPr>
          <w:tab/>
        </w:r>
        <w:r>
          <w:rPr>
            <w:noProof/>
            <w:webHidden/>
          </w:rPr>
          <w:fldChar w:fldCharType="begin"/>
        </w:r>
        <w:r w:rsidR="004E0460">
          <w:rPr>
            <w:noProof/>
            <w:webHidden/>
          </w:rPr>
          <w:instrText xml:space="preserve"> PAGEREF _Toc233044455 \h </w:instrText>
        </w:r>
        <w:r>
          <w:rPr>
            <w:noProof/>
            <w:webHidden/>
          </w:rPr>
        </w:r>
        <w:r>
          <w:rPr>
            <w:noProof/>
            <w:webHidden/>
          </w:rPr>
          <w:fldChar w:fldCharType="separate"/>
        </w:r>
        <w:r w:rsidR="001B1475">
          <w:rPr>
            <w:noProof/>
            <w:webHidden/>
          </w:rPr>
          <w:t>74</w:t>
        </w:r>
        <w:r>
          <w:rPr>
            <w:noProof/>
            <w:webHidden/>
          </w:rPr>
          <w:fldChar w:fldCharType="end"/>
        </w:r>
      </w:hyperlink>
    </w:p>
    <w:p w:rsidR="0091493F" w:rsidRDefault="002B769D" w:rsidP="004E0460">
      <w:pPr>
        <w:pStyle w:val="Zkladntext2"/>
      </w:pPr>
      <w:r>
        <w:fldChar w:fldCharType="end"/>
      </w:r>
      <w:r w:rsidR="000044EB">
        <w:t xml:space="preserve">  </w:t>
      </w:r>
    </w:p>
    <w:p w:rsidR="00F26414" w:rsidRPr="00CA662C" w:rsidRDefault="00F26414" w:rsidP="00F26414">
      <w:pPr>
        <w:pStyle w:val="Nadpis1"/>
        <w:numPr>
          <w:ilvl w:val="0"/>
          <w:numId w:val="0"/>
        </w:numPr>
        <w:ind w:left="432" w:hanging="432"/>
        <w:rPr>
          <w:b w:val="0"/>
        </w:rPr>
      </w:pPr>
      <w:bookmarkStart w:id="521" w:name="_Toc233044434"/>
      <w:r w:rsidRPr="00CA662C">
        <w:rPr>
          <w:b w:val="0"/>
        </w:rPr>
        <w:t>Seznam grafů</w:t>
      </w:r>
      <w:bookmarkEnd w:id="521"/>
    </w:p>
    <w:p w:rsidR="007E5EB5" w:rsidRDefault="007E5EB5" w:rsidP="00E649CC">
      <w:pPr>
        <w:pStyle w:val="Zkladntext2"/>
      </w:pPr>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r>
        <w:fldChar w:fldCharType="begin"/>
      </w:r>
      <w:r w:rsidR="00BC47C4">
        <w:instrText xml:space="preserve"> TOC \h \z \t "Titulek;Graf" \c </w:instrText>
      </w:r>
      <w:r>
        <w:fldChar w:fldCharType="separate"/>
      </w:r>
      <w:hyperlink w:anchor="_Toc233044456" w:history="1">
        <w:r w:rsidR="004E0460" w:rsidRPr="00D8052A">
          <w:rPr>
            <w:rStyle w:val="Hypertextovodkaz"/>
            <w:noProof/>
          </w:rPr>
          <w:t>Graf č. 1 – Ekonomická kritéria hodnocení investičních projektů</w:t>
        </w:r>
        <w:r w:rsidR="004E0460">
          <w:rPr>
            <w:noProof/>
            <w:webHidden/>
          </w:rPr>
          <w:tab/>
        </w:r>
        <w:r>
          <w:rPr>
            <w:noProof/>
            <w:webHidden/>
          </w:rPr>
          <w:fldChar w:fldCharType="begin"/>
        </w:r>
        <w:r w:rsidR="004E0460">
          <w:rPr>
            <w:noProof/>
            <w:webHidden/>
          </w:rPr>
          <w:instrText xml:space="preserve"> PAGEREF _Toc233044456 \h </w:instrText>
        </w:r>
        <w:r>
          <w:rPr>
            <w:noProof/>
            <w:webHidden/>
          </w:rPr>
        </w:r>
        <w:r>
          <w:rPr>
            <w:noProof/>
            <w:webHidden/>
          </w:rPr>
          <w:fldChar w:fldCharType="separate"/>
        </w:r>
        <w:r w:rsidR="001B1475">
          <w:rPr>
            <w:noProof/>
            <w:webHidden/>
          </w:rPr>
          <w:t>34</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57" w:history="1">
        <w:r w:rsidR="004E0460" w:rsidRPr="00D8052A">
          <w:rPr>
            <w:rStyle w:val="Hypertextovodkaz"/>
            <w:noProof/>
          </w:rPr>
          <w:t>Graf č. 2 – Pravděpodobnostní strom zavedení nového produktu</w:t>
        </w:r>
        <w:r w:rsidR="004E0460">
          <w:rPr>
            <w:noProof/>
            <w:webHidden/>
          </w:rPr>
          <w:tab/>
        </w:r>
        <w:r>
          <w:rPr>
            <w:noProof/>
            <w:webHidden/>
          </w:rPr>
          <w:fldChar w:fldCharType="begin"/>
        </w:r>
        <w:r w:rsidR="004E0460">
          <w:rPr>
            <w:noProof/>
            <w:webHidden/>
          </w:rPr>
          <w:instrText xml:space="preserve"> PAGEREF _Toc233044457 \h </w:instrText>
        </w:r>
        <w:r>
          <w:rPr>
            <w:noProof/>
            <w:webHidden/>
          </w:rPr>
        </w:r>
        <w:r>
          <w:rPr>
            <w:noProof/>
            <w:webHidden/>
          </w:rPr>
          <w:fldChar w:fldCharType="separate"/>
        </w:r>
        <w:r w:rsidR="001B1475">
          <w:rPr>
            <w:noProof/>
            <w:webHidden/>
          </w:rPr>
          <w:t>43</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58" w:history="1">
        <w:r w:rsidR="004E0460" w:rsidRPr="00D8052A">
          <w:rPr>
            <w:rStyle w:val="Hypertextovodkaz"/>
            <w:noProof/>
          </w:rPr>
          <w:t>Graf č. 3 – Organizační struktura společnosti Telefónica O2 Czech Republic, a.s.</w:t>
        </w:r>
        <w:r w:rsidR="004E0460">
          <w:rPr>
            <w:noProof/>
            <w:webHidden/>
          </w:rPr>
          <w:tab/>
        </w:r>
        <w:r>
          <w:rPr>
            <w:noProof/>
            <w:webHidden/>
          </w:rPr>
          <w:fldChar w:fldCharType="begin"/>
        </w:r>
        <w:r w:rsidR="004E0460">
          <w:rPr>
            <w:noProof/>
            <w:webHidden/>
          </w:rPr>
          <w:instrText xml:space="preserve"> PAGEREF _Toc233044458 \h </w:instrText>
        </w:r>
        <w:r>
          <w:rPr>
            <w:noProof/>
            <w:webHidden/>
          </w:rPr>
        </w:r>
        <w:r>
          <w:rPr>
            <w:noProof/>
            <w:webHidden/>
          </w:rPr>
          <w:fldChar w:fldCharType="separate"/>
        </w:r>
        <w:r w:rsidR="001B1475">
          <w:rPr>
            <w:noProof/>
            <w:webHidden/>
          </w:rPr>
          <w:t>46</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59" w:history="1">
        <w:r w:rsidR="004E0460" w:rsidRPr="00D8052A">
          <w:rPr>
            <w:rStyle w:val="Hypertextovodkaz"/>
            <w:noProof/>
          </w:rPr>
          <w:t>Graf č. 4 – Schvalovací úrovně</w:t>
        </w:r>
        <w:r w:rsidR="004E0460">
          <w:rPr>
            <w:noProof/>
            <w:webHidden/>
          </w:rPr>
          <w:tab/>
        </w:r>
        <w:r>
          <w:rPr>
            <w:noProof/>
            <w:webHidden/>
          </w:rPr>
          <w:fldChar w:fldCharType="begin"/>
        </w:r>
        <w:r w:rsidR="004E0460">
          <w:rPr>
            <w:noProof/>
            <w:webHidden/>
          </w:rPr>
          <w:instrText xml:space="preserve"> PAGEREF _Toc233044459 \h </w:instrText>
        </w:r>
        <w:r>
          <w:rPr>
            <w:noProof/>
            <w:webHidden/>
          </w:rPr>
        </w:r>
        <w:r>
          <w:rPr>
            <w:noProof/>
            <w:webHidden/>
          </w:rPr>
          <w:fldChar w:fldCharType="separate"/>
        </w:r>
        <w:r w:rsidR="001B1475">
          <w:rPr>
            <w:noProof/>
            <w:webHidden/>
          </w:rPr>
          <w:t>59</w:t>
        </w:r>
        <w:r>
          <w:rPr>
            <w:noProof/>
            <w:webHidden/>
          </w:rPr>
          <w:fldChar w:fldCharType="end"/>
        </w:r>
      </w:hyperlink>
    </w:p>
    <w:p w:rsidR="004E0460" w:rsidRDefault="002B769D" w:rsidP="004E0460">
      <w:pPr>
        <w:pStyle w:val="Seznamobrzk"/>
        <w:tabs>
          <w:tab w:val="right" w:leader="dot" w:pos="9060"/>
        </w:tabs>
        <w:spacing w:line="360" w:lineRule="auto"/>
        <w:rPr>
          <w:rFonts w:asciiTheme="minorHAnsi" w:eastAsiaTheme="minorEastAsia" w:hAnsiTheme="minorHAnsi" w:cstheme="minorBidi"/>
          <w:noProof/>
          <w:sz w:val="22"/>
          <w:szCs w:val="22"/>
        </w:rPr>
      </w:pPr>
      <w:hyperlink w:anchor="_Toc233044460" w:history="1">
        <w:r w:rsidR="004E0460" w:rsidRPr="00D8052A">
          <w:rPr>
            <w:rStyle w:val="Hypertextovodkaz"/>
            <w:noProof/>
          </w:rPr>
          <w:t>Graf č. 5 – Vliv změny klíčových předpokladů na čistou současnou hodnotu modelu</w:t>
        </w:r>
        <w:r w:rsidR="004E0460">
          <w:rPr>
            <w:noProof/>
            <w:webHidden/>
          </w:rPr>
          <w:tab/>
        </w:r>
        <w:r>
          <w:rPr>
            <w:noProof/>
            <w:webHidden/>
          </w:rPr>
          <w:fldChar w:fldCharType="begin"/>
        </w:r>
        <w:r w:rsidR="004E0460">
          <w:rPr>
            <w:noProof/>
            <w:webHidden/>
          </w:rPr>
          <w:instrText xml:space="preserve"> PAGEREF _Toc233044460 \h </w:instrText>
        </w:r>
        <w:r>
          <w:rPr>
            <w:noProof/>
            <w:webHidden/>
          </w:rPr>
        </w:r>
        <w:r>
          <w:rPr>
            <w:noProof/>
            <w:webHidden/>
          </w:rPr>
          <w:fldChar w:fldCharType="separate"/>
        </w:r>
        <w:r w:rsidR="001B1475">
          <w:rPr>
            <w:noProof/>
            <w:webHidden/>
          </w:rPr>
          <w:t>70</w:t>
        </w:r>
        <w:r>
          <w:rPr>
            <w:noProof/>
            <w:webHidden/>
          </w:rPr>
          <w:fldChar w:fldCharType="end"/>
        </w:r>
      </w:hyperlink>
    </w:p>
    <w:p w:rsidR="00506C21" w:rsidRPr="00E649CC" w:rsidRDefault="002B769D" w:rsidP="00E649CC">
      <w:pPr>
        <w:pStyle w:val="Zkladntext2"/>
      </w:pPr>
      <w:r>
        <w:fldChar w:fldCharType="end"/>
      </w:r>
    </w:p>
    <w:sectPr w:rsidR="00506C21" w:rsidRPr="00E649CC" w:rsidSect="006B77C0">
      <w:footerReference w:type="default" r:id="rId52"/>
      <w:footnotePr>
        <w:numRestart w:val="eachPage"/>
      </w:footnotePr>
      <w:pgSz w:w="11906" w:h="16838" w:code="9"/>
      <w:pgMar w:top="1418" w:right="851" w:bottom="1134" w:left="1985" w:header="709" w:footer="709" w:gutter="0"/>
      <w:pgNumType w:star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A76" w:rsidRDefault="001B7A76">
      <w:r>
        <w:separator/>
      </w:r>
    </w:p>
  </w:endnote>
  <w:endnote w:type="continuationSeparator" w:id="0">
    <w:p w:rsidR="001B7A76" w:rsidRDefault="001B7A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Palatino">
    <w:altName w:val="Book Antiqua"/>
    <w:charset w:val="EE"/>
    <w:family w:val="auto"/>
    <w:pitch w:val="variable"/>
    <w:sig w:usb0="80000027" w:usb1="00000000" w:usb2="00000000" w:usb3="00000000" w:csb0="00000003" w:csb1="00000000"/>
  </w:font>
  <w:font w:name="Calibri">
    <w:panose1 w:val="020F0502020204030204"/>
    <w:charset w:val="EE"/>
    <w:family w:val="swiss"/>
    <w:pitch w:val="variable"/>
    <w:sig w:usb0="A00002EF" w:usb1="4000207B" w:usb2="00000000" w:usb3="00000000" w:csb0="0000009F"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A76" w:rsidRDefault="001B7A76">
    <w:pPr>
      <w:pStyle w:val="Zpat"/>
      <w:jc w:val="center"/>
    </w:pPr>
  </w:p>
  <w:p w:rsidR="001B7A76" w:rsidRDefault="001B7A76">
    <w:pPr>
      <w:pStyle w:val="Zpat"/>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6162007"/>
      <w:docPartObj>
        <w:docPartGallery w:val="Page Numbers (Bottom of Page)"/>
        <w:docPartUnique/>
      </w:docPartObj>
    </w:sdtPr>
    <w:sdtContent>
      <w:p w:rsidR="001B7A76" w:rsidRDefault="001B7A76">
        <w:pPr>
          <w:pStyle w:val="Zpat"/>
          <w:jc w:val="center"/>
        </w:pPr>
        <w:fldSimple w:instr=" PAGE   \* MERGEFORMAT ">
          <w:r w:rsidR="00767AA3">
            <w:rPr>
              <w:noProof/>
            </w:rPr>
            <w:t>10</w:t>
          </w:r>
        </w:fldSimple>
      </w:p>
    </w:sdtContent>
  </w:sdt>
  <w:p w:rsidR="001B7A76" w:rsidRDefault="001B7A76">
    <w:pPr>
      <w:pStyle w:val="Zpa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A76" w:rsidRDefault="001B7A76">
      <w:r>
        <w:separator/>
      </w:r>
    </w:p>
  </w:footnote>
  <w:footnote w:type="continuationSeparator" w:id="0">
    <w:p w:rsidR="001B7A76" w:rsidRDefault="001B7A76">
      <w:r>
        <w:continuationSeparator/>
      </w:r>
    </w:p>
  </w:footnote>
  <w:footnote w:id="1">
    <w:p w:rsidR="001B7A76" w:rsidRPr="007D140E" w:rsidRDefault="001B7A76" w:rsidP="00056782">
      <w:pPr>
        <w:pStyle w:val="Textpoznpodarou"/>
        <w:jc w:val="both"/>
        <w:rPr>
          <w:sz w:val="18"/>
          <w:szCs w:val="18"/>
        </w:rPr>
      </w:pPr>
      <w:r w:rsidRPr="007D140E">
        <w:rPr>
          <w:rStyle w:val="Znakapoznpodarou"/>
          <w:sz w:val="18"/>
          <w:szCs w:val="18"/>
        </w:rPr>
        <w:footnoteRef/>
      </w:r>
      <w:r w:rsidRPr="007D140E">
        <w:rPr>
          <w:sz w:val="18"/>
          <w:szCs w:val="18"/>
        </w:rPr>
        <w:t xml:space="preserve"> VALACH, J. </w:t>
      </w:r>
      <w:r w:rsidRPr="007D140E">
        <w:rPr>
          <w:i/>
          <w:sz w:val="18"/>
          <w:szCs w:val="18"/>
        </w:rPr>
        <w:t>Investiční rozhodování a dlouhodobé financování</w:t>
      </w:r>
      <w:r w:rsidRPr="007D140E">
        <w:rPr>
          <w:sz w:val="18"/>
          <w:szCs w:val="18"/>
        </w:rPr>
        <w:t xml:space="preserve"> 2. </w:t>
      </w:r>
      <w:r>
        <w:rPr>
          <w:sz w:val="18"/>
          <w:szCs w:val="18"/>
        </w:rPr>
        <w:t>v</w:t>
      </w:r>
      <w:r w:rsidRPr="007D140E">
        <w:rPr>
          <w:sz w:val="18"/>
          <w:szCs w:val="18"/>
        </w:rPr>
        <w:t>yd. Praha : Ekopress, 2006. 465 s. ISBN 80-86929-01-9, str. 16.</w:t>
      </w:r>
    </w:p>
  </w:footnote>
  <w:footnote w:id="2">
    <w:p w:rsidR="001B7A76" w:rsidRPr="007D140E" w:rsidRDefault="001B7A76" w:rsidP="00056782">
      <w:pPr>
        <w:pStyle w:val="Textpoznpodarou"/>
        <w:rPr>
          <w:sz w:val="18"/>
          <w:szCs w:val="18"/>
        </w:rPr>
      </w:pPr>
      <w:r w:rsidRPr="007D140E">
        <w:rPr>
          <w:rStyle w:val="Znakapoznpodarou"/>
          <w:sz w:val="18"/>
          <w:szCs w:val="18"/>
        </w:rPr>
        <w:footnoteRef/>
      </w:r>
      <w:r w:rsidRPr="007D140E">
        <w:rPr>
          <w:sz w:val="18"/>
          <w:szCs w:val="18"/>
        </w:rPr>
        <w:t xml:space="preserve"> SYNEK, M. a kol. </w:t>
      </w:r>
      <w:r w:rsidRPr="007D140E">
        <w:rPr>
          <w:i/>
          <w:sz w:val="18"/>
          <w:szCs w:val="18"/>
        </w:rPr>
        <w:t>Podniková ekonomika</w:t>
      </w:r>
      <w:r w:rsidRPr="007D140E">
        <w:rPr>
          <w:sz w:val="18"/>
          <w:szCs w:val="18"/>
        </w:rPr>
        <w:t xml:space="preserve"> 3. vyd. Praha : C.H.Beck, 2002. 479 s. ISBN 80-7179-736-7, str. 252.  </w:t>
      </w:r>
    </w:p>
  </w:footnote>
  <w:footnote w:id="3">
    <w:p w:rsidR="001B7A76" w:rsidRPr="007D140E" w:rsidRDefault="001B7A76" w:rsidP="00056782">
      <w:pPr>
        <w:pStyle w:val="Textpoznpodarou"/>
        <w:rPr>
          <w:sz w:val="18"/>
          <w:szCs w:val="18"/>
        </w:rPr>
      </w:pPr>
      <w:r w:rsidRPr="007D140E">
        <w:rPr>
          <w:rStyle w:val="Znakapoznpodarou"/>
          <w:sz w:val="18"/>
          <w:szCs w:val="18"/>
        </w:rPr>
        <w:footnoteRef/>
      </w:r>
      <w:r w:rsidRPr="007D140E">
        <w:rPr>
          <w:sz w:val="18"/>
          <w:szCs w:val="18"/>
        </w:rPr>
        <w:t xml:space="preserve"> WÖHE, G. </w:t>
      </w:r>
      <w:r w:rsidRPr="007D140E">
        <w:rPr>
          <w:i/>
          <w:sz w:val="18"/>
          <w:szCs w:val="18"/>
        </w:rPr>
        <w:t>Úvod do podnikového hospodářství</w:t>
      </w:r>
      <w:r w:rsidRPr="007D140E">
        <w:rPr>
          <w:sz w:val="18"/>
          <w:szCs w:val="18"/>
        </w:rPr>
        <w:t xml:space="preserve"> 1. vyd. Praha : C.H.Beck, 1995. 748 s. ISBN 80-7179-014-1, str. 410.</w:t>
      </w:r>
    </w:p>
  </w:footnote>
  <w:footnote w:id="4">
    <w:p w:rsidR="001B7A76" w:rsidRPr="00090907" w:rsidRDefault="001B7A76" w:rsidP="00090907">
      <w:pPr>
        <w:pStyle w:val="Zkladntext2"/>
        <w:spacing w:line="240" w:lineRule="auto"/>
        <w:rPr>
          <w:sz w:val="18"/>
          <w:szCs w:val="18"/>
        </w:rPr>
      </w:pPr>
      <w:r w:rsidRPr="008129D7">
        <w:rPr>
          <w:rStyle w:val="Znakapoznpodarou"/>
          <w:sz w:val="18"/>
          <w:szCs w:val="18"/>
        </w:rPr>
        <w:footnoteRef/>
      </w:r>
      <w:r w:rsidRPr="008129D7">
        <w:rPr>
          <w:sz w:val="18"/>
          <w:szCs w:val="18"/>
        </w:rPr>
        <w:t xml:space="preserve"> </w:t>
      </w:r>
      <w:r w:rsidRPr="008129D7">
        <w:rPr>
          <w:sz w:val="18"/>
          <w:szCs w:val="18"/>
          <w:lang w:val="pl-PL"/>
        </w:rPr>
        <w:t>NOVOTNÝ</w:t>
      </w:r>
      <w:r w:rsidRPr="008129D7">
        <w:rPr>
          <w:sz w:val="18"/>
          <w:szCs w:val="18"/>
        </w:rPr>
        <w:t xml:space="preserve">, J., SUCHÁNEK, P. </w:t>
      </w:r>
      <w:r w:rsidRPr="008129D7">
        <w:rPr>
          <w:i/>
          <w:sz w:val="18"/>
          <w:szCs w:val="18"/>
        </w:rPr>
        <w:t>Nauka o podniku</w:t>
      </w:r>
      <w:r>
        <w:rPr>
          <w:i/>
          <w:sz w:val="18"/>
          <w:szCs w:val="18"/>
        </w:rPr>
        <w:t xml:space="preserve"> I</w:t>
      </w:r>
      <w:r w:rsidRPr="008129D7">
        <w:rPr>
          <w:i/>
          <w:sz w:val="18"/>
          <w:szCs w:val="18"/>
        </w:rPr>
        <w:t>I</w:t>
      </w:r>
      <w:r w:rsidRPr="008129D7">
        <w:rPr>
          <w:i/>
          <w:iCs/>
          <w:sz w:val="18"/>
          <w:szCs w:val="18"/>
        </w:rPr>
        <w:t>.</w:t>
      </w:r>
      <w:r w:rsidRPr="008129D7">
        <w:rPr>
          <w:sz w:val="18"/>
          <w:szCs w:val="18"/>
        </w:rPr>
        <w:t xml:space="preserve"> 1. vyd. Brno: MU, 200</w:t>
      </w:r>
      <w:r>
        <w:rPr>
          <w:sz w:val="18"/>
          <w:szCs w:val="18"/>
        </w:rPr>
        <w:t>7</w:t>
      </w:r>
      <w:r w:rsidRPr="008129D7">
        <w:rPr>
          <w:sz w:val="18"/>
          <w:szCs w:val="18"/>
        </w:rPr>
        <w:t>. 1</w:t>
      </w:r>
      <w:r>
        <w:rPr>
          <w:sz w:val="18"/>
          <w:szCs w:val="18"/>
        </w:rPr>
        <w:t>72</w:t>
      </w:r>
      <w:r w:rsidRPr="008129D7">
        <w:rPr>
          <w:sz w:val="18"/>
          <w:szCs w:val="18"/>
        </w:rPr>
        <w:t xml:space="preserve"> s. ISBN </w:t>
      </w:r>
      <w:r>
        <w:rPr>
          <w:sz w:val="18"/>
          <w:szCs w:val="18"/>
        </w:rPr>
        <w:t>978-</w:t>
      </w:r>
      <w:r w:rsidRPr="008129D7">
        <w:rPr>
          <w:sz w:val="18"/>
          <w:szCs w:val="18"/>
        </w:rPr>
        <w:t>80-210-</w:t>
      </w:r>
      <w:r>
        <w:rPr>
          <w:sz w:val="18"/>
          <w:szCs w:val="18"/>
        </w:rPr>
        <w:t>4496</w:t>
      </w:r>
      <w:r w:rsidRPr="008129D7">
        <w:rPr>
          <w:sz w:val="18"/>
          <w:szCs w:val="18"/>
        </w:rPr>
        <w:t>-</w:t>
      </w:r>
      <w:r>
        <w:rPr>
          <w:sz w:val="18"/>
          <w:szCs w:val="18"/>
        </w:rPr>
        <w:t>8, str. 116.</w:t>
      </w:r>
    </w:p>
  </w:footnote>
  <w:footnote w:id="5">
    <w:p w:rsidR="001B7A76" w:rsidRPr="00521154" w:rsidRDefault="001B7A76" w:rsidP="000F3214">
      <w:pPr>
        <w:pStyle w:val="Textpoznpodarou"/>
        <w:jc w:val="both"/>
        <w:rPr>
          <w:sz w:val="18"/>
          <w:szCs w:val="18"/>
        </w:rPr>
      </w:pPr>
      <w:r w:rsidRPr="00521154">
        <w:rPr>
          <w:rStyle w:val="Znakapoznpodarou"/>
          <w:sz w:val="18"/>
          <w:szCs w:val="18"/>
        </w:rPr>
        <w:footnoteRef/>
      </w:r>
      <w:r w:rsidRPr="00521154">
        <w:rPr>
          <w:sz w:val="18"/>
          <w:szCs w:val="18"/>
        </w:rPr>
        <w:t xml:space="preserve"> VALACH, J. </w:t>
      </w:r>
      <w:r w:rsidRPr="00521154">
        <w:rPr>
          <w:i/>
          <w:sz w:val="18"/>
          <w:szCs w:val="18"/>
        </w:rPr>
        <w:t>Investiční rozhodování a dlouhodobé financování</w:t>
      </w:r>
      <w:r w:rsidRPr="00521154">
        <w:rPr>
          <w:sz w:val="18"/>
          <w:szCs w:val="18"/>
        </w:rPr>
        <w:t xml:space="preserve"> 2. </w:t>
      </w:r>
      <w:r>
        <w:rPr>
          <w:sz w:val="18"/>
          <w:szCs w:val="18"/>
        </w:rPr>
        <w:t>v</w:t>
      </w:r>
      <w:r w:rsidRPr="00521154">
        <w:rPr>
          <w:sz w:val="18"/>
          <w:szCs w:val="18"/>
        </w:rPr>
        <w:t>yd. Praha : Ekopress, 2006. 465 s. ISBN 80-86929-01-9, str. 26.</w:t>
      </w:r>
    </w:p>
  </w:footnote>
  <w:footnote w:id="6">
    <w:p w:rsidR="001B7A76" w:rsidRPr="00521154" w:rsidRDefault="001B7A76">
      <w:pPr>
        <w:pStyle w:val="Textpoznpodarou"/>
        <w:rPr>
          <w:sz w:val="18"/>
          <w:szCs w:val="18"/>
        </w:rPr>
      </w:pPr>
      <w:r w:rsidRPr="00521154">
        <w:rPr>
          <w:rStyle w:val="Znakapoznpodarou"/>
          <w:sz w:val="18"/>
          <w:szCs w:val="18"/>
        </w:rPr>
        <w:footnoteRef/>
      </w:r>
      <w:r w:rsidRPr="00521154">
        <w:rPr>
          <w:sz w:val="18"/>
          <w:szCs w:val="18"/>
        </w:rPr>
        <w:t xml:space="preserve"> blíže viz § 26 a § 32a zákona č. 586/1992 Sb. o daních z příjmů </w:t>
      </w:r>
    </w:p>
  </w:footnote>
  <w:footnote w:id="7">
    <w:p w:rsidR="001B7A76" w:rsidRPr="00521154" w:rsidRDefault="001B7A76">
      <w:pPr>
        <w:pStyle w:val="Textpoznpodarou"/>
        <w:rPr>
          <w:sz w:val="18"/>
          <w:szCs w:val="18"/>
        </w:rPr>
      </w:pPr>
      <w:r w:rsidRPr="00521154">
        <w:rPr>
          <w:rStyle w:val="Znakapoznpodarou"/>
          <w:sz w:val="18"/>
          <w:szCs w:val="18"/>
        </w:rPr>
        <w:footnoteRef/>
      </w:r>
      <w:r w:rsidRPr="00521154">
        <w:rPr>
          <w:sz w:val="18"/>
          <w:szCs w:val="18"/>
        </w:rPr>
        <w:t xml:space="preserve"> KISLINGEROVÁ, E. a kol. </w:t>
      </w:r>
      <w:r w:rsidRPr="00521154">
        <w:rPr>
          <w:i/>
          <w:sz w:val="18"/>
          <w:szCs w:val="18"/>
        </w:rPr>
        <w:t>Manažerské finance</w:t>
      </w:r>
      <w:r w:rsidRPr="00521154">
        <w:rPr>
          <w:sz w:val="18"/>
          <w:szCs w:val="18"/>
        </w:rPr>
        <w:t xml:space="preserve"> 1. Vyd. Praha : C. H. Beck, 2004. 714 s. ISBN 80-7179-802-9, str. 285.</w:t>
      </w:r>
    </w:p>
  </w:footnote>
  <w:footnote w:id="8">
    <w:p w:rsidR="001B7A76" w:rsidRPr="00521154" w:rsidRDefault="001B7A76" w:rsidP="00272874">
      <w:pPr>
        <w:pStyle w:val="Textpoznpodarou"/>
        <w:rPr>
          <w:sz w:val="18"/>
          <w:szCs w:val="18"/>
        </w:rPr>
      </w:pPr>
      <w:r w:rsidRPr="00521154">
        <w:rPr>
          <w:rStyle w:val="Znakapoznpodarou"/>
          <w:sz w:val="18"/>
          <w:szCs w:val="18"/>
        </w:rPr>
        <w:footnoteRef/>
      </w:r>
      <w:r w:rsidRPr="00521154">
        <w:rPr>
          <w:sz w:val="18"/>
          <w:szCs w:val="18"/>
        </w:rPr>
        <w:t xml:space="preserve"> WÖHE, G. </w:t>
      </w:r>
      <w:r w:rsidRPr="00521154">
        <w:rPr>
          <w:i/>
          <w:sz w:val="18"/>
          <w:szCs w:val="18"/>
        </w:rPr>
        <w:t>Úvod do podnikového hospodářství</w:t>
      </w:r>
      <w:r w:rsidRPr="00521154">
        <w:rPr>
          <w:sz w:val="18"/>
          <w:szCs w:val="18"/>
        </w:rPr>
        <w:t xml:space="preserve"> 1. vyd. Praha : C.H.Beck, 1995. 748 s. ISBN 80-7179-014-1, str. 473. </w:t>
      </w:r>
    </w:p>
  </w:footnote>
  <w:footnote w:id="9">
    <w:p w:rsidR="001B7A76" w:rsidRPr="00471890" w:rsidRDefault="001B7A76">
      <w:pPr>
        <w:pStyle w:val="Textpoznpodarou"/>
        <w:rPr>
          <w:sz w:val="18"/>
          <w:szCs w:val="18"/>
        </w:rPr>
      </w:pPr>
      <w:r w:rsidRPr="00471890">
        <w:rPr>
          <w:rStyle w:val="Znakapoznpodarou"/>
          <w:sz w:val="18"/>
          <w:szCs w:val="18"/>
        </w:rPr>
        <w:footnoteRef/>
      </w:r>
      <w:r w:rsidRPr="00471890">
        <w:rPr>
          <w:sz w:val="18"/>
          <w:szCs w:val="18"/>
        </w:rPr>
        <w:t xml:space="preserve"> WÖHE, G. </w:t>
      </w:r>
      <w:r w:rsidRPr="00471890">
        <w:rPr>
          <w:i/>
          <w:sz w:val="18"/>
          <w:szCs w:val="18"/>
        </w:rPr>
        <w:t>Úvod do podnikového hospodářství</w:t>
      </w:r>
      <w:r w:rsidRPr="00471890">
        <w:rPr>
          <w:sz w:val="18"/>
          <w:szCs w:val="18"/>
        </w:rPr>
        <w:t xml:space="preserve"> 1. vyd. Praha : C.H.Beck, 1995. 748 s. ISBN 80-7179-014-1, str. 412-413.</w:t>
      </w:r>
    </w:p>
  </w:footnote>
  <w:footnote w:id="10">
    <w:p w:rsidR="001B7A76" w:rsidRPr="00471890" w:rsidRDefault="001B7A76">
      <w:pPr>
        <w:pStyle w:val="Textpoznpodarou"/>
        <w:rPr>
          <w:sz w:val="18"/>
          <w:szCs w:val="18"/>
        </w:rPr>
      </w:pPr>
      <w:r w:rsidRPr="00471890">
        <w:rPr>
          <w:rStyle w:val="Znakapoznpodarou"/>
          <w:sz w:val="18"/>
          <w:szCs w:val="18"/>
        </w:rPr>
        <w:footnoteRef/>
      </w:r>
      <w:r w:rsidRPr="00471890">
        <w:rPr>
          <w:sz w:val="18"/>
          <w:szCs w:val="18"/>
        </w:rPr>
        <w:t xml:space="preserve"> NOVOTNÝ, J. </w:t>
      </w:r>
      <w:r w:rsidRPr="00471890">
        <w:rPr>
          <w:i/>
          <w:sz w:val="18"/>
          <w:szCs w:val="18"/>
        </w:rPr>
        <w:t>Nauka o podniku. Výstavba podniku</w:t>
      </w:r>
      <w:r w:rsidRPr="00471890">
        <w:rPr>
          <w:sz w:val="18"/>
          <w:szCs w:val="18"/>
        </w:rPr>
        <w:t xml:space="preserve">.1. vyd. Plzeň : Aleš Čeněk, 2007. 213 s. ISBN 978-80-7380-071-0, str. 31. </w:t>
      </w:r>
    </w:p>
  </w:footnote>
  <w:footnote w:id="11">
    <w:p w:rsidR="001B7A76" w:rsidRPr="00471890" w:rsidRDefault="001B7A76" w:rsidP="005A39F6">
      <w:pPr>
        <w:pStyle w:val="Textpoznpodarou"/>
        <w:rPr>
          <w:sz w:val="18"/>
          <w:szCs w:val="18"/>
        </w:rPr>
      </w:pPr>
      <w:r w:rsidRPr="00471890">
        <w:rPr>
          <w:rStyle w:val="Znakapoznpodarou"/>
          <w:sz w:val="18"/>
          <w:szCs w:val="18"/>
        </w:rPr>
        <w:footnoteRef/>
      </w:r>
      <w:r w:rsidRPr="00471890">
        <w:rPr>
          <w:sz w:val="18"/>
          <w:szCs w:val="18"/>
        </w:rPr>
        <w:t xml:space="preserve"> SYNEK, M. a kol. </w:t>
      </w:r>
      <w:r w:rsidRPr="00471890">
        <w:rPr>
          <w:i/>
          <w:sz w:val="18"/>
          <w:szCs w:val="18"/>
        </w:rPr>
        <w:t>Manažerská ekonomika</w:t>
      </w:r>
      <w:r w:rsidRPr="00471890">
        <w:rPr>
          <w:sz w:val="18"/>
          <w:szCs w:val="18"/>
        </w:rPr>
        <w:t xml:space="preserve"> 3. vyd. Praha : Grada, 2003. 472 s. ISBN 80-247-0515-X, str. 286-287.  </w:t>
      </w:r>
    </w:p>
  </w:footnote>
  <w:footnote w:id="12">
    <w:p w:rsidR="001B7A76" w:rsidRPr="00471890" w:rsidRDefault="001B7A76">
      <w:pPr>
        <w:pStyle w:val="Textpoznpodarou"/>
        <w:rPr>
          <w:sz w:val="18"/>
          <w:szCs w:val="18"/>
        </w:rPr>
      </w:pPr>
      <w:r w:rsidRPr="00471890">
        <w:rPr>
          <w:rStyle w:val="Znakapoznpodarou"/>
          <w:sz w:val="18"/>
          <w:szCs w:val="18"/>
        </w:rPr>
        <w:footnoteRef/>
      </w:r>
      <w:r w:rsidRPr="00471890">
        <w:rPr>
          <w:sz w:val="18"/>
          <w:szCs w:val="18"/>
        </w:rPr>
        <w:t xml:space="preserve"> WÖHE, G. KISLINGEROVÁ, E. </w:t>
      </w:r>
      <w:r w:rsidRPr="00471890">
        <w:rPr>
          <w:i/>
          <w:sz w:val="18"/>
          <w:szCs w:val="18"/>
        </w:rPr>
        <w:t>Úvod do podnikového hospodářství</w:t>
      </w:r>
      <w:r w:rsidRPr="00471890">
        <w:rPr>
          <w:sz w:val="18"/>
          <w:szCs w:val="18"/>
        </w:rPr>
        <w:t xml:space="preserve"> 2. vyd. Praha : C.H.Beck, 2007. 928 s. ISBN 978-80-7179-897-2, str. 493.</w:t>
      </w:r>
    </w:p>
  </w:footnote>
  <w:footnote w:id="13">
    <w:p w:rsidR="001B7A76" w:rsidRPr="00471890" w:rsidRDefault="001B7A76">
      <w:pPr>
        <w:pStyle w:val="Textpoznpodarou"/>
        <w:rPr>
          <w:sz w:val="18"/>
          <w:szCs w:val="18"/>
        </w:rPr>
      </w:pPr>
      <w:r w:rsidRPr="00471890">
        <w:rPr>
          <w:rStyle w:val="Znakapoznpodarou"/>
          <w:sz w:val="18"/>
          <w:szCs w:val="18"/>
        </w:rPr>
        <w:footnoteRef/>
      </w:r>
      <w:r w:rsidRPr="00471890">
        <w:rPr>
          <w:sz w:val="18"/>
          <w:szCs w:val="18"/>
        </w:rPr>
        <w:t xml:space="preserve"> FOTR, J. SOUČEK, I. </w:t>
      </w:r>
      <w:r w:rsidRPr="00471890">
        <w:rPr>
          <w:i/>
          <w:sz w:val="18"/>
          <w:szCs w:val="18"/>
        </w:rPr>
        <w:t>Podnikatelský záměr a investiční rozhodování</w:t>
      </w:r>
      <w:r w:rsidRPr="00471890">
        <w:rPr>
          <w:sz w:val="18"/>
          <w:szCs w:val="18"/>
        </w:rPr>
        <w:t xml:space="preserve"> 1. </w:t>
      </w:r>
      <w:r>
        <w:rPr>
          <w:sz w:val="18"/>
          <w:szCs w:val="18"/>
        </w:rPr>
        <w:t>v</w:t>
      </w:r>
      <w:r w:rsidRPr="00471890">
        <w:rPr>
          <w:sz w:val="18"/>
          <w:szCs w:val="18"/>
        </w:rPr>
        <w:t xml:space="preserve">yd. Praha : Grada, 2005. 356 s. ISBN 80-247-0939-2, str. 14-16. </w:t>
      </w:r>
    </w:p>
  </w:footnote>
  <w:footnote w:id="14">
    <w:p w:rsidR="001B7A76" w:rsidRPr="00471890" w:rsidRDefault="001B7A76">
      <w:pPr>
        <w:pStyle w:val="Textpoznpodarou"/>
        <w:rPr>
          <w:sz w:val="18"/>
          <w:szCs w:val="18"/>
        </w:rPr>
      </w:pPr>
      <w:r w:rsidRPr="00471890">
        <w:rPr>
          <w:rStyle w:val="Znakapoznpodarou"/>
          <w:sz w:val="18"/>
          <w:szCs w:val="18"/>
        </w:rPr>
        <w:footnoteRef/>
      </w:r>
      <w:r w:rsidRPr="00471890">
        <w:rPr>
          <w:sz w:val="18"/>
          <w:szCs w:val="18"/>
        </w:rPr>
        <w:t xml:space="preserve"> WÖHE, G. </w:t>
      </w:r>
      <w:r w:rsidRPr="00471890">
        <w:rPr>
          <w:i/>
          <w:sz w:val="18"/>
          <w:szCs w:val="18"/>
        </w:rPr>
        <w:t>Úvod do podnikového hospodářství</w:t>
      </w:r>
      <w:r w:rsidRPr="00471890">
        <w:rPr>
          <w:sz w:val="18"/>
          <w:szCs w:val="18"/>
        </w:rPr>
        <w:t xml:space="preserve"> 1. vyd. Praha : C.H.Beck, 1995. 748 s. ISBN 80-7179-014-1, str. 429.</w:t>
      </w:r>
    </w:p>
  </w:footnote>
  <w:footnote w:id="15">
    <w:p w:rsidR="001B7A76" w:rsidRPr="006C1409" w:rsidRDefault="001B7A76">
      <w:pPr>
        <w:pStyle w:val="Textpoznpodarou"/>
        <w:rPr>
          <w:sz w:val="18"/>
          <w:szCs w:val="18"/>
        </w:rPr>
      </w:pPr>
      <w:r w:rsidRPr="006C1409">
        <w:rPr>
          <w:rStyle w:val="Znakapoznpodarou"/>
          <w:sz w:val="18"/>
          <w:szCs w:val="18"/>
        </w:rPr>
        <w:footnoteRef/>
      </w:r>
      <w:r w:rsidRPr="006C1409">
        <w:rPr>
          <w:sz w:val="18"/>
          <w:szCs w:val="18"/>
        </w:rPr>
        <w:t xml:space="preserve"> SYNEK, M. a kol. </w:t>
      </w:r>
      <w:r w:rsidRPr="006C1409">
        <w:rPr>
          <w:i/>
          <w:sz w:val="18"/>
          <w:szCs w:val="18"/>
        </w:rPr>
        <w:t>Manažerská ekonomika</w:t>
      </w:r>
      <w:r w:rsidRPr="006C1409">
        <w:rPr>
          <w:sz w:val="18"/>
          <w:szCs w:val="18"/>
        </w:rPr>
        <w:t xml:space="preserve"> 3. vyd. Praha : Grada, 2003. 472 s. ISBN 80-247-0515-X, str. 289.  </w:t>
      </w:r>
    </w:p>
  </w:footnote>
  <w:footnote w:id="16">
    <w:p w:rsidR="001B7A76" w:rsidRPr="006C1409" w:rsidRDefault="001B7A76">
      <w:pPr>
        <w:pStyle w:val="Textpoznpodarou"/>
        <w:rPr>
          <w:sz w:val="18"/>
          <w:szCs w:val="18"/>
        </w:rPr>
      </w:pPr>
      <w:r w:rsidRPr="006C1409">
        <w:rPr>
          <w:rStyle w:val="Znakapoznpodarou"/>
          <w:sz w:val="18"/>
          <w:szCs w:val="18"/>
        </w:rPr>
        <w:footnoteRef/>
      </w:r>
      <w:r w:rsidRPr="006C1409">
        <w:rPr>
          <w:sz w:val="18"/>
          <w:szCs w:val="18"/>
        </w:rPr>
        <w:t xml:space="preserve"> BLAŽEK, L </w:t>
      </w:r>
      <w:r w:rsidRPr="00DC08DF">
        <w:rPr>
          <w:i/>
          <w:sz w:val="18"/>
          <w:szCs w:val="18"/>
        </w:rPr>
        <w:t>Rozhodování,</w:t>
      </w:r>
      <w:r>
        <w:rPr>
          <w:sz w:val="18"/>
          <w:szCs w:val="18"/>
        </w:rPr>
        <w:t xml:space="preserve"> s</w:t>
      </w:r>
      <w:r w:rsidRPr="00DC08DF">
        <w:rPr>
          <w:sz w:val="18"/>
          <w:szCs w:val="18"/>
        </w:rPr>
        <w:t xml:space="preserve">ylabus </w:t>
      </w:r>
      <w:r>
        <w:rPr>
          <w:sz w:val="18"/>
          <w:szCs w:val="18"/>
        </w:rPr>
        <w:t>do</w:t>
      </w:r>
      <w:r w:rsidRPr="00DC08DF">
        <w:rPr>
          <w:sz w:val="18"/>
          <w:szCs w:val="18"/>
        </w:rPr>
        <w:t> předmětu Management</w:t>
      </w:r>
    </w:p>
  </w:footnote>
  <w:footnote w:id="17">
    <w:p w:rsidR="001B7A76" w:rsidRPr="006C1409" w:rsidRDefault="001B7A76">
      <w:pPr>
        <w:pStyle w:val="Textpoznpodarou"/>
        <w:rPr>
          <w:sz w:val="18"/>
          <w:szCs w:val="18"/>
        </w:rPr>
      </w:pPr>
      <w:r w:rsidRPr="006C1409">
        <w:rPr>
          <w:rStyle w:val="Znakapoznpodarou"/>
          <w:sz w:val="18"/>
          <w:szCs w:val="18"/>
        </w:rPr>
        <w:footnoteRef/>
      </w:r>
      <w:r w:rsidRPr="006C1409">
        <w:rPr>
          <w:sz w:val="18"/>
          <w:szCs w:val="18"/>
        </w:rPr>
        <w:t xml:space="preserve"> FOTR, J. SOUČEK, I. </w:t>
      </w:r>
      <w:r w:rsidRPr="006C1409">
        <w:rPr>
          <w:i/>
          <w:sz w:val="18"/>
          <w:szCs w:val="18"/>
        </w:rPr>
        <w:t>Podnikatelský záměr a investiční rozhodování</w:t>
      </w:r>
      <w:r w:rsidRPr="006C1409">
        <w:rPr>
          <w:sz w:val="18"/>
          <w:szCs w:val="18"/>
        </w:rPr>
        <w:t xml:space="preserve"> 1. </w:t>
      </w:r>
      <w:r>
        <w:rPr>
          <w:sz w:val="18"/>
          <w:szCs w:val="18"/>
        </w:rPr>
        <w:t>v</w:t>
      </w:r>
      <w:r w:rsidRPr="006C1409">
        <w:rPr>
          <w:sz w:val="18"/>
          <w:szCs w:val="18"/>
        </w:rPr>
        <w:t>yd. Praha : Grada, 2005. 356 s. ISBN 80-247-0939-2, str. 16.</w:t>
      </w:r>
    </w:p>
  </w:footnote>
  <w:footnote w:id="18">
    <w:p w:rsidR="001B7A76" w:rsidRPr="006C1409" w:rsidRDefault="001B7A76">
      <w:pPr>
        <w:pStyle w:val="Textpoznpodarou"/>
        <w:rPr>
          <w:sz w:val="18"/>
          <w:szCs w:val="18"/>
        </w:rPr>
      </w:pPr>
      <w:r w:rsidRPr="006C1409">
        <w:rPr>
          <w:rStyle w:val="Znakapoznpodarou"/>
          <w:sz w:val="18"/>
          <w:szCs w:val="18"/>
        </w:rPr>
        <w:footnoteRef/>
      </w:r>
      <w:r w:rsidRPr="006C1409">
        <w:rPr>
          <w:sz w:val="18"/>
          <w:szCs w:val="18"/>
        </w:rPr>
        <w:t xml:space="preserve"> FOTR, J. SOUČEK, I. </w:t>
      </w:r>
      <w:r w:rsidRPr="006C1409">
        <w:rPr>
          <w:i/>
          <w:sz w:val="18"/>
          <w:szCs w:val="18"/>
        </w:rPr>
        <w:t>Podnikatelský záměr a investiční rozhodování</w:t>
      </w:r>
      <w:r w:rsidRPr="006C1409">
        <w:rPr>
          <w:sz w:val="18"/>
          <w:szCs w:val="18"/>
        </w:rPr>
        <w:t xml:space="preserve"> 1. </w:t>
      </w:r>
      <w:r>
        <w:rPr>
          <w:sz w:val="18"/>
          <w:szCs w:val="18"/>
        </w:rPr>
        <w:t>v</w:t>
      </w:r>
      <w:r w:rsidRPr="006C1409">
        <w:rPr>
          <w:sz w:val="18"/>
          <w:szCs w:val="18"/>
        </w:rPr>
        <w:t xml:space="preserve">yd. Praha : Grada, 2005. 356 s. ISBN 80-247-0939-2, str. 16. </w:t>
      </w:r>
    </w:p>
  </w:footnote>
  <w:footnote w:id="19">
    <w:p w:rsidR="001B7A76" w:rsidRPr="006C1409" w:rsidRDefault="001B7A76">
      <w:pPr>
        <w:pStyle w:val="Textpoznpodarou"/>
        <w:rPr>
          <w:sz w:val="18"/>
          <w:szCs w:val="18"/>
        </w:rPr>
      </w:pPr>
      <w:r w:rsidRPr="006C1409">
        <w:rPr>
          <w:rStyle w:val="Znakapoznpodarou"/>
          <w:sz w:val="18"/>
          <w:szCs w:val="18"/>
        </w:rPr>
        <w:footnoteRef/>
      </w:r>
      <w:r w:rsidRPr="006C1409">
        <w:rPr>
          <w:sz w:val="18"/>
          <w:szCs w:val="18"/>
        </w:rPr>
        <w:t xml:space="preserve"> pojem technicko-ekonomická studie projektu bude dále vysvětlen</w:t>
      </w:r>
    </w:p>
  </w:footnote>
  <w:footnote w:id="20">
    <w:p w:rsidR="001B7A76" w:rsidRPr="003324C0" w:rsidRDefault="001B7A76">
      <w:pPr>
        <w:pStyle w:val="Textpoznpodarou"/>
        <w:rPr>
          <w:sz w:val="18"/>
          <w:szCs w:val="18"/>
        </w:rPr>
      </w:pPr>
      <w:r w:rsidRPr="003324C0">
        <w:rPr>
          <w:rStyle w:val="Znakapoznpodarou"/>
          <w:sz w:val="18"/>
          <w:szCs w:val="18"/>
        </w:rPr>
        <w:footnoteRef/>
      </w:r>
      <w:r w:rsidRPr="003324C0">
        <w:rPr>
          <w:sz w:val="18"/>
          <w:szCs w:val="18"/>
        </w:rPr>
        <w:t xml:space="preserve"> FOTR, J. SOUČEK, I. </w:t>
      </w:r>
      <w:r w:rsidRPr="003324C0">
        <w:rPr>
          <w:i/>
          <w:sz w:val="18"/>
          <w:szCs w:val="18"/>
        </w:rPr>
        <w:t>Podnikatelský záměr a investiční rozhodování</w:t>
      </w:r>
      <w:r w:rsidRPr="003324C0">
        <w:rPr>
          <w:sz w:val="18"/>
          <w:szCs w:val="18"/>
        </w:rPr>
        <w:t xml:space="preserve"> 1. </w:t>
      </w:r>
      <w:r>
        <w:rPr>
          <w:sz w:val="18"/>
          <w:szCs w:val="18"/>
        </w:rPr>
        <w:t>v</w:t>
      </w:r>
      <w:r w:rsidRPr="003324C0">
        <w:rPr>
          <w:sz w:val="18"/>
          <w:szCs w:val="18"/>
        </w:rPr>
        <w:t xml:space="preserve">yd. Praha : Grada, 2005. 356 s. ISBN 80-247-0939-2, str. 23. </w:t>
      </w:r>
    </w:p>
  </w:footnote>
  <w:footnote w:id="21">
    <w:p w:rsidR="001B7A76" w:rsidRPr="003324C0" w:rsidRDefault="001B7A76">
      <w:pPr>
        <w:pStyle w:val="Textpoznpodarou"/>
        <w:rPr>
          <w:sz w:val="18"/>
          <w:szCs w:val="18"/>
        </w:rPr>
      </w:pPr>
      <w:r w:rsidRPr="003324C0">
        <w:rPr>
          <w:rStyle w:val="Znakapoznpodarou"/>
          <w:sz w:val="18"/>
          <w:szCs w:val="18"/>
        </w:rPr>
        <w:footnoteRef/>
      </w:r>
      <w:r w:rsidRPr="003324C0">
        <w:rPr>
          <w:sz w:val="18"/>
          <w:szCs w:val="18"/>
        </w:rPr>
        <w:t xml:space="preserve"> FOTR, J. SOUČEK, I. </w:t>
      </w:r>
      <w:r w:rsidRPr="003324C0">
        <w:rPr>
          <w:i/>
          <w:sz w:val="18"/>
          <w:szCs w:val="18"/>
        </w:rPr>
        <w:t>Podnikatelský záměr a investiční rozhodování</w:t>
      </w:r>
      <w:r w:rsidRPr="003324C0">
        <w:rPr>
          <w:sz w:val="18"/>
          <w:szCs w:val="18"/>
        </w:rPr>
        <w:t xml:space="preserve"> 1. </w:t>
      </w:r>
      <w:r>
        <w:rPr>
          <w:sz w:val="18"/>
          <w:szCs w:val="18"/>
        </w:rPr>
        <w:t>v</w:t>
      </w:r>
      <w:r w:rsidRPr="003324C0">
        <w:rPr>
          <w:sz w:val="18"/>
          <w:szCs w:val="18"/>
        </w:rPr>
        <w:t xml:space="preserve">yd. Praha : Grada, 2005. 356 s. ISBN 80-247-0939-2, str. 24. </w:t>
      </w:r>
    </w:p>
  </w:footnote>
  <w:footnote w:id="22">
    <w:p w:rsidR="001B7A76" w:rsidRPr="006B035E" w:rsidRDefault="001B7A76">
      <w:pPr>
        <w:pStyle w:val="Textpoznpodarou"/>
        <w:rPr>
          <w:sz w:val="18"/>
          <w:szCs w:val="18"/>
        </w:rPr>
      </w:pPr>
      <w:r w:rsidRPr="006B035E">
        <w:rPr>
          <w:rStyle w:val="Znakapoznpodarou"/>
          <w:sz w:val="18"/>
          <w:szCs w:val="18"/>
        </w:rPr>
        <w:footnoteRef/>
      </w:r>
      <w:r w:rsidRPr="006B035E">
        <w:rPr>
          <w:sz w:val="18"/>
          <w:szCs w:val="18"/>
        </w:rPr>
        <w:t xml:space="preserve"> FOTR, J. SOUČEK, I. </w:t>
      </w:r>
      <w:r w:rsidRPr="006B035E">
        <w:rPr>
          <w:i/>
          <w:sz w:val="18"/>
          <w:szCs w:val="18"/>
        </w:rPr>
        <w:t>Podnikatelský záměr a investiční rozhodování</w:t>
      </w:r>
      <w:r w:rsidRPr="006B035E">
        <w:rPr>
          <w:sz w:val="18"/>
          <w:szCs w:val="18"/>
        </w:rPr>
        <w:t xml:space="preserve"> 1. vyd. Praha : Grada, 2005. 356 s. ISBN 80-247-0939-2, str. 63. </w:t>
      </w:r>
    </w:p>
  </w:footnote>
  <w:footnote w:id="23">
    <w:p w:rsidR="001B7A76" w:rsidRPr="006B035E" w:rsidRDefault="001B7A76" w:rsidP="00483F15">
      <w:pPr>
        <w:pStyle w:val="Textpoznpodarou"/>
        <w:jc w:val="both"/>
        <w:rPr>
          <w:sz w:val="18"/>
          <w:szCs w:val="18"/>
        </w:rPr>
      </w:pPr>
      <w:r w:rsidRPr="006B035E">
        <w:rPr>
          <w:rStyle w:val="Znakapoznpodarou"/>
          <w:sz w:val="18"/>
          <w:szCs w:val="18"/>
        </w:rPr>
        <w:footnoteRef/>
      </w:r>
      <w:r w:rsidRPr="006B035E">
        <w:rPr>
          <w:sz w:val="18"/>
          <w:szCs w:val="18"/>
        </w:rPr>
        <w:t xml:space="preserve"> VALACH, J. </w:t>
      </w:r>
      <w:r w:rsidRPr="006B035E">
        <w:rPr>
          <w:i/>
          <w:sz w:val="18"/>
          <w:szCs w:val="18"/>
        </w:rPr>
        <w:t>Investiční rozhodování a dlouhodobé financování</w:t>
      </w:r>
      <w:r w:rsidRPr="006B035E">
        <w:rPr>
          <w:sz w:val="18"/>
          <w:szCs w:val="18"/>
        </w:rPr>
        <w:t xml:space="preserve"> 2. vyd. Praha : Ekopress, 2006. 465 s. ISBN 80-86929-01-9, str. 60. </w:t>
      </w:r>
    </w:p>
  </w:footnote>
  <w:footnote w:id="24">
    <w:p w:rsidR="001B7A76" w:rsidRPr="006B035E" w:rsidRDefault="001B7A76">
      <w:pPr>
        <w:pStyle w:val="Textpoznpodarou"/>
        <w:rPr>
          <w:sz w:val="18"/>
          <w:szCs w:val="18"/>
        </w:rPr>
      </w:pPr>
      <w:r w:rsidRPr="006B035E">
        <w:rPr>
          <w:rStyle w:val="Znakapoznpodarou"/>
          <w:sz w:val="18"/>
          <w:szCs w:val="18"/>
        </w:rPr>
        <w:footnoteRef/>
      </w:r>
      <w:r w:rsidRPr="006B035E">
        <w:rPr>
          <w:sz w:val="18"/>
          <w:szCs w:val="18"/>
        </w:rPr>
        <w:t xml:space="preserve"> pojem diskontování a jeho podstata bude dále vysvětlen</w:t>
      </w:r>
    </w:p>
  </w:footnote>
  <w:footnote w:id="25">
    <w:p w:rsidR="001B7A76" w:rsidRPr="006B035E" w:rsidRDefault="001B7A76">
      <w:pPr>
        <w:pStyle w:val="Textpoznpodarou"/>
        <w:rPr>
          <w:sz w:val="18"/>
          <w:szCs w:val="18"/>
        </w:rPr>
      </w:pPr>
      <w:r w:rsidRPr="006B035E">
        <w:rPr>
          <w:rStyle w:val="Znakapoznpodarou"/>
          <w:sz w:val="18"/>
          <w:szCs w:val="18"/>
        </w:rPr>
        <w:footnoteRef/>
      </w:r>
      <w:r w:rsidRPr="006B035E">
        <w:rPr>
          <w:sz w:val="18"/>
          <w:szCs w:val="18"/>
        </w:rPr>
        <w:t xml:space="preserve"> FOTR, J. SOUČEK, I. </w:t>
      </w:r>
      <w:r w:rsidRPr="006B035E">
        <w:rPr>
          <w:i/>
          <w:sz w:val="18"/>
          <w:szCs w:val="18"/>
        </w:rPr>
        <w:t>Podnikatelský záměr a investiční rozhodování</w:t>
      </w:r>
      <w:r w:rsidRPr="006B035E">
        <w:rPr>
          <w:sz w:val="18"/>
          <w:szCs w:val="18"/>
        </w:rPr>
        <w:t xml:space="preserve"> 1. vyd. Praha : Grada, 2005. 356 s. ISBN 80-247-0939-2, str. 86. </w:t>
      </w:r>
    </w:p>
  </w:footnote>
  <w:footnote w:id="26">
    <w:p w:rsidR="001B7A76" w:rsidRPr="006B035E" w:rsidRDefault="001B7A76" w:rsidP="00912AD1">
      <w:pPr>
        <w:pStyle w:val="Textpoznpodarou"/>
        <w:jc w:val="both"/>
        <w:rPr>
          <w:sz w:val="18"/>
          <w:szCs w:val="18"/>
        </w:rPr>
      </w:pPr>
      <w:r w:rsidRPr="006B035E">
        <w:rPr>
          <w:rStyle w:val="Znakapoznpodarou"/>
          <w:sz w:val="18"/>
          <w:szCs w:val="18"/>
        </w:rPr>
        <w:footnoteRef/>
      </w:r>
      <w:r w:rsidRPr="006B035E">
        <w:rPr>
          <w:sz w:val="18"/>
          <w:szCs w:val="18"/>
        </w:rPr>
        <w:t xml:space="preserve"> VALACH, J. </w:t>
      </w:r>
      <w:r w:rsidRPr="006B035E">
        <w:rPr>
          <w:i/>
          <w:sz w:val="18"/>
          <w:szCs w:val="18"/>
        </w:rPr>
        <w:t>Investiční rozhodování a dlouhodobé financování</w:t>
      </w:r>
      <w:r w:rsidRPr="006B035E">
        <w:rPr>
          <w:sz w:val="18"/>
          <w:szCs w:val="18"/>
        </w:rPr>
        <w:t xml:space="preserve"> 2. vyd. Praha : Ekopress, 2006. 465 s. ISBN 80-86929-01-9, str. 60. </w:t>
      </w:r>
    </w:p>
  </w:footnote>
  <w:footnote w:id="27">
    <w:p w:rsidR="001B7A76" w:rsidRPr="006B035E" w:rsidRDefault="001B7A76">
      <w:pPr>
        <w:pStyle w:val="Textpoznpodarou"/>
        <w:rPr>
          <w:sz w:val="18"/>
          <w:szCs w:val="18"/>
        </w:rPr>
      </w:pPr>
      <w:r w:rsidRPr="006B035E">
        <w:rPr>
          <w:rStyle w:val="Znakapoznpodarou"/>
          <w:sz w:val="18"/>
          <w:szCs w:val="18"/>
        </w:rPr>
        <w:footnoteRef/>
      </w:r>
      <w:r w:rsidRPr="006B035E">
        <w:rPr>
          <w:sz w:val="18"/>
          <w:szCs w:val="18"/>
        </w:rPr>
        <w:t xml:space="preserve"> SYNEK, M. a kol. </w:t>
      </w:r>
      <w:r w:rsidRPr="006B035E">
        <w:rPr>
          <w:i/>
          <w:sz w:val="18"/>
          <w:szCs w:val="18"/>
        </w:rPr>
        <w:t>Manažerská ekonomika</w:t>
      </w:r>
      <w:r w:rsidRPr="006B035E">
        <w:rPr>
          <w:sz w:val="18"/>
          <w:szCs w:val="18"/>
        </w:rPr>
        <w:t xml:space="preserve"> 3. vyd. Praha : Grada, 2003. 472 s. ISBN 80-247-0515-X, str. 295.     </w:t>
      </w:r>
    </w:p>
  </w:footnote>
  <w:footnote w:id="28">
    <w:p w:rsidR="001B7A76" w:rsidRPr="006B035E" w:rsidRDefault="001B7A76">
      <w:pPr>
        <w:pStyle w:val="Textpoznpodarou"/>
        <w:rPr>
          <w:sz w:val="18"/>
          <w:szCs w:val="18"/>
        </w:rPr>
      </w:pPr>
      <w:r w:rsidRPr="006B035E">
        <w:rPr>
          <w:rStyle w:val="Znakapoznpodarou"/>
          <w:sz w:val="18"/>
          <w:szCs w:val="18"/>
        </w:rPr>
        <w:footnoteRef/>
      </w:r>
      <w:r w:rsidRPr="006B035E">
        <w:rPr>
          <w:sz w:val="18"/>
          <w:szCs w:val="18"/>
        </w:rPr>
        <w:t xml:space="preserve"> FOTR, J. SOUČEK, I. </w:t>
      </w:r>
      <w:r w:rsidRPr="006B035E">
        <w:rPr>
          <w:i/>
          <w:sz w:val="18"/>
          <w:szCs w:val="18"/>
        </w:rPr>
        <w:t>Podnikatelský záměr a investiční rozhodování</w:t>
      </w:r>
      <w:r w:rsidRPr="006B035E">
        <w:rPr>
          <w:sz w:val="18"/>
          <w:szCs w:val="18"/>
        </w:rPr>
        <w:t xml:space="preserve"> 1. vyd. Praha : Grada, 2005. 356 s. ISBN 80-247-0939-2, str. 88. </w:t>
      </w:r>
    </w:p>
  </w:footnote>
  <w:footnote w:id="29">
    <w:p w:rsidR="001B7A76" w:rsidRPr="006B035E" w:rsidRDefault="001B7A76" w:rsidP="00141120">
      <w:pPr>
        <w:pStyle w:val="Textpoznpodarou"/>
        <w:jc w:val="both"/>
        <w:rPr>
          <w:sz w:val="18"/>
          <w:szCs w:val="18"/>
        </w:rPr>
      </w:pPr>
      <w:r w:rsidRPr="006B035E">
        <w:rPr>
          <w:rStyle w:val="Znakapoznpodarou"/>
          <w:sz w:val="18"/>
          <w:szCs w:val="18"/>
        </w:rPr>
        <w:footnoteRef/>
      </w:r>
      <w:r w:rsidRPr="006B035E">
        <w:rPr>
          <w:sz w:val="18"/>
          <w:szCs w:val="18"/>
        </w:rPr>
        <w:t xml:space="preserve"> VALACH, J. </w:t>
      </w:r>
      <w:r w:rsidRPr="006B035E">
        <w:rPr>
          <w:i/>
          <w:sz w:val="18"/>
          <w:szCs w:val="18"/>
        </w:rPr>
        <w:t>Investiční rozhodování a dlouhodobé financování</w:t>
      </w:r>
      <w:r w:rsidRPr="006B035E">
        <w:rPr>
          <w:sz w:val="18"/>
          <w:szCs w:val="18"/>
        </w:rPr>
        <w:t xml:space="preserve"> 2. vyd. Praha : Ekopress, 2006. 465 s. ISBN 80-86929-01-9, str. 62-63. </w:t>
      </w:r>
    </w:p>
  </w:footnote>
  <w:footnote w:id="30">
    <w:p w:rsidR="001B7A76" w:rsidRPr="006B035E" w:rsidRDefault="001B7A76" w:rsidP="004F6B37">
      <w:pPr>
        <w:pStyle w:val="Textpoznpodarou"/>
        <w:jc w:val="both"/>
        <w:rPr>
          <w:sz w:val="18"/>
          <w:szCs w:val="18"/>
        </w:rPr>
      </w:pPr>
      <w:r w:rsidRPr="006B035E">
        <w:rPr>
          <w:rStyle w:val="Znakapoznpodarou"/>
          <w:sz w:val="18"/>
          <w:szCs w:val="18"/>
        </w:rPr>
        <w:footnoteRef/>
      </w:r>
      <w:r w:rsidRPr="006B035E">
        <w:rPr>
          <w:sz w:val="18"/>
          <w:szCs w:val="18"/>
        </w:rPr>
        <w:t xml:space="preserve"> VALACH, J. </w:t>
      </w:r>
      <w:r w:rsidRPr="006B035E">
        <w:rPr>
          <w:i/>
          <w:sz w:val="18"/>
          <w:szCs w:val="18"/>
        </w:rPr>
        <w:t>Investiční rozhodování a dlouhodobé financování</w:t>
      </w:r>
      <w:r w:rsidRPr="006B035E">
        <w:rPr>
          <w:sz w:val="18"/>
          <w:szCs w:val="18"/>
        </w:rPr>
        <w:t xml:space="preserve"> 2. </w:t>
      </w:r>
      <w:r>
        <w:rPr>
          <w:sz w:val="18"/>
          <w:szCs w:val="18"/>
        </w:rPr>
        <w:t>v</w:t>
      </w:r>
      <w:r w:rsidRPr="006B035E">
        <w:rPr>
          <w:sz w:val="18"/>
          <w:szCs w:val="18"/>
        </w:rPr>
        <w:t xml:space="preserve">yd. Praha : Ekopress, 2006. 465 s. ISBN 80-86929-01-9, str. 65-66. </w:t>
      </w:r>
    </w:p>
  </w:footnote>
  <w:footnote w:id="31">
    <w:p w:rsidR="001B7A76" w:rsidRPr="006B035E" w:rsidRDefault="001B7A76">
      <w:pPr>
        <w:pStyle w:val="Textpoznpodarou"/>
        <w:rPr>
          <w:sz w:val="18"/>
          <w:szCs w:val="18"/>
        </w:rPr>
      </w:pPr>
      <w:r w:rsidRPr="006B035E">
        <w:rPr>
          <w:rStyle w:val="Znakapoznpodarou"/>
          <w:sz w:val="18"/>
          <w:szCs w:val="18"/>
        </w:rPr>
        <w:footnoteRef/>
      </w:r>
      <w:r w:rsidRPr="006B035E">
        <w:rPr>
          <w:sz w:val="18"/>
          <w:szCs w:val="18"/>
        </w:rPr>
        <w:t xml:space="preserve"> SYNEK, M. a kol. </w:t>
      </w:r>
      <w:r w:rsidRPr="006B035E">
        <w:rPr>
          <w:i/>
          <w:sz w:val="18"/>
          <w:szCs w:val="18"/>
        </w:rPr>
        <w:t>Manažerská ekonomika</w:t>
      </w:r>
      <w:r w:rsidRPr="006B035E">
        <w:rPr>
          <w:sz w:val="18"/>
          <w:szCs w:val="18"/>
        </w:rPr>
        <w:t xml:space="preserve"> 3. vyd. Praha : Grada, 2003. 472 s. ISBN 80-247-0515-X, str. 296.    </w:t>
      </w:r>
    </w:p>
  </w:footnote>
  <w:footnote w:id="32">
    <w:p w:rsidR="001B7A76" w:rsidRPr="006B035E" w:rsidRDefault="001B7A76">
      <w:pPr>
        <w:pStyle w:val="Textpoznpodarou"/>
        <w:rPr>
          <w:sz w:val="18"/>
          <w:szCs w:val="18"/>
        </w:rPr>
      </w:pPr>
      <w:r w:rsidRPr="006B035E">
        <w:rPr>
          <w:rStyle w:val="Znakapoznpodarou"/>
          <w:sz w:val="18"/>
          <w:szCs w:val="18"/>
        </w:rPr>
        <w:footnoteRef/>
      </w:r>
      <w:r w:rsidRPr="006B035E">
        <w:rPr>
          <w:sz w:val="18"/>
          <w:szCs w:val="18"/>
        </w:rPr>
        <w:t xml:space="preserve"> uvedená souvislost bude vysvětlena na postupu určování podnikové diskontní sazby </w:t>
      </w:r>
    </w:p>
  </w:footnote>
  <w:footnote w:id="33">
    <w:p w:rsidR="001B7A76" w:rsidRPr="006B035E" w:rsidRDefault="001B7A76">
      <w:pPr>
        <w:pStyle w:val="Textpoznpodarou"/>
        <w:rPr>
          <w:sz w:val="18"/>
          <w:szCs w:val="18"/>
        </w:rPr>
      </w:pPr>
      <w:r w:rsidRPr="006B035E">
        <w:rPr>
          <w:rStyle w:val="Znakapoznpodarou"/>
          <w:sz w:val="18"/>
          <w:szCs w:val="18"/>
        </w:rPr>
        <w:footnoteRef/>
      </w:r>
      <w:r w:rsidRPr="006B035E">
        <w:rPr>
          <w:sz w:val="18"/>
          <w:szCs w:val="18"/>
        </w:rPr>
        <w:t xml:space="preserve"> SEDLÁČEK, J. </w:t>
      </w:r>
      <w:r w:rsidRPr="006B035E">
        <w:rPr>
          <w:i/>
          <w:sz w:val="18"/>
          <w:szCs w:val="18"/>
        </w:rPr>
        <w:t>Cash Flow</w:t>
      </w:r>
      <w:r w:rsidRPr="006B035E">
        <w:rPr>
          <w:sz w:val="18"/>
          <w:szCs w:val="18"/>
        </w:rPr>
        <w:t xml:space="preserve"> 1. vyd. Brno : Computer Press, 2003. 190 s. ISBN 80-7226-875-9, str. 165.</w:t>
      </w:r>
    </w:p>
  </w:footnote>
  <w:footnote w:id="34">
    <w:p w:rsidR="001B7A76" w:rsidRPr="006B035E" w:rsidRDefault="001B7A76">
      <w:pPr>
        <w:pStyle w:val="Textpoznpodarou"/>
        <w:rPr>
          <w:sz w:val="18"/>
          <w:szCs w:val="18"/>
        </w:rPr>
      </w:pPr>
      <w:r w:rsidRPr="006B035E">
        <w:rPr>
          <w:rStyle w:val="Znakapoznpodarou"/>
          <w:sz w:val="18"/>
          <w:szCs w:val="18"/>
        </w:rPr>
        <w:footnoteRef/>
      </w:r>
      <w:r w:rsidRPr="006B035E">
        <w:rPr>
          <w:sz w:val="18"/>
          <w:szCs w:val="18"/>
        </w:rPr>
        <w:t xml:space="preserve"> FOTR, J. SOUČEK, I. </w:t>
      </w:r>
      <w:r w:rsidRPr="006B035E">
        <w:rPr>
          <w:i/>
          <w:sz w:val="18"/>
          <w:szCs w:val="18"/>
        </w:rPr>
        <w:t>Podnikatelský záměr a investiční rozhodování</w:t>
      </w:r>
      <w:r w:rsidRPr="006B035E">
        <w:rPr>
          <w:sz w:val="18"/>
          <w:szCs w:val="18"/>
        </w:rPr>
        <w:t xml:space="preserve"> 1. vyd. Praha : Grada, 2005. 356 s. ISBN 80-247-0939-2, str. 113-116. </w:t>
      </w:r>
    </w:p>
  </w:footnote>
  <w:footnote w:id="35">
    <w:p w:rsidR="001B7A76" w:rsidRPr="000F17A4" w:rsidRDefault="001B7A76">
      <w:pPr>
        <w:pStyle w:val="Textpoznpodarou"/>
        <w:rPr>
          <w:sz w:val="18"/>
          <w:szCs w:val="18"/>
        </w:rPr>
      </w:pPr>
      <w:r w:rsidRPr="000F17A4">
        <w:rPr>
          <w:rStyle w:val="Znakapoznpodarou"/>
          <w:sz w:val="18"/>
          <w:szCs w:val="18"/>
        </w:rPr>
        <w:footnoteRef/>
      </w:r>
      <w:r w:rsidRPr="000F17A4">
        <w:rPr>
          <w:sz w:val="18"/>
          <w:szCs w:val="18"/>
        </w:rPr>
        <w:t xml:space="preserve"> faktoru rizika bude věnována samostatná část této práce</w:t>
      </w:r>
    </w:p>
  </w:footnote>
  <w:footnote w:id="36">
    <w:p w:rsidR="001B7A76" w:rsidRPr="000F17A4" w:rsidRDefault="001B7A76" w:rsidP="00506C21">
      <w:pPr>
        <w:pStyle w:val="Textpoznpodarou"/>
        <w:jc w:val="both"/>
        <w:rPr>
          <w:sz w:val="18"/>
          <w:szCs w:val="18"/>
        </w:rPr>
      </w:pPr>
      <w:r w:rsidRPr="000F17A4">
        <w:rPr>
          <w:rStyle w:val="Znakapoznpodarou"/>
          <w:sz w:val="18"/>
          <w:szCs w:val="18"/>
        </w:rPr>
        <w:footnoteRef/>
      </w:r>
      <w:r w:rsidRPr="000F17A4">
        <w:rPr>
          <w:sz w:val="18"/>
          <w:szCs w:val="18"/>
        </w:rPr>
        <w:t xml:space="preserve"> KISLINGEROVÁ, E. </w:t>
      </w:r>
      <w:r w:rsidRPr="000F17A4">
        <w:rPr>
          <w:i/>
          <w:sz w:val="18"/>
          <w:szCs w:val="18"/>
        </w:rPr>
        <w:t>Oceňování podniku</w:t>
      </w:r>
      <w:r w:rsidRPr="000F17A4">
        <w:rPr>
          <w:sz w:val="18"/>
          <w:szCs w:val="18"/>
        </w:rPr>
        <w:t xml:space="preserve"> 2. vyd. Praha : C. H. Beck, 2001. 367 s. ISBN 80-7179-529-1, str. 188-198</w:t>
      </w:r>
    </w:p>
  </w:footnote>
  <w:footnote w:id="37">
    <w:p w:rsidR="001B7A76" w:rsidRPr="000F17A4" w:rsidRDefault="001B7A76">
      <w:pPr>
        <w:pStyle w:val="Textpoznpodarou"/>
        <w:rPr>
          <w:sz w:val="18"/>
          <w:szCs w:val="18"/>
        </w:rPr>
      </w:pPr>
      <w:r w:rsidRPr="000F17A4">
        <w:rPr>
          <w:rStyle w:val="Znakapoznpodarou"/>
          <w:sz w:val="18"/>
          <w:szCs w:val="18"/>
        </w:rPr>
        <w:footnoteRef/>
      </w:r>
      <w:r w:rsidRPr="000F17A4">
        <w:rPr>
          <w:sz w:val="18"/>
          <w:szCs w:val="18"/>
        </w:rPr>
        <w:t xml:space="preserve"> SYNEK, M. a kol. </w:t>
      </w:r>
      <w:r w:rsidRPr="000F17A4">
        <w:rPr>
          <w:i/>
          <w:sz w:val="18"/>
          <w:szCs w:val="18"/>
        </w:rPr>
        <w:t>Manažerská ekonomika</w:t>
      </w:r>
      <w:r w:rsidRPr="000F17A4">
        <w:rPr>
          <w:sz w:val="18"/>
          <w:szCs w:val="18"/>
        </w:rPr>
        <w:t xml:space="preserve"> 3. vyd. Praha : Grada, 2003. 472 s. ISBN 80-247-0515-X, str. 299.    </w:t>
      </w:r>
    </w:p>
  </w:footnote>
  <w:footnote w:id="38">
    <w:p w:rsidR="001B7A76" w:rsidRPr="000F17A4" w:rsidRDefault="001B7A76">
      <w:pPr>
        <w:pStyle w:val="Textpoznpodarou"/>
        <w:rPr>
          <w:sz w:val="18"/>
          <w:szCs w:val="18"/>
        </w:rPr>
      </w:pPr>
      <w:r w:rsidRPr="000F17A4">
        <w:rPr>
          <w:rStyle w:val="Znakapoznpodarou"/>
          <w:sz w:val="18"/>
          <w:szCs w:val="18"/>
        </w:rPr>
        <w:footnoteRef/>
      </w:r>
      <w:r w:rsidRPr="000F17A4">
        <w:rPr>
          <w:sz w:val="18"/>
          <w:szCs w:val="18"/>
        </w:rPr>
        <w:t xml:space="preserve"> CIPRA, T. </w:t>
      </w:r>
      <w:r w:rsidRPr="000F17A4">
        <w:rPr>
          <w:i/>
          <w:sz w:val="18"/>
          <w:szCs w:val="18"/>
        </w:rPr>
        <w:t>Matematika cenných papírů</w:t>
      </w:r>
      <w:r w:rsidRPr="000F17A4">
        <w:rPr>
          <w:sz w:val="18"/>
          <w:szCs w:val="18"/>
        </w:rPr>
        <w:t xml:space="preserve"> 1. vyd. Praha : HZ Praha, 2000. 241 s. ISBN 80-86009-35-1, str. 120.</w:t>
      </w:r>
    </w:p>
  </w:footnote>
  <w:footnote w:id="39">
    <w:p w:rsidR="001B7A76" w:rsidRPr="001244BC" w:rsidRDefault="001B7A76">
      <w:pPr>
        <w:pStyle w:val="Textpoznpodarou"/>
        <w:rPr>
          <w:sz w:val="18"/>
          <w:szCs w:val="18"/>
        </w:rPr>
      </w:pPr>
      <w:r>
        <w:rPr>
          <w:rStyle w:val="Znakapoznpodarou"/>
        </w:rPr>
        <w:footnoteRef/>
      </w:r>
      <w:r>
        <w:t xml:space="preserve"> S</w:t>
      </w:r>
      <w:r w:rsidRPr="003A6436">
        <w:rPr>
          <w:sz w:val="18"/>
          <w:szCs w:val="18"/>
        </w:rPr>
        <w:t xml:space="preserve">YNEK, M. a kol. </w:t>
      </w:r>
      <w:r>
        <w:rPr>
          <w:i/>
          <w:sz w:val="18"/>
          <w:szCs w:val="18"/>
        </w:rPr>
        <w:t>Manažerská</w:t>
      </w:r>
      <w:r w:rsidRPr="003A6436">
        <w:rPr>
          <w:i/>
          <w:sz w:val="18"/>
          <w:szCs w:val="18"/>
        </w:rPr>
        <w:t xml:space="preserve"> ekonomika</w:t>
      </w:r>
      <w:r>
        <w:rPr>
          <w:sz w:val="18"/>
          <w:szCs w:val="18"/>
        </w:rPr>
        <w:t xml:space="preserve"> 3. vyd. Praha : Grada</w:t>
      </w:r>
      <w:r w:rsidRPr="003A6436">
        <w:rPr>
          <w:sz w:val="18"/>
          <w:szCs w:val="18"/>
        </w:rPr>
        <w:t>, 200</w:t>
      </w:r>
      <w:r>
        <w:rPr>
          <w:sz w:val="18"/>
          <w:szCs w:val="18"/>
        </w:rPr>
        <w:t>3</w:t>
      </w:r>
      <w:r w:rsidRPr="003A6436">
        <w:rPr>
          <w:sz w:val="18"/>
          <w:szCs w:val="18"/>
        </w:rPr>
        <w:t xml:space="preserve">. </w:t>
      </w:r>
      <w:r>
        <w:rPr>
          <w:sz w:val="18"/>
          <w:szCs w:val="18"/>
        </w:rPr>
        <w:t>472</w:t>
      </w:r>
      <w:r w:rsidRPr="003A6436">
        <w:rPr>
          <w:sz w:val="18"/>
          <w:szCs w:val="18"/>
        </w:rPr>
        <w:t xml:space="preserve"> s. ISBN </w:t>
      </w:r>
      <w:r>
        <w:rPr>
          <w:sz w:val="18"/>
          <w:szCs w:val="18"/>
        </w:rPr>
        <w:t>80-247-0515-X</w:t>
      </w:r>
      <w:r w:rsidRPr="003A6436">
        <w:rPr>
          <w:sz w:val="18"/>
          <w:szCs w:val="18"/>
        </w:rPr>
        <w:t xml:space="preserve">, str. </w:t>
      </w:r>
      <w:r>
        <w:rPr>
          <w:sz w:val="18"/>
          <w:szCs w:val="18"/>
        </w:rPr>
        <w:t>299</w:t>
      </w:r>
      <w:r w:rsidRPr="003A6436">
        <w:rPr>
          <w:sz w:val="18"/>
          <w:szCs w:val="18"/>
        </w:rPr>
        <w:t xml:space="preserve">.    </w:t>
      </w:r>
    </w:p>
  </w:footnote>
  <w:footnote w:id="40">
    <w:p w:rsidR="001B7A76" w:rsidRPr="0030447D" w:rsidRDefault="001B7A76">
      <w:pPr>
        <w:pStyle w:val="Textpoznpodarou"/>
        <w:rPr>
          <w:sz w:val="18"/>
          <w:szCs w:val="18"/>
        </w:rPr>
      </w:pPr>
      <w:r>
        <w:rPr>
          <w:rStyle w:val="Znakapoznpodarou"/>
        </w:rPr>
        <w:footnoteRef/>
      </w:r>
      <w:r>
        <w:t xml:space="preserve"> </w:t>
      </w:r>
      <w:r w:rsidRPr="003A6436">
        <w:rPr>
          <w:sz w:val="18"/>
          <w:szCs w:val="18"/>
        </w:rPr>
        <w:t xml:space="preserve">FOTR, J. SOUČEK, I. </w:t>
      </w:r>
      <w:r w:rsidRPr="003A6436">
        <w:rPr>
          <w:i/>
          <w:sz w:val="18"/>
          <w:szCs w:val="18"/>
        </w:rPr>
        <w:t>Podnikatelský záměr a investiční rozhodování</w:t>
      </w:r>
      <w:r w:rsidRPr="003A6436">
        <w:rPr>
          <w:sz w:val="18"/>
          <w:szCs w:val="18"/>
        </w:rPr>
        <w:t xml:space="preserve"> 1. </w:t>
      </w:r>
      <w:r>
        <w:rPr>
          <w:sz w:val="18"/>
          <w:szCs w:val="18"/>
        </w:rPr>
        <w:t>v</w:t>
      </w:r>
      <w:r w:rsidRPr="003A6436">
        <w:rPr>
          <w:sz w:val="18"/>
          <w:szCs w:val="18"/>
        </w:rPr>
        <w:t xml:space="preserve">yd. Praha : Grada, 2005. 356 s. ISBN 80-247-0939-2, str. </w:t>
      </w:r>
      <w:r>
        <w:rPr>
          <w:sz w:val="18"/>
          <w:szCs w:val="18"/>
        </w:rPr>
        <w:t>118</w:t>
      </w:r>
      <w:r w:rsidRPr="003A6436">
        <w:rPr>
          <w:sz w:val="18"/>
          <w:szCs w:val="18"/>
        </w:rPr>
        <w:t xml:space="preserve">. </w:t>
      </w:r>
    </w:p>
  </w:footnote>
  <w:footnote w:id="41">
    <w:p w:rsidR="001B7A76" w:rsidRPr="00BA1A85" w:rsidRDefault="001B7A76">
      <w:pPr>
        <w:pStyle w:val="Textpoznpodarou"/>
        <w:rPr>
          <w:sz w:val="18"/>
          <w:szCs w:val="18"/>
        </w:rPr>
      </w:pPr>
      <w:r w:rsidRPr="00BA1A85">
        <w:rPr>
          <w:rStyle w:val="Znakapoznpodarou"/>
          <w:sz w:val="18"/>
          <w:szCs w:val="18"/>
        </w:rPr>
        <w:footnoteRef/>
      </w:r>
      <w:r w:rsidRPr="00BA1A85">
        <w:rPr>
          <w:sz w:val="18"/>
          <w:szCs w:val="18"/>
        </w:rPr>
        <w:t xml:space="preserve"> RADOVÁ, J. DVOŘÁK, P. MÁLEK, J. </w:t>
      </w:r>
      <w:r w:rsidRPr="00BA1A85">
        <w:rPr>
          <w:i/>
          <w:sz w:val="18"/>
          <w:szCs w:val="18"/>
        </w:rPr>
        <w:t>Finanční matematika pro každého</w:t>
      </w:r>
      <w:r w:rsidRPr="00BA1A85">
        <w:rPr>
          <w:sz w:val="18"/>
          <w:szCs w:val="18"/>
        </w:rPr>
        <w:t xml:space="preserve"> 6. vyd. Praha : Grada, 2007. 296 s. ISBN 978-80-247-2233-7, str. 37, 57, 58 a 65.   </w:t>
      </w:r>
    </w:p>
  </w:footnote>
  <w:footnote w:id="42">
    <w:p w:rsidR="001B7A76" w:rsidRPr="0053301D" w:rsidRDefault="001B7A76" w:rsidP="0053283B">
      <w:pPr>
        <w:pStyle w:val="Textpoznpodarou"/>
        <w:rPr>
          <w:sz w:val="18"/>
          <w:szCs w:val="18"/>
        </w:rPr>
      </w:pPr>
      <w:r>
        <w:rPr>
          <w:rStyle w:val="Znakapoznpodarou"/>
        </w:rPr>
        <w:footnoteRef/>
      </w:r>
      <w:r>
        <w:t xml:space="preserve"> </w:t>
      </w:r>
      <w:r w:rsidRPr="003A6436">
        <w:rPr>
          <w:sz w:val="18"/>
          <w:szCs w:val="18"/>
        </w:rPr>
        <w:t xml:space="preserve">FOTR, J. SOUČEK, I. </w:t>
      </w:r>
      <w:r w:rsidRPr="003A6436">
        <w:rPr>
          <w:i/>
          <w:sz w:val="18"/>
          <w:szCs w:val="18"/>
        </w:rPr>
        <w:t>Podnikatelský záměr a investiční rozhodování</w:t>
      </w:r>
      <w:r w:rsidRPr="003A6436">
        <w:rPr>
          <w:sz w:val="18"/>
          <w:szCs w:val="18"/>
        </w:rPr>
        <w:t xml:space="preserve"> 1. </w:t>
      </w:r>
      <w:r>
        <w:rPr>
          <w:sz w:val="18"/>
          <w:szCs w:val="18"/>
        </w:rPr>
        <w:t>v</w:t>
      </w:r>
      <w:r w:rsidRPr="003A6436">
        <w:rPr>
          <w:sz w:val="18"/>
          <w:szCs w:val="18"/>
        </w:rPr>
        <w:t xml:space="preserve">yd. Praha : Grada, 2005. 356 s. ISBN 80-247-0939-2, str. </w:t>
      </w:r>
      <w:r>
        <w:rPr>
          <w:sz w:val="18"/>
          <w:szCs w:val="18"/>
        </w:rPr>
        <w:t>108</w:t>
      </w:r>
      <w:r w:rsidRPr="003A6436">
        <w:rPr>
          <w:sz w:val="18"/>
          <w:szCs w:val="18"/>
        </w:rPr>
        <w:t xml:space="preserve">. </w:t>
      </w:r>
    </w:p>
  </w:footnote>
  <w:footnote w:id="43">
    <w:p w:rsidR="001B7A76" w:rsidRPr="00A440F6" w:rsidRDefault="001B7A76" w:rsidP="0053283B">
      <w:pPr>
        <w:pStyle w:val="Textpoznpodarou"/>
        <w:rPr>
          <w:sz w:val="18"/>
          <w:szCs w:val="18"/>
        </w:rPr>
      </w:pPr>
      <w:r>
        <w:rPr>
          <w:rStyle w:val="Znakapoznpodarou"/>
        </w:rPr>
        <w:footnoteRef/>
      </w:r>
      <w:r>
        <w:t xml:space="preserve"> </w:t>
      </w:r>
      <w:r w:rsidRPr="003A6436">
        <w:rPr>
          <w:sz w:val="18"/>
          <w:szCs w:val="18"/>
        </w:rPr>
        <w:t xml:space="preserve">FOTR, J. SOUČEK, I. </w:t>
      </w:r>
      <w:r w:rsidRPr="003A6436">
        <w:rPr>
          <w:i/>
          <w:sz w:val="18"/>
          <w:szCs w:val="18"/>
        </w:rPr>
        <w:t>Podnikatelský záměr a investiční rozhodování</w:t>
      </w:r>
      <w:r w:rsidRPr="003A6436">
        <w:rPr>
          <w:sz w:val="18"/>
          <w:szCs w:val="18"/>
        </w:rPr>
        <w:t xml:space="preserve"> 1. </w:t>
      </w:r>
      <w:r>
        <w:rPr>
          <w:sz w:val="18"/>
          <w:szCs w:val="18"/>
        </w:rPr>
        <w:t>v</w:t>
      </w:r>
      <w:r w:rsidRPr="003A6436">
        <w:rPr>
          <w:sz w:val="18"/>
          <w:szCs w:val="18"/>
        </w:rPr>
        <w:t xml:space="preserve">yd. Praha : Grada, 2005. 356 s. ISBN 80-247-0939-2, str. </w:t>
      </w:r>
      <w:r>
        <w:rPr>
          <w:sz w:val="18"/>
          <w:szCs w:val="18"/>
        </w:rPr>
        <w:t>123</w:t>
      </w:r>
      <w:r w:rsidRPr="003A6436">
        <w:rPr>
          <w:sz w:val="18"/>
          <w:szCs w:val="18"/>
        </w:rPr>
        <w:t xml:space="preserve">. </w:t>
      </w:r>
    </w:p>
  </w:footnote>
  <w:footnote w:id="44">
    <w:p w:rsidR="001B7A76" w:rsidRPr="00BA1A85" w:rsidRDefault="001B7A76" w:rsidP="0053283B">
      <w:pPr>
        <w:pStyle w:val="Textpoznpodarou"/>
        <w:rPr>
          <w:sz w:val="18"/>
          <w:szCs w:val="18"/>
        </w:rPr>
      </w:pPr>
      <w:r w:rsidRPr="00BA1A85">
        <w:rPr>
          <w:rStyle w:val="Znakapoznpodarou"/>
          <w:sz w:val="18"/>
          <w:szCs w:val="18"/>
        </w:rPr>
        <w:footnoteRef/>
      </w:r>
      <w:r w:rsidRPr="00BA1A85">
        <w:rPr>
          <w:sz w:val="18"/>
          <w:szCs w:val="18"/>
        </w:rPr>
        <w:t xml:space="preserve"> pojem vnitřní výnosové procento bude dále vysvětlen</w:t>
      </w:r>
    </w:p>
  </w:footnote>
  <w:footnote w:id="45">
    <w:p w:rsidR="001B7A76" w:rsidRPr="00BA1A85" w:rsidRDefault="001B7A76" w:rsidP="009A180C">
      <w:pPr>
        <w:pStyle w:val="Textpoznpodarou"/>
        <w:jc w:val="both"/>
        <w:rPr>
          <w:sz w:val="18"/>
          <w:szCs w:val="18"/>
        </w:rPr>
      </w:pPr>
      <w:r w:rsidRPr="00BA1A85">
        <w:rPr>
          <w:rStyle w:val="Znakapoznpodarou"/>
          <w:sz w:val="18"/>
          <w:szCs w:val="18"/>
        </w:rPr>
        <w:footnoteRef/>
      </w:r>
      <w:r w:rsidRPr="00BA1A85">
        <w:rPr>
          <w:sz w:val="18"/>
          <w:szCs w:val="18"/>
        </w:rPr>
        <w:t xml:space="preserve"> VALACH, J. </w:t>
      </w:r>
      <w:r w:rsidRPr="00BA1A85">
        <w:rPr>
          <w:i/>
          <w:sz w:val="18"/>
          <w:szCs w:val="18"/>
        </w:rPr>
        <w:t>Investiční rozhodování a dlouhodobé financování</w:t>
      </w:r>
      <w:r w:rsidRPr="00BA1A85">
        <w:rPr>
          <w:sz w:val="18"/>
          <w:szCs w:val="18"/>
        </w:rPr>
        <w:t xml:space="preserve"> 2. vyd. Praha : Ekopress, 2006. 465 s. ISBN 80-86929-01-9, str. 165-167. </w:t>
      </w:r>
    </w:p>
  </w:footnote>
  <w:footnote w:id="46">
    <w:p w:rsidR="001B7A76" w:rsidRPr="00BA1A85" w:rsidRDefault="001B7A76">
      <w:pPr>
        <w:pStyle w:val="Textpoznpodarou"/>
        <w:rPr>
          <w:sz w:val="18"/>
          <w:szCs w:val="18"/>
        </w:rPr>
      </w:pPr>
      <w:r w:rsidRPr="00BA1A85">
        <w:rPr>
          <w:rStyle w:val="Znakapoznpodarou"/>
          <w:sz w:val="18"/>
          <w:szCs w:val="18"/>
        </w:rPr>
        <w:footnoteRef/>
      </w:r>
      <w:r w:rsidRPr="00BA1A85">
        <w:rPr>
          <w:sz w:val="18"/>
          <w:szCs w:val="18"/>
        </w:rPr>
        <w:t xml:space="preserve"> FOTR, J. SOUČEK, I. </w:t>
      </w:r>
      <w:r w:rsidRPr="00BA1A85">
        <w:rPr>
          <w:i/>
          <w:sz w:val="18"/>
          <w:szCs w:val="18"/>
        </w:rPr>
        <w:t>Podnikatelský záměr a investiční rozhodování</w:t>
      </w:r>
      <w:r w:rsidRPr="00BA1A85">
        <w:rPr>
          <w:sz w:val="18"/>
          <w:szCs w:val="18"/>
        </w:rPr>
        <w:t xml:space="preserve"> 1. vyd. Praha : Grada, 2005. 356 s. ISBN 80-247-0939-2, str. 118. </w:t>
      </w:r>
    </w:p>
  </w:footnote>
  <w:footnote w:id="47">
    <w:p w:rsidR="001B7A76" w:rsidRPr="00BA1A85" w:rsidRDefault="001B7A76" w:rsidP="00CF2248">
      <w:pPr>
        <w:pStyle w:val="Textpoznpodarou"/>
        <w:jc w:val="both"/>
        <w:rPr>
          <w:sz w:val="18"/>
          <w:szCs w:val="18"/>
        </w:rPr>
      </w:pPr>
      <w:r w:rsidRPr="00BA1A85">
        <w:rPr>
          <w:rStyle w:val="Znakapoznpodarou"/>
          <w:sz w:val="18"/>
          <w:szCs w:val="18"/>
        </w:rPr>
        <w:footnoteRef/>
      </w:r>
      <w:r w:rsidRPr="00BA1A85">
        <w:rPr>
          <w:sz w:val="18"/>
          <w:szCs w:val="18"/>
        </w:rPr>
        <w:t xml:space="preserve"> VALACH, J. </w:t>
      </w:r>
      <w:r w:rsidRPr="00BA1A85">
        <w:rPr>
          <w:i/>
          <w:sz w:val="18"/>
          <w:szCs w:val="18"/>
        </w:rPr>
        <w:t>Investiční rozhodování a dlouhodobé financování</w:t>
      </w:r>
      <w:r w:rsidRPr="00BA1A85">
        <w:rPr>
          <w:sz w:val="18"/>
          <w:szCs w:val="18"/>
        </w:rPr>
        <w:t xml:space="preserve"> 2. vyd. Praha : Ekopress, 2006. 465 s. ISBN 80-86929-01-9, str. 175-184. </w:t>
      </w:r>
    </w:p>
  </w:footnote>
  <w:footnote w:id="48">
    <w:p w:rsidR="001B7A76" w:rsidRPr="00BA1A85" w:rsidRDefault="001B7A76">
      <w:pPr>
        <w:pStyle w:val="Textpoznpodarou"/>
        <w:rPr>
          <w:sz w:val="18"/>
          <w:szCs w:val="18"/>
        </w:rPr>
      </w:pPr>
      <w:r w:rsidRPr="00BA1A85">
        <w:rPr>
          <w:rStyle w:val="Znakapoznpodarou"/>
          <w:sz w:val="18"/>
          <w:szCs w:val="18"/>
        </w:rPr>
        <w:footnoteRef/>
      </w:r>
      <w:r w:rsidRPr="00BA1A85">
        <w:rPr>
          <w:sz w:val="18"/>
          <w:szCs w:val="18"/>
        </w:rPr>
        <w:t xml:space="preserve"> pojem čistá současná hodnota projektu bude dále vysvětlen</w:t>
      </w:r>
    </w:p>
  </w:footnote>
  <w:footnote w:id="49">
    <w:p w:rsidR="001B7A76" w:rsidRPr="00BA1A85" w:rsidRDefault="001B7A76" w:rsidP="00C1324C">
      <w:pPr>
        <w:pStyle w:val="Textpoznpodarou"/>
        <w:jc w:val="both"/>
        <w:rPr>
          <w:sz w:val="18"/>
          <w:szCs w:val="18"/>
        </w:rPr>
      </w:pPr>
      <w:r w:rsidRPr="00BA1A85">
        <w:rPr>
          <w:rStyle w:val="Znakapoznpodarou"/>
          <w:sz w:val="18"/>
          <w:szCs w:val="18"/>
        </w:rPr>
        <w:footnoteRef/>
      </w:r>
      <w:r w:rsidRPr="00BA1A85">
        <w:rPr>
          <w:sz w:val="18"/>
          <w:szCs w:val="18"/>
        </w:rPr>
        <w:t xml:space="preserve"> VALACH, J. </w:t>
      </w:r>
      <w:r w:rsidRPr="00BA1A85">
        <w:rPr>
          <w:i/>
          <w:sz w:val="18"/>
          <w:szCs w:val="18"/>
        </w:rPr>
        <w:t>Investiční rozhodování a dlouhodobé financování</w:t>
      </w:r>
      <w:r w:rsidRPr="00BA1A85">
        <w:rPr>
          <w:sz w:val="18"/>
          <w:szCs w:val="18"/>
        </w:rPr>
        <w:t xml:space="preserve"> 2. vyd. Praha : Ekopress, 2006. 465 s. ISBN 80-86929-01-9, str. 76-79. </w:t>
      </w:r>
    </w:p>
  </w:footnote>
  <w:footnote w:id="50">
    <w:p w:rsidR="001B7A76" w:rsidRPr="00BA1A85" w:rsidRDefault="001B7A76" w:rsidP="006E72F4">
      <w:pPr>
        <w:pStyle w:val="Textpoznpodarou"/>
        <w:jc w:val="both"/>
        <w:rPr>
          <w:sz w:val="18"/>
          <w:szCs w:val="18"/>
        </w:rPr>
      </w:pPr>
      <w:r w:rsidRPr="00BA1A85">
        <w:rPr>
          <w:rStyle w:val="Znakapoznpodarou"/>
          <w:sz w:val="18"/>
          <w:szCs w:val="18"/>
        </w:rPr>
        <w:footnoteRef/>
      </w:r>
      <w:r w:rsidRPr="00BA1A85">
        <w:rPr>
          <w:sz w:val="18"/>
          <w:szCs w:val="18"/>
        </w:rPr>
        <w:t xml:space="preserve"> VALACH, J. </w:t>
      </w:r>
      <w:r w:rsidRPr="00BA1A85">
        <w:rPr>
          <w:i/>
          <w:sz w:val="18"/>
          <w:szCs w:val="18"/>
        </w:rPr>
        <w:t>Investiční rozhodování a dlouhodobé financování</w:t>
      </w:r>
      <w:r w:rsidRPr="00BA1A85">
        <w:rPr>
          <w:sz w:val="18"/>
          <w:szCs w:val="18"/>
        </w:rPr>
        <w:t xml:space="preserve"> 2. vyd. Praha : Ekopress, 2006. 465 s. ISBN 80-86929-01-9, str. 78. </w:t>
      </w:r>
    </w:p>
  </w:footnote>
  <w:footnote w:id="51">
    <w:p w:rsidR="001B7A76" w:rsidRPr="00BA1A85" w:rsidRDefault="001B7A76">
      <w:pPr>
        <w:pStyle w:val="Textpoznpodarou"/>
        <w:rPr>
          <w:sz w:val="18"/>
          <w:szCs w:val="18"/>
        </w:rPr>
      </w:pPr>
      <w:r w:rsidRPr="00BA1A85">
        <w:rPr>
          <w:rStyle w:val="Znakapoznpodarou"/>
          <w:sz w:val="18"/>
          <w:szCs w:val="18"/>
        </w:rPr>
        <w:footnoteRef/>
      </w:r>
      <w:r w:rsidRPr="00BA1A85">
        <w:rPr>
          <w:sz w:val="18"/>
          <w:szCs w:val="18"/>
        </w:rPr>
        <w:t xml:space="preserve"> DLUHOŠOVÁ, D. </w:t>
      </w:r>
      <w:r w:rsidRPr="00BA1A85">
        <w:rPr>
          <w:i/>
          <w:sz w:val="18"/>
          <w:szCs w:val="18"/>
        </w:rPr>
        <w:t xml:space="preserve">Porovnání způsobů hodnocení investičních projektů - </w:t>
      </w:r>
      <w:r w:rsidRPr="00BA1A85">
        <w:rPr>
          <w:sz w:val="18"/>
          <w:szCs w:val="18"/>
        </w:rPr>
        <w:t xml:space="preserve">příspěvek v rámci 3. mezinárodní konference Řízení a modelování finančních rizik, Ostrava září 2006, str. 53., dostupné na: </w:t>
      </w:r>
      <w:hyperlink r:id="rId1" w:history="1">
        <w:r w:rsidRPr="00BA1A85">
          <w:rPr>
            <w:rStyle w:val="Hypertextovodkaz"/>
            <w:sz w:val="18"/>
            <w:szCs w:val="18"/>
          </w:rPr>
          <w:t>http://www.ekf.vsb.cz/shared/uploadedfiles/cul33/Dana.Dluhosova.pdf</w:t>
        </w:r>
      </w:hyperlink>
      <w:r w:rsidRPr="00BA1A85">
        <w:rPr>
          <w:sz w:val="18"/>
          <w:szCs w:val="18"/>
        </w:rPr>
        <w:t xml:space="preserve"> </w:t>
      </w:r>
    </w:p>
  </w:footnote>
  <w:footnote w:id="52">
    <w:p w:rsidR="001B7A76" w:rsidRPr="00BA1A85" w:rsidRDefault="001B7A76">
      <w:pPr>
        <w:pStyle w:val="Textpoznpodarou"/>
        <w:rPr>
          <w:sz w:val="18"/>
          <w:szCs w:val="18"/>
        </w:rPr>
      </w:pPr>
      <w:r w:rsidRPr="00BA1A85">
        <w:rPr>
          <w:rStyle w:val="Znakapoznpodarou"/>
          <w:sz w:val="18"/>
          <w:szCs w:val="18"/>
        </w:rPr>
        <w:footnoteRef/>
      </w:r>
      <w:r w:rsidRPr="00BA1A85">
        <w:rPr>
          <w:sz w:val="18"/>
          <w:szCs w:val="18"/>
        </w:rPr>
        <w:t xml:space="preserve"> FOTR, J. SOUČEK, I. </w:t>
      </w:r>
      <w:r w:rsidRPr="00BA1A85">
        <w:rPr>
          <w:i/>
          <w:sz w:val="18"/>
          <w:szCs w:val="18"/>
        </w:rPr>
        <w:t>Podnikatelský záměr a investiční rozhodování</w:t>
      </w:r>
      <w:r w:rsidRPr="00BA1A85">
        <w:rPr>
          <w:sz w:val="18"/>
          <w:szCs w:val="18"/>
        </w:rPr>
        <w:t xml:space="preserve"> 1. vyd. Praha : Grada, 2005. 356 s. ISBN 80-247-0939-2, str. 237-239.</w:t>
      </w:r>
    </w:p>
  </w:footnote>
  <w:footnote w:id="53">
    <w:p w:rsidR="001B7A76" w:rsidRPr="00BA1A85" w:rsidRDefault="001B7A76" w:rsidP="002B265A">
      <w:pPr>
        <w:pStyle w:val="Textpoznpodarou"/>
        <w:rPr>
          <w:sz w:val="18"/>
          <w:szCs w:val="18"/>
        </w:rPr>
      </w:pPr>
      <w:r w:rsidRPr="00BA1A85">
        <w:rPr>
          <w:rStyle w:val="Znakapoznpodarou"/>
          <w:sz w:val="18"/>
          <w:szCs w:val="18"/>
        </w:rPr>
        <w:footnoteRef/>
      </w:r>
      <w:r w:rsidRPr="00BA1A85">
        <w:rPr>
          <w:sz w:val="18"/>
          <w:szCs w:val="18"/>
        </w:rPr>
        <w:t xml:space="preserve"> SYNEK, M. a kol. </w:t>
      </w:r>
      <w:r w:rsidRPr="00BA1A85">
        <w:rPr>
          <w:i/>
          <w:sz w:val="18"/>
          <w:szCs w:val="18"/>
        </w:rPr>
        <w:t>Manažerská ekonomika</w:t>
      </w:r>
      <w:r w:rsidRPr="00BA1A85">
        <w:rPr>
          <w:sz w:val="18"/>
          <w:szCs w:val="18"/>
        </w:rPr>
        <w:t xml:space="preserve"> 3. vyd. Praha : Grada, 2003. 472 s. ISBN 80-247-0515-X, str. 304.    </w:t>
      </w:r>
    </w:p>
  </w:footnote>
  <w:footnote w:id="54">
    <w:p w:rsidR="001B7A76" w:rsidRPr="003A2EB4" w:rsidRDefault="001B7A76" w:rsidP="003A2EB4">
      <w:pPr>
        <w:pStyle w:val="Textpoznpodarou"/>
        <w:jc w:val="both"/>
        <w:rPr>
          <w:sz w:val="18"/>
          <w:szCs w:val="18"/>
        </w:rPr>
      </w:pPr>
      <w:r>
        <w:rPr>
          <w:rStyle w:val="Znakapoznpodarou"/>
        </w:rPr>
        <w:footnoteRef/>
      </w:r>
      <w:r>
        <w:t xml:space="preserve"> </w:t>
      </w:r>
      <w:r w:rsidRPr="00CA5B1B">
        <w:rPr>
          <w:sz w:val="18"/>
          <w:szCs w:val="18"/>
        </w:rPr>
        <w:t xml:space="preserve">VALACH, J. </w:t>
      </w:r>
      <w:r w:rsidRPr="00CA5B1B">
        <w:rPr>
          <w:i/>
          <w:sz w:val="18"/>
          <w:szCs w:val="18"/>
        </w:rPr>
        <w:t>Investiční rozhodování a dlouhodobé financování</w:t>
      </w:r>
      <w:r w:rsidRPr="00CA5B1B">
        <w:rPr>
          <w:sz w:val="18"/>
          <w:szCs w:val="18"/>
        </w:rPr>
        <w:t xml:space="preserve"> 2. </w:t>
      </w:r>
      <w:r>
        <w:rPr>
          <w:sz w:val="18"/>
          <w:szCs w:val="18"/>
        </w:rPr>
        <w:t>v</w:t>
      </w:r>
      <w:r w:rsidRPr="00CA5B1B">
        <w:rPr>
          <w:sz w:val="18"/>
          <w:szCs w:val="18"/>
        </w:rPr>
        <w:t xml:space="preserve">yd. Praha : Ekopress, 2006. 465 s. ISBN 80-86929-01-9, str. </w:t>
      </w:r>
      <w:r>
        <w:rPr>
          <w:sz w:val="18"/>
          <w:szCs w:val="18"/>
        </w:rPr>
        <w:t>79-90</w:t>
      </w:r>
      <w:r w:rsidRPr="00CA5B1B">
        <w:rPr>
          <w:sz w:val="18"/>
          <w:szCs w:val="18"/>
        </w:rPr>
        <w:t>.</w:t>
      </w:r>
      <w:r>
        <w:t xml:space="preserve">  </w:t>
      </w:r>
    </w:p>
  </w:footnote>
  <w:footnote w:id="55">
    <w:p w:rsidR="001B7A76" w:rsidRPr="006E20D2" w:rsidRDefault="001B7A76" w:rsidP="006E20D2">
      <w:pPr>
        <w:pStyle w:val="Textpoznpodarou"/>
        <w:jc w:val="both"/>
        <w:rPr>
          <w:sz w:val="18"/>
          <w:szCs w:val="18"/>
        </w:rPr>
      </w:pPr>
      <w:r>
        <w:rPr>
          <w:rStyle w:val="Znakapoznpodarou"/>
        </w:rPr>
        <w:footnoteRef/>
      </w:r>
      <w:r>
        <w:t xml:space="preserve"> </w:t>
      </w:r>
      <w:r w:rsidRPr="00CA5B1B">
        <w:rPr>
          <w:sz w:val="18"/>
          <w:szCs w:val="18"/>
        </w:rPr>
        <w:t xml:space="preserve">VALACH, J. </w:t>
      </w:r>
      <w:r w:rsidRPr="00CA5B1B">
        <w:rPr>
          <w:i/>
          <w:sz w:val="18"/>
          <w:szCs w:val="18"/>
        </w:rPr>
        <w:t>Investiční rozhodování a dlouhodobé financování</w:t>
      </w:r>
      <w:r w:rsidRPr="00CA5B1B">
        <w:rPr>
          <w:sz w:val="18"/>
          <w:szCs w:val="18"/>
        </w:rPr>
        <w:t xml:space="preserve"> 2. </w:t>
      </w:r>
      <w:r>
        <w:rPr>
          <w:sz w:val="18"/>
          <w:szCs w:val="18"/>
        </w:rPr>
        <w:t>v</w:t>
      </w:r>
      <w:r w:rsidRPr="00CA5B1B">
        <w:rPr>
          <w:sz w:val="18"/>
          <w:szCs w:val="18"/>
        </w:rPr>
        <w:t xml:space="preserve">yd. Praha : Ekopress, 2006. 465 s. ISBN 80-86929-01-9, str. </w:t>
      </w:r>
      <w:r>
        <w:rPr>
          <w:sz w:val="18"/>
          <w:szCs w:val="18"/>
        </w:rPr>
        <w:t>135</w:t>
      </w:r>
      <w:r w:rsidRPr="00CA5B1B">
        <w:rPr>
          <w:sz w:val="18"/>
          <w:szCs w:val="18"/>
        </w:rPr>
        <w:t>.</w:t>
      </w:r>
      <w:r>
        <w:t xml:space="preserve">  </w:t>
      </w:r>
    </w:p>
  </w:footnote>
  <w:footnote w:id="56">
    <w:p w:rsidR="001B7A76" w:rsidRPr="00A46366" w:rsidRDefault="001B7A76" w:rsidP="00C66CE5">
      <w:pPr>
        <w:pStyle w:val="Textpoznpodarou"/>
        <w:rPr>
          <w:sz w:val="18"/>
          <w:szCs w:val="18"/>
        </w:rPr>
      </w:pPr>
      <w:r w:rsidRPr="00A46366">
        <w:rPr>
          <w:rStyle w:val="Znakapoznpodarou"/>
          <w:sz w:val="18"/>
          <w:szCs w:val="18"/>
        </w:rPr>
        <w:footnoteRef/>
      </w:r>
      <w:r w:rsidRPr="00A46366">
        <w:rPr>
          <w:sz w:val="18"/>
          <w:szCs w:val="18"/>
        </w:rPr>
        <w:t xml:space="preserve"> SYNEK, M. a kol. </w:t>
      </w:r>
      <w:r w:rsidRPr="00A46366">
        <w:rPr>
          <w:i/>
          <w:sz w:val="18"/>
          <w:szCs w:val="18"/>
        </w:rPr>
        <w:t>Manažerská ekonomika</w:t>
      </w:r>
      <w:r w:rsidRPr="00A46366">
        <w:rPr>
          <w:sz w:val="18"/>
          <w:szCs w:val="18"/>
        </w:rPr>
        <w:t xml:space="preserve"> 3. vyd. Praha : Grada, 2003. 472 s. ISBN 80-247-0515-X, str. 304.    </w:t>
      </w:r>
    </w:p>
  </w:footnote>
  <w:footnote w:id="57">
    <w:p w:rsidR="001B7A76" w:rsidRPr="00A46366" w:rsidRDefault="001B7A76" w:rsidP="00C66CE5">
      <w:pPr>
        <w:pStyle w:val="Textpoznpodarou"/>
        <w:rPr>
          <w:sz w:val="18"/>
          <w:szCs w:val="18"/>
        </w:rPr>
      </w:pPr>
      <w:r w:rsidRPr="00A46366">
        <w:rPr>
          <w:rStyle w:val="Znakapoznpodarou"/>
          <w:sz w:val="18"/>
          <w:szCs w:val="18"/>
        </w:rPr>
        <w:footnoteRef/>
      </w:r>
      <w:r w:rsidRPr="00A46366">
        <w:rPr>
          <w:sz w:val="18"/>
          <w:szCs w:val="18"/>
        </w:rPr>
        <w:t xml:space="preserve"> FOTR, J. SOUČEK, I. </w:t>
      </w:r>
      <w:r w:rsidRPr="00A46366">
        <w:rPr>
          <w:i/>
          <w:sz w:val="18"/>
          <w:szCs w:val="18"/>
        </w:rPr>
        <w:t>Podnikatelský záměr a investiční rozhodování</w:t>
      </w:r>
      <w:r w:rsidRPr="00A46366">
        <w:rPr>
          <w:sz w:val="18"/>
          <w:szCs w:val="18"/>
        </w:rPr>
        <w:t xml:space="preserve"> 1. vyd. Praha : Grada, 2005. 356 s. ISBN 80-247-0939-2, str. 65. </w:t>
      </w:r>
    </w:p>
  </w:footnote>
  <w:footnote w:id="58">
    <w:p w:rsidR="001B7A76" w:rsidRPr="00A46366" w:rsidRDefault="001B7A76" w:rsidP="00E75A23">
      <w:pPr>
        <w:pStyle w:val="Textpoznpodarou"/>
        <w:jc w:val="both"/>
        <w:rPr>
          <w:sz w:val="18"/>
          <w:szCs w:val="18"/>
        </w:rPr>
      </w:pPr>
      <w:r w:rsidRPr="00A46366">
        <w:rPr>
          <w:rStyle w:val="Znakapoznpodarou"/>
          <w:sz w:val="18"/>
          <w:szCs w:val="18"/>
        </w:rPr>
        <w:footnoteRef/>
      </w:r>
      <w:r w:rsidRPr="00A46366">
        <w:rPr>
          <w:sz w:val="18"/>
          <w:szCs w:val="18"/>
        </w:rPr>
        <w:t xml:space="preserve"> VALACH, J. </w:t>
      </w:r>
      <w:r w:rsidRPr="00A46366">
        <w:rPr>
          <w:i/>
          <w:sz w:val="18"/>
          <w:szCs w:val="18"/>
        </w:rPr>
        <w:t>Investiční rozhodování a dlouhodobé financování</w:t>
      </w:r>
      <w:r w:rsidRPr="00A46366">
        <w:rPr>
          <w:sz w:val="18"/>
          <w:szCs w:val="18"/>
        </w:rPr>
        <w:t xml:space="preserve"> 2. vyd. Praha : Ekopress, 2006. 465 s. ISBN 80-86929-01-9, str. 79-90.  </w:t>
      </w:r>
    </w:p>
  </w:footnote>
  <w:footnote w:id="59">
    <w:p w:rsidR="001B7A76" w:rsidRPr="004D3B03" w:rsidRDefault="001B7A76" w:rsidP="004D3B03">
      <w:pPr>
        <w:pStyle w:val="Textpoznpodarou"/>
        <w:jc w:val="both"/>
        <w:rPr>
          <w:sz w:val="18"/>
          <w:szCs w:val="18"/>
        </w:rPr>
      </w:pPr>
      <w:r>
        <w:rPr>
          <w:rStyle w:val="Znakapoznpodarou"/>
        </w:rPr>
        <w:footnoteRef/>
      </w:r>
      <w:r>
        <w:t xml:space="preserve"> </w:t>
      </w:r>
      <w:r w:rsidRPr="00CA5B1B">
        <w:rPr>
          <w:sz w:val="18"/>
          <w:szCs w:val="18"/>
        </w:rPr>
        <w:t xml:space="preserve">VALACH, J. </w:t>
      </w:r>
      <w:r w:rsidRPr="00CA5B1B">
        <w:rPr>
          <w:i/>
          <w:sz w:val="18"/>
          <w:szCs w:val="18"/>
        </w:rPr>
        <w:t>Investiční rozhodování a dlouhodobé financování</w:t>
      </w:r>
      <w:r w:rsidRPr="00CA5B1B">
        <w:rPr>
          <w:sz w:val="18"/>
          <w:szCs w:val="18"/>
        </w:rPr>
        <w:t xml:space="preserve"> 2. </w:t>
      </w:r>
      <w:r>
        <w:rPr>
          <w:sz w:val="18"/>
          <w:szCs w:val="18"/>
        </w:rPr>
        <w:t>v</w:t>
      </w:r>
      <w:r w:rsidRPr="00CA5B1B">
        <w:rPr>
          <w:sz w:val="18"/>
          <w:szCs w:val="18"/>
        </w:rPr>
        <w:t xml:space="preserve">yd. Praha : Ekopress, 2006. 465 s. ISBN 80-86929-01-9, str. </w:t>
      </w:r>
      <w:r>
        <w:rPr>
          <w:sz w:val="18"/>
          <w:szCs w:val="18"/>
        </w:rPr>
        <w:t>135</w:t>
      </w:r>
      <w:r w:rsidRPr="00CA5B1B">
        <w:rPr>
          <w:sz w:val="18"/>
          <w:szCs w:val="18"/>
        </w:rPr>
        <w:t>.</w:t>
      </w:r>
      <w:r>
        <w:t xml:space="preserve"> </w:t>
      </w:r>
    </w:p>
  </w:footnote>
  <w:footnote w:id="60">
    <w:p w:rsidR="001B7A76" w:rsidRPr="00D83EAD" w:rsidRDefault="001B7A76">
      <w:pPr>
        <w:pStyle w:val="Textpoznpodarou"/>
        <w:rPr>
          <w:sz w:val="18"/>
          <w:szCs w:val="18"/>
        </w:rPr>
      </w:pPr>
      <w:r>
        <w:rPr>
          <w:rStyle w:val="Znakapoznpodarou"/>
        </w:rPr>
        <w:footnoteRef/>
      </w:r>
      <w:r>
        <w:t xml:space="preserve"> </w:t>
      </w:r>
      <w:r w:rsidRPr="003A6436">
        <w:rPr>
          <w:sz w:val="18"/>
          <w:szCs w:val="18"/>
        </w:rPr>
        <w:t xml:space="preserve">SYNEK, M. a kol. </w:t>
      </w:r>
      <w:r>
        <w:rPr>
          <w:i/>
          <w:sz w:val="18"/>
          <w:szCs w:val="18"/>
        </w:rPr>
        <w:t>Manažerská</w:t>
      </w:r>
      <w:r w:rsidRPr="003A6436">
        <w:rPr>
          <w:i/>
          <w:sz w:val="18"/>
          <w:szCs w:val="18"/>
        </w:rPr>
        <w:t xml:space="preserve"> ekonomika</w:t>
      </w:r>
      <w:r>
        <w:rPr>
          <w:sz w:val="18"/>
          <w:szCs w:val="18"/>
        </w:rPr>
        <w:t xml:space="preserve"> 3. vyd. Praha : Grada</w:t>
      </w:r>
      <w:r w:rsidRPr="003A6436">
        <w:rPr>
          <w:sz w:val="18"/>
          <w:szCs w:val="18"/>
        </w:rPr>
        <w:t>, 200</w:t>
      </w:r>
      <w:r>
        <w:rPr>
          <w:sz w:val="18"/>
          <w:szCs w:val="18"/>
        </w:rPr>
        <w:t>3</w:t>
      </w:r>
      <w:r w:rsidRPr="003A6436">
        <w:rPr>
          <w:sz w:val="18"/>
          <w:szCs w:val="18"/>
        </w:rPr>
        <w:t xml:space="preserve">. </w:t>
      </w:r>
      <w:r>
        <w:rPr>
          <w:sz w:val="18"/>
          <w:szCs w:val="18"/>
        </w:rPr>
        <w:t>472</w:t>
      </w:r>
      <w:r w:rsidRPr="003A6436">
        <w:rPr>
          <w:sz w:val="18"/>
          <w:szCs w:val="18"/>
        </w:rPr>
        <w:t xml:space="preserve"> s. ISBN </w:t>
      </w:r>
      <w:r>
        <w:rPr>
          <w:sz w:val="18"/>
          <w:szCs w:val="18"/>
        </w:rPr>
        <w:t>80-247-0515-X</w:t>
      </w:r>
      <w:r w:rsidRPr="003A6436">
        <w:rPr>
          <w:sz w:val="18"/>
          <w:szCs w:val="18"/>
        </w:rPr>
        <w:t xml:space="preserve">, str. </w:t>
      </w:r>
      <w:r>
        <w:rPr>
          <w:sz w:val="18"/>
          <w:szCs w:val="18"/>
        </w:rPr>
        <w:t>308</w:t>
      </w:r>
      <w:r w:rsidRPr="003A6436">
        <w:rPr>
          <w:sz w:val="18"/>
          <w:szCs w:val="18"/>
        </w:rPr>
        <w:t xml:space="preserve">.    </w:t>
      </w:r>
    </w:p>
  </w:footnote>
  <w:footnote w:id="61">
    <w:p w:rsidR="001B7A76" w:rsidRPr="00E86B19" w:rsidRDefault="001B7A76" w:rsidP="00E86B19">
      <w:pPr>
        <w:pStyle w:val="Textpoznpodarou"/>
        <w:jc w:val="both"/>
        <w:rPr>
          <w:sz w:val="18"/>
          <w:szCs w:val="18"/>
        </w:rPr>
      </w:pPr>
      <w:r>
        <w:rPr>
          <w:rStyle w:val="Znakapoznpodarou"/>
        </w:rPr>
        <w:footnoteRef/>
      </w:r>
      <w:r>
        <w:t xml:space="preserve"> </w:t>
      </w:r>
      <w:r w:rsidRPr="00CA5B1B">
        <w:rPr>
          <w:sz w:val="18"/>
          <w:szCs w:val="18"/>
        </w:rPr>
        <w:t xml:space="preserve">VALACH, J. </w:t>
      </w:r>
      <w:r w:rsidRPr="00CA5B1B">
        <w:rPr>
          <w:i/>
          <w:sz w:val="18"/>
          <w:szCs w:val="18"/>
        </w:rPr>
        <w:t>Investiční rozhodování a dlouhodobé financování</w:t>
      </w:r>
      <w:r w:rsidRPr="00CA5B1B">
        <w:rPr>
          <w:sz w:val="18"/>
          <w:szCs w:val="18"/>
        </w:rPr>
        <w:t xml:space="preserve"> 2. </w:t>
      </w:r>
      <w:r>
        <w:rPr>
          <w:sz w:val="18"/>
          <w:szCs w:val="18"/>
        </w:rPr>
        <w:t>v</w:t>
      </w:r>
      <w:r w:rsidRPr="00CA5B1B">
        <w:rPr>
          <w:sz w:val="18"/>
          <w:szCs w:val="18"/>
        </w:rPr>
        <w:t xml:space="preserve">yd. Praha : Ekopress, 2006. 465 s. ISBN 80-86929-01-9, str. </w:t>
      </w:r>
      <w:r>
        <w:rPr>
          <w:sz w:val="18"/>
          <w:szCs w:val="18"/>
        </w:rPr>
        <w:t>96-103</w:t>
      </w:r>
      <w:r w:rsidRPr="00CA5B1B">
        <w:rPr>
          <w:sz w:val="18"/>
          <w:szCs w:val="18"/>
        </w:rPr>
        <w:t>.</w:t>
      </w:r>
      <w:r>
        <w:t xml:space="preserve">  </w:t>
      </w:r>
    </w:p>
  </w:footnote>
  <w:footnote w:id="62">
    <w:p w:rsidR="001B7A76" w:rsidRPr="00A9289E" w:rsidRDefault="001B7A76" w:rsidP="00226BEC">
      <w:pPr>
        <w:pStyle w:val="Textpoznpodarou"/>
        <w:jc w:val="both"/>
        <w:rPr>
          <w:sz w:val="18"/>
          <w:szCs w:val="18"/>
        </w:rPr>
      </w:pPr>
      <w:r w:rsidRPr="00A9289E">
        <w:rPr>
          <w:rStyle w:val="Znakapoznpodarou"/>
          <w:sz w:val="18"/>
          <w:szCs w:val="18"/>
        </w:rPr>
        <w:footnoteRef/>
      </w:r>
      <w:r w:rsidRPr="00A9289E">
        <w:rPr>
          <w:sz w:val="18"/>
          <w:szCs w:val="18"/>
        </w:rPr>
        <w:t xml:space="preserve"> VALACH, J. </w:t>
      </w:r>
      <w:r w:rsidRPr="00A9289E">
        <w:rPr>
          <w:i/>
          <w:sz w:val="18"/>
          <w:szCs w:val="18"/>
        </w:rPr>
        <w:t>Investiční rozhodování a dlouhodobé financování</w:t>
      </w:r>
      <w:r w:rsidRPr="00A9289E">
        <w:rPr>
          <w:sz w:val="18"/>
          <w:szCs w:val="18"/>
        </w:rPr>
        <w:t xml:space="preserve"> 2. </w:t>
      </w:r>
      <w:r>
        <w:rPr>
          <w:sz w:val="18"/>
          <w:szCs w:val="18"/>
        </w:rPr>
        <w:t>v</w:t>
      </w:r>
      <w:r w:rsidRPr="00A9289E">
        <w:rPr>
          <w:sz w:val="18"/>
          <w:szCs w:val="18"/>
        </w:rPr>
        <w:t xml:space="preserve">yd. Praha : Ekopress, 2006. 465 s. ISBN 80-86929-01-9, str. 103-104.  </w:t>
      </w:r>
    </w:p>
  </w:footnote>
  <w:footnote w:id="63">
    <w:p w:rsidR="001B7A76" w:rsidRPr="00A46366" w:rsidRDefault="001B7A76">
      <w:pPr>
        <w:pStyle w:val="Textpoznpodarou"/>
        <w:rPr>
          <w:sz w:val="18"/>
          <w:szCs w:val="18"/>
        </w:rPr>
      </w:pPr>
      <w:r w:rsidRPr="00A46366">
        <w:rPr>
          <w:rStyle w:val="Znakapoznpodarou"/>
          <w:sz w:val="18"/>
          <w:szCs w:val="18"/>
        </w:rPr>
        <w:footnoteRef/>
      </w:r>
      <w:r w:rsidRPr="00A46366">
        <w:rPr>
          <w:sz w:val="18"/>
          <w:szCs w:val="18"/>
        </w:rPr>
        <w:t xml:space="preserve"> BREALEY, R.A. MYERS, S.C. </w:t>
      </w:r>
      <w:r w:rsidRPr="00A46366">
        <w:rPr>
          <w:i/>
          <w:sz w:val="18"/>
          <w:szCs w:val="18"/>
        </w:rPr>
        <w:t>Teorie a praxe firemních financí</w:t>
      </w:r>
      <w:r w:rsidRPr="00A46366">
        <w:rPr>
          <w:sz w:val="18"/>
          <w:szCs w:val="18"/>
        </w:rPr>
        <w:t xml:space="preserve"> 1 vyd. Praha : East Publishing, 1999. 971 s. ISBN 80-85605-24-4, str. 97.   </w:t>
      </w:r>
    </w:p>
  </w:footnote>
  <w:footnote w:id="64">
    <w:p w:rsidR="001B7A76" w:rsidRPr="00A46366" w:rsidRDefault="001B7A76" w:rsidP="00B92D1C">
      <w:pPr>
        <w:pStyle w:val="Textpoznpodarou"/>
        <w:jc w:val="both"/>
        <w:rPr>
          <w:sz w:val="18"/>
          <w:szCs w:val="18"/>
        </w:rPr>
      </w:pPr>
      <w:r w:rsidRPr="00A46366">
        <w:rPr>
          <w:rStyle w:val="Znakapoznpodarou"/>
          <w:sz w:val="18"/>
          <w:szCs w:val="18"/>
        </w:rPr>
        <w:footnoteRef/>
      </w:r>
      <w:r w:rsidRPr="00A46366">
        <w:rPr>
          <w:sz w:val="18"/>
          <w:szCs w:val="18"/>
        </w:rPr>
        <w:t xml:space="preserve"> VALACH, J. </w:t>
      </w:r>
      <w:r w:rsidRPr="00A46366">
        <w:rPr>
          <w:i/>
          <w:sz w:val="18"/>
          <w:szCs w:val="18"/>
        </w:rPr>
        <w:t>Investiční rozhodování a dlouhodobé financování</w:t>
      </w:r>
      <w:r w:rsidRPr="00A46366">
        <w:rPr>
          <w:sz w:val="18"/>
          <w:szCs w:val="18"/>
        </w:rPr>
        <w:t xml:space="preserve"> 2. vyd. Praha : Ekopress, 2006. 465 s. ISBN 80-86929-01-9, str. 103-104.  </w:t>
      </w:r>
    </w:p>
  </w:footnote>
  <w:footnote w:id="65">
    <w:p w:rsidR="001B7A76" w:rsidRPr="00A46366" w:rsidRDefault="001B7A76">
      <w:pPr>
        <w:pStyle w:val="Textpoznpodarou"/>
        <w:rPr>
          <w:sz w:val="18"/>
          <w:szCs w:val="18"/>
        </w:rPr>
      </w:pPr>
      <w:r w:rsidRPr="00A46366">
        <w:rPr>
          <w:rStyle w:val="Znakapoznpodarou"/>
          <w:sz w:val="18"/>
          <w:szCs w:val="18"/>
        </w:rPr>
        <w:footnoteRef/>
      </w:r>
      <w:r w:rsidRPr="00A46366">
        <w:rPr>
          <w:sz w:val="18"/>
          <w:szCs w:val="18"/>
        </w:rPr>
        <w:t xml:space="preserve"> FOTR, J. SOUČEK, I. </w:t>
      </w:r>
      <w:r w:rsidRPr="00A46366">
        <w:rPr>
          <w:i/>
          <w:sz w:val="18"/>
          <w:szCs w:val="18"/>
        </w:rPr>
        <w:t>Podnikatelský záměr a investiční rozhodování</w:t>
      </w:r>
      <w:r w:rsidRPr="00A46366">
        <w:rPr>
          <w:sz w:val="18"/>
          <w:szCs w:val="18"/>
        </w:rPr>
        <w:t xml:space="preserve"> 1. vyd. Praha : Grada, 2005. 356 s. ISBN 80-247-0939-2, str. 237. </w:t>
      </w:r>
    </w:p>
  </w:footnote>
  <w:footnote w:id="66">
    <w:p w:rsidR="001B7A76" w:rsidRPr="00A46366" w:rsidRDefault="001B7A76">
      <w:pPr>
        <w:pStyle w:val="Textpoznpodarou"/>
        <w:rPr>
          <w:sz w:val="18"/>
          <w:szCs w:val="18"/>
        </w:rPr>
      </w:pPr>
      <w:r w:rsidRPr="00A46366">
        <w:rPr>
          <w:rStyle w:val="Znakapoznpodarou"/>
          <w:sz w:val="18"/>
          <w:szCs w:val="18"/>
        </w:rPr>
        <w:footnoteRef/>
      </w:r>
      <w:r w:rsidRPr="00A46366">
        <w:rPr>
          <w:sz w:val="18"/>
          <w:szCs w:val="18"/>
        </w:rPr>
        <w:t xml:space="preserve"> FOTR, J. SOUČEK, I. </w:t>
      </w:r>
      <w:r w:rsidRPr="00A46366">
        <w:rPr>
          <w:i/>
          <w:sz w:val="18"/>
          <w:szCs w:val="18"/>
        </w:rPr>
        <w:t>Podnikatelský záměr a investiční rozhodování</w:t>
      </w:r>
      <w:r w:rsidRPr="00A46366">
        <w:rPr>
          <w:sz w:val="18"/>
          <w:szCs w:val="18"/>
        </w:rPr>
        <w:t xml:space="preserve"> 1. vyd. Praha : Grada, 2005. 356 s. ISBN 80-247-0939-2, str. 237-239.</w:t>
      </w:r>
    </w:p>
  </w:footnote>
  <w:footnote w:id="67">
    <w:p w:rsidR="001B7A76" w:rsidRPr="00A46366" w:rsidRDefault="001B7A76" w:rsidP="008129D7">
      <w:pPr>
        <w:pStyle w:val="Zkladntext2"/>
        <w:spacing w:line="240" w:lineRule="auto"/>
        <w:rPr>
          <w:sz w:val="18"/>
          <w:szCs w:val="18"/>
        </w:rPr>
      </w:pPr>
      <w:r w:rsidRPr="00A46366">
        <w:rPr>
          <w:rStyle w:val="Znakapoznpodarou"/>
          <w:sz w:val="18"/>
          <w:szCs w:val="18"/>
        </w:rPr>
        <w:footnoteRef/>
      </w:r>
      <w:r w:rsidRPr="00A46366">
        <w:rPr>
          <w:sz w:val="18"/>
          <w:szCs w:val="18"/>
        </w:rPr>
        <w:t xml:space="preserve"> </w:t>
      </w:r>
      <w:r w:rsidRPr="00A46366">
        <w:rPr>
          <w:sz w:val="18"/>
          <w:szCs w:val="18"/>
          <w:lang w:val="pl-PL"/>
        </w:rPr>
        <w:t>NOVOTNÝ</w:t>
      </w:r>
      <w:r w:rsidRPr="00A46366">
        <w:rPr>
          <w:sz w:val="18"/>
          <w:szCs w:val="18"/>
        </w:rPr>
        <w:t xml:space="preserve">, J., SUCHÁNEK, P. </w:t>
      </w:r>
      <w:r w:rsidRPr="00A46366">
        <w:rPr>
          <w:i/>
          <w:sz w:val="18"/>
          <w:szCs w:val="18"/>
        </w:rPr>
        <w:t>Nauka o podniku I</w:t>
      </w:r>
      <w:r w:rsidRPr="00A46366">
        <w:rPr>
          <w:i/>
          <w:iCs/>
          <w:sz w:val="18"/>
          <w:szCs w:val="18"/>
        </w:rPr>
        <w:t>.</w:t>
      </w:r>
      <w:r w:rsidRPr="00A46366">
        <w:rPr>
          <w:sz w:val="18"/>
          <w:szCs w:val="18"/>
        </w:rPr>
        <w:t xml:space="preserve"> 1. vyd. Brno: MU, 2004. 184 s. ISBN 80-210-3333-9, str. 22.</w:t>
      </w:r>
    </w:p>
  </w:footnote>
  <w:footnote w:id="68">
    <w:p w:rsidR="001B7A76" w:rsidRPr="00A46366" w:rsidRDefault="001B7A76">
      <w:pPr>
        <w:pStyle w:val="Textpoznpodarou"/>
        <w:rPr>
          <w:sz w:val="18"/>
          <w:szCs w:val="18"/>
        </w:rPr>
      </w:pPr>
      <w:r w:rsidRPr="00A46366">
        <w:rPr>
          <w:rStyle w:val="Znakapoznpodarou"/>
          <w:sz w:val="18"/>
          <w:szCs w:val="18"/>
        </w:rPr>
        <w:footnoteRef/>
      </w:r>
      <w:r w:rsidRPr="00A46366">
        <w:rPr>
          <w:sz w:val="18"/>
          <w:szCs w:val="18"/>
        </w:rPr>
        <w:t xml:space="preserve"> Odvětvová klasifikace ekonomických činností, dostupná na: </w:t>
      </w:r>
      <w:hyperlink r:id="rId2" w:history="1">
        <w:r w:rsidRPr="00A46366">
          <w:rPr>
            <w:rStyle w:val="Hypertextovodkaz"/>
            <w:sz w:val="18"/>
            <w:szCs w:val="18"/>
          </w:rPr>
          <w:t>http://www.czso.cz/csu/klasifik.nsf/i/odvetvova_klasifikace_ekonomickych_cinnosti_(okec)</w:t>
        </w:r>
      </w:hyperlink>
      <w:r w:rsidRPr="00A46366">
        <w:rPr>
          <w:sz w:val="18"/>
          <w:szCs w:val="18"/>
        </w:rPr>
        <w:t xml:space="preserve"> </w:t>
      </w:r>
    </w:p>
  </w:footnote>
  <w:footnote w:id="69">
    <w:p w:rsidR="001B7A76" w:rsidRPr="00A46366" w:rsidRDefault="001B7A76" w:rsidP="0031766D">
      <w:pPr>
        <w:pStyle w:val="Zkladntext2"/>
        <w:spacing w:line="240" w:lineRule="auto"/>
        <w:rPr>
          <w:sz w:val="18"/>
          <w:szCs w:val="18"/>
        </w:rPr>
      </w:pPr>
      <w:r w:rsidRPr="00A46366">
        <w:rPr>
          <w:rStyle w:val="Znakapoznpodarou"/>
          <w:sz w:val="18"/>
          <w:szCs w:val="18"/>
        </w:rPr>
        <w:footnoteRef/>
      </w:r>
      <w:r w:rsidRPr="00A46366">
        <w:rPr>
          <w:sz w:val="18"/>
          <w:szCs w:val="18"/>
          <w:lang w:val="pl-PL"/>
        </w:rPr>
        <w:t xml:space="preserve"> NOVOTNÝ</w:t>
      </w:r>
      <w:r w:rsidRPr="00A46366">
        <w:rPr>
          <w:sz w:val="18"/>
          <w:szCs w:val="18"/>
        </w:rPr>
        <w:t xml:space="preserve">, J., SUCHÁNEK, P. </w:t>
      </w:r>
      <w:r w:rsidRPr="00A46366">
        <w:rPr>
          <w:i/>
          <w:sz w:val="18"/>
          <w:szCs w:val="18"/>
        </w:rPr>
        <w:t>Nauka o podniku I</w:t>
      </w:r>
      <w:r w:rsidRPr="00A46366">
        <w:rPr>
          <w:i/>
          <w:iCs/>
          <w:sz w:val="18"/>
          <w:szCs w:val="18"/>
        </w:rPr>
        <w:t>.</w:t>
      </w:r>
      <w:r w:rsidRPr="00A46366">
        <w:rPr>
          <w:sz w:val="18"/>
          <w:szCs w:val="18"/>
        </w:rPr>
        <w:t xml:space="preserve"> 1. vyd. Brno: MU, 2004. 184 s. ISBN 80-210-3333-9, str. 131.  </w:t>
      </w:r>
    </w:p>
  </w:footnote>
  <w:footnote w:id="70">
    <w:p w:rsidR="001B7A76" w:rsidRPr="00A46366" w:rsidRDefault="001B7A76">
      <w:pPr>
        <w:pStyle w:val="Textpoznpodarou"/>
        <w:rPr>
          <w:sz w:val="18"/>
          <w:szCs w:val="18"/>
        </w:rPr>
      </w:pPr>
      <w:r w:rsidRPr="00A46366">
        <w:rPr>
          <w:rStyle w:val="Znakapoznpodarou"/>
          <w:sz w:val="18"/>
          <w:szCs w:val="18"/>
        </w:rPr>
        <w:footnoteRef/>
      </w:r>
      <w:r w:rsidRPr="00A46366">
        <w:rPr>
          <w:sz w:val="18"/>
          <w:szCs w:val="18"/>
        </w:rPr>
        <w:t xml:space="preserve"> Výroční zpráva za rok 2008, dostupná na: </w:t>
      </w:r>
      <w:hyperlink r:id="rId3" w:history="1">
        <w:r w:rsidRPr="00A46366">
          <w:rPr>
            <w:rStyle w:val="Hypertextovodkaz"/>
            <w:sz w:val="18"/>
            <w:szCs w:val="18"/>
          </w:rPr>
          <w:t>http://www.cz.o2.com/osobni/o_nas/investor_relations/vyrocni_a_pololetni_zpravy/index.html</w:t>
        </w:r>
      </w:hyperlink>
      <w:r w:rsidRPr="00A46366">
        <w:rPr>
          <w:sz w:val="18"/>
          <w:szCs w:val="18"/>
        </w:rPr>
        <w:t xml:space="preserve">   </w:t>
      </w:r>
    </w:p>
  </w:footnote>
  <w:footnote w:id="71">
    <w:p w:rsidR="001B7A76" w:rsidRPr="00A46366" w:rsidRDefault="001B7A76">
      <w:pPr>
        <w:pStyle w:val="Textpoznpodarou"/>
        <w:rPr>
          <w:sz w:val="18"/>
          <w:szCs w:val="18"/>
        </w:rPr>
      </w:pPr>
      <w:r w:rsidRPr="00A46366">
        <w:rPr>
          <w:rStyle w:val="Znakapoznpodarou"/>
          <w:sz w:val="18"/>
          <w:szCs w:val="18"/>
        </w:rPr>
        <w:footnoteRef/>
      </w:r>
      <w:r w:rsidRPr="00A46366">
        <w:rPr>
          <w:sz w:val="18"/>
          <w:szCs w:val="18"/>
        </w:rPr>
        <w:t xml:space="preserve"> více informací na: </w:t>
      </w:r>
      <w:hyperlink r:id="rId4" w:history="1">
        <w:r w:rsidRPr="00A46366">
          <w:rPr>
            <w:rStyle w:val="Hypertextovodkaz"/>
            <w:sz w:val="18"/>
            <w:szCs w:val="18"/>
          </w:rPr>
          <w:t>http://www.ctu.cz/o-ctu/zakladni-informace.html</w:t>
        </w:r>
      </w:hyperlink>
      <w:r w:rsidRPr="00A46366">
        <w:rPr>
          <w:sz w:val="18"/>
          <w:szCs w:val="18"/>
        </w:rPr>
        <w:t xml:space="preserve"> </w:t>
      </w:r>
    </w:p>
  </w:footnote>
  <w:footnote w:id="72">
    <w:p w:rsidR="001B7A76" w:rsidRPr="00A46366" w:rsidRDefault="001B7A76">
      <w:pPr>
        <w:pStyle w:val="Textpoznpodarou"/>
        <w:rPr>
          <w:sz w:val="18"/>
          <w:szCs w:val="18"/>
        </w:rPr>
      </w:pPr>
      <w:r w:rsidRPr="00A46366">
        <w:rPr>
          <w:rStyle w:val="Znakapoznpodarou"/>
          <w:sz w:val="18"/>
          <w:szCs w:val="18"/>
        </w:rPr>
        <w:footnoteRef/>
      </w:r>
      <w:r w:rsidRPr="00A46366">
        <w:rPr>
          <w:sz w:val="18"/>
          <w:szCs w:val="18"/>
        </w:rPr>
        <w:t xml:space="preserve"> Výroční zpráva za rok 2008, dostupná na: </w:t>
      </w:r>
      <w:hyperlink r:id="rId5" w:history="1">
        <w:r w:rsidRPr="00A46366">
          <w:rPr>
            <w:rStyle w:val="Hypertextovodkaz"/>
            <w:sz w:val="18"/>
            <w:szCs w:val="18"/>
          </w:rPr>
          <w:t>http://www.cz.o2.com/osobni/o_nas/investor_relations/vyrocni_a_pololetni_zpravy/index.html</w:t>
        </w:r>
      </w:hyperlink>
    </w:p>
  </w:footnote>
  <w:footnote w:id="73">
    <w:p w:rsidR="001B7A76" w:rsidRDefault="001B7A76">
      <w:pPr>
        <w:pStyle w:val="Textpoznpodarou"/>
      </w:pPr>
      <w:r>
        <w:rPr>
          <w:rStyle w:val="Znakapoznpodarou"/>
        </w:rPr>
        <w:footnoteRef/>
      </w:r>
      <w:r>
        <w:t xml:space="preserve"> BLAŽEK, L. </w:t>
      </w:r>
      <w:r w:rsidRPr="0026474E">
        <w:rPr>
          <w:i/>
        </w:rPr>
        <w:t>Organizování,</w:t>
      </w:r>
      <w:r>
        <w:rPr>
          <w:i/>
        </w:rPr>
        <w:t xml:space="preserve"> </w:t>
      </w:r>
      <w:r>
        <w:t xml:space="preserve">sylabus do předmětu Management  </w:t>
      </w:r>
    </w:p>
  </w:footnote>
  <w:footnote w:id="74">
    <w:p w:rsidR="001B7A76" w:rsidRPr="00B64D64" w:rsidRDefault="001B7A76">
      <w:pPr>
        <w:pStyle w:val="Textpoznpodarou"/>
        <w:rPr>
          <w:sz w:val="18"/>
          <w:szCs w:val="18"/>
        </w:rPr>
      </w:pPr>
      <w:r w:rsidRPr="00B64D64">
        <w:rPr>
          <w:rStyle w:val="Znakapoznpodarou"/>
          <w:sz w:val="18"/>
          <w:szCs w:val="18"/>
        </w:rPr>
        <w:footnoteRef/>
      </w:r>
      <w:r w:rsidRPr="00B64D64">
        <w:rPr>
          <w:sz w:val="18"/>
          <w:szCs w:val="18"/>
        </w:rPr>
        <w:t xml:space="preserve"> Dlouhodobé a krátkodobé finanční závazky vůči vlastnímu jmění, Výroční zpráva za rok 2008, dostupná na: </w:t>
      </w:r>
      <w:hyperlink r:id="rId6" w:history="1">
        <w:r w:rsidRPr="00B64D64">
          <w:rPr>
            <w:rStyle w:val="Hypertextovodkaz"/>
            <w:sz w:val="18"/>
            <w:szCs w:val="18"/>
          </w:rPr>
          <w:t>http://www.cz.o2.com/osobni/o_nas/investor_relations/vyrocni_a_pololetni_zpravy/index.html</w:t>
        </w:r>
      </w:hyperlink>
    </w:p>
  </w:footnote>
  <w:footnote w:id="75">
    <w:p w:rsidR="001B7A76" w:rsidRDefault="001B7A76">
      <w:pPr>
        <w:pStyle w:val="Textpoznpodarou"/>
      </w:pPr>
      <w:r>
        <w:rPr>
          <w:rStyle w:val="Znakapoznpodarou"/>
        </w:rPr>
        <w:footnoteRef/>
      </w:r>
      <w:r>
        <w:t xml:space="preserve"> </w:t>
      </w:r>
      <w:r w:rsidRPr="00BF21BA">
        <w:rPr>
          <w:sz w:val="18"/>
          <w:szCs w:val="18"/>
        </w:rPr>
        <w:t>Výroční zpráv</w:t>
      </w:r>
      <w:r>
        <w:rPr>
          <w:sz w:val="18"/>
          <w:szCs w:val="18"/>
        </w:rPr>
        <w:t>y</w:t>
      </w:r>
      <w:r w:rsidRPr="00BF21BA">
        <w:rPr>
          <w:sz w:val="18"/>
          <w:szCs w:val="18"/>
        </w:rPr>
        <w:t xml:space="preserve"> za rok </w:t>
      </w:r>
      <w:r>
        <w:rPr>
          <w:sz w:val="18"/>
          <w:szCs w:val="18"/>
        </w:rPr>
        <w:t xml:space="preserve">2005 - </w:t>
      </w:r>
      <w:r w:rsidRPr="00BF21BA">
        <w:rPr>
          <w:sz w:val="18"/>
          <w:szCs w:val="18"/>
        </w:rPr>
        <w:t>2008, dostupn</w:t>
      </w:r>
      <w:r>
        <w:rPr>
          <w:sz w:val="18"/>
          <w:szCs w:val="18"/>
        </w:rPr>
        <w:t>é</w:t>
      </w:r>
      <w:r w:rsidRPr="00BF21BA">
        <w:rPr>
          <w:sz w:val="18"/>
          <w:szCs w:val="18"/>
        </w:rPr>
        <w:t xml:space="preserve"> na: </w:t>
      </w:r>
      <w:hyperlink r:id="rId7" w:history="1">
        <w:r w:rsidRPr="00BF21BA">
          <w:rPr>
            <w:rStyle w:val="Hypertextovodkaz"/>
            <w:sz w:val="18"/>
            <w:szCs w:val="18"/>
          </w:rPr>
          <w:t>http://www.cz.o2.com/osobni/o_nas/investor_relations/vyrocni_a_pololetni_zpravy/index.html</w:t>
        </w:r>
      </w:hyperlink>
    </w:p>
  </w:footnote>
  <w:footnote w:id="76">
    <w:p w:rsidR="001B7A76" w:rsidRPr="00C25E4C" w:rsidRDefault="001B7A76">
      <w:pPr>
        <w:pStyle w:val="Textpoznpodarou"/>
        <w:rPr>
          <w:sz w:val="18"/>
          <w:szCs w:val="18"/>
        </w:rPr>
      </w:pPr>
      <w:r w:rsidRPr="00C25E4C">
        <w:rPr>
          <w:rStyle w:val="Znakapoznpodarou"/>
          <w:sz w:val="18"/>
          <w:szCs w:val="18"/>
        </w:rPr>
        <w:footnoteRef/>
      </w:r>
      <w:r w:rsidRPr="00C25E4C">
        <w:rPr>
          <w:sz w:val="18"/>
          <w:szCs w:val="18"/>
        </w:rPr>
        <w:t xml:space="preserve"> Směrnice SME – 21, Proces řízení podnikových investic </w:t>
      </w:r>
    </w:p>
  </w:footnote>
  <w:footnote w:id="77">
    <w:p w:rsidR="001B7A76" w:rsidRPr="00A55CCE" w:rsidRDefault="001B7A76">
      <w:pPr>
        <w:pStyle w:val="Textpoznpodarou"/>
        <w:rPr>
          <w:sz w:val="18"/>
          <w:szCs w:val="18"/>
        </w:rPr>
      </w:pPr>
      <w:r w:rsidRPr="00A55CCE">
        <w:rPr>
          <w:rStyle w:val="Znakapoznpodarou"/>
          <w:sz w:val="18"/>
          <w:szCs w:val="18"/>
        </w:rPr>
        <w:footnoteRef/>
      </w:r>
      <w:r w:rsidRPr="00A55CCE">
        <w:rPr>
          <w:sz w:val="18"/>
          <w:szCs w:val="18"/>
        </w:rPr>
        <w:t xml:space="preserve"> Postup POS – 51, Postupy a nástroje pro zpracování investičních návrhů předkládaných do CIK a IK</w:t>
      </w:r>
    </w:p>
  </w:footnote>
  <w:footnote w:id="78">
    <w:p w:rsidR="001B7A76" w:rsidRPr="00A55CCE" w:rsidRDefault="001B7A76">
      <w:pPr>
        <w:pStyle w:val="Textpoznpodarou"/>
        <w:rPr>
          <w:sz w:val="18"/>
          <w:szCs w:val="18"/>
        </w:rPr>
      </w:pPr>
      <w:r w:rsidRPr="00A55CCE">
        <w:rPr>
          <w:rStyle w:val="Znakapoznpodarou"/>
          <w:sz w:val="18"/>
          <w:szCs w:val="18"/>
        </w:rPr>
        <w:footnoteRef/>
      </w:r>
      <w:r w:rsidRPr="00A55CCE">
        <w:rPr>
          <w:sz w:val="18"/>
          <w:szCs w:val="18"/>
        </w:rPr>
        <w:t xml:space="preserve"> Směrnice SME – 21, Proces řízení podnikových investic</w:t>
      </w:r>
    </w:p>
  </w:footnote>
  <w:footnote w:id="79">
    <w:p w:rsidR="001B7A76" w:rsidRPr="005E7E3B" w:rsidRDefault="001B7A76">
      <w:pPr>
        <w:pStyle w:val="Textpoznpodarou"/>
        <w:rPr>
          <w:sz w:val="18"/>
          <w:szCs w:val="18"/>
        </w:rPr>
      </w:pPr>
      <w:r w:rsidRPr="005E7E3B">
        <w:rPr>
          <w:rStyle w:val="Znakapoznpodarou"/>
          <w:sz w:val="18"/>
          <w:szCs w:val="18"/>
        </w:rPr>
        <w:footnoteRef/>
      </w:r>
      <w:r w:rsidRPr="005E7E3B">
        <w:rPr>
          <w:sz w:val="18"/>
          <w:szCs w:val="18"/>
        </w:rPr>
        <w:t xml:space="preserve"> Směrnice SME – 21, Proces řízení podnikových investic</w:t>
      </w:r>
    </w:p>
  </w:footnote>
  <w:footnote w:id="80">
    <w:p w:rsidR="001B7A76" w:rsidRPr="006F5332" w:rsidRDefault="001B7A76" w:rsidP="003076BE">
      <w:pPr>
        <w:rPr>
          <w:sz w:val="18"/>
          <w:szCs w:val="18"/>
        </w:rPr>
      </w:pPr>
      <w:r w:rsidRPr="006F5332">
        <w:rPr>
          <w:rStyle w:val="Znakapoznpodarou"/>
          <w:sz w:val="18"/>
          <w:szCs w:val="18"/>
        </w:rPr>
        <w:footnoteRef/>
      </w:r>
      <w:r w:rsidRPr="006F5332">
        <w:rPr>
          <w:sz w:val="18"/>
          <w:szCs w:val="18"/>
        </w:rPr>
        <w:t xml:space="preserve"> PAŘENICOVÁ, P </w:t>
      </w:r>
      <w:r w:rsidRPr="006F5332">
        <w:rPr>
          <w:i/>
          <w:sz w:val="18"/>
          <w:szCs w:val="18"/>
        </w:rPr>
        <w:t>Odhad modelu oceňování kapitálových aktiv pomocí Kalmanova filtru</w:t>
      </w:r>
      <w:r w:rsidRPr="006F5332">
        <w:rPr>
          <w:sz w:val="18"/>
          <w:szCs w:val="18"/>
        </w:rPr>
        <w:t xml:space="preserve">, dostupné na: </w:t>
      </w:r>
      <w:hyperlink r:id="rId8" w:history="1">
        <w:r w:rsidRPr="006F5332">
          <w:rPr>
            <w:rStyle w:val="Hypertextovodkaz"/>
            <w:sz w:val="18"/>
            <w:szCs w:val="18"/>
          </w:rPr>
          <w:t>http://ies.fsv.cuni.cz/work/index/show/id/853/lang/cs</w:t>
        </w:r>
      </w:hyperlink>
    </w:p>
  </w:footnote>
  <w:footnote w:id="81">
    <w:p w:rsidR="001B7A76" w:rsidRPr="00423C2E" w:rsidRDefault="001B7A76" w:rsidP="003076BE">
      <w:pPr>
        <w:rPr>
          <w:sz w:val="18"/>
          <w:szCs w:val="18"/>
        </w:rPr>
      </w:pPr>
      <w:r w:rsidRPr="00423C2E">
        <w:rPr>
          <w:rStyle w:val="Znakapoznpodarou"/>
          <w:sz w:val="18"/>
          <w:szCs w:val="18"/>
        </w:rPr>
        <w:footnoteRef/>
      </w:r>
      <w:r w:rsidRPr="00423C2E">
        <w:rPr>
          <w:sz w:val="18"/>
          <w:szCs w:val="18"/>
        </w:rPr>
        <w:t xml:space="preserve"> PRODĚLAL, F </w:t>
      </w:r>
      <w:r w:rsidRPr="00423C2E">
        <w:rPr>
          <w:i/>
          <w:sz w:val="18"/>
          <w:szCs w:val="18"/>
        </w:rPr>
        <w:t>Výpočet rizikové prémie trhu a koeficientu beta z dat českého kapitálového trhu</w:t>
      </w:r>
      <w:r w:rsidRPr="00423C2E">
        <w:rPr>
          <w:sz w:val="18"/>
          <w:szCs w:val="18"/>
        </w:rPr>
        <w:t xml:space="preserve">, dostupné na: </w:t>
      </w:r>
      <w:hyperlink r:id="rId9" w:history="1">
        <w:r w:rsidRPr="00423C2E">
          <w:rPr>
            <w:rStyle w:val="Hypertextovodkaz"/>
            <w:sz w:val="18"/>
            <w:szCs w:val="18"/>
          </w:rPr>
          <w:t>http://www.fce.vutbr.cz/veda/juniorstav2008_sekce/pdf/7/Prodelal_Frantisek_CL.pdf</w:t>
        </w:r>
      </w:hyperlink>
    </w:p>
  </w:footnote>
  <w:footnote w:id="82">
    <w:p w:rsidR="001B7A76" w:rsidRDefault="001B7A76" w:rsidP="00165052">
      <w:pPr>
        <w:pStyle w:val="Textpoznpodarou"/>
      </w:pPr>
      <w:r>
        <w:rPr>
          <w:rStyle w:val="Znakapoznpodarou"/>
        </w:rPr>
        <w:footnoteRef/>
      </w:r>
      <w:r>
        <w:t xml:space="preserve"> Míra inflace, dostupné na: </w:t>
      </w:r>
      <w:hyperlink r:id="rId10" w:history="1">
        <w:r w:rsidRPr="00C21A6C">
          <w:rPr>
            <w:rStyle w:val="Hypertextovodkaz"/>
          </w:rPr>
          <w:t>http://www.czso.cz/csu/redakce.nsf/i/mira_inflace</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F23"/>
    <w:multiLevelType w:val="hybridMultilevel"/>
    <w:tmpl w:val="62CA3674"/>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1">
    <w:nsid w:val="02A40105"/>
    <w:multiLevelType w:val="hybridMultilevel"/>
    <w:tmpl w:val="99A83F7A"/>
    <w:lvl w:ilvl="0" w:tplc="04050001">
      <w:start w:val="1"/>
      <w:numFmt w:val="bullet"/>
      <w:lvlText w:val=""/>
      <w:lvlJc w:val="left"/>
      <w:pPr>
        <w:ind w:left="1142" w:hanging="360"/>
      </w:pPr>
      <w:rPr>
        <w:rFonts w:ascii="Symbol" w:hAnsi="Symbol" w:hint="default"/>
      </w:rPr>
    </w:lvl>
    <w:lvl w:ilvl="1" w:tplc="04050003">
      <w:start w:val="1"/>
      <w:numFmt w:val="bullet"/>
      <w:lvlText w:val="o"/>
      <w:lvlJc w:val="left"/>
      <w:pPr>
        <w:ind w:left="1862" w:hanging="360"/>
      </w:pPr>
      <w:rPr>
        <w:rFonts w:ascii="Courier New" w:hAnsi="Courier New" w:cs="Courier New" w:hint="default"/>
      </w:rPr>
    </w:lvl>
    <w:lvl w:ilvl="2" w:tplc="04050005" w:tentative="1">
      <w:start w:val="1"/>
      <w:numFmt w:val="bullet"/>
      <w:lvlText w:val=""/>
      <w:lvlJc w:val="left"/>
      <w:pPr>
        <w:ind w:left="2582" w:hanging="360"/>
      </w:pPr>
      <w:rPr>
        <w:rFonts w:ascii="Wingdings" w:hAnsi="Wingdings" w:hint="default"/>
      </w:rPr>
    </w:lvl>
    <w:lvl w:ilvl="3" w:tplc="04050001" w:tentative="1">
      <w:start w:val="1"/>
      <w:numFmt w:val="bullet"/>
      <w:lvlText w:val=""/>
      <w:lvlJc w:val="left"/>
      <w:pPr>
        <w:ind w:left="3302" w:hanging="360"/>
      </w:pPr>
      <w:rPr>
        <w:rFonts w:ascii="Symbol" w:hAnsi="Symbol" w:hint="default"/>
      </w:rPr>
    </w:lvl>
    <w:lvl w:ilvl="4" w:tplc="04050003" w:tentative="1">
      <w:start w:val="1"/>
      <w:numFmt w:val="bullet"/>
      <w:lvlText w:val="o"/>
      <w:lvlJc w:val="left"/>
      <w:pPr>
        <w:ind w:left="4022" w:hanging="360"/>
      </w:pPr>
      <w:rPr>
        <w:rFonts w:ascii="Courier New" w:hAnsi="Courier New" w:cs="Courier New" w:hint="default"/>
      </w:rPr>
    </w:lvl>
    <w:lvl w:ilvl="5" w:tplc="04050005" w:tentative="1">
      <w:start w:val="1"/>
      <w:numFmt w:val="bullet"/>
      <w:lvlText w:val=""/>
      <w:lvlJc w:val="left"/>
      <w:pPr>
        <w:ind w:left="4742" w:hanging="360"/>
      </w:pPr>
      <w:rPr>
        <w:rFonts w:ascii="Wingdings" w:hAnsi="Wingdings" w:hint="default"/>
      </w:rPr>
    </w:lvl>
    <w:lvl w:ilvl="6" w:tplc="04050001" w:tentative="1">
      <w:start w:val="1"/>
      <w:numFmt w:val="bullet"/>
      <w:lvlText w:val=""/>
      <w:lvlJc w:val="left"/>
      <w:pPr>
        <w:ind w:left="5462" w:hanging="360"/>
      </w:pPr>
      <w:rPr>
        <w:rFonts w:ascii="Symbol" w:hAnsi="Symbol" w:hint="default"/>
      </w:rPr>
    </w:lvl>
    <w:lvl w:ilvl="7" w:tplc="04050003" w:tentative="1">
      <w:start w:val="1"/>
      <w:numFmt w:val="bullet"/>
      <w:lvlText w:val="o"/>
      <w:lvlJc w:val="left"/>
      <w:pPr>
        <w:ind w:left="6182" w:hanging="360"/>
      </w:pPr>
      <w:rPr>
        <w:rFonts w:ascii="Courier New" w:hAnsi="Courier New" w:cs="Courier New" w:hint="default"/>
      </w:rPr>
    </w:lvl>
    <w:lvl w:ilvl="8" w:tplc="04050005" w:tentative="1">
      <w:start w:val="1"/>
      <w:numFmt w:val="bullet"/>
      <w:lvlText w:val=""/>
      <w:lvlJc w:val="left"/>
      <w:pPr>
        <w:ind w:left="6902" w:hanging="360"/>
      </w:pPr>
      <w:rPr>
        <w:rFonts w:ascii="Wingdings" w:hAnsi="Wingdings" w:hint="default"/>
      </w:rPr>
    </w:lvl>
  </w:abstractNum>
  <w:abstractNum w:abstractNumId="2">
    <w:nsid w:val="031B5D3E"/>
    <w:multiLevelType w:val="hybridMultilevel"/>
    <w:tmpl w:val="C9485494"/>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3">
    <w:nsid w:val="04D34F82"/>
    <w:multiLevelType w:val="hybridMultilevel"/>
    <w:tmpl w:val="04F4598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
    <w:nsid w:val="051A55A4"/>
    <w:multiLevelType w:val="hybridMultilevel"/>
    <w:tmpl w:val="68249848"/>
    <w:lvl w:ilvl="0" w:tplc="04050001">
      <w:start w:val="1"/>
      <w:numFmt w:val="bullet"/>
      <w:lvlText w:val=""/>
      <w:lvlJc w:val="left"/>
      <w:pPr>
        <w:ind w:left="1020" w:hanging="360"/>
      </w:pPr>
      <w:rPr>
        <w:rFonts w:ascii="Symbol" w:hAnsi="Symbol"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5">
    <w:nsid w:val="08CF187E"/>
    <w:multiLevelType w:val="hybridMultilevel"/>
    <w:tmpl w:val="8EDC2104"/>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C01432F"/>
    <w:multiLevelType w:val="hybridMultilevel"/>
    <w:tmpl w:val="456EEB2C"/>
    <w:lvl w:ilvl="0" w:tplc="04050001">
      <w:start w:val="1"/>
      <w:numFmt w:val="bullet"/>
      <w:lvlText w:val=""/>
      <w:lvlJc w:val="left"/>
      <w:pPr>
        <w:ind w:left="1005" w:hanging="360"/>
      </w:pPr>
      <w:rPr>
        <w:rFonts w:ascii="Symbol" w:hAnsi="Symbol" w:hint="default"/>
      </w:rPr>
    </w:lvl>
    <w:lvl w:ilvl="1" w:tplc="04050003" w:tentative="1">
      <w:start w:val="1"/>
      <w:numFmt w:val="bullet"/>
      <w:lvlText w:val="o"/>
      <w:lvlJc w:val="left"/>
      <w:pPr>
        <w:ind w:left="1725" w:hanging="360"/>
      </w:pPr>
      <w:rPr>
        <w:rFonts w:ascii="Courier New" w:hAnsi="Courier New" w:cs="Courier New" w:hint="default"/>
      </w:rPr>
    </w:lvl>
    <w:lvl w:ilvl="2" w:tplc="04050005" w:tentative="1">
      <w:start w:val="1"/>
      <w:numFmt w:val="bullet"/>
      <w:lvlText w:val=""/>
      <w:lvlJc w:val="left"/>
      <w:pPr>
        <w:ind w:left="2445" w:hanging="360"/>
      </w:pPr>
      <w:rPr>
        <w:rFonts w:ascii="Wingdings" w:hAnsi="Wingdings" w:hint="default"/>
      </w:rPr>
    </w:lvl>
    <w:lvl w:ilvl="3" w:tplc="04050001" w:tentative="1">
      <w:start w:val="1"/>
      <w:numFmt w:val="bullet"/>
      <w:lvlText w:val=""/>
      <w:lvlJc w:val="left"/>
      <w:pPr>
        <w:ind w:left="3165" w:hanging="360"/>
      </w:pPr>
      <w:rPr>
        <w:rFonts w:ascii="Symbol" w:hAnsi="Symbol" w:hint="default"/>
      </w:rPr>
    </w:lvl>
    <w:lvl w:ilvl="4" w:tplc="04050003" w:tentative="1">
      <w:start w:val="1"/>
      <w:numFmt w:val="bullet"/>
      <w:lvlText w:val="o"/>
      <w:lvlJc w:val="left"/>
      <w:pPr>
        <w:ind w:left="3885" w:hanging="360"/>
      </w:pPr>
      <w:rPr>
        <w:rFonts w:ascii="Courier New" w:hAnsi="Courier New" w:cs="Courier New" w:hint="default"/>
      </w:rPr>
    </w:lvl>
    <w:lvl w:ilvl="5" w:tplc="04050005" w:tentative="1">
      <w:start w:val="1"/>
      <w:numFmt w:val="bullet"/>
      <w:lvlText w:val=""/>
      <w:lvlJc w:val="left"/>
      <w:pPr>
        <w:ind w:left="4605" w:hanging="360"/>
      </w:pPr>
      <w:rPr>
        <w:rFonts w:ascii="Wingdings" w:hAnsi="Wingdings" w:hint="default"/>
      </w:rPr>
    </w:lvl>
    <w:lvl w:ilvl="6" w:tplc="04050001" w:tentative="1">
      <w:start w:val="1"/>
      <w:numFmt w:val="bullet"/>
      <w:lvlText w:val=""/>
      <w:lvlJc w:val="left"/>
      <w:pPr>
        <w:ind w:left="5325" w:hanging="360"/>
      </w:pPr>
      <w:rPr>
        <w:rFonts w:ascii="Symbol" w:hAnsi="Symbol" w:hint="default"/>
      </w:rPr>
    </w:lvl>
    <w:lvl w:ilvl="7" w:tplc="04050003" w:tentative="1">
      <w:start w:val="1"/>
      <w:numFmt w:val="bullet"/>
      <w:lvlText w:val="o"/>
      <w:lvlJc w:val="left"/>
      <w:pPr>
        <w:ind w:left="6045" w:hanging="360"/>
      </w:pPr>
      <w:rPr>
        <w:rFonts w:ascii="Courier New" w:hAnsi="Courier New" w:cs="Courier New" w:hint="default"/>
      </w:rPr>
    </w:lvl>
    <w:lvl w:ilvl="8" w:tplc="04050005" w:tentative="1">
      <w:start w:val="1"/>
      <w:numFmt w:val="bullet"/>
      <w:lvlText w:val=""/>
      <w:lvlJc w:val="left"/>
      <w:pPr>
        <w:ind w:left="6765" w:hanging="360"/>
      </w:pPr>
      <w:rPr>
        <w:rFonts w:ascii="Wingdings" w:hAnsi="Wingdings" w:hint="default"/>
      </w:rPr>
    </w:lvl>
  </w:abstractNum>
  <w:abstractNum w:abstractNumId="7">
    <w:nsid w:val="0C63648C"/>
    <w:multiLevelType w:val="hybridMultilevel"/>
    <w:tmpl w:val="46EEA510"/>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F1E1815"/>
    <w:multiLevelType w:val="hybridMultilevel"/>
    <w:tmpl w:val="3B58FA6A"/>
    <w:lvl w:ilvl="0" w:tplc="04050001">
      <w:start w:val="1"/>
      <w:numFmt w:val="bullet"/>
      <w:lvlText w:val=""/>
      <w:lvlJc w:val="left"/>
      <w:pPr>
        <w:ind w:left="960" w:hanging="360"/>
      </w:pPr>
      <w:rPr>
        <w:rFonts w:ascii="Symbol" w:hAnsi="Symbol" w:hint="default"/>
      </w:rPr>
    </w:lvl>
    <w:lvl w:ilvl="1" w:tplc="04050003" w:tentative="1">
      <w:start w:val="1"/>
      <w:numFmt w:val="bullet"/>
      <w:lvlText w:val="o"/>
      <w:lvlJc w:val="left"/>
      <w:pPr>
        <w:ind w:left="1680" w:hanging="360"/>
      </w:pPr>
      <w:rPr>
        <w:rFonts w:ascii="Courier New" w:hAnsi="Courier New" w:cs="Courier New" w:hint="default"/>
      </w:rPr>
    </w:lvl>
    <w:lvl w:ilvl="2" w:tplc="04050005" w:tentative="1">
      <w:start w:val="1"/>
      <w:numFmt w:val="bullet"/>
      <w:lvlText w:val=""/>
      <w:lvlJc w:val="left"/>
      <w:pPr>
        <w:ind w:left="2400" w:hanging="360"/>
      </w:pPr>
      <w:rPr>
        <w:rFonts w:ascii="Wingdings" w:hAnsi="Wingdings" w:hint="default"/>
      </w:rPr>
    </w:lvl>
    <w:lvl w:ilvl="3" w:tplc="04050001" w:tentative="1">
      <w:start w:val="1"/>
      <w:numFmt w:val="bullet"/>
      <w:lvlText w:val=""/>
      <w:lvlJc w:val="left"/>
      <w:pPr>
        <w:ind w:left="3120" w:hanging="360"/>
      </w:pPr>
      <w:rPr>
        <w:rFonts w:ascii="Symbol" w:hAnsi="Symbol" w:hint="default"/>
      </w:rPr>
    </w:lvl>
    <w:lvl w:ilvl="4" w:tplc="04050003" w:tentative="1">
      <w:start w:val="1"/>
      <w:numFmt w:val="bullet"/>
      <w:lvlText w:val="o"/>
      <w:lvlJc w:val="left"/>
      <w:pPr>
        <w:ind w:left="3840" w:hanging="360"/>
      </w:pPr>
      <w:rPr>
        <w:rFonts w:ascii="Courier New" w:hAnsi="Courier New" w:cs="Courier New" w:hint="default"/>
      </w:rPr>
    </w:lvl>
    <w:lvl w:ilvl="5" w:tplc="04050005" w:tentative="1">
      <w:start w:val="1"/>
      <w:numFmt w:val="bullet"/>
      <w:lvlText w:val=""/>
      <w:lvlJc w:val="left"/>
      <w:pPr>
        <w:ind w:left="4560" w:hanging="360"/>
      </w:pPr>
      <w:rPr>
        <w:rFonts w:ascii="Wingdings" w:hAnsi="Wingdings" w:hint="default"/>
      </w:rPr>
    </w:lvl>
    <w:lvl w:ilvl="6" w:tplc="04050001" w:tentative="1">
      <w:start w:val="1"/>
      <w:numFmt w:val="bullet"/>
      <w:lvlText w:val=""/>
      <w:lvlJc w:val="left"/>
      <w:pPr>
        <w:ind w:left="5280" w:hanging="360"/>
      </w:pPr>
      <w:rPr>
        <w:rFonts w:ascii="Symbol" w:hAnsi="Symbol" w:hint="default"/>
      </w:rPr>
    </w:lvl>
    <w:lvl w:ilvl="7" w:tplc="04050003" w:tentative="1">
      <w:start w:val="1"/>
      <w:numFmt w:val="bullet"/>
      <w:lvlText w:val="o"/>
      <w:lvlJc w:val="left"/>
      <w:pPr>
        <w:ind w:left="6000" w:hanging="360"/>
      </w:pPr>
      <w:rPr>
        <w:rFonts w:ascii="Courier New" w:hAnsi="Courier New" w:cs="Courier New" w:hint="default"/>
      </w:rPr>
    </w:lvl>
    <w:lvl w:ilvl="8" w:tplc="04050005" w:tentative="1">
      <w:start w:val="1"/>
      <w:numFmt w:val="bullet"/>
      <w:lvlText w:val=""/>
      <w:lvlJc w:val="left"/>
      <w:pPr>
        <w:ind w:left="6720" w:hanging="360"/>
      </w:pPr>
      <w:rPr>
        <w:rFonts w:ascii="Wingdings" w:hAnsi="Wingdings" w:hint="default"/>
      </w:rPr>
    </w:lvl>
  </w:abstractNum>
  <w:abstractNum w:abstractNumId="9">
    <w:nsid w:val="100D032B"/>
    <w:multiLevelType w:val="hybridMultilevel"/>
    <w:tmpl w:val="6EF66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010643B"/>
    <w:multiLevelType w:val="hybridMultilevel"/>
    <w:tmpl w:val="D1AE9C84"/>
    <w:lvl w:ilvl="0" w:tplc="07A81F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4CB6E44"/>
    <w:multiLevelType w:val="hybridMultilevel"/>
    <w:tmpl w:val="D034D2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7350BFE"/>
    <w:multiLevelType w:val="multilevel"/>
    <w:tmpl w:val="E3886E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7833436"/>
    <w:multiLevelType w:val="hybridMultilevel"/>
    <w:tmpl w:val="8AD0B9C4"/>
    <w:lvl w:ilvl="0" w:tplc="04050001">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4">
    <w:nsid w:val="1A765F27"/>
    <w:multiLevelType w:val="hybridMultilevel"/>
    <w:tmpl w:val="488A4A9E"/>
    <w:lvl w:ilvl="0" w:tplc="04050001">
      <w:start w:val="1"/>
      <w:numFmt w:val="bullet"/>
      <w:lvlText w:val=""/>
      <w:lvlJc w:val="left"/>
      <w:pPr>
        <w:ind w:left="1020" w:hanging="360"/>
      </w:pPr>
      <w:rPr>
        <w:rFonts w:ascii="Symbol" w:hAnsi="Symbol"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15">
    <w:nsid w:val="1BBD5753"/>
    <w:multiLevelType w:val="hybridMultilevel"/>
    <w:tmpl w:val="C3B23DF6"/>
    <w:lvl w:ilvl="0" w:tplc="04050001">
      <w:start w:val="1"/>
      <w:numFmt w:val="bullet"/>
      <w:lvlText w:val=""/>
      <w:lvlJc w:val="left"/>
      <w:pPr>
        <w:ind w:left="1020" w:hanging="360"/>
      </w:pPr>
      <w:rPr>
        <w:rFonts w:ascii="Symbol" w:hAnsi="Symbol"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16">
    <w:nsid w:val="1C6D3154"/>
    <w:multiLevelType w:val="hybridMultilevel"/>
    <w:tmpl w:val="3A16C002"/>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17">
    <w:nsid w:val="1D2B218E"/>
    <w:multiLevelType w:val="hybridMultilevel"/>
    <w:tmpl w:val="F4EE0A16"/>
    <w:lvl w:ilvl="0" w:tplc="04050001">
      <w:start w:val="1"/>
      <w:numFmt w:val="bullet"/>
      <w:lvlText w:val=""/>
      <w:lvlJc w:val="left"/>
      <w:pPr>
        <w:ind w:left="1005" w:hanging="360"/>
      </w:pPr>
      <w:rPr>
        <w:rFonts w:ascii="Symbol" w:hAnsi="Symbol" w:hint="default"/>
      </w:rPr>
    </w:lvl>
    <w:lvl w:ilvl="1" w:tplc="04050003" w:tentative="1">
      <w:start w:val="1"/>
      <w:numFmt w:val="bullet"/>
      <w:lvlText w:val="o"/>
      <w:lvlJc w:val="left"/>
      <w:pPr>
        <w:ind w:left="1725" w:hanging="360"/>
      </w:pPr>
      <w:rPr>
        <w:rFonts w:ascii="Courier New" w:hAnsi="Courier New" w:cs="Courier New" w:hint="default"/>
      </w:rPr>
    </w:lvl>
    <w:lvl w:ilvl="2" w:tplc="04050005" w:tentative="1">
      <w:start w:val="1"/>
      <w:numFmt w:val="bullet"/>
      <w:lvlText w:val=""/>
      <w:lvlJc w:val="left"/>
      <w:pPr>
        <w:ind w:left="2445" w:hanging="360"/>
      </w:pPr>
      <w:rPr>
        <w:rFonts w:ascii="Wingdings" w:hAnsi="Wingdings" w:hint="default"/>
      </w:rPr>
    </w:lvl>
    <w:lvl w:ilvl="3" w:tplc="04050001" w:tentative="1">
      <w:start w:val="1"/>
      <w:numFmt w:val="bullet"/>
      <w:lvlText w:val=""/>
      <w:lvlJc w:val="left"/>
      <w:pPr>
        <w:ind w:left="3165" w:hanging="360"/>
      </w:pPr>
      <w:rPr>
        <w:rFonts w:ascii="Symbol" w:hAnsi="Symbol" w:hint="default"/>
      </w:rPr>
    </w:lvl>
    <w:lvl w:ilvl="4" w:tplc="04050003" w:tentative="1">
      <w:start w:val="1"/>
      <w:numFmt w:val="bullet"/>
      <w:lvlText w:val="o"/>
      <w:lvlJc w:val="left"/>
      <w:pPr>
        <w:ind w:left="3885" w:hanging="360"/>
      </w:pPr>
      <w:rPr>
        <w:rFonts w:ascii="Courier New" w:hAnsi="Courier New" w:cs="Courier New" w:hint="default"/>
      </w:rPr>
    </w:lvl>
    <w:lvl w:ilvl="5" w:tplc="04050005" w:tentative="1">
      <w:start w:val="1"/>
      <w:numFmt w:val="bullet"/>
      <w:lvlText w:val=""/>
      <w:lvlJc w:val="left"/>
      <w:pPr>
        <w:ind w:left="4605" w:hanging="360"/>
      </w:pPr>
      <w:rPr>
        <w:rFonts w:ascii="Wingdings" w:hAnsi="Wingdings" w:hint="default"/>
      </w:rPr>
    </w:lvl>
    <w:lvl w:ilvl="6" w:tplc="04050001" w:tentative="1">
      <w:start w:val="1"/>
      <w:numFmt w:val="bullet"/>
      <w:lvlText w:val=""/>
      <w:lvlJc w:val="left"/>
      <w:pPr>
        <w:ind w:left="5325" w:hanging="360"/>
      </w:pPr>
      <w:rPr>
        <w:rFonts w:ascii="Symbol" w:hAnsi="Symbol" w:hint="default"/>
      </w:rPr>
    </w:lvl>
    <w:lvl w:ilvl="7" w:tplc="04050003" w:tentative="1">
      <w:start w:val="1"/>
      <w:numFmt w:val="bullet"/>
      <w:lvlText w:val="o"/>
      <w:lvlJc w:val="left"/>
      <w:pPr>
        <w:ind w:left="6045" w:hanging="360"/>
      </w:pPr>
      <w:rPr>
        <w:rFonts w:ascii="Courier New" w:hAnsi="Courier New" w:cs="Courier New" w:hint="default"/>
      </w:rPr>
    </w:lvl>
    <w:lvl w:ilvl="8" w:tplc="04050005" w:tentative="1">
      <w:start w:val="1"/>
      <w:numFmt w:val="bullet"/>
      <w:lvlText w:val=""/>
      <w:lvlJc w:val="left"/>
      <w:pPr>
        <w:ind w:left="6765" w:hanging="360"/>
      </w:pPr>
      <w:rPr>
        <w:rFonts w:ascii="Wingdings" w:hAnsi="Wingdings" w:hint="default"/>
      </w:rPr>
    </w:lvl>
  </w:abstractNum>
  <w:abstractNum w:abstractNumId="18">
    <w:nsid w:val="1F6802B0"/>
    <w:multiLevelType w:val="hybridMultilevel"/>
    <w:tmpl w:val="664A858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
    <w:nsid w:val="203A0F13"/>
    <w:multiLevelType w:val="hybridMultilevel"/>
    <w:tmpl w:val="1CA8998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38718D4"/>
    <w:multiLevelType w:val="hybridMultilevel"/>
    <w:tmpl w:val="68342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49105AF"/>
    <w:multiLevelType w:val="multilevel"/>
    <w:tmpl w:val="8DB011C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53768A0"/>
    <w:multiLevelType w:val="hybridMultilevel"/>
    <w:tmpl w:val="2FA2C7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57B128D"/>
    <w:multiLevelType w:val="hybridMultilevel"/>
    <w:tmpl w:val="A984B4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25D93A67"/>
    <w:multiLevelType w:val="hybridMultilevel"/>
    <w:tmpl w:val="81867B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25F15918"/>
    <w:multiLevelType w:val="hybridMultilevel"/>
    <w:tmpl w:val="47B42EB8"/>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6">
    <w:nsid w:val="26802BF8"/>
    <w:multiLevelType w:val="multilevel"/>
    <w:tmpl w:val="0405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273D1AEC"/>
    <w:multiLevelType w:val="hybridMultilevel"/>
    <w:tmpl w:val="05B2FFF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
    <w:nsid w:val="2A8E3372"/>
    <w:multiLevelType w:val="hybridMultilevel"/>
    <w:tmpl w:val="BFF6D98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9">
    <w:nsid w:val="2AFE7B71"/>
    <w:multiLevelType w:val="hybridMultilevel"/>
    <w:tmpl w:val="D9FE60E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0">
    <w:nsid w:val="2C0A43C4"/>
    <w:multiLevelType w:val="hybridMultilevel"/>
    <w:tmpl w:val="FBB28FE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1">
    <w:nsid w:val="34F71623"/>
    <w:multiLevelType w:val="hybridMultilevel"/>
    <w:tmpl w:val="FAEE1AE2"/>
    <w:lvl w:ilvl="0" w:tplc="04050001">
      <w:start w:val="1"/>
      <w:numFmt w:val="bullet"/>
      <w:lvlText w:val=""/>
      <w:lvlJc w:val="left"/>
      <w:pPr>
        <w:ind w:left="1020" w:hanging="360"/>
      </w:pPr>
      <w:rPr>
        <w:rFonts w:ascii="Symbol" w:hAnsi="Symbol"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32">
    <w:nsid w:val="3BF43D55"/>
    <w:multiLevelType w:val="hybridMultilevel"/>
    <w:tmpl w:val="3AEA7BDA"/>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3C345470"/>
    <w:multiLevelType w:val="singleLevel"/>
    <w:tmpl w:val="8ED4F610"/>
    <w:lvl w:ilvl="0">
      <w:numFmt w:val="none"/>
      <w:pStyle w:val="odrka4"/>
      <w:lvlText w:val="Ÿ"/>
      <w:legacy w:legacy="1" w:legacySpace="0" w:legacyIndent="360"/>
      <w:lvlJc w:val="left"/>
      <w:pPr>
        <w:ind w:left="1477" w:hanging="360"/>
      </w:pPr>
      <w:rPr>
        <w:rFonts w:ascii="Wingdings" w:hAnsi="Wingdings" w:hint="default"/>
        <w:sz w:val="24"/>
      </w:rPr>
    </w:lvl>
  </w:abstractNum>
  <w:abstractNum w:abstractNumId="34">
    <w:nsid w:val="3F7D6E12"/>
    <w:multiLevelType w:val="hybridMultilevel"/>
    <w:tmpl w:val="0FA0F408"/>
    <w:lvl w:ilvl="0" w:tplc="04050001">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35">
    <w:nsid w:val="43DA3B8E"/>
    <w:multiLevelType w:val="hybridMultilevel"/>
    <w:tmpl w:val="EB9681C6"/>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6">
    <w:nsid w:val="46207934"/>
    <w:multiLevelType w:val="hybridMultilevel"/>
    <w:tmpl w:val="0E22755C"/>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37">
    <w:nsid w:val="467826ED"/>
    <w:multiLevelType w:val="hybridMultilevel"/>
    <w:tmpl w:val="108C3EEA"/>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38">
    <w:nsid w:val="472C1A15"/>
    <w:multiLevelType w:val="hybridMultilevel"/>
    <w:tmpl w:val="8630609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4A2D5FC5"/>
    <w:multiLevelType w:val="hybridMultilevel"/>
    <w:tmpl w:val="ACD63D6C"/>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4B2C0AC3"/>
    <w:multiLevelType w:val="hybridMultilevel"/>
    <w:tmpl w:val="2E3279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4B8866D6"/>
    <w:multiLevelType w:val="hybridMultilevel"/>
    <w:tmpl w:val="CC0EC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4D600E39"/>
    <w:multiLevelType w:val="hybridMultilevel"/>
    <w:tmpl w:val="8E6069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4FD0362A"/>
    <w:multiLevelType w:val="hybridMultilevel"/>
    <w:tmpl w:val="464643D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4">
    <w:nsid w:val="51516583"/>
    <w:multiLevelType w:val="hybridMultilevel"/>
    <w:tmpl w:val="63260A90"/>
    <w:lvl w:ilvl="0" w:tplc="04050001">
      <w:start w:val="1"/>
      <w:numFmt w:val="bullet"/>
      <w:lvlText w:val=""/>
      <w:lvlJc w:val="left"/>
      <w:pPr>
        <w:ind w:left="1020" w:hanging="360"/>
      </w:pPr>
      <w:rPr>
        <w:rFonts w:ascii="Symbol" w:hAnsi="Symbol"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45">
    <w:nsid w:val="515E47C2"/>
    <w:multiLevelType w:val="hybridMultilevel"/>
    <w:tmpl w:val="1E9A845C"/>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46">
    <w:nsid w:val="51B5636C"/>
    <w:multiLevelType w:val="hybridMultilevel"/>
    <w:tmpl w:val="F81AACA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7">
    <w:nsid w:val="51BE35C2"/>
    <w:multiLevelType w:val="hybridMultilevel"/>
    <w:tmpl w:val="0C4053B8"/>
    <w:lvl w:ilvl="0" w:tplc="04050001">
      <w:start w:val="1"/>
      <w:numFmt w:val="bullet"/>
      <w:lvlText w:val=""/>
      <w:lvlJc w:val="left"/>
      <w:pPr>
        <w:ind w:left="1128" w:hanging="360"/>
      </w:pPr>
      <w:rPr>
        <w:rFonts w:ascii="Symbol" w:hAnsi="Symbol" w:hint="default"/>
      </w:rPr>
    </w:lvl>
    <w:lvl w:ilvl="1" w:tplc="04050003" w:tentative="1">
      <w:start w:val="1"/>
      <w:numFmt w:val="bullet"/>
      <w:lvlText w:val="o"/>
      <w:lvlJc w:val="left"/>
      <w:pPr>
        <w:ind w:left="1848" w:hanging="360"/>
      </w:pPr>
      <w:rPr>
        <w:rFonts w:ascii="Courier New" w:hAnsi="Courier New" w:cs="Courier New" w:hint="default"/>
      </w:rPr>
    </w:lvl>
    <w:lvl w:ilvl="2" w:tplc="04050005" w:tentative="1">
      <w:start w:val="1"/>
      <w:numFmt w:val="bullet"/>
      <w:lvlText w:val=""/>
      <w:lvlJc w:val="left"/>
      <w:pPr>
        <w:ind w:left="2568" w:hanging="360"/>
      </w:pPr>
      <w:rPr>
        <w:rFonts w:ascii="Wingdings" w:hAnsi="Wingdings" w:hint="default"/>
      </w:rPr>
    </w:lvl>
    <w:lvl w:ilvl="3" w:tplc="04050001" w:tentative="1">
      <w:start w:val="1"/>
      <w:numFmt w:val="bullet"/>
      <w:lvlText w:val=""/>
      <w:lvlJc w:val="left"/>
      <w:pPr>
        <w:ind w:left="3288" w:hanging="360"/>
      </w:pPr>
      <w:rPr>
        <w:rFonts w:ascii="Symbol" w:hAnsi="Symbol" w:hint="default"/>
      </w:rPr>
    </w:lvl>
    <w:lvl w:ilvl="4" w:tplc="04050003" w:tentative="1">
      <w:start w:val="1"/>
      <w:numFmt w:val="bullet"/>
      <w:lvlText w:val="o"/>
      <w:lvlJc w:val="left"/>
      <w:pPr>
        <w:ind w:left="4008" w:hanging="360"/>
      </w:pPr>
      <w:rPr>
        <w:rFonts w:ascii="Courier New" w:hAnsi="Courier New" w:cs="Courier New" w:hint="default"/>
      </w:rPr>
    </w:lvl>
    <w:lvl w:ilvl="5" w:tplc="04050005" w:tentative="1">
      <w:start w:val="1"/>
      <w:numFmt w:val="bullet"/>
      <w:lvlText w:val=""/>
      <w:lvlJc w:val="left"/>
      <w:pPr>
        <w:ind w:left="4728" w:hanging="360"/>
      </w:pPr>
      <w:rPr>
        <w:rFonts w:ascii="Wingdings" w:hAnsi="Wingdings" w:hint="default"/>
      </w:rPr>
    </w:lvl>
    <w:lvl w:ilvl="6" w:tplc="04050001" w:tentative="1">
      <w:start w:val="1"/>
      <w:numFmt w:val="bullet"/>
      <w:lvlText w:val=""/>
      <w:lvlJc w:val="left"/>
      <w:pPr>
        <w:ind w:left="5448" w:hanging="360"/>
      </w:pPr>
      <w:rPr>
        <w:rFonts w:ascii="Symbol" w:hAnsi="Symbol" w:hint="default"/>
      </w:rPr>
    </w:lvl>
    <w:lvl w:ilvl="7" w:tplc="04050003" w:tentative="1">
      <w:start w:val="1"/>
      <w:numFmt w:val="bullet"/>
      <w:lvlText w:val="o"/>
      <w:lvlJc w:val="left"/>
      <w:pPr>
        <w:ind w:left="6168" w:hanging="360"/>
      </w:pPr>
      <w:rPr>
        <w:rFonts w:ascii="Courier New" w:hAnsi="Courier New" w:cs="Courier New" w:hint="default"/>
      </w:rPr>
    </w:lvl>
    <w:lvl w:ilvl="8" w:tplc="04050005" w:tentative="1">
      <w:start w:val="1"/>
      <w:numFmt w:val="bullet"/>
      <w:lvlText w:val=""/>
      <w:lvlJc w:val="left"/>
      <w:pPr>
        <w:ind w:left="6888" w:hanging="360"/>
      </w:pPr>
      <w:rPr>
        <w:rFonts w:ascii="Wingdings" w:hAnsi="Wingdings" w:hint="default"/>
      </w:rPr>
    </w:lvl>
  </w:abstractNum>
  <w:abstractNum w:abstractNumId="48">
    <w:nsid w:val="56FE12B0"/>
    <w:multiLevelType w:val="hybridMultilevel"/>
    <w:tmpl w:val="4E4657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5797742B"/>
    <w:multiLevelType w:val="hybridMultilevel"/>
    <w:tmpl w:val="AF784526"/>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5AFE0C85"/>
    <w:multiLevelType w:val="hybridMultilevel"/>
    <w:tmpl w:val="1CB48EC6"/>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51">
    <w:nsid w:val="600D2748"/>
    <w:multiLevelType w:val="hybridMultilevel"/>
    <w:tmpl w:val="4B22A4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61610B3A"/>
    <w:multiLevelType w:val="multilevel"/>
    <w:tmpl w:val="AD8E923A"/>
    <w:lvl w:ilvl="0">
      <w:start w:val="2"/>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sz w:val="28"/>
        <w:szCs w:val="28"/>
      </w:rPr>
    </w:lvl>
    <w:lvl w:ilvl="2">
      <w:start w:val="1"/>
      <w:numFmt w:val="decimal"/>
      <w:pStyle w:val="Nadpis3"/>
      <w:lvlText w:val="%1.%2.%3"/>
      <w:lvlJc w:val="left"/>
      <w:pPr>
        <w:ind w:left="720" w:hanging="720"/>
      </w:pPr>
      <w:rPr>
        <w:rFonts w:hint="default"/>
        <w:b w:val="0"/>
        <w:sz w:val="28"/>
        <w:szCs w:val="28"/>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53">
    <w:nsid w:val="61B52E84"/>
    <w:multiLevelType w:val="hybridMultilevel"/>
    <w:tmpl w:val="634607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62CB42AC"/>
    <w:multiLevelType w:val="hybridMultilevel"/>
    <w:tmpl w:val="0F2C8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633B2156"/>
    <w:multiLevelType w:val="hybridMultilevel"/>
    <w:tmpl w:val="3006BF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64B1349A"/>
    <w:multiLevelType w:val="hybridMultilevel"/>
    <w:tmpl w:val="62527EB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7">
    <w:nsid w:val="64DD466D"/>
    <w:multiLevelType w:val="hybridMultilevel"/>
    <w:tmpl w:val="EA5ED884"/>
    <w:lvl w:ilvl="0" w:tplc="9FB6934C">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nsid w:val="6B1D14D1"/>
    <w:multiLevelType w:val="hybridMultilevel"/>
    <w:tmpl w:val="B10C8A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6C11157B"/>
    <w:multiLevelType w:val="hybridMultilevel"/>
    <w:tmpl w:val="76D0A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6C402E5C"/>
    <w:multiLevelType w:val="multilevel"/>
    <w:tmpl w:val="94F8737A"/>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6E7F4816"/>
    <w:multiLevelType w:val="hybridMultilevel"/>
    <w:tmpl w:val="4C34E2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70EC4BB4"/>
    <w:multiLevelType w:val="multilevel"/>
    <w:tmpl w:val="0405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nsid w:val="71F16DE4"/>
    <w:multiLevelType w:val="hybridMultilevel"/>
    <w:tmpl w:val="086A3B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741A4CAA"/>
    <w:multiLevelType w:val="hybridMultilevel"/>
    <w:tmpl w:val="B9F0BF9A"/>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74BE7948"/>
    <w:multiLevelType w:val="hybridMultilevel"/>
    <w:tmpl w:val="18FA732C"/>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6">
    <w:nsid w:val="753E2211"/>
    <w:multiLevelType w:val="hybridMultilevel"/>
    <w:tmpl w:val="5F78139E"/>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67">
    <w:nsid w:val="755B05BA"/>
    <w:multiLevelType w:val="hybridMultilevel"/>
    <w:tmpl w:val="B9DA795A"/>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78245B66"/>
    <w:multiLevelType w:val="hybridMultilevel"/>
    <w:tmpl w:val="3B7446EE"/>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69">
    <w:nsid w:val="78C90A7C"/>
    <w:multiLevelType w:val="hybridMultilevel"/>
    <w:tmpl w:val="EB000D98"/>
    <w:lvl w:ilvl="0" w:tplc="9FB6934C">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794D6160"/>
    <w:multiLevelType w:val="hybridMultilevel"/>
    <w:tmpl w:val="DBCA7704"/>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7B123679"/>
    <w:multiLevelType w:val="hybridMultilevel"/>
    <w:tmpl w:val="F90278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7C063AAE"/>
    <w:multiLevelType w:val="hybridMultilevel"/>
    <w:tmpl w:val="AC081916"/>
    <w:lvl w:ilvl="0" w:tplc="04050001">
      <w:start w:val="1"/>
      <w:numFmt w:val="bullet"/>
      <w:lvlText w:val=""/>
      <w:lvlJc w:val="left"/>
      <w:pPr>
        <w:ind w:left="1365" w:hanging="360"/>
      </w:pPr>
      <w:rPr>
        <w:rFonts w:ascii="Symbol" w:hAnsi="Symbol" w:hint="default"/>
      </w:rPr>
    </w:lvl>
    <w:lvl w:ilvl="1" w:tplc="04050003" w:tentative="1">
      <w:start w:val="1"/>
      <w:numFmt w:val="bullet"/>
      <w:lvlText w:val="o"/>
      <w:lvlJc w:val="left"/>
      <w:pPr>
        <w:ind w:left="2085" w:hanging="360"/>
      </w:pPr>
      <w:rPr>
        <w:rFonts w:ascii="Courier New" w:hAnsi="Courier New" w:cs="Courier New" w:hint="default"/>
      </w:rPr>
    </w:lvl>
    <w:lvl w:ilvl="2" w:tplc="04050005" w:tentative="1">
      <w:start w:val="1"/>
      <w:numFmt w:val="bullet"/>
      <w:lvlText w:val=""/>
      <w:lvlJc w:val="left"/>
      <w:pPr>
        <w:ind w:left="2805" w:hanging="360"/>
      </w:pPr>
      <w:rPr>
        <w:rFonts w:ascii="Wingdings" w:hAnsi="Wingdings" w:hint="default"/>
      </w:rPr>
    </w:lvl>
    <w:lvl w:ilvl="3" w:tplc="04050001" w:tentative="1">
      <w:start w:val="1"/>
      <w:numFmt w:val="bullet"/>
      <w:lvlText w:val=""/>
      <w:lvlJc w:val="left"/>
      <w:pPr>
        <w:ind w:left="3525" w:hanging="360"/>
      </w:pPr>
      <w:rPr>
        <w:rFonts w:ascii="Symbol" w:hAnsi="Symbol" w:hint="default"/>
      </w:rPr>
    </w:lvl>
    <w:lvl w:ilvl="4" w:tplc="04050003" w:tentative="1">
      <w:start w:val="1"/>
      <w:numFmt w:val="bullet"/>
      <w:lvlText w:val="o"/>
      <w:lvlJc w:val="left"/>
      <w:pPr>
        <w:ind w:left="4245" w:hanging="360"/>
      </w:pPr>
      <w:rPr>
        <w:rFonts w:ascii="Courier New" w:hAnsi="Courier New" w:cs="Courier New" w:hint="default"/>
      </w:rPr>
    </w:lvl>
    <w:lvl w:ilvl="5" w:tplc="04050005" w:tentative="1">
      <w:start w:val="1"/>
      <w:numFmt w:val="bullet"/>
      <w:lvlText w:val=""/>
      <w:lvlJc w:val="left"/>
      <w:pPr>
        <w:ind w:left="4965" w:hanging="360"/>
      </w:pPr>
      <w:rPr>
        <w:rFonts w:ascii="Wingdings" w:hAnsi="Wingdings" w:hint="default"/>
      </w:rPr>
    </w:lvl>
    <w:lvl w:ilvl="6" w:tplc="04050001" w:tentative="1">
      <w:start w:val="1"/>
      <w:numFmt w:val="bullet"/>
      <w:lvlText w:val=""/>
      <w:lvlJc w:val="left"/>
      <w:pPr>
        <w:ind w:left="5685" w:hanging="360"/>
      </w:pPr>
      <w:rPr>
        <w:rFonts w:ascii="Symbol" w:hAnsi="Symbol" w:hint="default"/>
      </w:rPr>
    </w:lvl>
    <w:lvl w:ilvl="7" w:tplc="04050003" w:tentative="1">
      <w:start w:val="1"/>
      <w:numFmt w:val="bullet"/>
      <w:lvlText w:val="o"/>
      <w:lvlJc w:val="left"/>
      <w:pPr>
        <w:ind w:left="6405" w:hanging="360"/>
      </w:pPr>
      <w:rPr>
        <w:rFonts w:ascii="Courier New" w:hAnsi="Courier New" w:cs="Courier New" w:hint="default"/>
      </w:rPr>
    </w:lvl>
    <w:lvl w:ilvl="8" w:tplc="04050005" w:tentative="1">
      <w:start w:val="1"/>
      <w:numFmt w:val="bullet"/>
      <w:lvlText w:val=""/>
      <w:lvlJc w:val="left"/>
      <w:pPr>
        <w:ind w:left="7125" w:hanging="360"/>
      </w:pPr>
      <w:rPr>
        <w:rFonts w:ascii="Wingdings" w:hAnsi="Wingdings" w:hint="default"/>
      </w:rPr>
    </w:lvl>
  </w:abstractNum>
  <w:abstractNum w:abstractNumId="73">
    <w:nsid w:val="7CE76A72"/>
    <w:multiLevelType w:val="hybridMultilevel"/>
    <w:tmpl w:val="2C562B04"/>
    <w:lvl w:ilvl="0" w:tplc="9FB6934C">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nsid w:val="7D241B56"/>
    <w:multiLevelType w:val="hybridMultilevel"/>
    <w:tmpl w:val="AC4EB882"/>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75">
    <w:nsid w:val="7D451076"/>
    <w:multiLevelType w:val="hybridMultilevel"/>
    <w:tmpl w:val="764A554A"/>
    <w:lvl w:ilvl="0" w:tplc="04050001">
      <w:start w:val="1"/>
      <w:numFmt w:val="bullet"/>
      <w:lvlText w:val=""/>
      <w:lvlJc w:val="left"/>
      <w:pPr>
        <w:ind w:left="960" w:hanging="360"/>
      </w:pPr>
      <w:rPr>
        <w:rFonts w:ascii="Symbol" w:hAnsi="Symbol" w:hint="default"/>
      </w:rPr>
    </w:lvl>
    <w:lvl w:ilvl="1" w:tplc="04050003" w:tentative="1">
      <w:start w:val="1"/>
      <w:numFmt w:val="bullet"/>
      <w:lvlText w:val="o"/>
      <w:lvlJc w:val="left"/>
      <w:pPr>
        <w:ind w:left="1680" w:hanging="360"/>
      </w:pPr>
      <w:rPr>
        <w:rFonts w:ascii="Courier New" w:hAnsi="Courier New" w:cs="Courier New" w:hint="default"/>
      </w:rPr>
    </w:lvl>
    <w:lvl w:ilvl="2" w:tplc="04050005" w:tentative="1">
      <w:start w:val="1"/>
      <w:numFmt w:val="bullet"/>
      <w:lvlText w:val=""/>
      <w:lvlJc w:val="left"/>
      <w:pPr>
        <w:ind w:left="2400" w:hanging="360"/>
      </w:pPr>
      <w:rPr>
        <w:rFonts w:ascii="Wingdings" w:hAnsi="Wingdings" w:hint="default"/>
      </w:rPr>
    </w:lvl>
    <w:lvl w:ilvl="3" w:tplc="04050001" w:tentative="1">
      <w:start w:val="1"/>
      <w:numFmt w:val="bullet"/>
      <w:lvlText w:val=""/>
      <w:lvlJc w:val="left"/>
      <w:pPr>
        <w:ind w:left="3120" w:hanging="360"/>
      </w:pPr>
      <w:rPr>
        <w:rFonts w:ascii="Symbol" w:hAnsi="Symbol" w:hint="default"/>
      </w:rPr>
    </w:lvl>
    <w:lvl w:ilvl="4" w:tplc="04050003" w:tentative="1">
      <w:start w:val="1"/>
      <w:numFmt w:val="bullet"/>
      <w:lvlText w:val="o"/>
      <w:lvlJc w:val="left"/>
      <w:pPr>
        <w:ind w:left="3840" w:hanging="360"/>
      </w:pPr>
      <w:rPr>
        <w:rFonts w:ascii="Courier New" w:hAnsi="Courier New" w:cs="Courier New" w:hint="default"/>
      </w:rPr>
    </w:lvl>
    <w:lvl w:ilvl="5" w:tplc="04050005" w:tentative="1">
      <w:start w:val="1"/>
      <w:numFmt w:val="bullet"/>
      <w:lvlText w:val=""/>
      <w:lvlJc w:val="left"/>
      <w:pPr>
        <w:ind w:left="4560" w:hanging="360"/>
      </w:pPr>
      <w:rPr>
        <w:rFonts w:ascii="Wingdings" w:hAnsi="Wingdings" w:hint="default"/>
      </w:rPr>
    </w:lvl>
    <w:lvl w:ilvl="6" w:tplc="04050001" w:tentative="1">
      <w:start w:val="1"/>
      <w:numFmt w:val="bullet"/>
      <w:lvlText w:val=""/>
      <w:lvlJc w:val="left"/>
      <w:pPr>
        <w:ind w:left="5280" w:hanging="360"/>
      </w:pPr>
      <w:rPr>
        <w:rFonts w:ascii="Symbol" w:hAnsi="Symbol" w:hint="default"/>
      </w:rPr>
    </w:lvl>
    <w:lvl w:ilvl="7" w:tplc="04050003" w:tentative="1">
      <w:start w:val="1"/>
      <w:numFmt w:val="bullet"/>
      <w:lvlText w:val="o"/>
      <w:lvlJc w:val="left"/>
      <w:pPr>
        <w:ind w:left="6000" w:hanging="360"/>
      </w:pPr>
      <w:rPr>
        <w:rFonts w:ascii="Courier New" w:hAnsi="Courier New" w:cs="Courier New" w:hint="default"/>
      </w:rPr>
    </w:lvl>
    <w:lvl w:ilvl="8" w:tplc="04050005" w:tentative="1">
      <w:start w:val="1"/>
      <w:numFmt w:val="bullet"/>
      <w:lvlText w:val=""/>
      <w:lvlJc w:val="left"/>
      <w:pPr>
        <w:ind w:left="6720" w:hanging="360"/>
      </w:pPr>
      <w:rPr>
        <w:rFonts w:ascii="Wingdings" w:hAnsi="Wingdings" w:hint="default"/>
      </w:rPr>
    </w:lvl>
  </w:abstractNum>
  <w:num w:numId="1">
    <w:abstractNumId w:val="33"/>
  </w:num>
  <w:num w:numId="2">
    <w:abstractNumId w:val="16"/>
  </w:num>
  <w:num w:numId="3">
    <w:abstractNumId w:val="60"/>
  </w:num>
  <w:num w:numId="4">
    <w:abstractNumId w:val="21"/>
  </w:num>
  <w:num w:numId="5">
    <w:abstractNumId w:val="26"/>
  </w:num>
  <w:num w:numId="6">
    <w:abstractNumId w:val="12"/>
  </w:num>
  <w:num w:numId="7">
    <w:abstractNumId w:val="46"/>
  </w:num>
  <w:num w:numId="8">
    <w:abstractNumId w:val="30"/>
  </w:num>
  <w:num w:numId="9">
    <w:abstractNumId w:val="24"/>
  </w:num>
  <w:num w:numId="10">
    <w:abstractNumId w:val="72"/>
  </w:num>
  <w:num w:numId="11">
    <w:abstractNumId w:val="9"/>
  </w:num>
  <w:num w:numId="12">
    <w:abstractNumId w:val="8"/>
  </w:num>
  <w:num w:numId="13">
    <w:abstractNumId w:val="1"/>
  </w:num>
  <w:num w:numId="14">
    <w:abstractNumId w:val="62"/>
  </w:num>
  <w:num w:numId="15">
    <w:abstractNumId w:val="52"/>
  </w:num>
  <w:num w:numId="16">
    <w:abstractNumId w:val="0"/>
  </w:num>
  <w:num w:numId="17">
    <w:abstractNumId w:val="18"/>
  </w:num>
  <w:num w:numId="18">
    <w:abstractNumId w:val="75"/>
  </w:num>
  <w:num w:numId="19">
    <w:abstractNumId w:val="15"/>
  </w:num>
  <w:num w:numId="20">
    <w:abstractNumId w:val="34"/>
  </w:num>
  <w:num w:numId="21">
    <w:abstractNumId w:val="3"/>
  </w:num>
  <w:num w:numId="22">
    <w:abstractNumId w:val="29"/>
  </w:num>
  <w:num w:numId="23">
    <w:abstractNumId w:val="27"/>
  </w:num>
  <w:num w:numId="24">
    <w:abstractNumId w:val="53"/>
  </w:num>
  <w:num w:numId="25">
    <w:abstractNumId w:val="35"/>
  </w:num>
  <w:num w:numId="26">
    <w:abstractNumId w:val="56"/>
  </w:num>
  <w:num w:numId="27">
    <w:abstractNumId w:val="13"/>
  </w:num>
  <w:num w:numId="28">
    <w:abstractNumId w:val="43"/>
  </w:num>
  <w:num w:numId="29">
    <w:abstractNumId w:val="74"/>
  </w:num>
  <w:num w:numId="30">
    <w:abstractNumId w:val="4"/>
  </w:num>
  <w:num w:numId="31">
    <w:abstractNumId w:val="51"/>
  </w:num>
  <w:num w:numId="32">
    <w:abstractNumId w:val="48"/>
  </w:num>
  <w:num w:numId="33">
    <w:abstractNumId w:val="28"/>
  </w:num>
  <w:num w:numId="34">
    <w:abstractNumId w:val="23"/>
  </w:num>
  <w:num w:numId="35">
    <w:abstractNumId w:val="36"/>
  </w:num>
  <w:num w:numId="36">
    <w:abstractNumId w:val="66"/>
  </w:num>
  <w:num w:numId="37">
    <w:abstractNumId w:val="58"/>
  </w:num>
  <w:num w:numId="38">
    <w:abstractNumId w:val="55"/>
  </w:num>
  <w:num w:numId="39">
    <w:abstractNumId w:val="59"/>
  </w:num>
  <w:num w:numId="40">
    <w:abstractNumId w:val="50"/>
  </w:num>
  <w:num w:numId="41">
    <w:abstractNumId w:val="20"/>
  </w:num>
  <w:num w:numId="42">
    <w:abstractNumId w:val="61"/>
  </w:num>
  <w:num w:numId="43">
    <w:abstractNumId w:val="42"/>
  </w:num>
  <w:num w:numId="44">
    <w:abstractNumId w:val="73"/>
  </w:num>
  <w:num w:numId="45">
    <w:abstractNumId w:val="69"/>
  </w:num>
  <w:num w:numId="46">
    <w:abstractNumId w:val="57"/>
  </w:num>
  <w:num w:numId="47">
    <w:abstractNumId w:val="10"/>
  </w:num>
  <w:num w:numId="48">
    <w:abstractNumId w:val="11"/>
  </w:num>
  <w:num w:numId="49">
    <w:abstractNumId w:val="63"/>
  </w:num>
  <w:num w:numId="50">
    <w:abstractNumId w:val="65"/>
  </w:num>
  <w:num w:numId="51">
    <w:abstractNumId w:val="41"/>
  </w:num>
  <w:num w:numId="52">
    <w:abstractNumId w:val="54"/>
  </w:num>
  <w:num w:numId="53">
    <w:abstractNumId w:val="25"/>
  </w:num>
  <w:num w:numId="54">
    <w:abstractNumId w:val="2"/>
  </w:num>
  <w:num w:numId="55">
    <w:abstractNumId w:val="37"/>
  </w:num>
  <w:num w:numId="56">
    <w:abstractNumId w:val="68"/>
  </w:num>
  <w:num w:numId="57">
    <w:abstractNumId w:val="47"/>
  </w:num>
  <w:num w:numId="58">
    <w:abstractNumId w:val="6"/>
  </w:num>
  <w:num w:numId="59">
    <w:abstractNumId w:val="17"/>
  </w:num>
  <w:num w:numId="60">
    <w:abstractNumId w:val="71"/>
  </w:num>
  <w:num w:numId="61">
    <w:abstractNumId w:val="49"/>
  </w:num>
  <w:num w:numId="62">
    <w:abstractNumId w:val="5"/>
  </w:num>
  <w:num w:numId="63">
    <w:abstractNumId w:val="39"/>
  </w:num>
  <w:num w:numId="64">
    <w:abstractNumId w:val="38"/>
  </w:num>
  <w:num w:numId="65">
    <w:abstractNumId w:val="19"/>
  </w:num>
  <w:num w:numId="66">
    <w:abstractNumId w:val="7"/>
  </w:num>
  <w:num w:numId="67">
    <w:abstractNumId w:val="70"/>
  </w:num>
  <w:num w:numId="68">
    <w:abstractNumId w:val="64"/>
  </w:num>
  <w:num w:numId="69">
    <w:abstractNumId w:val="67"/>
  </w:num>
  <w:num w:numId="70">
    <w:abstractNumId w:val="32"/>
  </w:num>
  <w:num w:numId="71">
    <w:abstractNumId w:val="40"/>
  </w:num>
  <w:num w:numId="72">
    <w:abstractNumId w:val="22"/>
  </w:num>
  <w:num w:numId="73">
    <w:abstractNumId w:val="31"/>
  </w:num>
  <w:num w:numId="74">
    <w:abstractNumId w:val="14"/>
  </w:num>
  <w:num w:numId="75">
    <w:abstractNumId w:val="45"/>
  </w:num>
  <w:num w:numId="76">
    <w:abstractNumId w:val="44"/>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F01"/>
  <w:defaultTabStop w:val="0"/>
  <w:hyphenationZone w:val="425"/>
  <w:drawingGridHorizontalSpacing w:val="181"/>
  <w:drawingGridVerticalSpacing w:val="181"/>
  <w:doNotUseMarginsForDrawingGridOrigin/>
  <w:drawingGridHorizontalOrigin w:val="1418"/>
  <w:drawingGridVerticalOrigin w:val="1418"/>
  <w:noPunctuationKerning/>
  <w:characterSpacingControl w:val="doNotCompress"/>
  <w:hdrShapeDefaults>
    <o:shapedefaults v:ext="edit" spidmax="229377" fill="f" fillcolor="white">
      <v:fill color="white" on="f"/>
      <o:colormenu v:ext="edit" fillcolor="none" strokecolor="none [671]"/>
    </o:shapedefaults>
  </w:hdrShapeDefaults>
  <w:footnotePr>
    <w:numRestart w:val="eachPage"/>
    <w:footnote w:id="-1"/>
    <w:footnote w:id="0"/>
  </w:footnotePr>
  <w:endnotePr>
    <w:endnote w:id="-1"/>
    <w:endnote w:id="0"/>
  </w:endnotePr>
  <w:compat/>
  <w:rsids>
    <w:rsidRoot w:val="00CD5D74"/>
    <w:rsid w:val="00000E01"/>
    <w:rsid w:val="000044EB"/>
    <w:rsid w:val="00004802"/>
    <w:rsid w:val="00006885"/>
    <w:rsid w:val="00010918"/>
    <w:rsid w:val="00012883"/>
    <w:rsid w:val="000129C2"/>
    <w:rsid w:val="000142E0"/>
    <w:rsid w:val="00014914"/>
    <w:rsid w:val="0001705C"/>
    <w:rsid w:val="000174F2"/>
    <w:rsid w:val="00022824"/>
    <w:rsid w:val="00022B24"/>
    <w:rsid w:val="00023181"/>
    <w:rsid w:val="0002375A"/>
    <w:rsid w:val="00025F6F"/>
    <w:rsid w:val="00030D6E"/>
    <w:rsid w:val="00031929"/>
    <w:rsid w:val="00032365"/>
    <w:rsid w:val="00033504"/>
    <w:rsid w:val="000437AE"/>
    <w:rsid w:val="0004471D"/>
    <w:rsid w:val="00044BD5"/>
    <w:rsid w:val="000452FF"/>
    <w:rsid w:val="0004622E"/>
    <w:rsid w:val="00050C4D"/>
    <w:rsid w:val="00052777"/>
    <w:rsid w:val="00054DD3"/>
    <w:rsid w:val="00055DE3"/>
    <w:rsid w:val="00056782"/>
    <w:rsid w:val="00060710"/>
    <w:rsid w:val="0006077B"/>
    <w:rsid w:val="000610A2"/>
    <w:rsid w:val="0006159F"/>
    <w:rsid w:val="0006193F"/>
    <w:rsid w:val="00061B85"/>
    <w:rsid w:val="00064715"/>
    <w:rsid w:val="00070338"/>
    <w:rsid w:val="000704A7"/>
    <w:rsid w:val="00070593"/>
    <w:rsid w:val="0007114C"/>
    <w:rsid w:val="00071782"/>
    <w:rsid w:val="00072803"/>
    <w:rsid w:val="00075C3C"/>
    <w:rsid w:val="00076368"/>
    <w:rsid w:val="00081508"/>
    <w:rsid w:val="0008151D"/>
    <w:rsid w:val="000820CF"/>
    <w:rsid w:val="0008263F"/>
    <w:rsid w:val="00082A10"/>
    <w:rsid w:val="00082F7F"/>
    <w:rsid w:val="00085696"/>
    <w:rsid w:val="000866A6"/>
    <w:rsid w:val="00090907"/>
    <w:rsid w:val="000938C4"/>
    <w:rsid w:val="00094AC1"/>
    <w:rsid w:val="000954C8"/>
    <w:rsid w:val="00095B91"/>
    <w:rsid w:val="00095C30"/>
    <w:rsid w:val="000A05B8"/>
    <w:rsid w:val="000A1689"/>
    <w:rsid w:val="000A2D6E"/>
    <w:rsid w:val="000A2E95"/>
    <w:rsid w:val="000A493B"/>
    <w:rsid w:val="000A56F2"/>
    <w:rsid w:val="000A70FD"/>
    <w:rsid w:val="000A7215"/>
    <w:rsid w:val="000B49F7"/>
    <w:rsid w:val="000B5C9F"/>
    <w:rsid w:val="000B76A6"/>
    <w:rsid w:val="000B7CE7"/>
    <w:rsid w:val="000C02F1"/>
    <w:rsid w:val="000C48E1"/>
    <w:rsid w:val="000C55D2"/>
    <w:rsid w:val="000C6DC0"/>
    <w:rsid w:val="000C7280"/>
    <w:rsid w:val="000D6843"/>
    <w:rsid w:val="000D7324"/>
    <w:rsid w:val="000D7876"/>
    <w:rsid w:val="000E020F"/>
    <w:rsid w:val="000E0332"/>
    <w:rsid w:val="000E11E4"/>
    <w:rsid w:val="000E4957"/>
    <w:rsid w:val="000E4F07"/>
    <w:rsid w:val="000E571E"/>
    <w:rsid w:val="000E57A3"/>
    <w:rsid w:val="000E6995"/>
    <w:rsid w:val="000E7B4F"/>
    <w:rsid w:val="000F0A4E"/>
    <w:rsid w:val="000F17A4"/>
    <w:rsid w:val="000F2C94"/>
    <w:rsid w:val="000F3214"/>
    <w:rsid w:val="000F545E"/>
    <w:rsid w:val="000F67C5"/>
    <w:rsid w:val="000F6E45"/>
    <w:rsid w:val="0010110A"/>
    <w:rsid w:val="00102DC5"/>
    <w:rsid w:val="00104029"/>
    <w:rsid w:val="00104B7C"/>
    <w:rsid w:val="00110829"/>
    <w:rsid w:val="0011241A"/>
    <w:rsid w:val="0011560F"/>
    <w:rsid w:val="00116892"/>
    <w:rsid w:val="001221C4"/>
    <w:rsid w:val="001244BC"/>
    <w:rsid w:val="00125599"/>
    <w:rsid w:val="00126BA8"/>
    <w:rsid w:val="001329AB"/>
    <w:rsid w:val="00132DF3"/>
    <w:rsid w:val="00132F85"/>
    <w:rsid w:val="00133463"/>
    <w:rsid w:val="001346D8"/>
    <w:rsid w:val="00141120"/>
    <w:rsid w:val="001415C6"/>
    <w:rsid w:val="00144959"/>
    <w:rsid w:val="001449C7"/>
    <w:rsid w:val="00146AC5"/>
    <w:rsid w:val="00147F99"/>
    <w:rsid w:val="00151E00"/>
    <w:rsid w:val="00152F00"/>
    <w:rsid w:val="00154EB9"/>
    <w:rsid w:val="00156C15"/>
    <w:rsid w:val="001631E0"/>
    <w:rsid w:val="00163DCC"/>
    <w:rsid w:val="00165052"/>
    <w:rsid w:val="00165EFD"/>
    <w:rsid w:val="0016671F"/>
    <w:rsid w:val="00167DBE"/>
    <w:rsid w:val="00171116"/>
    <w:rsid w:val="00171834"/>
    <w:rsid w:val="0017188D"/>
    <w:rsid w:val="00173418"/>
    <w:rsid w:val="00176540"/>
    <w:rsid w:val="0017656F"/>
    <w:rsid w:val="00177D71"/>
    <w:rsid w:val="00180C10"/>
    <w:rsid w:val="00182168"/>
    <w:rsid w:val="00183FC8"/>
    <w:rsid w:val="00184975"/>
    <w:rsid w:val="00185959"/>
    <w:rsid w:val="00185A25"/>
    <w:rsid w:val="00186B91"/>
    <w:rsid w:val="001925EC"/>
    <w:rsid w:val="001949CD"/>
    <w:rsid w:val="001957F8"/>
    <w:rsid w:val="001A0528"/>
    <w:rsid w:val="001A153E"/>
    <w:rsid w:val="001A1B1A"/>
    <w:rsid w:val="001A500E"/>
    <w:rsid w:val="001A66CC"/>
    <w:rsid w:val="001B1475"/>
    <w:rsid w:val="001B2830"/>
    <w:rsid w:val="001B379A"/>
    <w:rsid w:val="001B4087"/>
    <w:rsid w:val="001B4687"/>
    <w:rsid w:val="001B5A29"/>
    <w:rsid w:val="001B5A34"/>
    <w:rsid w:val="001B62E4"/>
    <w:rsid w:val="001B666E"/>
    <w:rsid w:val="001B719C"/>
    <w:rsid w:val="001B7560"/>
    <w:rsid w:val="001B7A76"/>
    <w:rsid w:val="001C0063"/>
    <w:rsid w:val="001C36BB"/>
    <w:rsid w:val="001C4FC2"/>
    <w:rsid w:val="001C7EFE"/>
    <w:rsid w:val="001D13E7"/>
    <w:rsid w:val="001D630D"/>
    <w:rsid w:val="001D67F8"/>
    <w:rsid w:val="001E0AAA"/>
    <w:rsid w:val="001E6881"/>
    <w:rsid w:val="001F05F1"/>
    <w:rsid w:val="001F291E"/>
    <w:rsid w:val="001F47AB"/>
    <w:rsid w:val="001F735B"/>
    <w:rsid w:val="00200F03"/>
    <w:rsid w:val="00201CBF"/>
    <w:rsid w:val="00202C83"/>
    <w:rsid w:val="00204EDC"/>
    <w:rsid w:val="00206BEB"/>
    <w:rsid w:val="00206EB0"/>
    <w:rsid w:val="00207568"/>
    <w:rsid w:val="0021069E"/>
    <w:rsid w:val="00212263"/>
    <w:rsid w:val="002123C9"/>
    <w:rsid w:val="002127E5"/>
    <w:rsid w:val="002135F0"/>
    <w:rsid w:val="002153A4"/>
    <w:rsid w:val="00215C7E"/>
    <w:rsid w:val="00220A86"/>
    <w:rsid w:val="002235B1"/>
    <w:rsid w:val="00223975"/>
    <w:rsid w:val="00226181"/>
    <w:rsid w:val="00226BEC"/>
    <w:rsid w:val="00227C2E"/>
    <w:rsid w:val="00233FF3"/>
    <w:rsid w:val="00234E68"/>
    <w:rsid w:val="00235E47"/>
    <w:rsid w:val="0023650C"/>
    <w:rsid w:val="00237372"/>
    <w:rsid w:val="0024151D"/>
    <w:rsid w:val="00242A1F"/>
    <w:rsid w:val="00243AA2"/>
    <w:rsid w:val="00244DC4"/>
    <w:rsid w:val="002456D0"/>
    <w:rsid w:val="00246510"/>
    <w:rsid w:val="00247708"/>
    <w:rsid w:val="002522B7"/>
    <w:rsid w:val="00254C7F"/>
    <w:rsid w:val="00256895"/>
    <w:rsid w:val="00256FB8"/>
    <w:rsid w:val="002609C2"/>
    <w:rsid w:val="00263D44"/>
    <w:rsid w:val="0026474E"/>
    <w:rsid w:val="00264946"/>
    <w:rsid w:val="00264B0C"/>
    <w:rsid w:val="0026794A"/>
    <w:rsid w:val="00270FC7"/>
    <w:rsid w:val="00271224"/>
    <w:rsid w:val="00272874"/>
    <w:rsid w:val="002745F4"/>
    <w:rsid w:val="00274A4C"/>
    <w:rsid w:val="00275592"/>
    <w:rsid w:val="00283049"/>
    <w:rsid w:val="0028345D"/>
    <w:rsid w:val="0028412E"/>
    <w:rsid w:val="002857BA"/>
    <w:rsid w:val="00286709"/>
    <w:rsid w:val="00286981"/>
    <w:rsid w:val="0028794E"/>
    <w:rsid w:val="002910E7"/>
    <w:rsid w:val="00293431"/>
    <w:rsid w:val="00293EE2"/>
    <w:rsid w:val="00294D3D"/>
    <w:rsid w:val="002A10B0"/>
    <w:rsid w:val="002A3088"/>
    <w:rsid w:val="002A68B9"/>
    <w:rsid w:val="002A6D79"/>
    <w:rsid w:val="002B0F56"/>
    <w:rsid w:val="002B111D"/>
    <w:rsid w:val="002B21CE"/>
    <w:rsid w:val="002B265A"/>
    <w:rsid w:val="002B4972"/>
    <w:rsid w:val="002B6479"/>
    <w:rsid w:val="002B769D"/>
    <w:rsid w:val="002C0698"/>
    <w:rsid w:val="002C18B5"/>
    <w:rsid w:val="002C21BF"/>
    <w:rsid w:val="002C46D5"/>
    <w:rsid w:val="002C6825"/>
    <w:rsid w:val="002C7E9C"/>
    <w:rsid w:val="002D14BF"/>
    <w:rsid w:val="002D164B"/>
    <w:rsid w:val="002D6C53"/>
    <w:rsid w:val="002D7AD1"/>
    <w:rsid w:val="002E280E"/>
    <w:rsid w:val="002E47A6"/>
    <w:rsid w:val="002E4949"/>
    <w:rsid w:val="002E585D"/>
    <w:rsid w:val="002E60A9"/>
    <w:rsid w:val="002E65BA"/>
    <w:rsid w:val="002E7057"/>
    <w:rsid w:val="002F2263"/>
    <w:rsid w:val="002F2556"/>
    <w:rsid w:val="002F25C4"/>
    <w:rsid w:val="002F5878"/>
    <w:rsid w:val="002F7A52"/>
    <w:rsid w:val="003000D7"/>
    <w:rsid w:val="00300F28"/>
    <w:rsid w:val="003042B3"/>
    <w:rsid w:val="0030447D"/>
    <w:rsid w:val="00305E2D"/>
    <w:rsid w:val="0030680A"/>
    <w:rsid w:val="00306A29"/>
    <w:rsid w:val="003076BE"/>
    <w:rsid w:val="0031313E"/>
    <w:rsid w:val="003137C7"/>
    <w:rsid w:val="0031766D"/>
    <w:rsid w:val="003200B5"/>
    <w:rsid w:val="00320F9D"/>
    <w:rsid w:val="00321648"/>
    <w:rsid w:val="0032333A"/>
    <w:rsid w:val="00327B9D"/>
    <w:rsid w:val="00330277"/>
    <w:rsid w:val="00330F3C"/>
    <w:rsid w:val="003324C0"/>
    <w:rsid w:val="003407C4"/>
    <w:rsid w:val="00343F81"/>
    <w:rsid w:val="00344E77"/>
    <w:rsid w:val="00345860"/>
    <w:rsid w:val="003518D5"/>
    <w:rsid w:val="003537D5"/>
    <w:rsid w:val="00353889"/>
    <w:rsid w:val="00354260"/>
    <w:rsid w:val="00354A48"/>
    <w:rsid w:val="00354E93"/>
    <w:rsid w:val="00354F54"/>
    <w:rsid w:val="00363BDB"/>
    <w:rsid w:val="00364423"/>
    <w:rsid w:val="0036535E"/>
    <w:rsid w:val="0037002F"/>
    <w:rsid w:val="00370808"/>
    <w:rsid w:val="00371CA5"/>
    <w:rsid w:val="0037314D"/>
    <w:rsid w:val="00373FEF"/>
    <w:rsid w:val="00375411"/>
    <w:rsid w:val="003775D3"/>
    <w:rsid w:val="003801FD"/>
    <w:rsid w:val="003831B6"/>
    <w:rsid w:val="00385BB1"/>
    <w:rsid w:val="00385DED"/>
    <w:rsid w:val="00386A76"/>
    <w:rsid w:val="003901C2"/>
    <w:rsid w:val="0039172D"/>
    <w:rsid w:val="00392755"/>
    <w:rsid w:val="00393F7B"/>
    <w:rsid w:val="003950C4"/>
    <w:rsid w:val="00395B04"/>
    <w:rsid w:val="0039781A"/>
    <w:rsid w:val="003A1BBE"/>
    <w:rsid w:val="003A1CB8"/>
    <w:rsid w:val="003A2EB4"/>
    <w:rsid w:val="003A407B"/>
    <w:rsid w:val="003A4EF0"/>
    <w:rsid w:val="003A5897"/>
    <w:rsid w:val="003A6436"/>
    <w:rsid w:val="003B56FE"/>
    <w:rsid w:val="003B5C7C"/>
    <w:rsid w:val="003B73A9"/>
    <w:rsid w:val="003C40FA"/>
    <w:rsid w:val="003C53E7"/>
    <w:rsid w:val="003C7620"/>
    <w:rsid w:val="003D2991"/>
    <w:rsid w:val="003D3BDB"/>
    <w:rsid w:val="003D3CEF"/>
    <w:rsid w:val="003D5048"/>
    <w:rsid w:val="003D570D"/>
    <w:rsid w:val="003E1C54"/>
    <w:rsid w:val="003E1D44"/>
    <w:rsid w:val="003E27D3"/>
    <w:rsid w:val="003E6DBB"/>
    <w:rsid w:val="003F0163"/>
    <w:rsid w:val="003F1472"/>
    <w:rsid w:val="003F23D0"/>
    <w:rsid w:val="003F417A"/>
    <w:rsid w:val="003F47CB"/>
    <w:rsid w:val="003F49B9"/>
    <w:rsid w:val="003F6270"/>
    <w:rsid w:val="004039F9"/>
    <w:rsid w:val="00403C2A"/>
    <w:rsid w:val="004040ED"/>
    <w:rsid w:val="0040776C"/>
    <w:rsid w:val="004101CE"/>
    <w:rsid w:val="00411BE6"/>
    <w:rsid w:val="0041794F"/>
    <w:rsid w:val="00417C25"/>
    <w:rsid w:val="00423A71"/>
    <w:rsid w:val="00423C2E"/>
    <w:rsid w:val="00426524"/>
    <w:rsid w:val="00427AB2"/>
    <w:rsid w:val="00433EF4"/>
    <w:rsid w:val="00436C69"/>
    <w:rsid w:val="00436FA7"/>
    <w:rsid w:val="00440393"/>
    <w:rsid w:val="00440809"/>
    <w:rsid w:val="00442276"/>
    <w:rsid w:val="00443CE3"/>
    <w:rsid w:val="00446B4F"/>
    <w:rsid w:val="00451460"/>
    <w:rsid w:val="00453ECB"/>
    <w:rsid w:val="00454B11"/>
    <w:rsid w:val="00455612"/>
    <w:rsid w:val="00457BBB"/>
    <w:rsid w:val="004602EC"/>
    <w:rsid w:val="00460438"/>
    <w:rsid w:val="004616AD"/>
    <w:rsid w:val="00462CDB"/>
    <w:rsid w:val="00462E6C"/>
    <w:rsid w:val="00463D4F"/>
    <w:rsid w:val="004661D0"/>
    <w:rsid w:val="0046699A"/>
    <w:rsid w:val="00470594"/>
    <w:rsid w:val="00471890"/>
    <w:rsid w:val="00472303"/>
    <w:rsid w:val="00472E36"/>
    <w:rsid w:val="0047469E"/>
    <w:rsid w:val="0047606E"/>
    <w:rsid w:val="00477256"/>
    <w:rsid w:val="004811AD"/>
    <w:rsid w:val="00482C92"/>
    <w:rsid w:val="00483AD3"/>
    <w:rsid w:val="00483CBC"/>
    <w:rsid w:val="00483F15"/>
    <w:rsid w:val="004868C8"/>
    <w:rsid w:val="0049010E"/>
    <w:rsid w:val="00490DAB"/>
    <w:rsid w:val="00494569"/>
    <w:rsid w:val="00495063"/>
    <w:rsid w:val="00495F33"/>
    <w:rsid w:val="00497988"/>
    <w:rsid w:val="004A3A08"/>
    <w:rsid w:val="004A4469"/>
    <w:rsid w:val="004A5B1D"/>
    <w:rsid w:val="004A7374"/>
    <w:rsid w:val="004B04F1"/>
    <w:rsid w:val="004B252C"/>
    <w:rsid w:val="004B3A28"/>
    <w:rsid w:val="004B4585"/>
    <w:rsid w:val="004B69E5"/>
    <w:rsid w:val="004C07C5"/>
    <w:rsid w:val="004C0E7D"/>
    <w:rsid w:val="004C203C"/>
    <w:rsid w:val="004C40E3"/>
    <w:rsid w:val="004C454E"/>
    <w:rsid w:val="004C66B6"/>
    <w:rsid w:val="004D0238"/>
    <w:rsid w:val="004D12F6"/>
    <w:rsid w:val="004D1815"/>
    <w:rsid w:val="004D3236"/>
    <w:rsid w:val="004D3B03"/>
    <w:rsid w:val="004D4274"/>
    <w:rsid w:val="004D49F1"/>
    <w:rsid w:val="004D60E5"/>
    <w:rsid w:val="004D6FA3"/>
    <w:rsid w:val="004E0460"/>
    <w:rsid w:val="004E6540"/>
    <w:rsid w:val="004E72FA"/>
    <w:rsid w:val="004F22FE"/>
    <w:rsid w:val="004F63B1"/>
    <w:rsid w:val="004F6B37"/>
    <w:rsid w:val="004F7515"/>
    <w:rsid w:val="00500D89"/>
    <w:rsid w:val="00502F4C"/>
    <w:rsid w:val="00504775"/>
    <w:rsid w:val="0050498E"/>
    <w:rsid w:val="00504BF9"/>
    <w:rsid w:val="00506C21"/>
    <w:rsid w:val="00507668"/>
    <w:rsid w:val="005114E0"/>
    <w:rsid w:val="005131EC"/>
    <w:rsid w:val="00515924"/>
    <w:rsid w:val="00515A21"/>
    <w:rsid w:val="00520112"/>
    <w:rsid w:val="00521154"/>
    <w:rsid w:val="00521840"/>
    <w:rsid w:val="00525F34"/>
    <w:rsid w:val="00530524"/>
    <w:rsid w:val="00531069"/>
    <w:rsid w:val="0053187C"/>
    <w:rsid w:val="0053283B"/>
    <w:rsid w:val="005329B9"/>
    <w:rsid w:val="0053301D"/>
    <w:rsid w:val="00540D2D"/>
    <w:rsid w:val="00542962"/>
    <w:rsid w:val="00542F96"/>
    <w:rsid w:val="005432E1"/>
    <w:rsid w:val="0054338A"/>
    <w:rsid w:val="0054502D"/>
    <w:rsid w:val="00547724"/>
    <w:rsid w:val="00551F92"/>
    <w:rsid w:val="005523D0"/>
    <w:rsid w:val="00553EC7"/>
    <w:rsid w:val="005554DA"/>
    <w:rsid w:val="00557666"/>
    <w:rsid w:val="0055790E"/>
    <w:rsid w:val="00557C44"/>
    <w:rsid w:val="00560812"/>
    <w:rsid w:val="0056198C"/>
    <w:rsid w:val="00562D3A"/>
    <w:rsid w:val="00563E33"/>
    <w:rsid w:val="00564261"/>
    <w:rsid w:val="00571E18"/>
    <w:rsid w:val="00572C9A"/>
    <w:rsid w:val="005730AC"/>
    <w:rsid w:val="00573613"/>
    <w:rsid w:val="005742F7"/>
    <w:rsid w:val="00577585"/>
    <w:rsid w:val="005812D7"/>
    <w:rsid w:val="005836DB"/>
    <w:rsid w:val="005853F2"/>
    <w:rsid w:val="00586AB0"/>
    <w:rsid w:val="00590AF3"/>
    <w:rsid w:val="00594F89"/>
    <w:rsid w:val="00596309"/>
    <w:rsid w:val="005A39F6"/>
    <w:rsid w:val="005B0CEC"/>
    <w:rsid w:val="005B3682"/>
    <w:rsid w:val="005B3FB9"/>
    <w:rsid w:val="005B463D"/>
    <w:rsid w:val="005B4DC7"/>
    <w:rsid w:val="005B72A9"/>
    <w:rsid w:val="005C15C3"/>
    <w:rsid w:val="005C1DCE"/>
    <w:rsid w:val="005C6F3C"/>
    <w:rsid w:val="005C78EE"/>
    <w:rsid w:val="005D0E32"/>
    <w:rsid w:val="005D3113"/>
    <w:rsid w:val="005D388E"/>
    <w:rsid w:val="005D40B6"/>
    <w:rsid w:val="005D46D2"/>
    <w:rsid w:val="005D46DA"/>
    <w:rsid w:val="005D59A1"/>
    <w:rsid w:val="005D6734"/>
    <w:rsid w:val="005D6FC3"/>
    <w:rsid w:val="005E0FFD"/>
    <w:rsid w:val="005E191F"/>
    <w:rsid w:val="005E3032"/>
    <w:rsid w:val="005E4585"/>
    <w:rsid w:val="005E7E3B"/>
    <w:rsid w:val="005F1ECE"/>
    <w:rsid w:val="005F3A59"/>
    <w:rsid w:val="005F3F31"/>
    <w:rsid w:val="005F4F41"/>
    <w:rsid w:val="005F7A1A"/>
    <w:rsid w:val="005F7F55"/>
    <w:rsid w:val="00600431"/>
    <w:rsid w:val="006012DA"/>
    <w:rsid w:val="00602BA1"/>
    <w:rsid w:val="0060497F"/>
    <w:rsid w:val="00610136"/>
    <w:rsid w:val="00613C54"/>
    <w:rsid w:val="0061531C"/>
    <w:rsid w:val="006176F3"/>
    <w:rsid w:val="00621CC9"/>
    <w:rsid w:val="00625377"/>
    <w:rsid w:val="00625859"/>
    <w:rsid w:val="00627031"/>
    <w:rsid w:val="00633492"/>
    <w:rsid w:val="0063366F"/>
    <w:rsid w:val="0063430B"/>
    <w:rsid w:val="00636AE2"/>
    <w:rsid w:val="00640509"/>
    <w:rsid w:val="00643825"/>
    <w:rsid w:val="00643AA4"/>
    <w:rsid w:val="00644EE6"/>
    <w:rsid w:val="0064517C"/>
    <w:rsid w:val="006451BE"/>
    <w:rsid w:val="0065531A"/>
    <w:rsid w:val="00655C40"/>
    <w:rsid w:val="006716B5"/>
    <w:rsid w:val="00671E53"/>
    <w:rsid w:val="006728B7"/>
    <w:rsid w:val="00677752"/>
    <w:rsid w:val="00677B28"/>
    <w:rsid w:val="00681A90"/>
    <w:rsid w:val="00683402"/>
    <w:rsid w:val="00684DB2"/>
    <w:rsid w:val="006878C4"/>
    <w:rsid w:val="00691736"/>
    <w:rsid w:val="00691944"/>
    <w:rsid w:val="0069207F"/>
    <w:rsid w:val="00693472"/>
    <w:rsid w:val="006A0C6E"/>
    <w:rsid w:val="006A1BE8"/>
    <w:rsid w:val="006A236A"/>
    <w:rsid w:val="006A3C89"/>
    <w:rsid w:val="006B035E"/>
    <w:rsid w:val="006B076A"/>
    <w:rsid w:val="006B09F1"/>
    <w:rsid w:val="006B1464"/>
    <w:rsid w:val="006B4A0D"/>
    <w:rsid w:val="006B4C4E"/>
    <w:rsid w:val="006B77C0"/>
    <w:rsid w:val="006B7A60"/>
    <w:rsid w:val="006B7A95"/>
    <w:rsid w:val="006C037C"/>
    <w:rsid w:val="006C1409"/>
    <w:rsid w:val="006C297A"/>
    <w:rsid w:val="006C3600"/>
    <w:rsid w:val="006C38FC"/>
    <w:rsid w:val="006C7C75"/>
    <w:rsid w:val="006D485D"/>
    <w:rsid w:val="006D6920"/>
    <w:rsid w:val="006D6925"/>
    <w:rsid w:val="006D70FC"/>
    <w:rsid w:val="006D7848"/>
    <w:rsid w:val="006E1D2A"/>
    <w:rsid w:val="006E20D2"/>
    <w:rsid w:val="006E3C0E"/>
    <w:rsid w:val="006E4E5F"/>
    <w:rsid w:val="006E5468"/>
    <w:rsid w:val="006E729E"/>
    <w:rsid w:val="006E72F4"/>
    <w:rsid w:val="006F16CA"/>
    <w:rsid w:val="006F26AB"/>
    <w:rsid w:val="006F30A7"/>
    <w:rsid w:val="006F3F56"/>
    <w:rsid w:val="006F5332"/>
    <w:rsid w:val="006F6B00"/>
    <w:rsid w:val="007035A7"/>
    <w:rsid w:val="00703FAC"/>
    <w:rsid w:val="007101F8"/>
    <w:rsid w:val="00710E74"/>
    <w:rsid w:val="00711AE2"/>
    <w:rsid w:val="00711D7D"/>
    <w:rsid w:val="007120BF"/>
    <w:rsid w:val="007130D1"/>
    <w:rsid w:val="00713E5E"/>
    <w:rsid w:val="007141C1"/>
    <w:rsid w:val="007200BE"/>
    <w:rsid w:val="007202C2"/>
    <w:rsid w:val="00720519"/>
    <w:rsid w:val="00722F22"/>
    <w:rsid w:val="00723000"/>
    <w:rsid w:val="0072692A"/>
    <w:rsid w:val="00742191"/>
    <w:rsid w:val="00743826"/>
    <w:rsid w:val="0074480D"/>
    <w:rsid w:val="00744B36"/>
    <w:rsid w:val="00744F7D"/>
    <w:rsid w:val="007472BF"/>
    <w:rsid w:val="007501FF"/>
    <w:rsid w:val="007527A4"/>
    <w:rsid w:val="007536AA"/>
    <w:rsid w:val="00755E36"/>
    <w:rsid w:val="00762961"/>
    <w:rsid w:val="00764F46"/>
    <w:rsid w:val="00767AA3"/>
    <w:rsid w:val="00772A32"/>
    <w:rsid w:val="00773133"/>
    <w:rsid w:val="0077336F"/>
    <w:rsid w:val="00773713"/>
    <w:rsid w:val="00774528"/>
    <w:rsid w:val="00781C5B"/>
    <w:rsid w:val="00782C07"/>
    <w:rsid w:val="00783F91"/>
    <w:rsid w:val="00790F7F"/>
    <w:rsid w:val="0079103F"/>
    <w:rsid w:val="0079141D"/>
    <w:rsid w:val="00792FE1"/>
    <w:rsid w:val="007935DB"/>
    <w:rsid w:val="007A07DF"/>
    <w:rsid w:val="007A0841"/>
    <w:rsid w:val="007A120E"/>
    <w:rsid w:val="007A16BB"/>
    <w:rsid w:val="007A2067"/>
    <w:rsid w:val="007A4BF7"/>
    <w:rsid w:val="007A5682"/>
    <w:rsid w:val="007A5B37"/>
    <w:rsid w:val="007A659F"/>
    <w:rsid w:val="007A66D0"/>
    <w:rsid w:val="007A7703"/>
    <w:rsid w:val="007B11A8"/>
    <w:rsid w:val="007B239F"/>
    <w:rsid w:val="007B5826"/>
    <w:rsid w:val="007C0793"/>
    <w:rsid w:val="007C07D1"/>
    <w:rsid w:val="007C54AB"/>
    <w:rsid w:val="007D1312"/>
    <w:rsid w:val="007D140E"/>
    <w:rsid w:val="007D1537"/>
    <w:rsid w:val="007D2598"/>
    <w:rsid w:val="007D2CA7"/>
    <w:rsid w:val="007D2FED"/>
    <w:rsid w:val="007D58A1"/>
    <w:rsid w:val="007E41BF"/>
    <w:rsid w:val="007E5EB5"/>
    <w:rsid w:val="007F0B8B"/>
    <w:rsid w:val="007F1E82"/>
    <w:rsid w:val="007F6834"/>
    <w:rsid w:val="007F7CAA"/>
    <w:rsid w:val="00800625"/>
    <w:rsid w:val="00800EE9"/>
    <w:rsid w:val="00801DA8"/>
    <w:rsid w:val="00803273"/>
    <w:rsid w:val="00803D38"/>
    <w:rsid w:val="00804660"/>
    <w:rsid w:val="008064EE"/>
    <w:rsid w:val="0081069A"/>
    <w:rsid w:val="00810EBD"/>
    <w:rsid w:val="00810EC5"/>
    <w:rsid w:val="00811B30"/>
    <w:rsid w:val="008124E1"/>
    <w:rsid w:val="008129D7"/>
    <w:rsid w:val="00812E64"/>
    <w:rsid w:val="00813E60"/>
    <w:rsid w:val="0081588F"/>
    <w:rsid w:val="008212D8"/>
    <w:rsid w:val="00821CB8"/>
    <w:rsid w:val="00821DC5"/>
    <w:rsid w:val="00824208"/>
    <w:rsid w:val="00824833"/>
    <w:rsid w:val="00825EC5"/>
    <w:rsid w:val="008268DA"/>
    <w:rsid w:val="00826C3A"/>
    <w:rsid w:val="008273AA"/>
    <w:rsid w:val="0082746A"/>
    <w:rsid w:val="00827B01"/>
    <w:rsid w:val="00831032"/>
    <w:rsid w:val="00833AFB"/>
    <w:rsid w:val="00834433"/>
    <w:rsid w:val="00836C9D"/>
    <w:rsid w:val="00840CDD"/>
    <w:rsid w:val="00841B33"/>
    <w:rsid w:val="00846AD5"/>
    <w:rsid w:val="008472E1"/>
    <w:rsid w:val="00847BBF"/>
    <w:rsid w:val="00850314"/>
    <w:rsid w:val="008514BC"/>
    <w:rsid w:val="0085337D"/>
    <w:rsid w:val="00857AA8"/>
    <w:rsid w:val="00857C35"/>
    <w:rsid w:val="00864BBF"/>
    <w:rsid w:val="0086645D"/>
    <w:rsid w:val="008702CB"/>
    <w:rsid w:val="0087056D"/>
    <w:rsid w:val="00870CB8"/>
    <w:rsid w:val="00873506"/>
    <w:rsid w:val="00873581"/>
    <w:rsid w:val="0087506B"/>
    <w:rsid w:val="00875B98"/>
    <w:rsid w:val="00875CAD"/>
    <w:rsid w:val="0087630D"/>
    <w:rsid w:val="008818E9"/>
    <w:rsid w:val="00884839"/>
    <w:rsid w:val="00885E30"/>
    <w:rsid w:val="00887C1F"/>
    <w:rsid w:val="00890CDC"/>
    <w:rsid w:val="00892E0D"/>
    <w:rsid w:val="00893F19"/>
    <w:rsid w:val="008968E6"/>
    <w:rsid w:val="008A0603"/>
    <w:rsid w:val="008A0F0C"/>
    <w:rsid w:val="008A2B99"/>
    <w:rsid w:val="008A35CB"/>
    <w:rsid w:val="008A386B"/>
    <w:rsid w:val="008A5225"/>
    <w:rsid w:val="008A5245"/>
    <w:rsid w:val="008A5692"/>
    <w:rsid w:val="008B0C98"/>
    <w:rsid w:val="008B6FF3"/>
    <w:rsid w:val="008B71C3"/>
    <w:rsid w:val="008C1A1D"/>
    <w:rsid w:val="008C1B21"/>
    <w:rsid w:val="008C2990"/>
    <w:rsid w:val="008C2FC9"/>
    <w:rsid w:val="008C79B9"/>
    <w:rsid w:val="008D034B"/>
    <w:rsid w:val="008D0820"/>
    <w:rsid w:val="008D1142"/>
    <w:rsid w:val="008D3831"/>
    <w:rsid w:val="008D3BAC"/>
    <w:rsid w:val="008D4226"/>
    <w:rsid w:val="008D4C04"/>
    <w:rsid w:val="008D5E9B"/>
    <w:rsid w:val="008D6235"/>
    <w:rsid w:val="008D7452"/>
    <w:rsid w:val="008E1F25"/>
    <w:rsid w:val="008E20F3"/>
    <w:rsid w:val="008E3942"/>
    <w:rsid w:val="008E4FB0"/>
    <w:rsid w:val="008E5A05"/>
    <w:rsid w:val="008E5EA6"/>
    <w:rsid w:val="008E666D"/>
    <w:rsid w:val="008E6E85"/>
    <w:rsid w:val="008E78D2"/>
    <w:rsid w:val="008F09C2"/>
    <w:rsid w:val="008F362F"/>
    <w:rsid w:val="008F5163"/>
    <w:rsid w:val="008F51A2"/>
    <w:rsid w:val="008F6AD8"/>
    <w:rsid w:val="0090003A"/>
    <w:rsid w:val="00901F5C"/>
    <w:rsid w:val="00902512"/>
    <w:rsid w:val="009026B2"/>
    <w:rsid w:val="00902AB9"/>
    <w:rsid w:val="0091278C"/>
    <w:rsid w:val="00912AD1"/>
    <w:rsid w:val="00912AEE"/>
    <w:rsid w:val="00912E5E"/>
    <w:rsid w:val="00914777"/>
    <w:rsid w:val="0091493F"/>
    <w:rsid w:val="00917FC1"/>
    <w:rsid w:val="0092087D"/>
    <w:rsid w:val="0092373C"/>
    <w:rsid w:val="00924697"/>
    <w:rsid w:val="0093046F"/>
    <w:rsid w:val="00933696"/>
    <w:rsid w:val="00933856"/>
    <w:rsid w:val="009346D7"/>
    <w:rsid w:val="009349B7"/>
    <w:rsid w:val="00934C22"/>
    <w:rsid w:val="00935752"/>
    <w:rsid w:val="00936028"/>
    <w:rsid w:val="009365E7"/>
    <w:rsid w:val="0093661C"/>
    <w:rsid w:val="00937CAD"/>
    <w:rsid w:val="00937E31"/>
    <w:rsid w:val="0094041E"/>
    <w:rsid w:val="009409F2"/>
    <w:rsid w:val="00941ACD"/>
    <w:rsid w:val="00941D6B"/>
    <w:rsid w:val="00944AFF"/>
    <w:rsid w:val="00946260"/>
    <w:rsid w:val="009521C6"/>
    <w:rsid w:val="00953512"/>
    <w:rsid w:val="00953968"/>
    <w:rsid w:val="00954853"/>
    <w:rsid w:val="00954A1C"/>
    <w:rsid w:val="00955568"/>
    <w:rsid w:val="00955A4E"/>
    <w:rsid w:val="00956BE4"/>
    <w:rsid w:val="00957158"/>
    <w:rsid w:val="00961151"/>
    <w:rsid w:val="00962F26"/>
    <w:rsid w:val="009644CE"/>
    <w:rsid w:val="00970629"/>
    <w:rsid w:val="009709A2"/>
    <w:rsid w:val="0097241C"/>
    <w:rsid w:val="00972468"/>
    <w:rsid w:val="009759A0"/>
    <w:rsid w:val="00975D61"/>
    <w:rsid w:val="00977DEE"/>
    <w:rsid w:val="00980495"/>
    <w:rsid w:val="00980D23"/>
    <w:rsid w:val="00984FD7"/>
    <w:rsid w:val="009877D8"/>
    <w:rsid w:val="00993F38"/>
    <w:rsid w:val="009A180C"/>
    <w:rsid w:val="009A191C"/>
    <w:rsid w:val="009A4677"/>
    <w:rsid w:val="009A477D"/>
    <w:rsid w:val="009A48ED"/>
    <w:rsid w:val="009B28E0"/>
    <w:rsid w:val="009B5CC9"/>
    <w:rsid w:val="009B656C"/>
    <w:rsid w:val="009B7BDD"/>
    <w:rsid w:val="009C1F3E"/>
    <w:rsid w:val="009C307E"/>
    <w:rsid w:val="009C4E2C"/>
    <w:rsid w:val="009C554D"/>
    <w:rsid w:val="009C5AC1"/>
    <w:rsid w:val="009C7188"/>
    <w:rsid w:val="009C78B0"/>
    <w:rsid w:val="009D10D9"/>
    <w:rsid w:val="009D2186"/>
    <w:rsid w:val="009D334D"/>
    <w:rsid w:val="009D4184"/>
    <w:rsid w:val="009D4CF2"/>
    <w:rsid w:val="009D63E0"/>
    <w:rsid w:val="009E1E3F"/>
    <w:rsid w:val="009E4196"/>
    <w:rsid w:val="009E6BA6"/>
    <w:rsid w:val="009E6D22"/>
    <w:rsid w:val="009E73A2"/>
    <w:rsid w:val="009E7686"/>
    <w:rsid w:val="009F0232"/>
    <w:rsid w:val="009F080A"/>
    <w:rsid w:val="009F1155"/>
    <w:rsid w:val="009F4198"/>
    <w:rsid w:val="009F4DB3"/>
    <w:rsid w:val="009F5772"/>
    <w:rsid w:val="009F6391"/>
    <w:rsid w:val="009F754E"/>
    <w:rsid w:val="009F7BD5"/>
    <w:rsid w:val="00A00565"/>
    <w:rsid w:val="00A0117D"/>
    <w:rsid w:val="00A05337"/>
    <w:rsid w:val="00A0710D"/>
    <w:rsid w:val="00A1077A"/>
    <w:rsid w:val="00A11C3D"/>
    <w:rsid w:val="00A11ED6"/>
    <w:rsid w:val="00A1529D"/>
    <w:rsid w:val="00A16C8A"/>
    <w:rsid w:val="00A206BF"/>
    <w:rsid w:val="00A24805"/>
    <w:rsid w:val="00A27156"/>
    <w:rsid w:val="00A27B69"/>
    <w:rsid w:val="00A301F9"/>
    <w:rsid w:val="00A36797"/>
    <w:rsid w:val="00A409A2"/>
    <w:rsid w:val="00A41E24"/>
    <w:rsid w:val="00A42DB9"/>
    <w:rsid w:val="00A440F6"/>
    <w:rsid w:val="00A4469F"/>
    <w:rsid w:val="00A45DE2"/>
    <w:rsid w:val="00A46366"/>
    <w:rsid w:val="00A475F0"/>
    <w:rsid w:val="00A478F0"/>
    <w:rsid w:val="00A52294"/>
    <w:rsid w:val="00A54C9F"/>
    <w:rsid w:val="00A55CCE"/>
    <w:rsid w:val="00A56554"/>
    <w:rsid w:val="00A57041"/>
    <w:rsid w:val="00A61608"/>
    <w:rsid w:val="00A62A04"/>
    <w:rsid w:val="00A63332"/>
    <w:rsid w:val="00A641F4"/>
    <w:rsid w:val="00A6496F"/>
    <w:rsid w:val="00A66BB0"/>
    <w:rsid w:val="00A6747E"/>
    <w:rsid w:val="00A67A35"/>
    <w:rsid w:val="00A72EB5"/>
    <w:rsid w:val="00A77589"/>
    <w:rsid w:val="00A7769F"/>
    <w:rsid w:val="00A80C53"/>
    <w:rsid w:val="00A82F06"/>
    <w:rsid w:val="00A833EE"/>
    <w:rsid w:val="00A834E6"/>
    <w:rsid w:val="00A846C4"/>
    <w:rsid w:val="00A84A4F"/>
    <w:rsid w:val="00A87D18"/>
    <w:rsid w:val="00A9289E"/>
    <w:rsid w:val="00A935FB"/>
    <w:rsid w:val="00A970B7"/>
    <w:rsid w:val="00AA04B4"/>
    <w:rsid w:val="00AA089E"/>
    <w:rsid w:val="00AA158C"/>
    <w:rsid w:val="00AA356C"/>
    <w:rsid w:val="00AA527F"/>
    <w:rsid w:val="00AA5DD3"/>
    <w:rsid w:val="00AA700E"/>
    <w:rsid w:val="00AB0BF5"/>
    <w:rsid w:val="00AB2EF1"/>
    <w:rsid w:val="00AB3D24"/>
    <w:rsid w:val="00AB5BAA"/>
    <w:rsid w:val="00AB76BF"/>
    <w:rsid w:val="00AC0E0A"/>
    <w:rsid w:val="00AC20F5"/>
    <w:rsid w:val="00AC51E2"/>
    <w:rsid w:val="00AC686E"/>
    <w:rsid w:val="00AC7147"/>
    <w:rsid w:val="00AD046F"/>
    <w:rsid w:val="00AD0D47"/>
    <w:rsid w:val="00AD45B1"/>
    <w:rsid w:val="00AD4649"/>
    <w:rsid w:val="00AD5482"/>
    <w:rsid w:val="00AD75BD"/>
    <w:rsid w:val="00AE0043"/>
    <w:rsid w:val="00AE2E8B"/>
    <w:rsid w:val="00AE49D7"/>
    <w:rsid w:val="00AE4E72"/>
    <w:rsid w:val="00AE6CC2"/>
    <w:rsid w:val="00AE6F19"/>
    <w:rsid w:val="00AF1BDB"/>
    <w:rsid w:val="00AF2032"/>
    <w:rsid w:val="00AF249E"/>
    <w:rsid w:val="00AF3598"/>
    <w:rsid w:val="00AF44DF"/>
    <w:rsid w:val="00AF5270"/>
    <w:rsid w:val="00AF629D"/>
    <w:rsid w:val="00AF6D3F"/>
    <w:rsid w:val="00AF777E"/>
    <w:rsid w:val="00B037DC"/>
    <w:rsid w:val="00B0544E"/>
    <w:rsid w:val="00B054D6"/>
    <w:rsid w:val="00B05B65"/>
    <w:rsid w:val="00B0632A"/>
    <w:rsid w:val="00B104F5"/>
    <w:rsid w:val="00B10B8C"/>
    <w:rsid w:val="00B10D84"/>
    <w:rsid w:val="00B11DE1"/>
    <w:rsid w:val="00B144E2"/>
    <w:rsid w:val="00B14F6F"/>
    <w:rsid w:val="00B16199"/>
    <w:rsid w:val="00B20702"/>
    <w:rsid w:val="00B22EA2"/>
    <w:rsid w:val="00B237A0"/>
    <w:rsid w:val="00B2721E"/>
    <w:rsid w:val="00B304A2"/>
    <w:rsid w:val="00B304B7"/>
    <w:rsid w:val="00B304FD"/>
    <w:rsid w:val="00B31A7C"/>
    <w:rsid w:val="00B329BD"/>
    <w:rsid w:val="00B34286"/>
    <w:rsid w:val="00B34322"/>
    <w:rsid w:val="00B350B2"/>
    <w:rsid w:val="00B357B7"/>
    <w:rsid w:val="00B35BD7"/>
    <w:rsid w:val="00B40213"/>
    <w:rsid w:val="00B414BB"/>
    <w:rsid w:val="00B43FC9"/>
    <w:rsid w:val="00B44DD3"/>
    <w:rsid w:val="00B47473"/>
    <w:rsid w:val="00B53233"/>
    <w:rsid w:val="00B60CBB"/>
    <w:rsid w:val="00B60F85"/>
    <w:rsid w:val="00B63E07"/>
    <w:rsid w:val="00B64D64"/>
    <w:rsid w:val="00B65600"/>
    <w:rsid w:val="00B65E99"/>
    <w:rsid w:val="00B66339"/>
    <w:rsid w:val="00B67853"/>
    <w:rsid w:val="00B77999"/>
    <w:rsid w:val="00B80D17"/>
    <w:rsid w:val="00B86F08"/>
    <w:rsid w:val="00B874CC"/>
    <w:rsid w:val="00B9041D"/>
    <w:rsid w:val="00B90C90"/>
    <w:rsid w:val="00B9108F"/>
    <w:rsid w:val="00B92D1C"/>
    <w:rsid w:val="00B93B72"/>
    <w:rsid w:val="00B947A4"/>
    <w:rsid w:val="00B9484A"/>
    <w:rsid w:val="00B94C75"/>
    <w:rsid w:val="00B95D14"/>
    <w:rsid w:val="00B97A74"/>
    <w:rsid w:val="00BA14A4"/>
    <w:rsid w:val="00BA1A85"/>
    <w:rsid w:val="00BA1D7C"/>
    <w:rsid w:val="00BA49C9"/>
    <w:rsid w:val="00BA4E13"/>
    <w:rsid w:val="00BA7C27"/>
    <w:rsid w:val="00BB0AF4"/>
    <w:rsid w:val="00BB1AA3"/>
    <w:rsid w:val="00BB3EEE"/>
    <w:rsid w:val="00BB53FA"/>
    <w:rsid w:val="00BB676F"/>
    <w:rsid w:val="00BC2124"/>
    <w:rsid w:val="00BC2A36"/>
    <w:rsid w:val="00BC3A5C"/>
    <w:rsid w:val="00BC42DC"/>
    <w:rsid w:val="00BC47C4"/>
    <w:rsid w:val="00BC5EC7"/>
    <w:rsid w:val="00BD0199"/>
    <w:rsid w:val="00BD1258"/>
    <w:rsid w:val="00BD140F"/>
    <w:rsid w:val="00BD1697"/>
    <w:rsid w:val="00BD341A"/>
    <w:rsid w:val="00BD7438"/>
    <w:rsid w:val="00BE2227"/>
    <w:rsid w:val="00BE42C8"/>
    <w:rsid w:val="00BE4786"/>
    <w:rsid w:val="00BE4E33"/>
    <w:rsid w:val="00BE65D7"/>
    <w:rsid w:val="00BE672C"/>
    <w:rsid w:val="00BE7E71"/>
    <w:rsid w:val="00BE7E85"/>
    <w:rsid w:val="00BF1B1D"/>
    <w:rsid w:val="00BF21BA"/>
    <w:rsid w:val="00BF6B02"/>
    <w:rsid w:val="00BF6DA0"/>
    <w:rsid w:val="00BF7481"/>
    <w:rsid w:val="00C01F70"/>
    <w:rsid w:val="00C02A3B"/>
    <w:rsid w:val="00C035AD"/>
    <w:rsid w:val="00C03D93"/>
    <w:rsid w:val="00C10B2E"/>
    <w:rsid w:val="00C114B0"/>
    <w:rsid w:val="00C12B38"/>
    <w:rsid w:val="00C12FAF"/>
    <w:rsid w:val="00C1324C"/>
    <w:rsid w:val="00C1368E"/>
    <w:rsid w:val="00C14BE2"/>
    <w:rsid w:val="00C14CAF"/>
    <w:rsid w:val="00C16951"/>
    <w:rsid w:val="00C169D2"/>
    <w:rsid w:val="00C17C73"/>
    <w:rsid w:val="00C23EFD"/>
    <w:rsid w:val="00C2459D"/>
    <w:rsid w:val="00C24AB0"/>
    <w:rsid w:val="00C25E4C"/>
    <w:rsid w:val="00C30165"/>
    <w:rsid w:val="00C31225"/>
    <w:rsid w:val="00C31895"/>
    <w:rsid w:val="00C3332F"/>
    <w:rsid w:val="00C34AAF"/>
    <w:rsid w:val="00C34F1E"/>
    <w:rsid w:val="00C359E5"/>
    <w:rsid w:val="00C35E99"/>
    <w:rsid w:val="00C36B37"/>
    <w:rsid w:val="00C37BA8"/>
    <w:rsid w:val="00C37DFC"/>
    <w:rsid w:val="00C41179"/>
    <w:rsid w:val="00C41386"/>
    <w:rsid w:val="00C4192A"/>
    <w:rsid w:val="00C41E93"/>
    <w:rsid w:val="00C4225B"/>
    <w:rsid w:val="00C432FE"/>
    <w:rsid w:val="00C445ED"/>
    <w:rsid w:val="00C47ED9"/>
    <w:rsid w:val="00C51518"/>
    <w:rsid w:val="00C51AD3"/>
    <w:rsid w:val="00C51E44"/>
    <w:rsid w:val="00C53E88"/>
    <w:rsid w:val="00C5615F"/>
    <w:rsid w:val="00C5732B"/>
    <w:rsid w:val="00C57B73"/>
    <w:rsid w:val="00C614BA"/>
    <w:rsid w:val="00C642DC"/>
    <w:rsid w:val="00C66CE5"/>
    <w:rsid w:val="00C72B55"/>
    <w:rsid w:val="00C74DBF"/>
    <w:rsid w:val="00C771C8"/>
    <w:rsid w:val="00C77B17"/>
    <w:rsid w:val="00C77B7B"/>
    <w:rsid w:val="00C84A73"/>
    <w:rsid w:val="00C85E8C"/>
    <w:rsid w:val="00C911A1"/>
    <w:rsid w:val="00C917A9"/>
    <w:rsid w:val="00C91E27"/>
    <w:rsid w:val="00C92610"/>
    <w:rsid w:val="00C92C9B"/>
    <w:rsid w:val="00C9344D"/>
    <w:rsid w:val="00C95768"/>
    <w:rsid w:val="00CA1414"/>
    <w:rsid w:val="00CA3CBC"/>
    <w:rsid w:val="00CA555B"/>
    <w:rsid w:val="00CA5B1B"/>
    <w:rsid w:val="00CA5C0A"/>
    <w:rsid w:val="00CA662C"/>
    <w:rsid w:val="00CB16A9"/>
    <w:rsid w:val="00CB4926"/>
    <w:rsid w:val="00CB6064"/>
    <w:rsid w:val="00CC2ECF"/>
    <w:rsid w:val="00CC315D"/>
    <w:rsid w:val="00CC5810"/>
    <w:rsid w:val="00CC76D9"/>
    <w:rsid w:val="00CC789E"/>
    <w:rsid w:val="00CD1F9C"/>
    <w:rsid w:val="00CD2E6F"/>
    <w:rsid w:val="00CD3229"/>
    <w:rsid w:val="00CD421B"/>
    <w:rsid w:val="00CD4E1C"/>
    <w:rsid w:val="00CD5D74"/>
    <w:rsid w:val="00CD6E8C"/>
    <w:rsid w:val="00CD7648"/>
    <w:rsid w:val="00CD775B"/>
    <w:rsid w:val="00CD78FE"/>
    <w:rsid w:val="00CD7C92"/>
    <w:rsid w:val="00CF05F8"/>
    <w:rsid w:val="00CF0620"/>
    <w:rsid w:val="00CF2248"/>
    <w:rsid w:val="00CF55F9"/>
    <w:rsid w:val="00D00FC3"/>
    <w:rsid w:val="00D01517"/>
    <w:rsid w:val="00D01D10"/>
    <w:rsid w:val="00D0216D"/>
    <w:rsid w:val="00D0286A"/>
    <w:rsid w:val="00D04E92"/>
    <w:rsid w:val="00D05229"/>
    <w:rsid w:val="00D15DB7"/>
    <w:rsid w:val="00D20763"/>
    <w:rsid w:val="00D21C6C"/>
    <w:rsid w:val="00D256F1"/>
    <w:rsid w:val="00D271AA"/>
    <w:rsid w:val="00D3085B"/>
    <w:rsid w:val="00D3187A"/>
    <w:rsid w:val="00D322C1"/>
    <w:rsid w:val="00D3254A"/>
    <w:rsid w:val="00D34455"/>
    <w:rsid w:val="00D350BF"/>
    <w:rsid w:val="00D379A6"/>
    <w:rsid w:val="00D4025D"/>
    <w:rsid w:val="00D44C7A"/>
    <w:rsid w:val="00D45FCB"/>
    <w:rsid w:val="00D470F9"/>
    <w:rsid w:val="00D478BE"/>
    <w:rsid w:val="00D47951"/>
    <w:rsid w:val="00D479C7"/>
    <w:rsid w:val="00D510FA"/>
    <w:rsid w:val="00D51444"/>
    <w:rsid w:val="00D537C6"/>
    <w:rsid w:val="00D54BFE"/>
    <w:rsid w:val="00D55462"/>
    <w:rsid w:val="00D55B41"/>
    <w:rsid w:val="00D57F1B"/>
    <w:rsid w:val="00D605DB"/>
    <w:rsid w:val="00D633A4"/>
    <w:rsid w:val="00D66A65"/>
    <w:rsid w:val="00D66B6A"/>
    <w:rsid w:val="00D675E2"/>
    <w:rsid w:val="00D704AD"/>
    <w:rsid w:val="00D70A84"/>
    <w:rsid w:val="00D7256F"/>
    <w:rsid w:val="00D746B4"/>
    <w:rsid w:val="00D7490F"/>
    <w:rsid w:val="00D749D6"/>
    <w:rsid w:val="00D760AA"/>
    <w:rsid w:val="00D7642B"/>
    <w:rsid w:val="00D77CE5"/>
    <w:rsid w:val="00D8267C"/>
    <w:rsid w:val="00D82B88"/>
    <w:rsid w:val="00D83DB7"/>
    <w:rsid w:val="00D83EAD"/>
    <w:rsid w:val="00D8426E"/>
    <w:rsid w:val="00D911E9"/>
    <w:rsid w:val="00D95EDC"/>
    <w:rsid w:val="00D964FF"/>
    <w:rsid w:val="00D9668F"/>
    <w:rsid w:val="00DA1BE0"/>
    <w:rsid w:val="00DA225C"/>
    <w:rsid w:val="00DA41BD"/>
    <w:rsid w:val="00DA434D"/>
    <w:rsid w:val="00DA74A9"/>
    <w:rsid w:val="00DB084C"/>
    <w:rsid w:val="00DB1BCA"/>
    <w:rsid w:val="00DB2F15"/>
    <w:rsid w:val="00DB4975"/>
    <w:rsid w:val="00DB5601"/>
    <w:rsid w:val="00DB63BB"/>
    <w:rsid w:val="00DB72C0"/>
    <w:rsid w:val="00DC08DF"/>
    <w:rsid w:val="00DC16B5"/>
    <w:rsid w:val="00DC36F4"/>
    <w:rsid w:val="00DC479A"/>
    <w:rsid w:val="00DC57CD"/>
    <w:rsid w:val="00DC7F6F"/>
    <w:rsid w:val="00DD0CD4"/>
    <w:rsid w:val="00DD2A6E"/>
    <w:rsid w:val="00DD2ADE"/>
    <w:rsid w:val="00DD3169"/>
    <w:rsid w:val="00DD47A9"/>
    <w:rsid w:val="00DD5C89"/>
    <w:rsid w:val="00DD60E8"/>
    <w:rsid w:val="00DE28C0"/>
    <w:rsid w:val="00DE4CE6"/>
    <w:rsid w:val="00DE51AA"/>
    <w:rsid w:val="00DF165F"/>
    <w:rsid w:val="00E00E36"/>
    <w:rsid w:val="00E02C2D"/>
    <w:rsid w:val="00E059BF"/>
    <w:rsid w:val="00E060AA"/>
    <w:rsid w:val="00E06FCB"/>
    <w:rsid w:val="00E07F5D"/>
    <w:rsid w:val="00E10A58"/>
    <w:rsid w:val="00E11BF5"/>
    <w:rsid w:val="00E12DE0"/>
    <w:rsid w:val="00E1445E"/>
    <w:rsid w:val="00E15B40"/>
    <w:rsid w:val="00E15E7F"/>
    <w:rsid w:val="00E1734B"/>
    <w:rsid w:val="00E23225"/>
    <w:rsid w:val="00E23E14"/>
    <w:rsid w:val="00E24A97"/>
    <w:rsid w:val="00E25D35"/>
    <w:rsid w:val="00E33A9F"/>
    <w:rsid w:val="00E34922"/>
    <w:rsid w:val="00E36D82"/>
    <w:rsid w:val="00E401CF"/>
    <w:rsid w:val="00E414E3"/>
    <w:rsid w:val="00E43A9E"/>
    <w:rsid w:val="00E44F29"/>
    <w:rsid w:val="00E476D0"/>
    <w:rsid w:val="00E47E48"/>
    <w:rsid w:val="00E5012B"/>
    <w:rsid w:val="00E5047F"/>
    <w:rsid w:val="00E51984"/>
    <w:rsid w:val="00E54E91"/>
    <w:rsid w:val="00E56B56"/>
    <w:rsid w:val="00E576CD"/>
    <w:rsid w:val="00E57CFF"/>
    <w:rsid w:val="00E57E3F"/>
    <w:rsid w:val="00E62053"/>
    <w:rsid w:val="00E63315"/>
    <w:rsid w:val="00E644A9"/>
    <w:rsid w:val="00E649CC"/>
    <w:rsid w:val="00E66015"/>
    <w:rsid w:val="00E66127"/>
    <w:rsid w:val="00E6753D"/>
    <w:rsid w:val="00E701E5"/>
    <w:rsid w:val="00E70F7B"/>
    <w:rsid w:val="00E71420"/>
    <w:rsid w:val="00E72A93"/>
    <w:rsid w:val="00E72D1D"/>
    <w:rsid w:val="00E746B1"/>
    <w:rsid w:val="00E75A23"/>
    <w:rsid w:val="00E81A5F"/>
    <w:rsid w:val="00E82999"/>
    <w:rsid w:val="00E83C2A"/>
    <w:rsid w:val="00E86B19"/>
    <w:rsid w:val="00E87B87"/>
    <w:rsid w:val="00E91904"/>
    <w:rsid w:val="00E91B5F"/>
    <w:rsid w:val="00E91C0D"/>
    <w:rsid w:val="00E9215B"/>
    <w:rsid w:val="00E93CFC"/>
    <w:rsid w:val="00E94EC4"/>
    <w:rsid w:val="00E954DD"/>
    <w:rsid w:val="00EB0EA9"/>
    <w:rsid w:val="00EB158D"/>
    <w:rsid w:val="00EB43F4"/>
    <w:rsid w:val="00EB47B8"/>
    <w:rsid w:val="00EB55CD"/>
    <w:rsid w:val="00EB5680"/>
    <w:rsid w:val="00EB5E82"/>
    <w:rsid w:val="00EC1A0B"/>
    <w:rsid w:val="00EC5587"/>
    <w:rsid w:val="00EC6152"/>
    <w:rsid w:val="00EC711E"/>
    <w:rsid w:val="00EC7452"/>
    <w:rsid w:val="00ED2B77"/>
    <w:rsid w:val="00ED432C"/>
    <w:rsid w:val="00ED49DF"/>
    <w:rsid w:val="00ED5333"/>
    <w:rsid w:val="00ED59AD"/>
    <w:rsid w:val="00ED6001"/>
    <w:rsid w:val="00ED6727"/>
    <w:rsid w:val="00ED6F6F"/>
    <w:rsid w:val="00EE26F2"/>
    <w:rsid w:val="00EE312A"/>
    <w:rsid w:val="00EE4F7C"/>
    <w:rsid w:val="00EE5993"/>
    <w:rsid w:val="00EE6531"/>
    <w:rsid w:val="00EE67A6"/>
    <w:rsid w:val="00EE6D96"/>
    <w:rsid w:val="00EE717C"/>
    <w:rsid w:val="00EF015F"/>
    <w:rsid w:val="00EF0383"/>
    <w:rsid w:val="00EF2020"/>
    <w:rsid w:val="00EF269A"/>
    <w:rsid w:val="00EF3EA9"/>
    <w:rsid w:val="00EF4287"/>
    <w:rsid w:val="00EF6445"/>
    <w:rsid w:val="00EF7833"/>
    <w:rsid w:val="00F029C3"/>
    <w:rsid w:val="00F064B2"/>
    <w:rsid w:val="00F067F3"/>
    <w:rsid w:val="00F06CE1"/>
    <w:rsid w:val="00F12E8C"/>
    <w:rsid w:val="00F13567"/>
    <w:rsid w:val="00F15514"/>
    <w:rsid w:val="00F162F5"/>
    <w:rsid w:val="00F1650C"/>
    <w:rsid w:val="00F20E8C"/>
    <w:rsid w:val="00F231AC"/>
    <w:rsid w:val="00F23957"/>
    <w:rsid w:val="00F24B58"/>
    <w:rsid w:val="00F26414"/>
    <w:rsid w:val="00F27348"/>
    <w:rsid w:val="00F32727"/>
    <w:rsid w:val="00F3316F"/>
    <w:rsid w:val="00F37FCF"/>
    <w:rsid w:val="00F42115"/>
    <w:rsid w:val="00F42B22"/>
    <w:rsid w:val="00F444A4"/>
    <w:rsid w:val="00F452D9"/>
    <w:rsid w:val="00F46FC7"/>
    <w:rsid w:val="00F476BA"/>
    <w:rsid w:val="00F509FA"/>
    <w:rsid w:val="00F513AE"/>
    <w:rsid w:val="00F5211A"/>
    <w:rsid w:val="00F521DB"/>
    <w:rsid w:val="00F526AF"/>
    <w:rsid w:val="00F56468"/>
    <w:rsid w:val="00F56C21"/>
    <w:rsid w:val="00F61B82"/>
    <w:rsid w:val="00F61EF1"/>
    <w:rsid w:val="00F62C76"/>
    <w:rsid w:val="00F62FAA"/>
    <w:rsid w:val="00F65CF7"/>
    <w:rsid w:val="00F667F6"/>
    <w:rsid w:val="00F71ACA"/>
    <w:rsid w:val="00F73385"/>
    <w:rsid w:val="00F75610"/>
    <w:rsid w:val="00F75D06"/>
    <w:rsid w:val="00F769C4"/>
    <w:rsid w:val="00F76E27"/>
    <w:rsid w:val="00F76F6B"/>
    <w:rsid w:val="00F7742A"/>
    <w:rsid w:val="00F77AC9"/>
    <w:rsid w:val="00F81558"/>
    <w:rsid w:val="00F82295"/>
    <w:rsid w:val="00F84FE6"/>
    <w:rsid w:val="00F8560A"/>
    <w:rsid w:val="00F85C82"/>
    <w:rsid w:val="00F85D9D"/>
    <w:rsid w:val="00F861AC"/>
    <w:rsid w:val="00F91C89"/>
    <w:rsid w:val="00F93923"/>
    <w:rsid w:val="00F94068"/>
    <w:rsid w:val="00F942B5"/>
    <w:rsid w:val="00F9565B"/>
    <w:rsid w:val="00F95A81"/>
    <w:rsid w:val="00F95D27"/>
    <w:rsid w:val="00FA2379"/>
    <w:rsid w:val="00FA3038"/>
    <w:rsid w:val="00FA3225"/>
    <w:rsid w:val="00FA7C58"/>
    <w:rsid w:val="00FA7F5C"/>
    <w:rsid w:val="00FB12D6"/>
    <w:rsid w:val="00FB43A5"/>
    <w:rsid w:val="00FB6AF9"/>
    <w:rsid w:val="00FB7CA1"/>
    <w:rsid w:val="00FC3B35"/>
    <w:rsid w:val="00FC5092"/>
    <w:rsid w:val="00FC5987"/>
    <w:rsid w:val="00FC65C1"/>
    <w:rsid w:val="00FC66BC"/>
    <w:rsid w:val="00FC6AF7"/>
    <w:rsid w:val="00FC78B6"/>
    <w:rsid w:val="00FD1D89"/>
    <w:rsid w:val="00FD2379"/>
    <w:rsid w:val="00FD43A3"/>
    <w:rsid w:val="00FE17E0"/>
    <w:rsid w:val="00FE276B"/>
    <w:rsid w:val="00FE29BD"/>
    <w:rsid w:val="00FE471F"/>
    <w:rsid w:val="00FF3F0A"/>
    <w:rsid w:val="00FF500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9377" fill="f" fillcolor="white">
      <v:fill color="white" on="f"/>
      <o:colormenu v:ext="edit" fillcolor="none" strokecolor="none [671]"/>
    </o:shapedefaults>
    <o:shapelayout v:ext="edit">
      <o:idmap v:ext="edit" data="1"/>
      <o:rules v:ext="edit">
        <o:r id="V:Rule15" type="connector" idref="#_x0000_s1058"/>
        <o:r id="V:Rule16" type="connector" idref="#_x0000_s1041"/>
        <o:r id="V:Rule17" type="connector" idref="#_x0000_s1042"/>
        <o:r id="V:Rule18" type="connector" idref="#_x0000_s1045"/>
        <o:r id="V:Rule19" type="connector" idref="#_x0000_s1038"/>
        <o:r id="V:Rule20" type="connector" idref="#_x0000_s1061"/>
        <o:r id="V:Rule21" type="connector" idref="#_x0000_s1040"/>
        <o:r id="V:Rule22" type="connector" idref="#_x0000_s1044"/>
        <o:r id="V:Rule23" type="connector" idref="#_x0000_s1057"/>
        <o:r id="V:Rule24" type="connector" idref="#_x0000_s1050"/>
        <o:r id="V:Rule25" type="connector" idref="#_x0000_s1043"/>
        <o:r id="V:Rule26" type="connector" idref="#_x0000_s1039"/>
        <o:r id="V:Rule27" type="connector" idref="#_x0000_s1059"/>
        <o:r id="V:Rule28"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B7A95"/>
    <w:rPr>
      <w:sz w:val="24"/>
      <w:szCs w:val="24"/>
    </w:rPr>
  </w:style>
  <w:style w:type="paragraph" w:styleId="Nadpis1">
    <w:name w:val="heading 1"/>
    <w:basedOn w:val="Normln"/>
    <w:next w:val="Normln"/>
    <w:link w:val="Nadpis1Char"/>
    <w:uiPriority w:val="9"/>
    <w:qFormat/>
    <w:rsid w:val="006B7A95"/>
    <w:pPr>
      <w:keepNext/>
      <w:numPr>
        <w:numId w:val="15"/>
      </w:numPr>
      <w:outlineLvl w:val="0"/>
    </w:pPr>
    <w:rPr>
      <w:b/>
      <w:bCs/>
      <w:sz w:val="32"/>
    </w:rPr>
  </w:style>
  <w:style w:type="paragraph" w:styleId="Nadpis2">
    <w:name w:val="heading 2"/>
    <w:basedOn w:val="Normln"/>
    <w:next w:val="Normln"/>
    <w:qFormat/>
    <w:rsid w:val="006B7A95"/>
    <w:pPr>
      <w:keepNext/>
      <w:numPr>
        <w:ilvl w:val="1"/>
        <w:numId w:val="15"/>
      </w:numPr>
      <w:spacing w:line="360" w:lineRule="auto"/>
      <w:jc w:val="both"/>
      <w:outlineLvl w:val="1"/>
    </w:pPr>
    <w:rPr>
      <w:b/>
      <w:bCs/>
    </w:rPr>
  </w:style>
  <w:style w:type="paragraph" w:styleId="Nadpis3">
    <w:name w:val="heading 3"/>
    <w:basedOn w:val="Normln"/>
    <w:next w:val="Normln"/>
    <w:qFormat/>
    <w:rsid w:val="006B7A95"/>
    <w:pPr>
      <w:keepNext/>
      <w:numPr>
        <w:ilvl w:val="2"/>
        <w:numId w:val="15"/>
      </w:numPr>
      <w:spacing w:line="360" w:lineRule="auto"/>
      <w:jc w:val="center"/>
      <w:outlineLvl w:val="2"/>
    </w:pPr>
    <w:rPr>
      <w:b/>
      <w:bCs/>
      <w:sz w:val="16"/>
    </w:rPr>
  </w:style>
  <w:style w:type="paragraph" w:styleId="Nadpis4">
    <w:name w:val="heading 4"/>
    <w:basedOn w:val="Normln"/>
    <w:next w:val="Normln"/>
    <w:qFormat/>
    <w:rsid w:val="006B7A95"/>
    <w:pPr>
      <w:keepNext/>
      <w:numPr>
        <w:ilvl w:val="3"/>
        <w:numId w:val="15"/>
      </w:numPr>
      <w:spacing w:line="360" w:lineRule="auto"/>
      <w:jc w:val="both"/>
      <w:outlineLvl w:val="3"/>
    </w:pPr>
    <w:rPr>
      <w:sz w:val="32"/>
    </w:rPr>
  </w:style>
  <w:style w:type="paragraph" w:styleId="Nadpis5">
    <w:name w:val="heading 5"/>
    <w:basedOn w:val="Normln"/>
    <w:next w:val="Normln"/>
    <w:qFormat/>
    <w:rsid w:val="006B7A95"/>
    <w:pPr>
      <w:keepNext/>
      <w:numPr>
        <w:ilvl w:val="4"/>
        <w:numId w:val="15"/>
      </w:numPr>
      <w:outlineLvl w:val="4"/>
    </w:pPr>
    <w:rPr>
      <w:sz w:val="28"/>
    </w:rPr>
  </w:style>
  <w:style w:type="paragraph" w:styleId="Nadpis6">
    <w:name w:val="heading 6"/>
    <w:basedOn w:val="Normln"/>
    <w:next w:val="Normln"/>
    <w:qFormat/>
    <w:rsid w:val="006B7A95"/>
    <w:pPr>
      <w:keepNext/>
      <w:numPr>
        <w:ilvl w:val="5"/>
        <w:numId w:val="15"/>
      </w:numPr>
      <w:spacing w:line="360" w:lineRule="auto"/>
      <w:jc w:val="both"/>
      <w:outlineLvl w:val="5"/>
    </w:pPr>
    <w:rPr>
      <w:sz w:val="28"/>
    </w:rPr>
  </w:style>
  <w:style w:type="paragraph" w:styleId="Nadpis7">
    <w:name w:val="heading 7"/>
    <w:basedOn w:val="Normln"/>
    <w:next w:val="Normln"/>
    <w:qFormat/>
    <w:rsid w:val="006B7A95"/>
    <w:pPr>
      <w:numPr>
        <w:ilvl w:val="6"/>
        <w:numId w:val="15"/>
      </w:numPr>
      <w:spacing w:before="240" w:after="60"/>
      <w:outlineLvl w:val="6"/>
    </w:pPr>
    <w:rPr>
      <w:szCs w:val="20"/>
    </w:rPr>
  </w:style>
  <w:style w:type="paragraph" w:styleId="Nadpis8">
    <w:name w:val="heading 8"/>
    <w:basedOn w:val="Normln"/>
    <w:next w:val="Normln"/>
    <w:qFormat/>
    <w:rsid w:val="006B7A95"/>
    <w:pPr>
      <w:numPr>
        <w:ilvl w:val="7"/>
        <w:numId w:val="15"/>
      </w:numPr>
      <w:spacing w:before="240" w:after="60"/>
      <w:outlineLvl w:val="7"/>
    </w:pPr>
    <w:rPr>
      <w:i/>
      <w:szCs w:val="20"/>
    </w:rPr>
  </w:style>
  <w:style w:type="paragraph" w:styleId="Nadpis9">
    <w:name w:val="heading 9"/>
    <w:basedOn w:val="Normln"/>
    <w:next w:val="Normln"/>
    <w:qFormat/>
    <w:rsid w:val="006B7A95"/>
    <w:pPr>
      <w:numPr>
        <w:ilvl w:val="8"/>
        <w:numId w:val="15"/>
      </w:numPr>
      <w:spacing w:before="240" w:after="60"/>
      <w:outlineLvl w:val="8"/>
    </w:pPr>
    <w:rPr>
      <w:rFonts w:ascii="Arial" w:hAnsi="Arial"/>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6B7A95"/>
    <w:rPr>
      <w:b/>
      <w:bCs/>
      <w:sz w:val="32"/>
    </w:rPr>
  </w:style>
  <w:style w:type="paragraph" w:styleId="Zkladntext2">
    <w:name w:val="Body Text 2"/>
    <w:basedOn w:val="Normln"/>
    <w:link w:val="Zkladntext2Char"/>
    <w:rsid w:val="006B7A95"/>
    <w:pPr>
      <w:spacing w:line="360" w:lineRule="auto"/>
      <w:jc w:val="both"/>
    </w:pPr>
  </w:style>
  <w:style w:type="paragraph" w:styleId="Zpat">
    <w:name w:val="footer"/>
    <w:basedOn w:val="Normln"/>
    <w:link w:val="ZpatChar"/>
    <w:uiPriority w:val="99"/>
    <w:rsid w:val="006B7A95"/>
    <w:pPr>
      <w:tabs>
        <w:tab w:val="center" w:pos="4536"/>
        <w:tab w:val="right" w:pos="9072"/>
      </w:tabs>
    </w:pPr>
  </w:style>
  <w:style w:type="character" w:styleId="slostrnky">
    <w:name w:val="page number"/>
    <w:basedOn w:val="Standardnpsmoodstavce"/>
    <w:rsid w:val="006B7A95"/>
  </w:style>
  <w:style w:type="paragraph" w:styleId="Zhlav">
    <w:name w:val="header"/>
    <w:basedOn w:val="Normln"/>
    <w:rsid w:val="006B7A95"/>
    <w:pPr>
      <w:tabs>
        <w:tab w:val="center" w:pos="4536"/>
        <w:tab w:val="right" w:pos="9072"/>
      </w:tabs>
    </w:pPr>
  </w:style>
  <w:style w:type="character" w:styleId="Hypertextovodkaz">
    <w:name w:val="Hyperlink"/>
    <w:basedOn w:val="Standardnpsmoodstavce"/>
    <w:uiPriority w:val="99"/>
    <w:rsid w:val="006B7A95"/>
    <w:rPr>
      <w:color w:val="0000FF"/>
      <w:u w:val="single"/>
    </w:rPr>
  </w:style>
  <w:style w:type="character" w:styleId="Sledovanodkaz">
    <w:name w:val="FollowedHyperlink"/>
    <w:basedOn w:val="Standardnpsmoodstavce"/>
    <w:rsid w:val="006B7A95"/>
    <w:rPr>
      <w:color w:val="800080"/>
      <w:u w:val="single"/>
    </w:rPr>
  </w:style>
  <w:style w:type="paragraph" w:customStyle="1" w:styleId="xl24">
    <w:name w:val="xl24"/>
    <w:basedOn w:val="Normln"/>
    <w:rsid w:val="006B7A95"/>
    <w:pPr>
      <w:shd w:val="clear" w:color="auto" w:fill="C0C0C0"/>
      <w:spacing w:before="100" w:beforeAutospacing="1" w:after="100" w:afterAutospacing="1"/>
    </w:pPr>
  </w:style>
  <w:style w:type="paragraph" w:customStyle="1" w:styleId="xl25">
    <w:name w:val="xl25"/>
    <w:basedOn w:val="Normln"/>
    <w:rsid w:val="006B7A95"/>
    <w:pPr>
      <w:pBdr>
        <w:left w:val="single" w:sz="4" w:space="0" w:color="auto"/>
      </w:pBdr>
      <w:spacing w:before="100" w:beforeAutospacing="1" w:after="100" w:afterAutospacing="1"/>
    </w:pPr>
  </w:style>
  <w:style w:type="paragraph" w:customStyle="1" w:styleId="xl26">
    <w:name w:val="xl26"/>
    <w:basedOn w:val="Normln"/>
    <w:rsid w:val="006B7A95"/>
    <w:pPr>
      <w:pBdr>
        <w:left w:val="single" w:sz="4" w:space="0" w:color="auto"/>
        <w:bottom w:val="single" w:sz="4" w:space="0" w:color="auto"/>
      </w:pBdr>
      <w:spacing w:before="100" w:beforeAutospacing="1" w:after="100" w:afterAutospacing="1"/>
    </w:pPr>
  </w:style>
  <w:style w:type="paragraph" w:customStyle="1" w:styleId="xl27">
    <w:name w:val="xl27"/>
    <w:basedOn w:val="Normln"/>
    <w:rsid w:val="006B7A95"/>
    <w:pPr>
      <w:pBdr>
        <w:top w:val="single" w:sz="4" w:space="0" w:color="auto"/>
        <w:left w:val="single" w:sz="4" w:space="0" w:color="auto"/>
        <w:bottom w:val="single" w:sz="4" w:space="0" w:color="auto"/>
      </w:pBdr>
      <w:spacing w:before="100" w:beforeAutospacing="1" w:after="100" w:afterAutospacing="1"/>
    </w:pPr>
  </w:style>
  <w:style w:type="paragraph" w:customStyle="1" w:styleId="odrka4">
    <w:name w:val="odrážka 4"/>
    <w:basedOn w:val="Normln"/>
    <w:rsid w:val="006B7A95"/>
    <w:pPr>
      <w:numPr>
        <w:numId w:val="1"/>
      </w:numPr>
      <w:spacing w:after="42"/>
      <w:jc w:val="both"/>
    </w:pPr>
    <w:rPr>
      <w:rFonts w:ascii="Arial" w:hAnsi="Arial"/>
      <w:sz w:val="21"/>
      <w:szCs w:val="20"/>
    </w:rPr>
  </w:style>
  <w:style w:type="paragraph" w:customStyle="1" w:styleId="odstavec3">
    <w:name w:val="odstavec 3"/>
    <w:basedOn w:val="Normln"/>
    <w:rsid w:val="006B7A95"/>
    <w:pPr>
      <w:tabs>
        <w:tab w:val="left" w:pos="1117"/>
      </w:tabs>
      <w:spacing w:after="62"/>
      <w:ind w:left="1117" w:hanging="834"/>
      <w:jc w:val="both"/>
    </w:pPr>
    <w:rPr>
      <w:rFonts w:ascii="Arial" w:hAnsi="Arial"/>
      <w:sz w:val="21"/>
      <w:szCs w:val="20"/>
    </w:rPr>
  </w:style>
  <w:style w:type="character" w:styleId="slodku">
    <w:name w:val="line number"/>
    <w:basedOn w:val="Standardnpsmoodstavce"/>
    <w:rsid w:val="006B7A95"/>
  </w:style>
  <w:style w:type="paragraph" w:styleId="Nzev">
    <w:name w:val="Title"/>
    <w:aliases w:val="Tabulka"/>
    <w:basedOn w:val="Normln"/>
    <w:qFormat/>
    <w:rsid w:val="0091493F"/>
    <w:rPr>
      <w:bCs/>
    </w:rPr>
  </w:style>
  <w:style w:type="paragraph" w:customStyle="1" w:styleId="Diplomka-textodstavce">
    <w:name w:val="Diplomka - text odstavce"/>
    <w:rsid w:val="006B7A95"/>
    <w:pPr>
      <w:spacing w:before="120" w:after="120" w:line="360" w:lineRule="auto"/>
      <w:jc w:val="both"/>
    </w:pPr>
    <w:rPr>
      <w:sz w:val="24"/>
    </w:rPr>
  </w:style>
  <w:style w:type="paragraph" w:styleId="Titulek">
    <w:name w:val="caption"/>
    <w:aliases w:val="Graf"/>
    <w:basedOn w:val="Normln"/>
    <w:next w:val="Normln"/>
    <w:qFormat/>
    <w:rsid w:val="0056198C"/>
    <w:pPr>
      <w:keepNext/>
      <w:spacing w:before="240" w:after="120"/>
    </w:pPr>
    <w:rPr>
      <w:szCs w:val="20"/>
    </w:rPr>
  </w:style>
  <w:style w:type="paragraph" w:customStyle="1" w:styleId="Normalnimuj">
    <w:name w:val="Normalni_muj"/>
    <w:basedOn w:val="Normln"/>
    <w:rsid w:val="006B7A95"/>
    <w:pPr>
      <w:spacing w:before="120" w:line="360" w:lineRule="auto"/>
      <w:jc w:val="both"/>
    </w:pPr>
    <w:rPr>
      <w:rFonts w:ascii="Courier New" w:hAnsi="Courier New"/>
    </w:rPr>
  </w:style>
  <w:style w:type="character" w:customStyle="1" w:styleId="ZpatChar">
    <w:name w:val="Zápatí Char"/>
    <w:basedOn w:val="Standardnpsmoodstavce"/>
    <w:link w:val="Zpat"/>
    <w:uiPriority w:val="99"/>
    <w:rsid w:val="00627031"/>
    <w:rPr>
      <w:sz w:val="24"/>
      <w:szCs w:val="24"/>
    </w:rPr>
  </w:style>
  <w:style w:type="paragraph" w:styleId="Textbubliny">
    <w:name w:val="Balloon Text"/>
    <w:basedOn w:val="Normln"/>
    <w:link w:val="TextbublinyChar"/>
    <w:rsid w:val="00627031"/>
    <w:rPr>
      <w:rFonts w:ascii="Tahoma" w:hAnsi="Tahoma" w:cs="Tahoma"/>
      <w:sz w:val="16"/>
      <w:szCs w:val="16"/>
    </w:rPr>
  </w:style>
  <w:style w:type="character" w:customStyle="1" w:styleId="TextbublinyChar">
    <w:name w:val="Text bubliny Char"/>
    <w:basedOn w:val="Standardnpsmoodstavce"/>
    <w:link w:val="Textbubliny"/>
    <w:rsid w:val="00627031"/>
    <w:rPr>
      <w:rFonts w:ascii="Tahoma" w:hAnsi="Tahoma" w:cs="Tahoma"/>
      <w:sz w:val="16"/>
      <w:szCs w:val="16"/>
    </w:rPr>
  </w:style>
  <w:style w:type="paragraph" w:styleId="Textpoznpodarou">
    <w:name w:val="footnote text"/>
    <w:basedOn w:val="Normln"/>
    <w:link w:val="TextpoznpodarouChar"/>
    <w:rsid w:val="00937E31"/>
    <w:rPr>
      <w:sz w:val="20"/>
      <w:szCs w:val="20"/>
    </w:rPr>
  </w:style>
  <w:style w:type="character" w:customStyle="1" w:styleId="TextpoznpodarouChar">
    <w:name w:val="Text pozn. pod čarou Char"/>
    <w:basedOn w:val="Standardnpsmoodstavce"/>
    <w:link w:val="Textpoznpodarou"/>
    <w:rsid w:val="00937E31"/>
  </w:style>
  <w:style w:type="character" w:styleId="Znakapoznpodarou">
    <w:name w:val="footnote reference"/>
    <w:basedOn w:val="Standardnpsmoodstavce"/>
    <w:rsid w:val="00937E31"/>
    <w:rPr>
      <w:vertAlign w:val="superscript"/>
    </w:rPr>
  </w:style>
  <w:style w:type="character" w:styleId="Zstupntext">
    <w:name w:val="Placeholder Text"/>
    <w:basedOn w:val="Standardnpsmoodstavce"/>
    <w:uiPriority w:val="99"/>
    <w:semiHidden/>
    <w:rsid w:val="00564261"/>
    <w:rPr>
      <w:color w:val="808080"/>
    </w:rPr>
  </w:style>
  <w:style w:type="paragraph" w:styleId="Odstavecseseznamem">
    <w:name w:val="List Paragraph"/>
    <w:basedOn w:val="Normln"/>
    <w:uiPriority w:val="34"/>
    <w:qFormat/>
    <w:rsid w:val="007D140E"/>
    <w:pPr>
      <w:ind w:left="720"/>
      <w:contextualSpacing/>
    </w:pPr>
  </w:style>
  <w:style w:type="paragraph" w:styleId="Obsah1">
    <w:name w:val="toc 1"/>
    <w:basedOn w:val="Normln"/>
    <w:next w:val="Normln"/>
    <w:autoRedefine/>
    <w:uiPriority w:val="39"/>
    <w:rsid w:val="004E72FA"/>
    <w:pPr>
      <w:spacing w:after="100"/>
    </w:pPr>
  </w:style>
  <w:style w:type="paragraph" w:styleId="Obsah2">
    <w:name w:val="toc 2"/>
    <w:basedOn w:val="Normln"/>
    <w:next w:val="Normln"/>
    <w:autoRedefine/>
    <w:uiPriority w:val="39"/>
    <w:rsid w:val="004E72FA"/>
    <w:pPr>
      <w:spacing w:after="100"/>
      <w:ind w:left="240"/>
    </w:pPr>
  </w:style>
  <w:style w:type="paragraph" w:styleId="Nadpisobsahu">
    <w:name w:val="TOC Heading"/>
    <w:basedOn w:val="Nadpis1"/>
    <w:next w:val="Normln"/>
    <w:uiPriority w:val="39"/>
    <w:semiHidden/>
    <w:unhideWhenUsed/>
    <w:qFormat/>
    <w:rsid w:val="008F5163"/>
    <w:pPr>
      <w:keepLines/>
      <w:spacing w:before="480" w:line="276" w:lineRule="auto"/>
      <w:outlineLvl w:val="9"/>
    </w:pPr>
    <w:rPr>
      <w:rFonts w:ascii="Cambria" w:hAnsi="Cambria"/>
      <w:color w:val="365F91"/>
      <w:sz w:val="28"/>
      <w:szCs w:val="28"/>
      <w:lang w:eastAsia="en-US"/>
    </w:rPr>
  </w:style>
  <w:style w:type="paragraph" w:styleId="Obsah3">
    <w:name w:val="toc 3"/>
    <w:basedOn w:val="Normln"/>
    <w:next w:val="Normln"/>
    <w:autoRedefine/>
    <w:uiPriority w:val="39"/>
    <w:rsid w:val="008F5163"/>
    <w:pPr>
      <w:spacing w:after="100"/>
      <w:ind w:left="480"/>
    </w:pPr>
  </w:style>
  <w:style w:type="character" w:customStyle="1" w:styleId="Zkladntext2Char">
    <w:name w:val="Základní text 2 Char"/>
    <w:basedOn w:val="Standardnpsmoodstavce"/>
    <w:link w:val="Zkladntext2"/>
    <w:rsid w:val="008129D7"/>
    <w:rPr>
      <w:sz w:val="24"/>
      <w:szCs w:val="24"/>
    </w:rPr>
  </w:style>
  <w:style w:type="paragraph" w:customStyle="1" w:styleId="10tablenormal">
    <w:name w:val="10 table normal"/>
    <w:basedOn w:val="Normln"/>
    <w:rsid w:val="00A1077A"/>
    <w:pPr>
      <w:widowControl w:val="0"/>
      <w:spacing w:before="60" w:after="60"/>
    </w:pPr>
    <w:rPr>
      <w:rFonts w:ascii="Palatino" w:hAnsi="Palatino"/>
      <w:szCs w:val="20"/>
      <w:lang w:val="en-US"/>
    </w:rPr>
  </w:style>
  <w:style w:type="paragraph" w:customStyle="1" w:styleId="15tableheading">
    <w:name w:val="15 table heading"/>
    <w:basedOn w:val="10tablenormal"/>
    <w:next w:val="10tablenormal"/>
    <w:rsid w:val="00A1077A"/>
    <w:rPr>
      <w:b/>
    </w:rPr>
  </w:style>
  <w:style w:type="paragraph" w:styleId="Obsah4">
    <w:name w:val="toc 4"/>
    <w:basedOn w:val="Normln"/>
    <w:next w:val="Normln"/>
    <w:autoRedefine/>
    <w:uiPriority w:val="39"/>
    <w:rsid w:val="00E06FCB"/>
    <w:pPr>
      <w:spacing w:after="100"/>
      <w:ind w:left="720"/>
    </w:pPr>
  </w:style>
  <w:style w:type="character" w:customStyle="1" w:styleId="Nadpis1Char">
    <w:name w:val="Nadpis 1 Char"/>
    <w:basedOn w:val="Standardnpsmoodstavce"/>
    <w:link w:val="Nadpis1"/>
    <w:uiPriority w:val="9"/>
    <w:rsid w:val="00993F38"/>
    <w:rPr>
      <w:b/>
      <w:bCs/>
      <w:sz w:val="32"/>
      <w:szCs w:val="24"/>
    </w:rPr>
  </w:style>
  <w:style w:type="paragraph" w:styleId="Textvysvtlivek">
    <w:name w:val="endnote text"/>
    <w:basedOn w:val="Normln"/>
    <w:link w:val="TextvysvtlivekChar"/>
    <w:rsid w:val="00993F38"/>
    <w:rPr>
      <w:sz w:val="20"/>
      <w:szCs w:val="20"/>
    </w:rPr>
  </w:style>
  <w:style w:type="character" w:customStyle="1" w:styleId="TextvysvtlivekChar">
    <w:name w:val="Text vysvětlivek Char"/>
    <w:basedOn w:val="Standardnpsmoodstavce"/>
    <w:link w:val="Textvysvtlivek"/>
    <w:rsid w:val="00993F38"/>
  </w:style>
  <w:style w:type="character" w:styleId="Odkaznavysvtlivky">
    <w:name w:val="endnote reference"/>
    <w:basedOn w:val="Standardnpsmoodstavce"/>
    <w:rsid w:val="00993F38"/>
    <w:rPr>
      <w:vertAlign w:val="superscript"/>
    </w:rPr>
  </w:style>
  <w:style w:type="paragraph" w:styleId="Seznamobrzk">
    <w:name w:val="table of figures"/>
    <w:basedOn w:val="Normln"/>
    <w:next w:val="Normln"/>
    <w:uiPriority w:val="99"/>
    <w:rsid w:val="005F3F31"/>
  </w:style>
</w:styles>
</file>

<file path=word/webSettings.xml><?xml version="1.0" encoding="utf-8"?>
<w:webSettings xmlns:r="http://schemas.openxmlformats.org/officeDocument/2006/relationships" xmlns:w="http://schemas.openxmlformats.org/wordprocessingml/2006/main">
  <w:divs>
    <w:div w:id="13266471">
      <w:bodyDiv w:val="1"/>
      <w:marLeft w:val="0"/>
      <w:marRight w:val="0"/>
      <w:marTop w:val="0"/>
      <w:marBottom w:val="0"/>
      <w:divBdr>
        <w:top w:val="none" w:sz="0" w:space="0" w:color="auto"/>
        <w:left w:val="none" w:sz="0" w:space="0" w:color="auto"/>
        <w:bottom w:val="none" w:sz="0" w:space="0" w:color="auto"/>
        <w:right w:val="none" w:sz="0" w:space="0" w:color="auto"/>
      </w:divBdr>
    </w:div>
    <w:div w:id="39549603">
      <w:bodyDiv w:val="1"/>
      <w:marLeft w:val="0"/>
      <w:marRight w:val="0"/>
      <w:marTop w:val="0"/>
      <w:marBottom w:val="0"/>
      <w:divBdr>
        <w:top w:val="none" w:sz="0" w:space="0" w:color="auto"/>
        <w:left w:val="none" w:sz="0" w:space="0" w:color="auto"/>
        <w:bottom w:val="none" w:sz="0" w:space="0" w:color="auto"/>
        <w:right w:val="none" w:sz="0" w:space="0" w:color="auto"/>
      </w:divBdr>
    </w:div>
    <w:div w:id="41178676">
      <w:bodyDiv w:val="1"/>
      <w:marLeft w:val="0"/>
      <w:marRight w:val="0"/>
      <w:marTop w:val="0"/>
      <w:marBottom w:val="0"/>
      <w:divBdr>
        <w:top w:val="none" w:sz="0" w:space="0" w:color="auto"/>
        <w:left w:val="none" w:sz="0" w:space="0" w:color="auto"/>
        <w:bottom w:val="none" w:sz="0" w:space="0" w:color="auto"/>
        <w:right w:val="none" w:sz="0" w:space="0" w:color="auto"/>
      </w:divBdr>
    </w:div>
    <w:div w:id="64033996">
      <w:bodyDiv w:val="1"/>
      <w:marLeft w:val="0"/>
      <w:marRight w:val="0"/>
      <w:marTop w:val="0"/>
      <w:marBottom w:val="0"/>
      <w:divBdr>
        <w:top w:val="none" w:sz="0" w:space="0" w:color="auto"/>
        <w:left w:val="none" w:sz="0" w:space="0" w:color="auto"/>
        <w:bottom w:val="none" w:sz="0" w:space="0" w:color="auto"/>
        <w:right w:val="none" w:sz="0" w:space="0" w:color="auto"/>
      </w:divBdr>
    </w:div>
    <w:div w:id="119887394">
      <w:bodyDiv w:val="1"/>
      <w:marLeft w:val="0"/>
      <w:marRight w:val="0"/>
      <w:marTop w:val="0"/>
      <w:marBottom w:val="0"/>
      <w:divBdr>
        <w:top w:val="none" w:sz="0" w:space="0" w:color="auto"/>
        <w:left w:val="none" w:sz="0" w:space="0" w:color="auto"/>
        <w:bottom w:val="none" w:sz="0" w:space="0" w:color="auto"/>
        <w:right w:val="none" w:sz="0" w:space="0" w:color="auto"/>
      </w:divBdr>
    </w:div>
    <w:div w:id="133498000">
      <w:bodyDiv w:val="1"/>
      <w:marLeft w:val="0"/>
      <w:marRight w:val="0"/>
      <w:marTop w:val="0"/>
      <w:marBottom w:val="0"/>
      <w:divBdr>
        <w:top w:val="none" w:sz="0" w:space="0" w:color="auto"/>
        <w:left w:val="none" w:sz="0" w:space="0" w:color="auto"/>
        <w:bottom w:val="none" w:sz="0" w:space="0" w:color="auto"/>
        <w:right w:val="none" w:sz="0" w:space="0" w:color="auto"/>
      </w:divBdr>
    </w:div>
    <w:div w:id="162286126">
      <w:bodyDiv w:val="1"/>
      <w:marLeft w:val="0"/>
      <w:marRight w:val="0"/>
      <w:marTop w:val="0"/>
      <w:marBottom w:val="0"/>
      <w:divBdr>
        <w:top w:val="none" w:sz="0" w:space="0" w:color="auto"/>
        <w:left w:val="none" w:sz="0" w:space="0" w:color="auto"/>
        <w:bottom w:val="none" w:sz="0" w:space="0" w:color="auto"/>
        <w:right w:val="none" w:sz="0" w:space="0" w:color="auto"/>
      </w:divBdr>
    </w:div>
    <w:div w:id="162556163">
      <w:bodyDiv w:val="1"/>
      <w:marLeft w:val="0"/>
      <w:marRight w:val="0"/>
      <w:marTop w:val="0"/>
      <w:marBottom w:val="0"/>
      <w:divBdr>
        <w:top w:val="none" w:sz="0" w:space="0" w:color="auto"/>
        <w:left w:val="none" w:sz="0" w:space="0" w:color="auto"/>
        <w:bottom w:val="none" w:sz="0" w:space="0" w:color="auto"/>
        <w:right w:val="none" w:sz="0" w:space="0" w:color="auto"/>
      </w:divBdr>
    </w:div>
    <w:div w:id="269702833">
      <w:bodyDiv w:val="1"/>
      <w:marLeft w:val="0"/>
      <w:marRight w:val="0"/>
      <w:marTop w:val="0"/>
      <w:marBottom w:val="0"/>
      <w:divBdr>
        <w:top w:val="none" w:sz="0" w:space="0" w:color="auto"/>
        <w:left w:val="none" w:sz="0" w:space="0" w:color="auto"/>
        <w:bottom w:val="none" w:sz="0" w:space="0" w:color="auto"/>
        <w:right w:val="none" w:sz="0" w:space="0" w:color="auto"/>
      </w:divBdr>
    </w:div>
    <w:div w:id="309871141">
      <w:bodyDiv w:val="1"/>
      <w:marLeft w:val="0"/>
      <w:marRight w:val="0"/>
      <w:marTop w:val="0"/>
      <w:marBottom w:val="0"/>
      <w:divBdr>
        <w:top w:val="none" w:sz="0" w:space="0" w:color="auto"/>
        <w:left w:val="none" w:sz="0" w:space="0" w:color="auto"/>
        <w:bottom w:val="none" w:sz="0" w:space="0" w:color="auto"/>
        <w:right w:val="none" w:sz="0" w:space="0" w:color="auto"/>
      </w:divBdr>
    </w:div>
    <w:div w:id="473371564">
      <w:bodyDiv w:val="1"/>
      <w:marLeft w:val="0"/>
      <w:marRight w:val="0"/>
      <w:marTop w:val="0"/>
      <w:marBottom w:val="0"/>
      <w:divBdr>
        <w:top w:val="none" w:sz="0" w:space="0" w:color="auto"/>
        <w:left w:val="none" w:sz="0" w:space="0" w:color="auto"/>
        <w:bottom w:val="none" w:sz="0" w:space="0" w:color="auto"/>
        <w:right w:val="none" w:sz="0" w:space="0" w:color="auto"/>
      </w:divBdr>
    </w:div>
    <w:div w:id="501548640">
      <w:bodyDiv w:val="1"/>
      <w:marLeft w:val="0"/>
      <w:marRight w:val="0"/>
      <w:marTop w:val="0"/>
      <w:marBottom w:val="0"/>
      <w:divBdr>
        <w:top w:val="none" w:sz="0" w:space="0" w:color="auto"/>
        <w:left w:val="none" w:sz="0" w:space="0" w:color="auto"/>
        <w:bottom w:val="none" w:sz="0" w:space="0" w:color="auto"/>
        <w:right w:val="none" w:sz="0" w:space="0" w:color="auto"/>
      </w:divBdr>
    </w:div>
    <w:div w:id="523518542">
      <w:bodyDiv w:val="1"/>
      <w:marLeft w:val="0"/>
      <w:marRight w:val="0"/>
      <w:marTop w:val="0"/>
      <w:marBottom w:val="0"/>
      <w:divBdr>
        <w:top w:val="none" w:sz="0" w:space="0" w:color="auto"/>
        <w:left w:val="none" w:sz="0" w:space="0" w:color="auto"/>
        <w:bottom w:val="none" w:sz="0" w:space="0" w:color="auto"/>
        <w:right w:val="none" w:sz="0" w:space="0" w:color="auto"/>
      </w:divBdr>
    </w:div>
    <w:div w:id="554390317">
      <w:bodyDiv w:val="1"/>
      <w:marLeft w:val="0"/>
      <w:marRight w:val="0"/>
      <w:marTop w:val="0"/>
      <w:marBottom w:val="0"/>
      <w:divBdr>
        <w:top w:val="none" w:sz="0" w:space="0" w:color="auto"/>
        <w:left w:val="none" w:sz="0" w:space="0" w:color="auto"/>
        <w:bottom w:val="none" w:sz="0" w:space="0" w:color="auto"/>
        <w:right w:val="none" w:sz="0" w:space="0" w:color="auto"/>
      </w:divBdr>
    </w:div>
    <w:div w:id="591008272">
      <w:bodyDiv w:val="1"/>
      <w:marLeft w:val="0"/>
      <w:marRight w:val="0"/>
      <w:marTop w:val="0"/>
      <w:marBottom w:val="0"/>
      <w:divBdr>
        <w:top w:val="none" w:sz="0" w:space="0" w:color="auto"/>
        <w:left w:val="none" w:sz="0" w:space="0" w:color="auto"/>
        <w:bottom w:val="none" w:sz="0" w:space="0" w:color="auto"/>
        <w:right w:val="none" w:sz="0" w:space="0" w:color="auto"/>
      </w:divBdr>
    </w:div>
    <w:div w:id="671759761">
      <w:bodyDiv w:val="1"/>
      <w:marLeft w:val="0"/>
      <w:marRight w:val="0"/>
      <w:marTop w:val="0"/>
      <w:marBottom w:val="0"/>
      <w:divBdr>
        <w:top w:val="none" w:sz="0" w:space="0" w:color="auto"/>
        <w:left w:val="none" w:sz="0" w:space="0" w:color="auto"/>
        <w:bottom w:val="none" w:sz="0" w:space="0" w:color="auto"/>
        <w:right w:val="none" w:sz="0" w:space="0" w:color="auto"/>
      </w:divBdr>
    </w:div>
    <w:div w:id="686060484">
      <w:bodyDiv w:val="1"/>
      <w:marLeft w:val="0"/>
      <w:marRight w:val="0"/>
      <w:marTop w:val="0"/>
      <w:marBottom w:val="0"/>
      <w:divBdr>
        <w:top w:val="none" w:sz="0" w:space="0" w:color="auto"/>
        <w:left w:val="none" w:sz="0" w:space="0" w:color="auto"/>
        <w:bottom w:val="none" w:sz="0" w:space="0" w:color="auto"/>
        <w:right w:val="none" w:sz="0" w:space="0" w:color="auto"/>
      </w:divBdr>
    </w:div>
    <w:div w:id="716009222">
      <w:bodyDiv w:val="1"/>
      <w:marLeft w:val="0"/>
      <w:marRight w:val="0"/>
      <w:marTop w:val="0"/>
      <w:marBottom w:val="0"/>
      <w:divBdr>
        <w:top w:val="none" w:sz="0" w:space="0" w:color="auto"/>
        <w:left w:val="none" w:sz="0" w:space="0" w:color="auto"/>
        <w:bottom w:val="none" w:sz="0" w:space="0" w:color="auto"/>
        <w:right w:val="none" w:sz="0" w:space="0" w:color="auto"/>
      </w:divBdr>
    </w:div>
    <w:div w:id="801339232">
      <w:bodyDiv w:val="1"/>
      <w:marLeft w:val="0"/>
      <w:marRight w:val="0"/>
      <w:marTop w:val="0"/>
      <w:marBottom w:val="0"/>
      <w:divBdr>
        <w:top w:val="none" w:sz="0" w:space="0" w:color="auto"/>
        <w:left w:val="none" w:sz="0" w:space="0" w:color="auto"/>
        <w:bottom w:val="none" w:sz="0" w:space="0" w:color="auto"/>
        <w:right w:val="none" w:sz="0" w:space="0" w:color="auto"/>
      </w:divBdr>
    </w:div>
    <w:div w:id="805587806">
      <w:bodyDiv w:val="1"/>
      <w:marLeft w:val="0"/>
      <w:marRight w:val="0"/>
      <w:marTop w:val="0"/>
      <w:marBottom w:val="0"/>
      <w:divBdr>
        <w:top w:val="none" w:sz="0" w:space="0" w:color="auto"/>
        <w:left w:val="none" w:sz="0" w:space="0" w:color="auto"/>
        <w:bottom w:val="none" w:sz="0" w:space="0" w:color="auto"/>
        <w:right w:val="none" w:sz="0" w:space="0" w:color="auto"/>
      </w:divBdr>
    </w:div>
    <w:div w:id="851723076">
      <w:bodyDiv w:val="1"/>
      <w:marLeft w:val="0"/>
      <w:marRight w:val="0"/>
      <w:marTop w:val="0"/>
      <w:marBottom w:val="0"/>
      <w:divBdr>
        <w:top w:val="none" w:sz="0" w:space="0" w:color="auto"/>
        <w:left w:val="none" w:sz="0" w:space="0" w:color="auto"/>
        <w:bottom w:val="none" w:sz="0" w:space="0" w:color="auto"/>
        <w:right w:val="none" w:sz="0" w:space="0" w:color="auto"/>
      </w:divBdr>
    </w:div>
    <w:div w:id="901059918">
      <w:bodyDiv w:val="1"/>
      <w:marLeft w:val="0"/>
      <w:marRight w:val="0"/>
      <w:marTop w:val="0"/>
      <w:marBottom w:val="0"/>
      <w:divBdr>
        <w:top w:val="none" w:sz="0" w:space="0" w:color="auto"/>
        <w:left w:val="none" w:sz="0" w:space="0" w:color="auto"/>
        <w:bottom w:val="none" w:sz="0" w:space="0" w:color="auto"/>
        <w:right w:val="none" w:sz="0" w:space="0" w:color="auto"/>
      </w:divBdr>
    </w:div>
    <w:div w:id="913008941">
      <w:bodyDiv w:val="1"/>
      <w:marLeft w:val="0"/>
      <w:marRight w:val="0"/>
      <w:marTop w:val="0"/>
      <w:marBottom w:val="0"/>
      <w:divBdr>
        <w:top w:val="none" w:sz="0" w:space="0" w:color="auto"/>
        <w:left w:val="none" w:sz="0" w:space="0" w:color="auto"/>
        <w:bottom w:val="none" w:sz="0" w:space="0" w:color="auto"/>
        <w:right w:val="none" w:sz="0" w:space="0" w:color="auto"/>
      </w:divBdr>
    </w:div>
    <w:div w:id="1014110957">
      <w:bodyDiv w:val="1"/>
      <w:marLeft w:val="0"/>
      <w:marRight w:val="0"/>
      <w:marTop w:val="0"/>
      <w:marBottom w:val="0"/>
      <w:divBdr>
        <w:top w:val="none" w:sz="0" w:space="0" w:color="auto"/>
        <w:left w:val="none" w:sz="0" w:space="0" w:color="auto"/>
        <w:bottom w:val="none" w:sz="0" w:space="0" w:color="auto"/>
        <w:right w:val="none" w:sz="0" w:space="0" w:color="auto"/>
      </w:divBdr>
    </w:div>
    <w:div w:id="1045642869">
      <w:bodyDiv w:val="1"/>
      <w:marLeft w:val="0"/>
      <w:marRight w:val="0"/>
      <w:marTop w:val="0"/>
      <w:marBottom w:val="0"/>
      <w:divBdr>
        <w:top w:val="none" w:sz="0" w:space="0" w:color="auto"/>
        <w:left w:val="none" w:sz="0" w:space="0" w:color="auto"/>
        <w:bottom w:val="none" w:sz="0" w:space="0" w:color="auto"/>
        <w:right w:val="none" w:sz="0" w:space="0" w:color="auto"/>
      </w:divBdr>
    </w:div>
    <w:div w:id="1105268062">
      <w:bodyDiv w:val="1"/>
      <w:marLeft w:val="0"/>
      <w:marRight w:val="0"/>
      <w:marTop w:val="0"/>
      <w:marBottom w:val="0"/>
      <w:divBdr>
        <w:top w:val="none" w:sz="0" w:space="0" w:color="auto"/>
        <w:left w:val="none" w:sz="0" w:space="0" w:color="auto"/>
        <w:bottom w:val="none" w:sz="0" w:space="0" w:color="auto"/>
        <w:right w:val="none" w:sz="0" w:space="0" w:color="auto"/>
      </w:divBdr>
    </w:div>
    <w:div w:id="1120883769">
      <w:bodyDiv w:val="1"/>
      <w:marLeft w:val="0"/>
      <w:marRight w:val="0"/>
      <w:marTop w:val="0"/>
      <w:marBottom w:val="0"/>
      <w:divBdr>
        <w:top w:val="none" w:sz="0" w:space="0" w:color="auto"/>
        <w:left w:val="none" w:sz="0" w:space="0" w:color="auto"/>
        <w:bottom w:val="none" w:sz="0" w:space="0" w:color="auto"/>
        <w:right w:val="none" w:sz="0" w:space="0" w:color="auto"/>
      </w:divBdr>
    </w:div>
    <w:div w:id="1179463683">
      <w:bodyDiv w:val="1"/>
      <w:marLeft w:val="0"/>
      <w:marRight w:val="0"/>
      <w:marTop w:val="0"/>
      <w:marBottom w:val="0"/>
      <w:divBdr>
        <w:top w:val="none" w:sz="0" w:space="0" w:color="auto"/>
        <w:left w:val="none" w:sz="0" w:space="0" w:color="auto"/>
        <w:bottom w:val="none" w:sz="0" w:space="0" w:color="auto"/>
        <w:right w:val="none" w:sz="0" w:space="0" w:color="auto"/>
      </w:divBdr>
    </w:div>
    <w:div w:id="1192301227">
      <w:bodyDiv w:val="1"/>
      <w:marLeft w:val="0"/>
      <w:marRight w:val="0"/>
      <w:marTop w:val="0"/>
      <w:marBottom w:val="0"/>
      <w:divBdr>
        <w:top w:val="none" w:sz="0" w:space="0" w:color="auto"/>
        <w:left w:val="none" w:sz="0" w:space="0" w:color="auto"/>
        <w:bottom w:val="none" w:sz="0" w:space="0" w:color="auto"/>
        <w:right w:val="none" w:sz="0" w:space="0" w:color="auto"/>
      </w:divBdr>
    </w:div>
    <w:div w:id="1222716700">
      <w:bodyDiv w:val="1"/>
      <w:marLeft w:val="0"/>
      <w:marRight w:val="0"/>
      <w:marTop w:val="0"/>
      <w:marBottom w:val="0"/>
      <w:divBdr>
        <w:top w:val="none" w:sz="0" w:space="0" w:color="auto"/>
        <w:left w:val="none" w:sz="0" w:space="0" w:color="auto"/>
        <w:bottom w:val="none" w:sz="0" w:space="0" w:color="auto"/>
        <w:right w:val="none" w:sz="0" w:space="0" w:color="auto"/>
      </w:divBdr>
    </w:div>
    <w:div w:id="1246769196">
      <w:bodyDiv w:val="1"/>
      <w:marLeft w:val="0"/>
      <w:marRight w:val="0"/>
      <w:marTop w:val="0"/>
      <w:marBottom w:val="0"/>
      <w:divBdr>
        <w:top w:val="none" w:sz="0" w:space="0" w:color="auto"/>
        <w:left w:val="none" w:sz="0" w:space="0" w:color="auto"/>
        <w:bottom w:val="none" w:sz="0" w:space="0" w:color="auto"/>
        <w:right w:val="none" w:sz="0" w:space="0" w:color="auto"/>
      </w:divBdr>
    </w:div>
    <w:div w:id="1253930819">
      <w:bodyDiv w:val="1"/>
      <w:marLeft w:val="0"/>
      <w:marRight w:val="0"/>
      <w:marTop w:val="0"/>
      <w:marBottom w:val="0"/>
      <w:divBdr>
        <w:top w:val="none" w:sz="0" w:space="0" w:color="auto"/>
        <w:left w:val="none" w:sz="0" w:space="0" w:color="auto"/>
        <w:bottom w:val="none" w:sz="0" w:space="0" w:color="auto"/>
        <w:right w:val="none" w:sz="0" w:space="0" w:color="auto"/>
      </w:divBdr>
    </w:div>
    <w:div w:id="1260257986">
      <w:bodyDiv w:val="1"/>
      <w:marLeft w:val="0"/>
      <w:marRight w:val="0"/>
      <w:marTop w:val="0"/>
      <w:marBottom w:val="0"/>
      <w:divBdr>
        <w:top w:val="none" w:sz="0" w:space="0" w:color="auto"/>
        <w:left w:val="none" w:sz="0" w:space="0" w:color="auto"/>
        <w:bottom w:val="none" w:sz="0" w:space="0" w:color="auto"/>
        <w:right w:val="none" w:sz="0" w:space="0" w:color="auto"/>
      </w:divBdr>
    </w:div>
    <w:div w:id="1383479300">
      <w:bodyDiv w:val="1"/>
      <w:marLeft w:val="0"/>
      <w:marRight w:val="0"/>
      <w:marTop w:val="0"/>
      <w:marBottom w:val="0"/>
      <w:divBdr>
        <w:top w:val="none" w:sz="0" w:space="0" w:color="auto"/>
        <w:left w:val="none" w:sz="0" w:space="0" w:color="auto"/>
        <w:bottom w:val="none" w:sz="0" w:space="0" w:color="auto"/>
        <w:right w:val="none" w:sz="0" w:space="0" w:color="auto"/>
      </w:divBdr>
    </w:div>
    <w:div w:id="1387946685">
      <w:bodyDiv w:val="1"/>
      <w:marLeft w:val="0"/>
      <w:marRight w:val="0"/>
      <w:marTop w:val="0"/>
      <w:marBottom w:val="0"/>
      <w:divBdr>
        <w:top w:val="none" w:sz="0" w:space="0" w:color="auto"/>
        <w:left w:val="none" w:sz="0" w:space="0" w:color="auto"/>
        <w:bottom w:val="none" w:sz="0" w:space="0" w:color="auto"/>
        <w:right w:val="none" w:sz="0" w:space="0" w:color="auto"/>
      </w:divBdr>
    </w:div>
    <w:div w:id="1408648205">
      <w:bodyDiv w:val="1"/>
      <w:marLeft w:val="0"/>
      <w:marRight w:val="0"/>
      <w:marTop w:val="0"/>
      <w:marBottom w:val="0"/>
      <w:divBdr>
        <w:top w:val="none" w:sz="0" w:space="0" w:color="auto"/>
        <w:left w:val="none" w:sz="0" w:space="0" w:color="auto"/>
        <w:bottom w:val="none" w:sz="0" w:space="0" w:color="auto"/>
        <w:right w:val="none" w:sz="0" w:space="0" w:color="auto"/>
      </w:divBdr>
    </w:div>
    <w:div w:id="1421678956">
      <w:bodyDiv w:val="1"/>
      <w:marLeft w:val="0"/>
      <w:marRight w:val="0"/>
      <w:marTop w:val="0"/>
      <w:marBottom w:val="0"/>
      <w:divBdr>
        <w:top w:val="none" w:sz="0" w:space="0" w:color="auto"/>
        <w:left w:val="none" w:sz="0" w:space="0" w:color="auto"/>
        <w:bottom w:val="none" w:sz="0" w:space="0" w:color="auto"/>
        <w:right w:val="none" w:sz="0" w:space="0" w:color="auto"/>
      </w:divBdr>
    </w:div>
    <w:div w:id="1430155906">
      <w:bodyDiv w:val="1"/>
      <w:marLeft w:val="0"/>
      <w:marRight w:val="0"/>
      <w:marTop w:val="0"/>
      <w:marBottom w:val="0"/>
      <w:divBdr>
        <w:top w:val="none" w:sz="0" w:space="0" w:color="auto"/>
        <w:left w:val="none" w:sz="0" w:space="0" w:color="auto"/>
        <w:bottom w:val="none" w:sz="0" w:space="0" w:color="auto"/>
        <w:right w:val="none" w:sz="0" w:space="0" w:color="auto"/>
      </w:divBdr>
    </w:div>
    <w:div w:id="1507670385">
      <w:bodyDiv w:val="1"/>
      <w:marLeft w:val="0"/>
      <w:marRight w:val="0"/>
      <w:marTop w:val="0"/>
      <w:marBottom w:val="0"/>
      <w:divBdr>
        <w:top w:val="none" w:sz="0" w:space="0" w:color="auto"/>
        <w:left w:val="none" w:sz="0" w:space="0" w:color="auto"/>
        <w:bottom w:val="none" w:sz="0" w:space="0" w:color="auto"/>
        <w:right w:val="none" w:sz="0" w:space="0" w:color="auto"/>
      </w:divBdr>
    </w:div>
    <w:div w:id="1528131153">
      <w:bodyDiv w:val="1"/>
      <w:marLeft w:val="0"/>
      <w:marRight w:val="0"/>
      <w:marTop w:val="0"/>
      <w:marBottom w:val="0"/>
      <w:divBdr>
        <w:top w:val="none" w:sz="0" w:space="0" w:color="auto"/>
        <w:left w:val="none" w:sz="0" w:space="0" w:color="auto"/>
        <w:bottom w:val="none" w:sz="0" w:space="0" w:color="auto"/>
        <w:right w:val="none" w:sz="0" w:space="0" w:color="auto"/>
      </w:divBdr>
    </w:div>
    <w:div w:id="1563828293">
      <w:bodyDiv w:val="1"/>
      <w:marLeft w:val="0"/>
      <w:marRight w:val="0"/>
      <w:marTop w:val="0"/>
      <w:marBottom w:val="0"/>
      <w:divBdr>
        <w:top w:val="none" w:sz="0" w:space="0" w:color="auto"/>
        <w:left w:val="none" w:sz="0" w:space="0" w:color="auto"/>
        <w:bottom w:val="none" w:sz="0" w:space="0" w:color="auto"/>
        <w:right w:val="none" w:sz="0" w:space="0" w:color="auto"/>
      </w:divBdr>
    </w:div>
    <w:div w:id="1580870703">
      <w:bodyDiv w:val="1"/>
      <w:marLeft w:val="0"/>
      <w:marRight w:val="0"/>
      <w:marTop w:val="0"/>
      <w:marBottom w:val="0"/>
      <w:divBdr>
        <w:top w:val="none" w:sz="0" w:space="0" w:color="auto"/>
        <w:left w:val="none" w:sz="0" w:space="0" w:color="auto"/>
        <w:bottom w:val="none" w:sz="0" w:space="0" w:color="auto"/>
        <w:right w:val="none" w:sz="0" w:space="0" w:color="auto"/>
      </w:divBdr>
    </w:div>
    <w:div w:id="1588072070">
      <w:bodyDiv w:val="1"/>
      <w:marLeft w:val="0"/>
      <w:marRight w:val="0"/>
      <w:marTop w:val="0"/>
      <w:marBottom w:val="0"/>
      <w:divBdr>
        <w:top w:val="none" w:sz="0" w:space="0" w:color="auto"/>
        <w:left w:val="none" w:sz="0" w:space="0" w:color="auto"/>
        <w:bottom w:val="none" w:sz="0" w:space="0" w:color="auto"/>
        <w:right w:val="none" w:sz="0" w:space="0" w:color="auto"/>
      </w:divBdr>
    </w:div>
    <w:div w:id="1613390836">
      <w:bodyDiv w:val="1"/>
      <w:marLeft w:val="0"/>
      <w:marRight w:val="0"/>
      <w:marTop w:val="0"/>
      <w:marBottom w:val="0"/>
      <w:divBdr>
        <w:top w:val="none" w:sz="0" w:space="0" w:color="auto"/>
        <w:left w:val="none" w:sz="0" w:space="0" w:color="auto"/>
        <w:bottom w:val="none" w:sz="0" w:space="0" w:color="auto"/>
        <w:right w:val="none" w:sz="0" w:space="0" w:color="auto"/>
      </w:divBdr>
    </w:div>
    <w:div w:id="1621033739">
      <w:bodyDiv w:val="1"/>
      <w:marLeft w:val="0"/>
      <w:marRight w:val="0"/>
      <w:marTop w:val="0"/>
      <w:marBottom w:val="0"/>
      <w:divBdr>
        <w:top w:val="none" w:sz="0" w:space="0" w:color="auto"/>
        <w:left w:val="none" w:sz="0" w:space="0" w:color="auto"/>
        <w:bottom w:val="none" w:sz="0" w:space="0" w:color="auto"/>
        <w:right w:val="none" w:sz="0" w:space="0" w:color="auto"/>
      </w:divBdr>
    </w:div>
    <w:div w:id="1642953359">
      <w:bodyDiv w:val="1"/>
      <w:marLeft w:val="0"/>
      <w:marRight w:val="0"/>
      <w:marTop w:val="0"/>
      <w:marBottom w:val="0"/>
      <w:divBdr>
        <w:top w:val="none" w:sz="0" w:space="0" w:color="auto"/>
        <w:left w:val="none" w:sz="0" w:space="0" w:color="auto"/>
        <w:bottom w:val="none" w:sz="0" w:space="0" w:color="auto"/>
        <w:right w:val="none" w:sz="0" w:space="0" w:color="auto"/>
      </w:divBdr>
    </w:div>
    <w:div w:id="1731150930">
      <w:bodyDiv w:val="1"/>
      <w:marLeft w:val="0"/>
      <w:marRight w:val="0"/>
      <w:marTop w:val="0"/>
      <w:marBottom w:val="0"/>
      <w:divBdr>
        <w:top w:val="none" w:sz="0" w:space="0" w:color="auto"/>
        <w:left w:val="none" w:sz="0" w:space="0" w:color="auto"/>
        <w:bottom w:val="none" w:sz="0" w:space="0" w:color="auto"/>
        <w:right w:val="none" w:sz="0" w:space="0" w:color="auto"/>
      </w:divBdr>
    </w:div>
    <w:div w:id="1751269427">
      <w:bodyDiv w:val="1"/>
      <w:marLeft w:val="0"/>
      <w:marRight w:val="0"/>
      <w:marTop w:val="0"/>
      <w:marBottom w:val="0"/>
      <w:divBdr>
        <w:top w:val="none" w:sz="0" w:space="0" w:color="auto"/>
        <w:left w:val="none" w:sz="0" w:space="0" w:color="auto"/>
        <w:bottom w:val="none" w:sz="0" w:space="0" w:color="auto"/>
        <w:right w:val="none" w:sz="0" w:space="0" w:color="auto"/>
      </w:divBdr>
    </w:div>
    <w:div w:id="1876193004">
      <w:bodyDiv w:val="1"/>
      <w:marLeft w:val="0"/>
      <w:marRight w:val="0"/>
      <w:marTop w:val="0"/>
      <w:marBottom w:val="0"/>
      <w:divBdr>
        <w:top w:val="none" w:sz="0" w:space="0" w:color="auto"/>
        <w:left w:val="none" w:sz="0" w:space="0" w:color="auto"/>
        <w:bottom w:val="none" w:sz="0" w:space="0" w:color="auto"/>
        <w:right w:val="none" w:sz="0" w:space="0" w:color="auto"/>
      </w:divBdr>
    </w:div>
    <w:div w:id="2023242289">
      <w:bodyDiv w:val="1"/>
      <w:marLeft w:val="0"/>
      <w:marRight w:val="0"/>
      <w:marTop w:val="0"/>
      <w:marBottom w:val="0"/>
      <w:divBdr>
        <w:top w:val="none" w:sz="0" w:space="0" w:color="auto"/>
        <w:left w:val="none" w:sz="0" w:space="0" w:color="auto"/>
        <w:bottom w:val="none" w:sz="0" w:space="0" w:color="auto"/>
        <w:right w:val="none" w:sz="0" w:space="0" w:color="auto"/>
      </w:divBdr>
    </w:div>
    <w:div w:id="2040817044">
      <w:bodyDiv w:val="1"/>
      <w:marLeft w:val="0"/>
      <w:marRight w:val="0"/>
      <w:marTop w:val="0"/>
      <w:marBottom w:val="0"/>
      <w:divBdr>
        <w:top w:val="none" w:sz="0" w:space="0" w:color="auto"/>
        <w:left w:val="none" w:sz="0" w:space="0" w:color="auto"/>
        <w:bottom w:val="none" w:sz="0" w:space="0" w:color="auto"/>
        <w:right w:val="none" w:sz="0" w:space="0" w:color="auto"/>
      </w:divBdr>
    </w:div>
    <w:div w:id="206664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yperlink" Target="http://www.cz.o2.com/osobni/o_nas/investor_relations/vyrocni_a_pololetni_zpravy/index.html" TargetMode="External"/><Relationship Id="rId26" Type="http://schemas.openxmlformats.org/officeDocument/2006/relationships/hyperlink" Target="http://www.cz.o2.com/osobni/o_nas/investor_relations/vyrocni_a_pololetni_zpravy/index.html" TargetMode="External"/><Relationship Id="rId39"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hyperlink" Target="http://www.cz.o2.com/osobni/o_nas/investor_relations/vyrocni_a_pololetni_zpravy/index.html" TargetMode="External"/><Relationship Id="rId42" Type="http://schemas.openxmlformats.org/officeDocument/2006/relationships/image" Target="media/image23.emf"/><Relationship Id="rId47" Type="http://schemas.openxmlformats.org/officeDocument/2006/relationships/hyperlink" Target="http://www.ekf.vsb.cz/shared/uploadedfiles/cul33/Dana.Dluhosova.pdf" TargetMode="External"/><Relationship Id="rId50" Type="http://schemas.openxmlformats.org/officeDocument/2006/relationships/hyperlink" Target="http://www.cz.o2.com/osobni/o_nas/investor_relations/investor_relations-informace_o_akciich.html"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8.emf"/><Relationship Id="rId38" Type="http://schemas.openxmlformats.org/officeDocument/2006/relationships/hyperlink" Target="http://www.cz.o2.com/osobni/o_nas/investor_relations/vyrocni_a_pololetni_zpravy/index.html" TargetMode="External"/><Relationship Id="rId46" Type="http://schemas.openxmlformats.org/officeDocument/2006/relationships/hyperlink" Target="http://www.ctu.cz/o-ctu/zakladni-informace.html"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cz.o2.com/osobni/o_nas/investor_relations/vyrocni_a_pololetni_zpravy/index.html" TargetMode="External"/><Relationship Id="rId29" Type="http://schemas.openxmlformats.org/officeDocument/2006/relationships/image" Target="media/image14.emf"/><Relationship Id="rId41" Type="http://schemas.openxmlformats.org/officeDocument/2006/relationships/chart" Target="charts/chart1.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www.cz.o2.com/osobni/o_nas/investor_relations/vyrocni_a_pololetni_zpravy/index.html" TargetMode="External"/><Relationship Id="rId32" Type="http://schemas.openxmlformats.org/officeDocument/2006/relationships/image" Target="media/image17.png"/><Relationship Id="rId37" Type="http://schemas.openxmlformats.org/officeDocument/2006/relationships/image" Target="media/image20.emf"/><Relationship Id="rId40" Type="http://schemas.openxmlformats.org/officeDocument/2006/relationships/image" Target="media/image22.emf"/><Relationship Id="rId45" Type="http://schemas.openxmlformats.org/officeDocument/2006/relationships/hyperlink" Target="http://www.cz.o2.com/osobni/o_nas/investor_relations/vyrocni_a_pololetni_zpravy/index.html"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0.emf"/><Relationship Id="rId28" Type="http://schemas.openxmlformats.org/officeDocument/2006/relationships/image" Target="media/image13.emf"/><Relationship Id="rId36" Type="http://schemas.openxmlformats.org/officeDocument/2006/relationships/hyperlink" Target="http://www.cz.o2.com/osobni/o_nas/investor_relations/investor_relations-informace_o_akciich.html" TargetMode="External"/><Relationship Id="rId49" Type="http://schemas.openxmlformats.org/officeDocument/2006/relationships/hyperlink" Target="http://www.fce.vutbr.cz/veda/juniorstav2008_sekce/pdf/7/Prodelal_Frantisek_CL.pdf" TargetMode="External"/><Relationship Id="rId10" Type="http://schemas.openxmlformats.org/officeDocument/2006/relationships/footer" Target="footer1.xml"/><Relationship Id="rId19" Type="http://schemas.openxmlformats.org/officeDocument/2006/relationships/image" Target="media/image8.emf"/><Relationship Id="rId31" Type="http://schemas.openxmlformats.org/officeDocument/2006/relationships/image" Target="media/image16.emf"/><Relationship Id="rId44" Type="http://schemas.openxmlformats.org/officeDocument/2006/relationships/hyperlink" Target="http://www.czso.cz/csu/klasifik.nsf/i/odvetvova_klasifikace_ekonomickych_cinnosti_(okec)"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http://www.econ.muni.cz/images/logo100.gif" TargetMode="External"/><Relationship Id="rId14" Type="http://schemas.openxmlformats.org/officeDocument/2006/relationships/hyperlink" Target="http://www.ekf.vsb.cz/shared/uploadedfiles/cul33/Dana.Dluhosova.pdf" TargetMode="External"/><Relationship Id="rId22" Type="http://schemas.openxmlformats.org/officeDocument/2006/relationships/hyperlink" Target="http://www.cz.o2.com/osobni/o_nas/investor_relations/vyrocni_a_pololetni_zpravy/index.html" TargetMode="External"/><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19.emf"/><Relationship Id="rId43" Type="http://schemas.openxmlformats.org/officeDocument/2006/relationships/image" Target="media/image24.emf"/><Relationship Id="rId48" Type="http://schemas.openxmlformats.org/officeDocument/2006/relationships/hyperlink" Target="http://ies.fsv.cuni.cz/work/index/show/id/853/lang/cs" TargetMode="External"/><Relationship Id="rId8" Type="http://schemas.openxmlformats.org/officeDocument/2006/relationships/image" Target="media/image1.png"/><Relationship Id="rId51" Type="http://schemas.openxmlformats.org/officeDocument/2006/relationships/hyperlink" Target="http://www.czso.cz/csu/redakce.nsf/i/mira_inflac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ies.fsv.cuni.cz/work/index/show/id/853/lang/cs" TargetMode="External"/><Relationship Id="rId3" Type="http://schemas.openxmlformats.org/officeDocument/2006/relationships/hyperlink" Target="http://www.cz.o2.com/osobni/o_nas/investor_relations/vyrocni_a_pololetni_zpravy/index.html" TargetMode="External"/><Relationship Id="rId7" Type="http://schemas.openxmlformats.org/officeDocument/2006/relationships/hyperlink" Target="http://www.cz.o2.com/osobni/o_nas/investor_relations/vyrocni_a_pololetni_zpravy/index.html" TargetMode="External"/><Relationship Id="rId2" Type="http://schemas.openxmlformats.org/officeDocument/2006/relationships/hyperlink" Target="http://www.czso.cz/csu/klasifik.nsf/i/odvetvova_klasifikace_ekonomickych_cinnosti_(okec)" TargetMode="External"/><Relationship Id="rId1" Type="http://schemas.openxmlformats.org/officeDocument/2006/relationships/hyperlink" Target="http://www.ekf.vsb.cz/shared/uploadedfiles/cul33/Dana.Dluhosova.pdf" TargetMode="External"/><Relationship Id="rId6" Type="http://schemas.openxmlformats.org/officeDocument/2006/relationships/hyperlink" Target="http://www.cz.o2.com/osobni/o_nas/investor_relations/vyrocni_a_pololetni_zpravy/index.html" TargetMode="External"/><Relationship Id="rId5" Type="http://schemas.openxmlformats.org/officeDocument/2006/relationships/hyperlink" Target="http://www.cz.o2.com/osobni/o_nas/investor_relations/vyrocni_a_pololetni_zpravy/index.html" TargetMode="External"/><Relationship Id="rId10" Type="http://schemas.openxmlformats.org/officeDocument/2006/relationships/hyperlink" Target="http://www.czso.cz/csu/redakce.nsf/i/mira_inflace" TargetMode="External"/><Relationship Id="rId4" Type="http://schemas.openxmlformats.org/officeDocument/2006/relationships/hyperlink" Target="http://www.ctu.cz/o-ctu/zakladni-informace.html" TargetMode="External"/><Relationship Id="rId9" Type="http://schemas.openxmlformats.org/officeDocument/2006/relationships/hyperlink" Target="http://www.fce.vutbr.cz/veda/juniorstav2008_sekce/pdf/7/Prodelal_Frantisek_CL.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chart>
    <c:title>
      <c:layout>
        <c:manualLayout>
          <c:xMode val="edge"/>
          <c:yMode val="edge"/>
          <c:x val="0.45646437994723588"/>
          <c:y val="1.9230769230769502E-2"/>
        </c:manualLayout>
      </c:layout>
      <c:spPr>
        <a:noFill/>
        <a:ln w="25402">
          <a:noFill/>
        </a:ln>
      </c:spPr>
      <c:txPr>
        <a:bodyPr/>
        <a:lstStyle/>
        <a:p>
          <a:pPr algn="ctr" rtl="0">
            <a:defRPr sz="1200" b="0" i="0" u="none" strike="noStrike" baseline="0">
              <a:solidFill>
                <a:srgbClr val="000000"/>
              </a:solidFill>
              <a:latin typeface="Times New Roman" pitchFamily="18" charset="0"/>
              <a:ea typeface="Arial"/>
              <a:cs typeface="Times New Roman" pitchFamily="18" charset="0"/>
            </a:defRPr>
          </a:pPr>
          <a:endParaRPr lang="cs-CZ"/>
        </a:p>
      </c:txPr>
    </c:title>
    <c:plotArea>
      <c:layout>
        <c:manualLayout>
          <c:layoutTarget val="inner"/>
          <c:xMode val="edge"/>
          <c:yMode val="edge"/>
          <c:x val="0.21899736147757651"/>
          <c:y val="0.15384615384615677"/>
          <c:w val="0.74142480211082851"/>
          <c:h val="0.63461538461539313"/>
        </c:manualLayout>
      </c:layout>
      <c:barChart>
        <c:barDir val="bar"/>
        <c:grouping val="clustered"/>
        <c:ser>
          <c:idx val="0"/>
          <c:order val="0"/>
          <c:tx>
            <c:strRef>
              <c:f>Sheet1!$A$2</c:f>
              <c:strCache>
                <c:ptCount val="1"/>
                <c:pt idx="0">
                  <c:v>Vliv na NPV</c:v>
                </c:pt>
              </c:strCache>
            </c:strRef>
          </c:tx>
          <c:spPr>
            <a:solidFill>
              <a:srgbClr val="9999FF"/>
            </a:solidFill>
            <a:ln w="12701">
              <a:solidFill>
                <a:srgbClr val="000000"/>
              </a:solidFill>
              <a:prstDash val="solid"/>
            </a:ln>
          </c:spPr>
          <c:cat>
            <c:strRef>
              <c:f>Sheet1!$B$1:$F$1</c:f>
              <c:strCache>
                <c:ptCount val="5"/>
                <c:pt idx="0">
                  <c:v>X</c:v>
                </c:pt>
                <c:pt idx="1">
                  <c:v>Cena zaříz.</c:v>
                </c:pt>
                <c:pt idx="2">
                  <c:v>Průnik do segmentů</c:v>
                </c:pt>
                <c:pt idx="3">
                  <c:v>Podíl na trhu</c:v>
                </c:pt>
                <c:pt idx="4">
                  <c:v>Cena</c:v>
                </c:pt>
              </c:strCache>
            </c:strRef>
          </c:cat>
          <c:val>
            <c:numRef>
              <c:f>Sheet1!$B$2:$F$2</c:f>
              <c:numCache>
                <c:formatCode>General</c:formatCode>
                <c:ptCount val="5"/>
                <c:pt idx="0">
                  <c:v>15</c:v>
                </c:pt>
                <c:pt idx="1">
                  <c:v>25</c:v>
                </c:pt>
                <c:pt idx="2">
                  <c:v>40</c:v>
                </c:pt>
                <c:pt idx="3">
                  <c:v>65</c:v>
                </c:pt>
                <c:pt idx="4">
                  <c:v>80</c:v>
                </c:pt>
              </c:numCache>
            </c:numRef>
          </c:val>
        </c:ser>
        <c:axId val="64615168"/>
        <c:axId val="64617472"/>
      </c:barChart>
      <c:catAx>
        <c:axId val="64615168"/>
        <c:scaling>
          <c:orientation val="minMax"/>
        </c:scaling>
        <c:axPos val="l"/>
        <c:title>
          <c:tx>
            <c:rich>
              <a:bodyPr/>
              <a:lstStyle/>
              <a:p>
                <a:pPr>
                  <a:defRPr sz="1200" b="1" i="0" u="none" strike="noStrike" baseline="0">
                    <a:solidFill>
                      <a:srgbClr val="000000"/>
                    </a:solidFill>
                    <a:latin typeface="Times New Roman" pitchFamily="18" charset="0"/>
                    <a:ea typeface="Arial"/>
                    <a:cs typeface="Times New Roman" pitchFamily="18" charset="0"/>
                  </a:defRPr>
                </a:pPr>
                <a:r>
                  <a:rPr lang="cs-CZ" sz="1200">
                    <a:latin typeface="Times New Roman" pitchFamily="18" charset="0"/>
                    <a:cs typeface="Times New Roman" pitchFamily="18" charset="0"/>
                  </a:rPr>
                  <a:t>Vedoucí ukazatel</a:t>
                </a:r>
              </a:p>
            </c:rich>
          </c:tx>
          <c:layout>
            <c:manualLayout>
              <c:xMode val="edge"/>
              <c:yMode val="edge"/>
              <c:x val="2.9023746701847011E-2"/>
              <c:y val="0.31730769230770012"/>
            </c:manualLayout>
          </c:layout>
          <c:spPr>
            <a:noFill/>
            <a:ln w="25402">
              <a:noFill/>
            </a:ln>
          </c:spPr>
        </c:title>
        <c:numFmt formatCode="General" sourceLinked="1"/>
        <c:tickLblPos val="nextTo"/>
        <c:spPr>
          <a:ln w="3175">
            <a:solidFill>
              <a:srgbClr val="000000"/>
            </a:solidFill>
            <a:prstDash val="solid"/>
          </a:ln>
        </c:spPr>
        <c:txPr>
          <a:bodyPr rot="0" vert="horz"/>
          <a:lstStyle/>
          <a:p>
            <a:pPr>
              <a:defRPr sz="1050" b="0" i="0" u="none" strike="noStrike" baseline="0">
                <a:solidFill>
                  <a:srgbClr val="000000"/>
                </a:solidFill>
                <a:latin typeface="Times New Roman" pitchFamily="18" charset="0"/>
                <a:ea typeface="Arial"/>
                <a:cs typeface="Times New Roman" pitchFamily="18" charset="0"/>
              </a:defRPr>
            </a:pPr>
            <a:endParaRPr lang="cs-CZ"/>
          </a:p>
        </c:txPr>
        <c:crossAx val="64617472"/>
        <c:crosses val="autoZero"/>
        <c:auto val="1"/>
        <c:lblAlgn val="ctr"/>
        <c:lblOffset val="100"/>
        <c:tickLblSkip val="1"/>
        <c:tickMarkSkip val="1"/>
      </c:catAx>
      <c:valAx>
        <c:axId val="64617472"/>
        <c:scaling>
          <c:orientation val="minMax"/>
          <c:max val="100"/>
        </c:scaling>
        <c:axPos val="b"/>
        <c:majorGridlines>
          <c:spPr>
            <a:ln w="3175">
              <a:solidFill>
                <a:srgbClr val="000000"/>
              </a:solidFill>
              <a:prstDash val="solid"/>
            </a:ln>
          </c:spPr>
        </c:majorGridlines>
        <c:title>
          <c:tx>
            <c:rich>
              <a:bodyPr/>
              <a:lstStyle/>
              <a:p>
                <a:pPr>
                  <a:defRPr sz="1200" b="1" i="0" u="none" strike="noStrike" baseline="0">
                    <a:solidFill>
                      <a:srgbClr val="000000"/>
                    </a:solidFill>
                    <a:latin typeface="Times New Roman" pitchFamily="18" charset="0"/>
                    <a:ea typeface="Arial"/>
                    <a:cs typeface="Times New Roman" pitchFamily="18" charset="0"/>
                  </a:defRPr>
                </a:pPr>
                <a:r>
                  <a:rPr lang="cs-CZ" sz="1200">
                    <a:latin typeface="Times New Roman" pitchFamily="18" charset="0"/>
                    <a:cs typeface="Times New Roman" pitchFamily="18" charset="0"/>
                  </a:rPr>
                  <a:t>Procent</a:t>
                </a:r>
              </a:p>
            </c:rich>
          </c:tx>
          <c:layout>
            <c:manualLayout>
              <c:xMode val="edge"/>
              <c:yMode val="edge"/>
              <c:x val="0.54881266490763958"/>
              <c:y val="0.87500000000000711"/>
            </c:manualLayout>
          </c:layout>
          <c:spPr>
            <a:noFill/>
            <a:ln w="25402">
              <a:noFill/>
            </a:ln>
          </c:spPr>
        </c:title>
        <c:numFmt formatCode="General" sourceLinked="1"/>
        <c:tickLblPos val="nextTo"/>
        <c:spPr>
          <a:ln w="3175">
            <a:solidFill>
              <a:srgbClr val="000000"/>
            </a:solidFill>
            <a:prstDash val="solid"/>
          </a:ln>
        </c:spPr>
        <c:txPr>
          <a:bodyPr rot="0" vert="horz"/>
          <a:lstStyle/>
          <a:p>
            <a:pPr>
              <a:defRPr sz="1050" b="0" i="0" u="none" strike="noStrike" baseline="0">
                <a:solidFill>
                  <a:srgbClr val="000000"/>
                </a:solidFill>
                <a:latin typeface="Times New Roman" pitchFamily="18" charset="0"/>
                <a:ea typeface="Arial"/>
                <a:cs typeface="Times New Roman" pitchFamily="18" charset="0"/>
              </a:defRPr>
            </a:pPr>
            <a:endParaRPr lang="cs-CZ"/>
          </a:p>
        </c:txPr>
        <c:crossAx val="64615168"/>
        <c:crosses val="autoZero"/>
        <c:crossBetween val="between"/>
        <c:majorUnit val="20"/>
      </c:valAx>
      <c:spPr>
        <a:solidFill>
          <a:srgbClr val="C0C0C0"/>
        </a:solidFill>
        <a:ln w="12701">
          <a:solidFill>
            <a:srgbClr val="808080"/>
          </a:solidFill>
          <a:prstDash val="solid"/>
        </a:ln>
      </c:spPr>
    </c:plotArea>
    <c:plotVisOnly val="1"/>
    <c:dispBlanksAs val="gap"/>
  </c:chart>
  <c:spPr>
    <a:noFill/>
    <a:ln w="9525" cap="flat" cmpd="sng" algn="ctr">
      <a:solidFill>
        <a:srgbClr val="000000"/>
      </a:solidFill>
      <a:prstDash val="solid"/>
      <a:miter lim="800000"/>
      <a:headEnd type="none" w="med" len="med"/>
      <a:tailEnd type="none" w="med" len="med"/>
    </a:ln>
  </c:spPr>
  <c:txPr>
    <a:bodyPr/>
    <a:lstStyle/>
    <a:p>
      <a:pPr>
        <a:defRPr sz="475" b="0" i="0" u="none" strike="noStrike" baseline="0">
          <a:solidFill>
            <a:srgbClr val="000000"/>
          </a:solidFill>
          <a:latin typeface="Arial"/>
          <a:ea typeface="Arial"/>
          <a:cs typeface="Arial"/>
        </a:defRPr>
      </a:pPr>
      <a:endParaRPr lang="cs-CZ"/>
    </a:p>
  </c:txPr>
  <c:externalData r:id="rId1"/>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4146F-637C-4F50-9FF3-04363F35D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12799</TotalTime>
  <Pages>81</Pages>
  <Words>18195</Words>
  <Characters>124278</Characters>
  <Application>Microsoft Office Word</Application>
  <DocSecurity>0</DocSecurity>
  <Lines>1035</Lines>
  <Paragraphs>284</Paragraphs>
  <ScaleCrop>false</ScaleCrop>
  <HeadingPairs>
    <vt:vector size="2" baseType="variant">
      <vt:variant>
        <vt:lpstr>Název</vt:lpstr>
      </vt:variant>
      <vt:variant>
        <vt:i4>1</vt:i4>
      </vt:variant>
    </vt:vector>
  </HeadingPairs>
  <TitlesOfParts>
    <vt:vector size="1" baseType="lpstr">
      <vt:lpstr>Teoretická část</vt:lpstr>
    </vt:vector>
  </TitlesOfParts>
  <Company/>
  <LinksUpToDate>false</LinksUpToDate>
  <CharactersWithSpaces>142189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Teoretická část</dc:title>
  <dc:subject/>
  <dc:creator>Vladimír Morava</dc:creator>
  <cp:keywords/>
  <dc:description/>
  <cp:lastModifiedBy>Martin Štípek</cp:lastModifiedBy>
  <cp:revision>338</cp:revision>
  <cp:lastPrinted>2009-06-18T05:46:00Z</cp:lastPrinted>
  <dcterms:created xsi:type="dcterms:W3CDTF">2009-02-21T20:31:00Z</dcterms:created>
  <dcterms:modified xsi:type="dcterms:W3CDTF">2009-06-18T05:58:00Z</dcterms:modified>
</cp:coreProperties>
</file>