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65A" w:rsidRPr="001E7829" w:rsidRDefault="000D0819" w:rsidP="004C4FF2">
      <w:pPr>
        <w:jc w:val="center"/>
        <w:rPr>
          <w:rFonts w:ascii="Times New Roman" w:hAnsi="Times New Roman" w:cs="Times New Roman"/>
          <w:color w:val="000000"/>
          <w:sz w:val="32"/>
          <w:szCs w:val="32"/>
        </w:rPr>
      </w:pPr>
      <w:r w:rsidRPr="001E7829">
        <w:rPr>
          <w:rFonts w:ascii="Times New Roman" w:hAnsi="Times New Roman" w:cs="Times New Roman"/>
          <w:noProof/>
          <w:lang w:eastAsia="cs-CZ"/>
        </w:rPr>
        <w:drawing>
          <wp:anchor distT="0" distB="0" distL="114300" distR="114300" simplePos="0" relativeHeight="251658240" behindDoc="0" locked="0" layoutInCell="1" allowOverlap="1" wp14:anchorId="14F28BF3" wp14:editId="37EF9E41">
            <wp:simplePos x="0" y="0"/>
            <wp:positionH relativeFrom="margin">
              <wp:posOffset>1369695</wp:posOffset>
            </wp:positionH>
            <wp:positionV relativeFrom="margin">
              <wp:posOffset>1292225</wp:posOffset>
            </wp:positionV>
            <wp:extent cx="2564130" cy="2239010"/>
            <wp:effectExtent l="0" t="0" r="7620" b="889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JPG"/>
                    <pic:cNvPicPr/>
                  </pic:nvPicPr>
                  <pic:blipFill>
                    <a:blip r:embed="rId9">
                      <a:extLst>
                        <a:ext uri="{28A0092B-C50C-407E-A947-70E740481C1C}">
                          <a14:useLocalDpi xmlns:a14="http://schemas.microsoft.com/office/drawing/2010/main" val="0"/>
                        </a:ext>
                      </a:extLst>
                    </a:blip>
                    <a:stretch>
                      <a:fillRect/>
                    </a:stretch>
                  </pic:blipFill>
                  <pic:spPr>
                    <a:xfrm>
                      <a:off x="0" y="0"/>
                      <a:ext cx="2564130" cy="2239010"/>
                    </a:xfrm>
                    <a:prstGeom prst="rect">
                      <a:avLst/>
                    </a:prstGeom>
                  </pic:spPr>
                </pic:pic>
              </a:graphicData>
            </a:graphic>
          </wp:anchor>
        </w:drawing>
      </w:r>
      <w:r w:rsidR="004C4FF2" w:rsidRPr="001E7829">
        <w:rPr>
          <w:rFonts w:ascii="Times New Roman" w:hAnsi="Times New Roman" w:cs="Times New Roman"/>
          <w:color w:val="000000"/>
          <w:sz w:val="32"/>
          <w:szCs w:val="32"/>
        </w:rPr>
        <w:t>Právnická fakulta Masarykovy univerzity</w:t>
      </w:r>
      <w:r w:rsidR="004C4FF2" w:rsidRPr="001E7829">
        <w:rPr>
          <w:rFonts w:ascii="Times New Roman" w:hAnsi="Times New Roman" w:cs="Times New Roman"/>
          <w:color w:val="000000"/>
          <w:sz w:val="32"/>
          <w:szCs w:val="32"/>
        </w:rPr>
        <w:br/>
        <w:t>Právo a právní věda</w:t>
      </w:r>
      <w:r w:rsidR="004C4FF2" w:rsidRPr="001E7829">
        <w:rPr>
          <w:rFonts w:ascii="Times New Roman" w:hAnsi="Times New Roman" w:cs="Times New Roman"/>
          <w:color w:val="000000"/>
          <w:sz w:val="32"/>
          <w:szCs w:val="32"/>
        </w:rPr>
        <w:br/>
        <w:t>Katedra finančního práva a národního hospodářství</w:t>
      </w:r>
    </w:p>
    <w:p w:rsidR="00A52455" w:rsidRPr="001E7829" w:rsidRDefault="00A52455" w:rsidP="004C4FF2">
      <w:pPr>
        <w:jc w:val="center"/>
        <w:rPr>
          <w:rFonts w:ascii="Times New Roman" w:hAnsi="Times New Roman" w:cs="Times New Roman"/>
        </w:rPr>
      </w:pPr>
    </w:p>
    <w:p w:rsidR="00A52455" w:rsidRPr="001E7829" w:rsidRDefault="00A52455" w:rsidP="004C4FF2">
      <w:pPr>
        <w:jc w:val="center"/>
        <w:rPr>
          <w:rFonts w:ascii="Times New Roman" w:hAnsi="Times New Roman" w:cs="Times New Roman"/>
        </w:rPr>
      </w:pPr>
    </w:p>
    <w:p w:rsidR="00A52455" w:rsidRPr="001E7829" w:rsidRDefault="00A52455" w:rsidP="004C4FF2">
      <w:pPr>
        <w:jc w:val="center"/>
        <w:rPr>
          <w:rFonts w:ascii="Times New Roman" w:hAnsi="Times New Roman" w:cs="Times New Roman"/>
        </w:rPr>
      </w:pPr>
    </w:p>
    <w:p w:rsidR="000D0819" w:rsidRPr="001E7829" w:rsidRDefault="000D0819" w:rsidP="004C4FF2">
      <w:pPr>
        <w:jc w:val="center"/>
        <w:rPr>
          <w:rFonts w:ascii="Times New Roman" w:hAnsi="Times New Roman" w:cs="Times New Roman"/>
        </w:rPr>
      </w:pPr>
    </w:p>
    <w:p w:rsidR="000D0819" w:rsidRPr="001E7829" w:rsidRDefault="000D0819" w:rsidP="004C4FF2">
      <w:pPr>
        <w:jc w:val="center"/>
        <w:rPr>
          <w:rFonts w:ascii="Times New Roman" w:hAnsi="Times New Roman" w:cs="Times New Roman"/>
        </w:rPr>
      </w:pPr>
    </w:p>
    <w:p w:rsidR="00A52455" w:rsidRPr="001E7829" w:rsidRDefault="00A52455" w:rsidP="004C4FF2">
      <w:pPr>
        <w:jc w:val="center"/>
        <w:rPr>
          <w:rFonts w:ascii="Times New Roman" w:hAnsi="Times New Roman" w:cs="Times New Roman"/>
        </w:rPr>
      </w:pPr>
    </w:p>
    <w:p w:rsidR="000D0819" w:rsidRPr="001E7829" w:rsidRDefault="000D0819" w:rsidP="004C4FF2">
      <w:pPr>
        <w:jc w:val="center"/>
        <w:rPr>
          <w:rFonts w:ascii="Times New Roman" w:hAnsi="Times New Roman" w:cs="Times New Roman"/>
          <w:sz w:val="28"/>
        </w:rPr>
      </w:pPr>
    </w:p>
    <w:p w:rsidR="000D0819" w:rsidRPr="001E7829" w:rsidRDefault="000D0819" w:rsidP="004C4FF2">
      <w:pPr>
        <w:jc w:val="center"/>
        <w:rPr>
          <w:rFonts w:ascii="Times New Roman" w:hAnsi="Times New Roman" w:cs="Times New Roman"/>
          <w:sz w:val="28"/>
        </w:rPr>
      </w:pPr>
    </w:p>
    <w:p w:rsidR="00B41F4B" w:rsidRPr="001E7829" w:rsidRDefault="00B41F4B" w:rsidP="004C4FF2">
      <w:pPr>
        <w:jc w:val="center"/>
        <w:rPr>
          <w:rFonts w:ascii="Times New Roman" w:hAnsi="Times New Roman" w:cs="Times New Roman"/>
          <w:sz w:val="32"/>
        </w:rPr>
      </w:pPr>
    </w:p>
    <w:p w:rsidR="00A52455" w:rsidRPr="001E7829" w:rsidRDefault="00A52455" w:rsidP="004C4FF2">
      <w:pPr>
        <w:jc w:val="center"/>
        <w:rPr>
          <w:rFonts w:ascii="Times New Roman" w:hAnsi="Times New Roman" w:cs="Times New Roman"/>
          <w:sz w:val="32"/>
        </w:rPr>
      </w:pPr>
      <w:r w:rsidRPr="001E7829">
        <w:rPr>
          <w:rFonts w:ascii="Times New Roman" w:hAnsi="Times New Roman" w:cs="Times New Roman"/>
          <w:sz w:val="32"/>
        </w:rPr>
        <w:t>Diplomová práce</w:t>
      </w:r>
    </w:p>
    <w:p w:rsidR="00A52455" w:rsidRPr="001E7829" w:rsidRDefault="00A52455" w:rsidP="004C4FF2">
      <w:pPr>
        <w:jc w:val="center"/>
        <w:rPr>
          <w:rFonts w:ascii="Times New Roman" w:hAnsi="Times New Roman" w:cs="Times New Roman"/>
          <w:b/>
          <w:sz w:val="32"/>
        </w:rPr>
      </w:pPr>
    </w:p>
    <w:p w:rsidR="00A52455" w:rsidRPr="001E7829" w:rsidRDefault="00A52455" w:rsidP="004C4FF2">
      <w:pPr>
        <w:jc w:val="center"/>
        <w:rPr>
          <w:rFonts w:ascii="Times New Roman" w:hAnsi="Times New Roman" w:cs="Times New Roman"/>
          <w:b/>
          <w:sz w:val="32"/>
        </w:rPr>
      </w:pPr>
      <w:r w:rsidRPr="001E7829">
        <w:rPr>
          <w:rFonts w:ascii="Times New Roman" w:hAnsi="Times New Roman" w:cs="Times New Roman"/>
          <w:b/>
          <w:sz w:val="32"/>
        </w:rPr>
        <w:t xml:space="preserve">ÚČINNOST MONETÁRNÍ POLITIKY </w:t>
      </w:r>
      <w:r w:rsidR="00F66355" w:rsidRPr="001E7829">
        <w:rPr>
          <w:rFonts w:ascii="Times New Roman" w:hAnsi="Times New Roman" w:cs="Times New Roman"/>
          <w:b/>
          <w:sz w:val="32"/>
        </w:rPr>
        <w:t>ČNB</w:t>
      </w:r>
      <w:r w:rsidRPr="001E7829">
        <w:rPr>
          <w:rFonts w:ascii="Times New Roman" w:hAnsi="Times New Roman" w:cs="Times New Roman"/>
          <w:b/>
          <w:sz w:val="32"/>
        </w:rPr>
        <w:t xml:space="preserve"> (PRÁVNÍ A EKONOMICKÉ ASPEKTY)</w:t>
      </w:r>
    </w:p>
    <w:p w:rsidR="00A52455" w:rsidRPr="001E7829" w:rsidRDefault="009B43E5" w:rsidP="009B43E5">
      <w:pPr>
        <w:jc w:val="center"/>
        <w:rPr>
          <w:rFonts w:ascii="Times New Roman" w:hAnsi="Times New Roman" w:cs="Times New Roman"/>
          <w:b/>
          <w:sz w:val="24"/>
          <w:lang w:val="en-US"/>
        </w:rPr>
      </w:pPr>
      <w:r w:rsidRPr="001E7829">
        <w:rPr>
          <w:rFonts w:ascii="Times New Roman" w:hAnsi="Times New Roman" w:cs="Times New Roman"/>
          <w:b/>
          <w:sz w:val="24"/>
          <w:lang w:val="en-US"/>
        </w:rPr>
        <w:t>The Effectiveness of the ČNB’s Monetary Policy (Legal and Economic Aspects)</w:t>
      </w:r>
    </w:p>
    <w:p w:rsidR="00A52455" w:rsidRPr="001E7829" w:rsidRDefault="00A52455" w:rsidP="004C4FF2">
      <w:pPr>
        <w:jc w:val="center"/>
        <w:rPr>
          <w:rFonts w:ascii="Times New Roman" w:hAnsi="Times New Roman" w:cs="Times New Roman"/>
          <w:b/>
          <w:color w:val="000000"/>
          <w:sz w:val="24"/>
          <w:szCs w:val="19"/>
          <w:shd w:val="clear" w:color="auto" w:fill="FDFDFE"/>
        </w:rPr>
      </w:pPr>
    </w:p>
    <w:p w:rsidR="00A52455" w:rsidRPr="001E7829" w:rsidRDefault="00A52455" w:rsidP="004C4FF2">
      <w:pPr>
        <w:jc w:val="center"/>
        <w:rPr>
          <w:rFonts w:ascii="Times New Roman" w:hAnsi="Times New Roman" w:cs="Times New Roman"/>
          <w:color w:val="000000"/>
          <w:sz w:val="28"/>
          <w:szCs w:val="19"/>
          <w:shd w:val="clear" w:color="auto" w:fill="FDFDFE"/>
        </w:rPr>
      </w:pPr>
      <w:r w:rsidRPr="001E7829">
        <w:rPr>
          <w:rFonts w:ascii="Times New Roman" w:hAnsi="Times New Roman" w:cs="Times New Roman"/>
          <w:color w:val="000000"/>
          <w:sz w:val="28"/>
          <w:szCs w:val="19"/>
          <w:shd w:val="clear" w:color="auto" w:fill="FDFDFE"/>
        </w:rPr>
        <w:t>Lukáš Hotový</w:t>
      </w:r>
    </w:p>
    <w:p w:rsidR="00A52455" w:rsidRPr="001E7829" w:rsidRDefault="00A52455" w:rsidP="004C4FF2">
      <w:pPr>
        <w:jc w:val="center"/>
        <w:rPr>
          <w:rFonts w:ascii="Times New Roman" w:hAnsi="Times New Roman" w:cs="Times New Roman"/>
          <w:color w:val="000000"/>
          <w:szCs w:val="19"/>
          <w:shd w:val="clear" w:color="auto" w:fill="FDFDFE"/>
        </w:rPr>
      </w:pPr>
    </w:p>
    <w:p w:rsidR="008A1432" w:rsidRPr="001E7829" w:rsidRDefault="008A1432" w:rsidP="004C4FF2">
      <w:pPr>
        <w:jc w:val="center"/>
        <w:rPr>
          <w:rFonts w:ascii="Times New Roman" w:hAnsi="Times New Roman" w:cs="Times New Roman"/>
          <w:color w:val="000000"/>
          <w:sz w:val="28"/>
          <w:szCs w:val="19"/>
          <w:shd w:val="clear" w:color="auto" w:fill="FDFDFE"/>
        </w:rPr>
      </w:pPr>
    </w:p>
    <w:p w:rsidR="000D0819" w:rsidRPr="001E7829" w:rsidRDefault="00EF08B0" w:rsidP="00EF08B0">
      <w:pPr>
        <w:jc w:val="center"/>
        <w:rPr>
          <w:rFonts w:ascii="Times New Roman" w:hAnsi="Times New Roman" w:cs="Times New Roman"/>
          <w:color w:val="000000"/>
          <w:sz w:val="28"/>
          <w:szCs w:val="19"/>
          <w:shd w:val="clear" w:color="auto" w:fill="FDFDFE"/>
        </w:rPr>
        <w:sectPr w:rsidR="000D0819" w:rsidRPr="001E7829" w:rsidSect="000D0819">
          <w:headerReference w:type="default" r:id="rId10"/>
          <w:footerReference w:type="default" r:id="rId11"/>
          <w:footerReference w:type="first" r:id="rId12"/>
          <w:pgSz w:w="11906" w:h="16838" w:code="9"/>
          <w:pgMar w:top="1701" w:right="1701" w:bottom="2835" w:left="1701" w:header="709" w:footer="709" w:gutter="0"/>
          <w:cols w:space="708"/>
          <w:titlePg/>
          <w:docGrid w:linePitch="360"/>
        </w:sectPr>
      </w:pPr>
      <w:r w:rsidRPr="001E7829">
        <w:rPr>
          <w:rFonts w:ascii="Times New Roman" w:hAnsi="Times New Roman" w:cs="Times New Roman"/>
          <w:color w:val="000000"/>
          <w:sz w:val="28"/>
          <w:szCs w:val="19"/>
          <w:shd w:val="clear" w:color="auto" w:fill="FDFDFE"/>
        </w:rPr>
        <w:t>Akademický rok 2015/2016</w:t>
      </w:r>
    </w:p>
    <w:p w:rsidR="00EF08B0" w:rsidRPr="001E7829" w:rsidRDefault="00EF08B0" w:rsidP="00EF08B0">
      <w:pPr>
        <w:jc w:val="center"/>
        <w:rPr>
          <w:rFonts w:ascii="Times New Roman" w:hAnsi="Times New Roman" w:cs="Times New Roman"/>
          <w:sz w:val="28"/>
        </w:rPr>
      </w:pPr>
    </w:p>
    <w:p w:rsidR="000D0819" w:rsidRPr="001E7829" w:rsidRDefault="000D0819" w:rsidP="000D0819">
      <w:pPr>
        <w:spacing w:before="8000"/>
        <w:ind w:left="709"/>
        <w:jc w:val="both"/>
        <w:rPr>
          <w:rStyle w:val="Zvraznn"/>
          <w:rFonts w:ascii="Times New Roman" w:hAnsi="Times New Roman" w:cs="Times New Roman"/>
          <w:i w:val="0"/>
          <w:color w:val="000000"/>
          <w:szCs w:val="19"/>
          <w:shd w:val="clear" w:color="auto" w:fill="FFFFFF"/>
        </w:rPr>
      </w:pPr>
    </w:p>
    <w:p w:rsidR="00EF08B0" w:rsidRPr="001E7829" w:rsidRDefault="00EF08B0" w:rsidP="00FC2577">
      <w:pPr>
        <w:spacing w:before="8000" w:line="360" w:lineRule="auto"/>
        <w:ind w:left="709"/>
        <w:jc w:val="both"/>
        <w:rPr>
          <w:rStyle w:val="Zvraznn"/>
          <w:rFonts w:ascii="Times New Roman" w:hAnsi="Times New Roman" w:cs="Times New Roman"/>
          <w:i w:val="0"/>
          <w:color w:val="000000"/>
          <w:sz w:val="24"/>
          <w:szCs w:val="24"/>
          <w:shd w:val="clear" w:color="auto" w:fill="FFFFFF"/>
        </w:rPr>
      </w:pPr>
      <w:r w:rsidRPr="001E7829">
        <w:rPr>
          <w:rStyle w:val="Zvraznn"/>
          <w:rFonts w:ascii="Times New Roman" w:hAnsi="Times New Roman" w:cs="Times New Roman"/>
          <w:i w:val="0"/>
          <w:color w:val="000000"/>
          <w:sz w:val="24"/>
          <w:szCs w:val="24"/>
          <w:shd w:val="clear" w:color="auto" w:fill="FFFFFF"/>
        </w:rPr>
        <w:t xml:space="preserve">Prohlašuji, že jsem diplomovou práci na téma </w:t>
      </w:r>
      <w:r w:rsidRPr="001E7829">
        <w:rPr>
          <w:rStyle w:val="Zvraznn"/>
          <w:rFonts w:ascii="Times New Roman" w:hAnsi="Times New Roman" w:cs="Times New Roman"/>
          <w:color w:val="000000"/>
          <w:sz w:val="24"/>
          <w:szCs w:val="24"/>
          <w:shd w:val="clear" w:color="auto" w:fill="FFFFFF"/>
        </w:rPr>
        <w:t xml:space="preserve">Účinnost monetární politiky </w:t>
      </w:r>
      <w:r w:rsidR="00F66355" w:rsidRPr="001E7829">
        <w:rPr>
          <w:rStyle w:val="Zvraznn"/>
          <w:rFonts w:ascii="Times New Roman" w:hAnsi="Times New Roman" w:cs="Times New Roman"/>
          <w:color w:val="000000"/>
          <w:sz w:val="24"/>
          <w:szCs w:val="24"/>
          <w:shd w:val="clear" w:color="auto" w:fill="FFFFFF"/>
        </w:rPr>
        <w:t>ČNB</w:t>
      </w:r>
      <w:r w:rsidRPr="001E7829">
        <w:rPr>
          <w:rStyle w:val="Zvraznn"/>
          <w:rFonts w:ascii="Times New Roman" w:hAnsi="Times New Roman" w:cs="Times New Roman"/>
          <w:color w:val="000000"/>
          <w:sz w:val="24"/>
          <w:szCs w:val="24"/>
          <w:shd w:val="clear" w:color="auto" w:fill="FFFFFF"/>
        </w:rPr>
        <w:t xml:space="preserve"> (právní a ekonomické aspekty)</w:t>
      </w:r>
      <w:r w:rsidR="00377561" w:rsidRPr="001E7829">
        <w:rPr>
          <w:rStyle w:val="Zvraznn"/>
          <w:rFonts w:ascii="Times New Roman" w:hAnsi="Times New Roman" w:cs="Times New Roman"/>
          <w:color w:val="000000"/>
          <w:sz w:val="24"/>
          <w:szCs w:val="24"/>
          <w:shd w:val="clear" w:color="auto" w:fill="FFFFFF"/>
        </w:rPr>
        <w:t xml:space="preserve"> </w:t>
      </w:r>
      <w:r w:rsidRPr="001E7829">
        <w:rPr>
          <w:rStyle w:val="Zvraznn"/>
          <w:rFonts w:ascii="Times New Roman" w:hAnsi="Times New Roman" w:cs="Times New Roman"/>
          <w:i w:val="0"/>
          <w:color w:val="000000"/>
          <w:sz w:val="24"/>
          <w:szCs w:val="24"/>
          <w:shd w:val="clear" w:color="auto" w:fill="FFFFFF"/>
        </w:rPr>
        <w:t>zpracoval sám. Veškeré prameny a zdro</w:t>
      </w:r>
      <w:r w:rsidR="00F66355" w:rsidRPr="001E7829">
        <w:rPr>
          <w:rStyle w:val="Zvraznn"/>
          <w:rFonts w:ascii="Times New Roman" w:hAnsi="Times New Roman" w:cs="Times New Roman"/>
          <w:i w:val="0"/>
          <w:color w:val="000000"/>
          <w:sz w:val="24"/>
          <w:szCs w:val="24"/>
          <w:shd w:val="clear" w:color="auto" w:fill="FFFFFF"/>
        </w:rPr>
        <w:t>je informací, které jsem použil</w:t>
      </w:r>
      <w:r w:rsidRPr="001E7829">
        <w:rPr>
          <w:rStyle w:val="Zvraznn"/>
          <w:rFonts w:ascii="Times New Roman" w:hAnsi="Times New Roman" w:cs="Times New Roman"/>
          <w:i w:val="0"/>
          <w:color w:val="000000"/>
          <w:sz w:val="24"/>
          <w:szCs w:val="24"/>
          <w:shd w:val="clear" w:color="auto" w:fill="FFFFFF"/>
        </w:rPr>
        <w:t xml:space="preserve"> k sepsání této práce, byly citovány v poznámkách pod čarou a jsou uvedeny v seznamu použitých pramenů a literatury.</w:t>
      </w:r>
    </w:p>
    <w:p w:rsidR="00F63395" w:rsidRPr="001E7829" w:rsidRDefault="00F63395" w:rsidP="00F63395">
      <w:pPr>
        <w:ind w:left="1134"/>
        <w:jc w:val="both"/>
        <w:rPr>
          <w:rStyle w:val="Zvraznn"/>
          <w:rFonts w:ascii="Times New Roman" w:hAnsi="Times New Roman" w:cs="Times New Roman"/>
          <w:i w:val="0"/>
          <w:color w:val="000000"/>
          <w:szCs w:val="19"/>
          <w:shd w:val="clear" w:color="auto" w:fill="FFFFFF"/>
        </w:rPr>
      </w:pPr>
    </w:p>
    <w:p w:rsidR="00FC2577" w:rsidRPr="001E7829" w:rsidRDefault="00FC2577" w:rsidP="00F63395">
      <w:pPr>
        <w:ind w:left="1134"/>
        <w:jc w:val="both"/>
        <w:rPr>
          <w:rStyle w:val="Zvraznn"/>
          <w:rFonts w:ascii="Times New Roman" w:hAnsi="Times New Roman" w:cs="Times New Roman"/>
          <w:i w:val="0"/>
          <w:color w:val="000000"/>
          <w:szCs w:val="19"/>
          <w:shd w:val="clear" w:color="auto" w:fill="FFFFFF"/>
        </w:rPr>
        <w:sectPr w:rsidR="00FC2577" w:rsidRPr="001E7829" w:rsidSect="000D0819">
          <w:type w:val="continuous"/>
          <w:pgSz w:w="11906" w:h="16838" w:code="9"/>
          <w:pgMar w:top="1701" w:right="1701" w:bottom="2835" w:left="2268" w:header="709" w:footer="709" w:gutter="0"/>
          <w:cols w:space="708"/>
          <w:titlePg/>
          <w:docGrid w:linePitch="360"/>
        </w:sectPr>
      </w:pPr>
    </w:p>
    <w:p w:rsidR="00484463" w:rsidRPr="001E7829" w:rsidRDefault="00484463" w:rsidP="00F63395">
      <w:pPr>
        <w:ind w:left="1134"/>
        <w:jc w:val="both"/>
        <w:rPr>
          <w:rStyle w:val="Zvraznn"/>
          <w:rFonts w:ascii="Times New Roman" w:hAnsi="Times New Roman" w:cs="Times New Roman"/>
          <w:i w:val="0"/>
          <w:color w:val="000000"/>
          <w:szCs w:val="19"/>
          <w:shd w:val="clear" w:color="auto" w:fill="FFFFFF"/>
        </w:rPr>
      </w:pPr>
    </w:p>
    <w:p w:rsidR="00F63395" w:rsidRPr="001E7829" w:rsidRDefault="00F63395" w:rsidP="00F63395">
      <w:pPr>
        <w:ind w:left="1134"/>
        <w:jc w:val="both"/>
        <w:rPr>
          <w:rStyle w:val="Zvraznn"/>
          <w:rFonts w:ascii="Times New Roman" w:hAnsi="Times New Roman" w:cs="Times New Roman"/>
          <w:i w:val="0"/>
          <w:color w:val="000000"/>
          <w:szCs w:val="19"/>
          <w:shd w:val="clear" w:color="auto" w:fill="FFFFFF"/>
        </w:rPr>
      </w:pPr>
    </w:p>
    <w:p w:rsidR="00F63395" w:rsidRPr="001E7829" w:rsidRDefault="00F63395" w:rsidP="00F63395">
      <w:pPr>
        <w:ind w:left="1134"/>
        <w:jc w:val="both"/>
        <w:rPr>
          <w:rStyle w:val="Zvraznn"/>
          <w:rFonts w:ascii="Times New Roman" w:hAnsi="Times New Roman" w:cs="Times New Roman"/>
          <w:i w:val="0"/>
          <w:color w:val="000000"/>
          <w:szCs w:val="19"/>
          <w:shd w:val="clear" w:color="auto" w:fill="FFFFFF"/>
        </w:rPr>
      </w:pPr>
    </w:p>
    <w:p w:rsidR="00E052DF" w:rsidRPr="001E7829" w:rsidRDefault="00F63395" w:rsidP="00A90645">
      <w:pPr>
        <w:pBdr>
          <w:top w:val="single" w:sz="4" w:space="1" w:color="auto"/>
        </w:pBdr>
        <w:ind w:left="1276" w:firstLine="708"/>
        <w:jc w:val="both"/>
        <w:rPr>
          <w:rFonts w:ascii="Times New Roman" w:hAnsi="Times New Roman" w:cs="Times New Roman"/>
          <w:color w:val="000000"/>
          <w:sz w:val="24"/>
          <w:szCs w:val="19"/>
          <w:shd w:val="clear" w:color="auto" w:fill="FDFDFE"/>
        </w:rPr>
      </w:pPr>
      <w:r w:rsidRPr="001E7829">
        <w:rPr>
          <w:rFonts w:ascii="Times New Roman" w:hAnsi="Times New Roman" w:cs="Times New Roman"/>
          <w:color w:val="000000"/>
          <w:sz w:val="24"/>
          <w:szCs w:val="19"/>
          <w:shd w:val="clear" w:color="auto" w:fill="FDFDFE"/>
        </w:rPr>
        <w:t>Lukáš Hotový</w:t>
      </w:r>
      <w:r w:rsidR="00E052DF" w:rsidRPr="001E7829">
        <w:rPr>
          <w:rFonts w:ascii="Times New Roman" w:hAnsi="Times New Roman" w:cs="Times New Roman"/>
          <w:color w:val="000000"/>
          <w:sz w:val="24"/>
          <w:szCs w:val="19"/>
          <w:shd w:val="clear" w:color="auto" w:fill="FDFDFE"/>
        </w:rPr>
        <w:br w:type="page"/>
      </w:r>
    </w:p>
    <w:p w:rsidR="00C23179" w:rsidRPr="001E7829" w:rsidRDefault="00C23179" w:rsidP="00F63395">
      <w:pPr>
        <w:pBdr>
          <w:top w:val="single" w:sz="4" w:space="1" w:color="auto"/>
        </w:pBdr>
        <w:ind w:left="1416" w:firstLine="708"/>
        <w:jc w:val="both"/>
        <w:rPr>
          <w:rFonts w:ascii="Times New Roman" w:hAnsi="Times New Roman" w:cs="Times New Roman"/>
          <w:color w:val="000000"/>
          <w:sz w:val="24"/>
          <w:szCs w:val="19"/>
          <w:shd w:val="clear" w:color="auto" w:fill="FDFDFE"/>
        </w:rPr>
        <w:sectPr w:rsidR="00C23179" w:rsidRPr="001E7829" w:rsidSect="00A90645">
          <w:type w:val="continuous"/>
          <w:pgSz w:w="11906" w:h="16838"/>
          <w:pgMar w:top="1417" w:right="1700" w:bottom="1417" w:left="1417" w:header="708" w:footer="708" w:gutter="0"/>
          <w:cols w:num="2" w:space="708"/>
          <w:docGrid w:linePitch="360"/>
        </w:sectPr>
      </w:pPr>
    </w:p>
    <w:p w:rsidR="00FE3145" w:rsidRPr="001E7829" w:rsidRDefault="00E052DF" w:rsidP="00FC2577">
      <w:pPr>
        <w:spacing w:before="11000"/>
        <w:jc w:val="both"/>
        <w:rPr>
          <w:rStyle w:val="Zvraznn"/>
          <w:rFonts w:ascii="Times New Roman" w:hAnsi="Times New Roman" w:cs="Times New Roman"/>
          <w:sz w:val="24"/>
          <w:szCs w:val="24"/>
        </w:rPr>
      </w:pPr>
      <w:r w:rsidRPr="001E7829">
        <w:rPr>
          <w:rStyle w:val="Zvraznn"/>
          <w:rFonts w:ascii="Times New Roman" w:hAnsi="Times New Roman" w:cs="Times New Roman"/>
          <w:b/>
          <w:sz w:val="24"/>
          <w:szCs w:val="24"/>
        </w:rPr>
        <w:lastRenderedPageBreak/>
        <w:t>Poděkování</w:t>
      </w:r>
      <w:r w:rsidRPr="001E7829">
        <w:rPr>
          <w:rStyle w:val="Zvraznn"/>
          <w:rFonts w:ascii="Times New Roman" w:hAnsi="Times New Roman" w:cs="Times New Roman"/>
          <w:b/>
          <w:sz w:val="24"/>
          <w:szCs w:val="24"/>
        </w:rPr>
        <w:br/>
      </w:r>
      <w:r w:rsidRPr="001E7829">
        <w:rPr>
          <w:rStyle w:val="Zvraznn"/>
          <w:rFonts w:ascii="Times New Roman" w:hAnsi="Times New Roman" w:cs="Times New Roman"/>
          <w:sz w:val="24"/>
          <w:szCs w:val="24"/>
        </w:rPr>
        <w:t xml:space="preserve">Na tomto místě bych rád poděkoval </w:t>
      </w:r>
      <w:r w:rsidRPr="001E7829">
        <w:rPr>
          <w:rFonts w:ascii="Times New Roman" w:hAnsi="Times New Roman" w:cs="Times New Roman"/>
          <w:i/>
          <w:sz w:val="24"/>
          <w:szCs w:val="24"/>
        </w:rPr>
        <w:t>doc. Ing. Jiřímu Blažkovi, CSc.</w:t>
      </w:r>
      <w:r w:rsidRPr="001E7829">
        <w:rPr>
          <w:rStyle w:val="Zvraznn"/>
          <w:rFonts w:ascii="Times New Roman" w:hAnsi="Times New Roman" w:cs="Times New Roman"/>
          <w:sz w:val="24"/>
          <w:szCs w:val="24"/>
        </w:rPr>
        <w:t xml:space="preserve"> za </w:t>
      </w:r>
      <w:r w:rsidR="00FC2577" w:rsidRPr="001E7829">
        <w:rPr>
          <w:rStyle w:val="Zvraznn"/>
          <w:rFonts w:ascii="Times New Roman" w:hAnsi="Times New Roman" w:cs="Times New Roman"/>
          <w:sz w:val="24"/>
          <w:szCs w:val="24"/>
        </w:rPr>
        <w:t>vstřícnost, vedení, rady a připomínky k tématu práce, které mi velice pomohly při jejím zpracovávání.</w:t>
      </w:r>
    </w:p>
    <w:p w:rsidR="00FE3145" w:rsidRPr="001E7829" w:rsidRDefault="00FE3145">
      <w:pPr>
        <w:rPr>
          <w:rStyle w:val="Zvraznn"/>
          <w:rFonts w:ascii="Times New Roman" w:hAnsi="Times New Roman" w:cs="Times New Roman"/>
          <w:sz w:val="24"/>
          <w:szCs w:val="24"/>
        </w:rPr>
      </w:pPr>
      <w:r w:rsidRPr="001E7829">
        <w:rPr>
          <w:rStyle w:val="Zvraznn"/>
          <w:rFonts w:ascii="Times New Roman" w:hAnsi="Times New Roman" w:cs="Times New Roman"/>
          <w:sz w:val="24"/>
          <w:szCs w:val="24"/>
        </w:rPr>
        <w:br w:type="page"/>
      </w:r>
    </w:p>
    <w:p w:rsidR="00FE3145" w:rsidRPr="001E7829" w:rsidRDefault="00FE3145" w:rsidP="00FE3145">
      <w:pPr>
        <w:pStyle w:val="Nzev"/>
        <w:pBdr>
          <w:bottom w:val="none" w:sz="0" w:space="0" w:color="auto"/>
        </w:pBdr>
        <w:rPr>
          <w:rFonts w:ascii="Times New Roman" w:hAnsi="Times New Roman" w:cs="Times New Roman"/>
          <w:b/>
          <w:color w:val="auto"/>
          <w:sz w:val="28"/>
          <w:shd w:val="clear" w:color="auto" w:fill="FDFDFE"/>
        </w:rPr>
      </w:pPr>
      <w:r w:rsidRPr="001E7829">
        <w:rPr>
          <w:rFonts w:ascii="Times New Roman" w:hAnsi="Times New Roman" w:cs="Times New Roman"/>
          <w:b/>
          <w:color w:val="auto"/>
          <w:sz w:val="28"/>
          <w:shd w:val="clear" w:color="auto" w:fill="FDFDFE"/>
        </w:rPr>
        <w:lastRenderedPageBreak/>
        <w:t>Abstrakt</w:t>
      </w:r>
    </w:p>
    <w:p w:rsidR="00FE3145" w:rsidRPr="001E7829" w:rsidRDefault="00FE3145" w:rsidP="00FE3145">
      <w:pPr>
        <w:pStyle w:val="Prvn"/>
        <w:rPr>
          <w:rFonts w:cs="Times New Roman"/>
        </w:rPr>
      </w:pPr>
      <w:r w:rsidRPr="001E7829">
        <w:rPr>
          <w:rFonts w:cs="Times New Roman"/>
        </w:rPr>
        <w:t>Tato práce se věnuje analýze</w:t>
      </w:r>
      <w:r w:rsidR="00E36923">
        <w:rPr>
          <w:rFonts w:cs="Times New Roman"/>
        </w:rPr>
        <w:t xml:space="preserve"> a hodnocení</w:t>
      </w:r>
      <w:r w:rsidRPr="001E7829">
        <w:rPr>
          <w:rFonts w:cs="Times New Roman"/>
        </w:rPr>
        <w:t xml:space="preserve"> účinnosti monetární politiky České národní banky, prováděné od jejího vzniku až po současnost. Účinnost je chápána jako míra naplňování cílů, které jsou České národní bance svěřeny vnitrostátní a evropskou legislativou. Samotné analytické části předchází vymezení teoretických základů postavení a činností centrální banky a fungování monetární politiky, a také popis a hodnocení české právní úpravy věnované této problematice. Na základě získaných poznatků jsou v rámci práce formulována doporučení pro změny právní úpravy i praxe provádění monetární politiky.</w:t>
      </w:r>
    </w:p>
    <w:p w:rsidR="00FE3145" w:rsidRPr="001E7829" w:rsidRDefault="00FE3145" w:rsidP="00FE3145">
      <w:pPr>
        <w:pStyle w:val="Nzev"/>
        <w:pBdr>
          <w:bottom w:val="none" w:sz="0" w:space="0" w:color="auto"/>
        </w:pBdr>
        <w:rPr>
          <w:rFonts w:ascii="Times New Roman" w:hAnsi="Times New Roman" w:cs="Times New Roman"/>
          <w:b/>
          <w:color w:val="auto"/>
          <w:sz w:val="28"/>
          <w:shd w:val="clear" w:color="auto" w:fill="FDFDFE"/>
        </w:rPr>
      </w:pPr>
      <w:r w:rsidRPr="001E7829">
        <w:rPr>
          <w:rFonts w:ascii="Times New Roman" w:hAnsi="Times New Roman" w:cs="Times New Roman"/>
          <w:b/>
          <w:color w:val="auto"/>
          <w:sz w:val="28"/>
          <w:shd w:val="clear" w:color="auto" w:fill="FDFDFE"/>
        </w:rPr>
        <w:t>Klíčová slova</w:t>
      </w:r>
    </w:p>
    <w:p w:rsidR="00FE3145" w:rsidRPr="001E7829" w:rsidRDefault="00FE3145" w:rsidP="00FE3145">
      <w:pPr>
        <w:pStyle w:val="Prvn"/>
        <w:rPr>
          <w:rFonts w:cs="Times New Roman"/>
        </w:rPr>
      </w:pPr>
      <w:r w:rsidRPr="001E7829">
        <w:rPr>
          <w:rFonts w:cs="Times New Roman"/>
        </w:rPr>
        <w:t>Monetární politika, centrální banka, Česká národní banka, účinnost, cíle, maastrichtská kritéria, zákon o České národní bance.</w:t>
      </w:r>
    </w:p>
    <w:p w:rsidR="00FE3145" w:rsidRPr="001E7829" w:rsidRDefault="00FE3145" w:rsidP="00FE3145">
      <w:pPr>
        <w:pStyle w:val="Nzev"/>
        <w:pBdr>
          <w:bottom w:val="none" w:sz="0" w:space="0" w:color="auto"/>
        </w:pBdr>
        <w:rPr>
          <w:rFonts w:ascii="Times New Roman" w:hAnsi="Times New Roman" w:cs="Times New Roman"/>
          <w:b/>
          <w:color w:val="auto"/>
          <w:sz w:val="28"/>
          <w:shd w:val="clear" w:color="auto" w:fill="FDFDFE"/>
          <w:lang w:val="en-US"/>
        </w:rPr>
      </w:pPr>
      <w:r w:rsidRPr="001E7829">
        <w:rPr>
          <w:rFonts w:ascii="Times New Roman" w:hAnsi="Times New Roman" w:cs="Times New Roman"/>
          <w:b/>
          <w:color w:val="auto"/>
          <w:sz w:val="28"/>
          <w:shd w:val="clear" w:color="auto" w:fill="FDFDFE"/>
          <w:lang w:val="en-US"/>
        </w:rPr>
        <w:t>Abstract</w:t>
      </w:r>
    </w:p>
    <w:p w:rsidR="00FE3145" w:rsidRPr="001E7829" w:rsidRDefault="00FE3145" w:rsidP="00FE3145">
      <w:pPr>
        <w:pStyle w:val="Prvn"/>
        <w:rPr>
          <w:rFonts w:cs="Times New Roman"/>
          <w:lang w:val="en-US"/>
        </w:rPr>
      </w:pPr>
      <w:r w:rsidRPr="001E7829">
        <w:rPr>
          <w:rFonts w:cs="Times New Roman"/>
          <w:lang w:val="en-US"/>
        </w:rPr>
        <w:t xml:space="preserve">This thesis </w:t>
      </w:r>
      <w:r w:rsidR="0083575C" w:rsidRPr="001E7829">
        <w:rPr>
          <w:rFonts w:cs="Times New Roman"/>
          <w:lang w:val="en-US"/>
        </w:rPr>
        <w:t xml:space="preserve">focuses </w:t>
      </w:r>
      <w:r w:rsidRPr="001E7829">
        <w:rPr>
          <w:rFonts w:cs="Times New Roman"/>
          <w:lang w:val="en-US"/>
        </w:rPr>
        <w:t xml:space="preserve">on </w:t>
      </w:r>
      <w:r w:rsidR="00E36923">
        <w:rPr>
          <w:rFonts w:cs="Times New Roman"/>
          <w:lang w:val="en-US"/>
        </w:rPr>
        <w:t>analyzing and assessing</w:t>
      </w:r>
      <w:r w:rsidR="0083575C" w:rsidRPr="001E7829">
        <w:rPr>
          <w:rFonts w:cs="Times New Roman"/>
          <w:lang w:val="en-US"/>
        </w:rPr>
        <w:t xml:space="preserve"> the</w:t>
      </w:r>
      <w:r w:rsidRPr="001E7829">
        <w:rPr>
          <w:rFonts w:cs="Times New Roman"/>
          <w:lang w:val="en-US"/>
        </w:rPr>
        <w:t xml:space="preserve"> effectiveness of the Czech National Bank’s monetary policy as it has been conducted from the bank’s establishment until present. The effectiveness is understood as a degree of fulfillment of goals given to the Czech National Bank by domestic and European legislation. The analytical part is preceded by</w:t>
      </w:r>
      <w:r w:rsidR="0083575C" w:rsidRPr="001E7829">
        <w:rPr>
          <w:rFonts w:cs="Times New Roman"/>
          <w:lang w:val="en-US"/>
        </w:rPr>
        <w:t xml:space="preserve"> the</w:t>
      </w:r>
      <w:r w:rsidRPr="001E7829">
        <w:rPr>
          <w:rFonts w:cs="Times New Roman"/>
          <w:lang w:val="en-US"/>
        </w:rPr>
        <w:t xml:space="preserve"> theoretical basics of</w:t>
      </w:r>
      <w:r w:rsidR="0083575C" w:rsidRPr="001E7829">
        <w:rPr>
          <w:rFonts w:cs="Times New Roman"/>
          <w:lang w:val="en-US"/>
        </w:rPr>
        <w:t xml:space="preserve"> the</w:t>
      </w:r>
      <w:r w:rsidRPr="001E7829">
        <w:rPr>
          <w:rFonts w:cs="Times New Roman"/>
          <w:lang w:val="en-US"/>
        </w:rPr>
        <w:t xml:space="preserve"> status and activity of</w:t>
      </w:r>
      <w:r w:rsidR="0083575C" w:rsidRPr="001E7829">
        <w:rPr>
          <w:rFonts w:cs="Times New Roman"/>
          <w:lang w:val="en-US"/>
        </w:rPr>
        <w:t xml:space="preserve"> the</w:t>
      </w:r>
      <w:r w:rsidRPr="001E7829">
        <w:rPr>
          <w:rFonts w:cs="Times New Roman"/>
          <w:lang w:val="en-US"/>
        </w:rPr>
        <w:t xml:space="preserve"> central bank and</w:t>
      </w:r>
      <w:r w:rsidR="0083575C" w:rsidRPr="001E7829">
        <w:rPr>
          <w:rFonts w:cs="Times New Roman"/>
          <w:lang w:val="en-US"/>
        </w:rPr>
        <w:t xml:space="preserve"> of the</w:t>
      </w:r>
      <w:r w:rsidRPr="001E7829">
        <w:rPr>
          <w:rFonts w:cs="Times New Roman"/>
          <w:lang w:val="en-US"/>
        </w:rPr>
        <w:t xml:space="preserve"> functioning of </w:t>
      </w:r>
      <w:r w:rsidR="0083575C" w:rsidRPr="001E7829">
        <w:rPr>
          <w:rFonts w:cs="Times New Roman"/>
          <w:lang w:val="en-US"/>
        </w:rPr>
        <w:t xml:space="preserve">the </w:t>
      </w:r>
      <w:r w:rsidRPr="001E7829">
        <w:rPr>
          <w:rFonts w:cs="Times New Roman"/>
          <w:lang w:val="en-US"/>
        </w:rPr>
        <w:t>monetary policy, and also by</w:t>
      </w:r>
      <w:r w:rsidR="0083575C" w:rsidRPr="001E7829">
        <w:rPr>
          <w:rFonts w:cs="Times New Roman"/>
          <w:lang w:val="en-US"/>
        </w:rPr>
        <w:t xml:space="preserve"> a</w:t>
      </w:r>
      <w:r w:rsidRPr="001E7829">
        <w:rPr>
          <w:rFonts w:cs="Times New Roman"/>
          <w:lang w:val="en-US"/>
        </w:rPr>
        <w:t xml:space="preserve"> description and assessment of the Czech legislation concerning this topic. Based on</w:t>
      </w:r>
      <w:r w:rsidR="0083575C" w:rsidRPr="001E7829">
        <w:rPr>
          <w:rFonts w:cs="Times New Roman"/>
          <w:lang w:val="en-US"/>
        </w:rPr>
        <w:t xml:space="preserve"> the</w:t>
      </w:r>
      <w:r w:rsidRPr="001E7829">
        <w:rPr>
          <w:rFonts w:cs="Times New Roman"/>
          <w:lang w:val="en-US"/>
        </w:rPr>
        <w:t xml:space="preserve"> findings of the thesis, recommendations are formulated for changes to</w:t>
      </w:r>
      <w:r w:rsidR="0083575C" w:rsidRPr="001E7829">
        <w:rPr>
          <w:rFonts w:cs="Times New Roman"/>
          <w:lang w:val="en-US"/>
        </w:rPr>
        <w:t xml:space="preserve"> the</w:t>
      </w:r>
      <w:r w:rsidRPr="001E7829">
        <w:rPr>
          <w:rFonts w:cs="Times New Roman"/>
          <w:lang w:val="en-US"/>
        </w:rPr>
        <w:t xml:space="preserve"> legislation as well as to</w:t>
      </w:r>
      <w:r w:rsidR="0083575C" w:rsidRPr="001E7829">
        <w:rPr>
          <w:rFonts w:cs="Times New Roman"/>
          <w:lang w:val="en-US"/>
        </w:rPr>
        <w:t xml:space="preserve"> the</w:t>
      </w:r>
      <w:r w:rsidRPr="001E7829">
        <w:rPr>
          <w:rFonts w:cs="Times New Roman"/>
          <w:lang w:val="en-US"/>
        </w:rPr>
        <w:t xml:space="preserve"> practical conduct of monetary policy.</w:t>
      </w:r>
    </w:p>
    <w:p w:rsidR="00FE3145" w:rsidRPr="001E7829" w:rsidRDefault="00FE3145" w:rsidP="00FE3145">
      <w:pPr>
        <w:pStyle w:val="Nzev"/>
        <w:pBdr>
          <w:bottom w:val="none" w:sz="0" w:space="0" w:color="auto"/>
        </w:pBdr>
        <w:rPr>
          <w:rFonts w:ascii="Times New Roman" w:hAnsi="Times New Roman" w:cs="Times New Roman"/>
          <w:b/>
          <w:color w:val="auto"/>
          <w:sz w:val="28"/>
          <w:shd w:val="clear" w:color="auto" w:fill="FDFDFE"/>
          <w:lang w:val="en-US"/>
        </w:rPr>
      </w:pPr>
      <w:r w:rsidRPr="001E7829">
        <w:rPr>
          <w:rFonts w:ascii="Times New Roman" w:hAnsi="Times New Roman" w:cs="Times New Roman"/>
          <w:b/>
          <w:color w:val="auto"/>
          <w:sz w:val="28"/>
          <w:shd w:val="clear" w:color="auto" w:fill="FDFDFE"/>
          <w:lang w:val="en-US"/>
        </w:rPr>
        <w:t>Key words</w:t>
      </w:r>
    </w:p>
    <w:p w:rsidR="00BA29F9" w:rsidRPr="001E7829" w:rsidRDefault="00FE3145" w:rsidP="00FE3145">
      <w:pPr>
        <w:pStyle w:val="Prvn"/>
        <w:rPr>
          <w:rFonts w:cs="Times New Roman"/>
          <w:color w:val="000000"/>
          <w:szCs w:val="19"/>
        </w:rPr>
      </w:pPr>
      <w:r w:rsidRPr="001E7829">
        <w:rPr>
          <w:rFonts w:cs="Times New Roman"/>
          <w:lang w:val="en-US"/>
        </w:rPr>
        <w:t>Monetary policy, central bank, Czech National Bank, effectiveness, goals, Maastricht criteria, Act on the Czech National Bank.</w:t>
      </w:r>
    </w:p>
    <w:p w:rsidR="00AA3A51" w:rsidRPr="001E7829" w:rsidRDefault="00AA3A51" w:rsidP="00071456">
      <w:pPr>
        <w:pStyle w:val="obsah"/>
        <w:rPr>
          <w:rFonts w:cs="Times New Roman"/>
        </w:rPr>
      </w:pPr>
      <w:r w:rsidRPr="001E7829">
        <w:rPr>
          <w:rFonts w:cs="Times New Roman"/>
        </w:rPr>
        <w:lastRenderedPageBreak/>
        <w:t>Obs</w:t>
      </w:r>
      <w:r w:rsidR="004F3912" w:rsidRPr="001E7829">
        <w:rPr>
          <w:rFonts w:cs="Times New Roman"/>
        </w:rPr>
        <w:t>ah</w:t>
      </w:r>
    </w:p>
    <w:p w:rsidR="008E3A7D" w:rsidRDefault="007D6D71">
      <w:pPr>
        <w:pStyle w:val="Obsah1"/>
        <w:tabs>
          <w:tab w:val="right" w:leader="dot" w:pos="7927"/>
        </w:tabs>
        <w:rPr>
          <w:rFonts w:eastAsiaTheme="minorEastAsia"/>
          <w:noProof/>
          <w:lang w:eastAsia="cs-CZ"/>
        </w:rPr>
      </w:pPr>
      <w:r w:rsidRPr="001E7829">
        <w:rPr>
          <w:rFonts w:ascii="Times New Roman" w:hAnsi="Times New Roman" w:cs="Times New Roman"/>
        </w:rPr>
        <w:fldChar w:fldCharType="begin"/>
      </w:r>
      <w:r w:rsidR="00B90F6F" w:rsidRPr="001E7829">
        <w:rPr>
          <w:rFonts w:ascii="Times New Roman" w:hAnsi="Times New Roman" w:cs="Times New Roman"/>
        </w:rPr>
        <w:instrText xml:space="preserve"> TOC \h \z \t "3.1.;2;4.1.1.;3;1.;1;4.3.1.;3;1.3.1.;3;1.1.;2;2.1.;2;1.3.1;3;2.2.1.;3;Others;1" </w:instrText>
      </w:r>
      <w:r w:rsidRPr="001E7829">
        <w:rPr>
          <w:rFonts w:ascii="Times New Roman" w:hAnsi="Times New Roman" w:cs="Times New Roman"/>
        </w:rPr>
        <w:fldChar w:fldCharType="separate"/>
      </w:r>
      <w:hyperlink w:anchor="_Toc446604189" w:history="1">
        <w:r w:rsidR="008E3A7D" w:rsidRPr="0062138B">
          <w:rPr>
            <w:rStyle w:val="Hypertextovodkaz"/>
            <w:rFonts w:cs="Times New Roman"/>
            <w:noProof/>
          </w:rPr>
          <w:t>Seznam použitých tabulek</w:t>
        </w:r>
        <w:r w:rsidR="008E3A7D">
          <w:rPr>
            <w:noProof/>
            <w:webHidden/>
          </w:rPr>
          <w:tab/>
        </w:r>
        <w:r w:rsidR="008E3A7D">
          <w:rPr>
            <w:noProof/>
            <w:webHidden/>
          </w:rPr>
          <w:fldChar w:fldCharType="begin"/>
        </w:r>
        <w:r w:rsidR="008E3A7D">
          <w:rPr>
            <w:noProof/>
            <w:webHidden/>
          </w:rPr>
          <w:instrText xml:space="preserve"> PAGEREF _Toc446604189 \h </w:instrText>
        </w:r>
        <w:r w:rsidR="008E3A7D">
          <w:rPr>
            <w:noProof/>
            <w:webHidden/>
          </w:rPr>
        </w:r>
        <w:r w:rsidR="008E3A7D">
          <w:rPr>
            <w:noProof/>
            <w:webHidden/>
          </w:rPr>
          <w:fldChar w:fldCharType="separate"/>
        </w:r>
        <w:r w:rsidR="008E3A7D">
          <w:rPr>
            <w:noProof/>
            <w:webHidden/>
          </w:rPr>
          <w:t>7</w:t>
        </w:r>
        <w:r w:rsidR="008E3A7D">
          <w:rPr>
            <w:noProof/>
            <w:webHidden/>
          </w:rPr>
          <w:fldChar w:fldCharType="end"/>
        </w:r>
      </w:hyperlink>
    </w:p>
    <w:p w:rsidR="008E3A7D" w:rsidRDefault="008E3A7D">
      <w:pPr>
        <w:pStyle w:val="Obsah1"/>
        <w:tabs>
          <w:tab w:val="right" w:leader="dot" w:pos="7927"/>
        </w:tabs>
        <w:rPr>
          <w:rFonts w:eastAsiaTheme="minorEastAsia"/>
          <w:noProof/>
          <w:lang w:eastAsia="cs-CZ"/>
        </w:rPr>
      </w:pPr>
      <w:hyperlink w:anchor="_Toc446604190" w:history="1">
        <w:r w:rsidRPr="0062138B">
          <w:rPr>
            <w:rStyle w:val="Hypertextovodkaz"/>
            <w:rFonts w:cs="Times New Roman"/>
            <w:noProof/>
          </w:rPr>
          <w:t>Seznam použitých zkratek</w:t>
        </w:r>
        <w:r>
          <w:rPr>
            <w:noProof/>
            <w:webHidden/>
          </w:rPr>
          <w:tab/>
        </w:r>
        <w:r>
          <w:rPr>
            <w:noProof/>
            <w:webHidden/>
          </w:rPr>
          <w:fldChar w:fldCharType="begin"/>
        </w:r>
        <w:r>
          <w:rPr>
            <w:noProof/>
            <w:webHidden/>
          </w:rPr>
          <w:instrText xml:space="preserve"> PAGEREF _Toc446604190 \h </w:instrText>
        </w:r>
        <w:r>
          <w:rPr>
            <w:noProof/>
            <w:webHidden/>
          </w:rPr>
        </w:r>
        <w:r>
          <w:rPr>
            <w:noProof/>
            <w:webHidden/>
          </w:rPr>
          <w:fldChar w:fldCharType="separate"/>
        </w:r>
        <w:r>
          <w:rPr>
            <w:noProof/>
            <w:webHidden/>
          </w:rPr>
          <w:t>8</w:t>
        </w:r>
        <w:r>
          <w:rPr>
            <w:noProof/>
            <w:webHidden/>
          </w:rPr>
          <w:fldChar w:fldCharType="end"/>
        </w:r>
      </w:hyperlink>
    </w:p>
    <w:p w:rsidR="008E3A7D" w:rsidRDefault="008E3A7D">
      <w:pPr>
        <w:pStyle w:val="Obsah1"/>
        <w:tabs>
          <w:tab w:val="right" w:leader="dot" w:pos="7927"/>
        </w:tabs>
        <w:rPr>
          <w:rFonts w:eastAsiaTheme="minorEastAsia"/>
          <w:noProof/>
          <w:lang w:eastAsia="cs-CZ"/>
        </w:rPr>
      </w:pPr>
      <w:hyperlink w:anchor="_Toc446604191" w:history="1">
        <w:r w:rsidRPr="0062138B">
          <w:rPr>
            <w:rStyle w:val="Hypertextovodkaz"/>
            <w:rFonts w:cs="Times New Roman"/>
            <w:noProof/>
          </w:rPr>
          <w:t>Úvod</w:t>
        </w:r>
        <w:r>
          <w:rPr>
            <w:noProof/>
            <w:webHidden/>
          </w:rPr>
          <w:tab/>
        </w:r>
        <w:r>
          <w:rPr>
            <w:noProof/>
            <w:webHidden/>
          </w:rPr>
          <w:fldChar w:fldCharType="begin"/>
        </w:r>
        <w:r>
          <w:rPr>
            <w:noProof/>
            <w:webHidden/>
          </w:rPr>
          <w:instrText xml:space="preserve"> PAGEREF _Toc446604191 \h </w:instrText>
        </w:r>
        <w:r>
          <w:rPr>
            <w:noProof/>
            <w:webHidden/>
          </w:rPr>
        </w:r>
        <w:r>
          <w:rPr>
            <w:noProof/>
            <w:webHidden/>
          </w:rPr>
          <w:fldChar w:fldCharType="separate"/>
        </w:r>
        <w:r>
          <w:rPr>
            <w:noProof/>
            <w:webHidden/>
          </w:rPr>
          <w:t>10</w:t>
        </w:r>
        <w:r>
          <w:rPr>
            <w:noProof/>
            <w:webHidden/>
          </w:rPr>
          <w:fldChar w:fldCharType="end"/>
        </w:r>
      </w:hyperlink>
    </w:p>
    <w:p w:rsidR="008E3A7D" w:rsidRDefault="008E3A7D">
      <w:pPr>
        <w:pStyle w:val="Obsah1"/>
        <w:tabs>
          <w:tab w:val="left" w:pos="440"/>
          <w:tab w:val="right" w:leader="dot" w:pos="7927"/>
        </w:tabs>
        <w:rPr>
          <w:rFonts w:eastAsiaTheme="minorEastAsia"/>
          <w:noProof/>
          <w:lang w:eastAsia="cs-CZ"/>
        </w:rPr>
      </w:pPr>
      <w:hyperlink w:anchor="_Toc446604192" w:history="1">
        <w:r w:rsidRPr="0062138B">
          <w:rPr>
            <w:rStyle w:val="Hypertextovodkaz"/>
            <w:rFonts w:cs="Times New Roman"/>
            <w:noProof/>
          </w:rPr>
          <w:t>1.</w:t>
        </w:r>
        <w:r>
          <w:rPr>
            <w:rFonts w:eastAsiaTheme="minorEastAsia"/>
            <w:noProof/>
            <w:lang w:eastAsia="cs-CZ"/>
          </w:rPr>
          <w:tab/>
        </w:r>
        <w:r w:rsidRPr="0062138B">
          <w:rPr>
            <w:rStyle w:val="Hypertextovodkaz"/>
            <w:rFonts w:cs="Times New Roman"/>
            <w:noProof/>
          </w:rPr>
          <w:t>Obecná východiska monetární politiky</w:t>
        </w:r>
        <w:r>
          <w:rPr>
            <w:noProof/>
            <w:webHidden/>
          </w:rPr>
          <w:tab/>
        </w:r>
        <w:r>
          <w:rPr>
            <w:noProof/>
            <w:webHidden/>
          </w:rPr>
          <w:fldChar w:fldCharType="begin"/>
        </w:r>
        <w:r>
          <w:rPr>
            <w:noProof/>
            <w:webHidden/>
          </w:rPr>
          <w:instrText xml:space="preserve"> PAGEREF _Toc446604192 \h </w:instrText>
        </w:r>
        <w:r>
          <w:rPr>
            <w:noProof/>
            <w:webHidden/>
          </w:rPr>
        </w:r>
        <w:r>
          <w:rPr>
            <w:noProof/>
            <w:webHidden/>
          </w:rPr>
          <w:fldChar w:fldCharType="separate"/>
        </w:r>
        <w:r>
          <w:rPr>
            <w:noProof/>
            <w:webHidden/>
          </w:rPr>
          <w:t>13</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193" w:history="1">
        <w:r w:rsidRPr="0062138B">
          <w:rPr>
            <w:rStyle w:val="Hypertextovodkaz"/>
            <w:rFonts w:cs="Times New Roman"/>
            <w:noProof/>
          </w:rPr>
          <w:t>1.1.</w:t>
        </w:r>
        <w:r>
          <w:rPr>
            <w:rFonts w:eastAsiaTheme="minorEastAsia"/>
            <w:noProof/>
            <w:lang w:eastAsia="cs-CZ"/>
          </w:rPr>
          <w:tab/>
        </w:r>
        <w:r w:rsidRPr="0062138B">
          <w:rPr>
            <w:rStyle w:val="Hypertextovodkaz"/>
            <w:rFonts w:cs="Times New Roman"/>
            <w:noProof/>
          </w:rPr>
          <w:t>Podstata monetární politiky a její institucionální zabezpečení</w:t>
        </w:r>
        <w:r>
          <w:rPr>
            <w:noProof/>
            <w:webHidden/>
          </w:rPr>
          <w:tab/>
        </w:r>
        <w:r>
          <w:rPr>
            <w:noProof/>
            <w:webHidden/>
          </w:rPr>
          <w:fldChar w:fldCharType="begin"/>
        </w:r>
        <w:r>
          <w:rPr>
            <w:noProof/>
            <w:webHidden/>
          </w:rPr>
          <w:instrText xml:space="preserve"> PAGEREF _Toc446604193 \h </w:instrText>
        </w:r>
        <w:r>
          <w:rPr>
            <w:noProof/>
            <w:webHidden/>
          </w:rPr>
        </w:r>
        <w:r>
          <w:rPr>
            <w:noProof/>
            <w:webHidden/>
          </w:rPr>
          <w:fldChar w:fldCharType="separate"/>
        </w:r>
        <w:r>
          <w:rPr>
            <w:noProof/>
            <w:webHidden/>
          </w:rPr>
          <w:t>13</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194" w:history="1">
        <w:r w:rsidRPr="0062138B">
          <w:rPr>
            <w:rStyle w:val="Hypertextovodkaz"/>
            <w:rFonts w:cs="Times New Roman"/>
            <w:noProof/>
          </w:rPr>
          <w:t>1.2.</w:t>
        </w:r>
        <w:r>
          <w:rPr>
            <w:rFonts w:eastAsiaTheme="minorEastAsia"/>
            <w:noProof/>
            <w:lang w:eastAsia="cs-CZ"/>
          </w:rPr>
          <w:tab/>
        </w:r>
        <w:r w:rsidRPr="0062138B">
          <w:rPr>
            <w:rStyle w:val="Hypertextovodkaz"/>
            <w:rFonts w:cs="Times New Roman"/>
            <w:noProof/>
          </w:rPr>
          <w:t>Nástroje monetární politiky</w:t>
        </w:r>
        <w:r>
          <w:rPr>
            <w:noProof/>
            <w:webHidden/>
          </w:rPr>
          <w:tab/>
        </w:r>
        <w:r>
          <w:rPr>
            <w:noProof/>
            <w:webHidden/>
          </w:rPr>
          <w:fldChar w:fldCharType="begin"/>
        </w:r>
        <w:r>
          <w:rPr>
            <w:noProof/>
            <w:webHidden/>
          </w:rPr>
          <w:instrText xml:space="preserve"> PAGEREF _Toc446604194 \h </w:instrText>
        </w:r>
        <w:r>
          <w:rPr>
            <w:noProof/>
            <w:webHidden/>
          </w:rPr>
        </w:r>
        <w:r>
          <w:rPr>
            <w:noProof/>
            <w:webHidden/>
          </w:rPr>
          <w:fldChar w:fldCharType="separate"/>
        </w:r>
        <w:r>
          <w:rPr>
            <w:noProof/>
            <w:webHidden/>
          </w:rPr>
          <w:t>14</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195" w:history="1">
        <w:r w:rsidRPr="0062138B">
          <w:rPr>
            <w:rStyle w:val="Hypertextovodkaz"/>
            <w:rFonts w:cs="Times New Roman"/>
            <w:noProof/>
          </w:rPr>
          <w:t>1.2.1.</w:t>
        </w:r>
        <w:r>
          <w:rPr>
            <w:rFonts w:eastAsiaTheme="minorEastAsia"/>
            <w:noProof/>
            <w:lang w:eastAsia="cs-CZ"/>
          </w:rPr>
          <w:tab/>
        </w:r>
        <w:r w:rsidRPr="0062138B">
          <w:rPr>
            <w:rStyle w:val="Hypertextovodkaz"/>
            <w:rFonts w:cs="Times New Roman"/>
            <w:noProof/>
          </w:rPr>
          <w:t>Nepřímé nástroje</w:t>
        </w:r>
        <w:r>
          <w:rPr>
            <w:noProof/>
            <w:webHidden/>
          </w:rPr>
          <w:tab/>
        </w:r>
        <w:r>
          <w:rPr>
            <w:noProof/>
            <w:webHidden/>
          </w:rPr>
          <w:fldChar w:fldCharType="begin"/>
        </w:r>
        <w:r>
          <w:rPr>
            <w:noProof/>
            <w:webHidden/>
          </w:rPr>
          <w:instrText xml:space="preserve"> PAGEREF _Toc446604195 \h </w:instrText>
        </w:r>
        <w:r>
          <w:rPr>
            <w:noProof/>
            <w:webHidden/>
          </w:rPr>
        </w:r>
        <w:r>
          <w:rPr>
            <w:noProof/>
            <w:webHidden/>
          </w:rPr>
          <w:fldChar w:fldCharType="separate"/>
        </w:r>
        <w:r>
          <w:rPr>
            <w:noProof/>
            <w:webHidden/>
          </w:rPr>
          <w:t>14</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196" w:history="1">
        <w:r w:rsidRPr="0062138B">
          <w:rPr>
            <w:rStyle w:val="Hypertextovodkaz"/>
            <w:rFonts w:cs="Times New Roman"/>
            <w:noProof/>
          </w:rPr>
          <w:t>1.2.2.</w:t>
        </w:r>
        <w:r>
          <w:rPr>
            <w:rFonts w:eastAsiaTheme="minorEastAsia"/>
            <w:noProof/>
            <w:lang w:eastAsia="cs-CZ"/>
          </w:rPr>
          <w:tab/>
        </w:r>
        <w:r w:rsidRPr="0062138B">
          <w:rPr>
            <w:rStyle w:val="Hypertextovodkaz"/>
            <w:rFonts w:cs="Times New Roman"/>
            <w:noProof/>
          </w:rPr>
          <w:t>Přímé nástroje</w:t>
        </w:r>
        <w:r>
          <w:rPr>
            <w:noProof/>
            <w:webHidden/>
          </w:rPr>
          <w:tab/>
        </w:r>
        <w:r>
          <w:rPr>
            <w:noProof/>
            <w:webHidden/>
          </w:rPr>
          <w:fldChar w:fldCharType="begin"/>
        </w:r>
        <w:r>
          <w:rPr>
            <w:noProof/>
            <w:webHidden/>
          </w:rPr>
          <w:instrText xml:space="preserve"> PAGEREF _Toc446604196 \h </w:instrText>
        </w:r>
        <w:r>
          <w:rPr>
            <w:noProof/>
            <w:webHidden/>
          </w:rPr>
        </w:r>
        <w:r>
          <w:rPr>
            <w:noProof/>
            <w:webHidden/>
          </w:rPr>
          <w:fldChar w:fldCharType="separate"/>
        </w:r>
        <w:r>
          <w:rPr>
            <w:noProof/>
            <w:webHidden/>
          </w:rPr>
          <w:t>19</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197" w:history="1">
        <w:r w:rsidRPr="0062138B">
          <w:rPr>
            <w:rStyle w:val="Hypertextovodkaz"/>
            <w:rFonts w:cs="Times New Roman"/>
            <w:noProof/>
          </w:rPr>
          <w:t>1.3.</w:t>
        </w:r>
        <w:r>
          <w:rPr>
            <w:rFonts w:eastAsiaTheme="minorEastAsia"/>
            <w:noProof/>
            <w:lang w:eastAsia="cs-CZ"/>
          </w:rPr>
          <w:tab/>
        </w:r>
        <w:r w:rsidRPr="0062138B">
          <w:rPr>
            <w:rStyle w:val="Hypertextovodkaz"/>
            <w:rFonts w:cs="Times New Roman"/>
            <w:noProof/>
          </w:rPr>
          <w:t>Transmisní mechanismus monetární politiky</w:t>
        </w:r>
        <w:r>
          <w:rPr>
            <w:noProof/>
            <w:webHidden/>
          </w:rPr>
          <w:tab/>
        </w:r>
        <w:r>
          <w:rPr>
            <w:noProof/>
            <w:webHidden/>
          </w:rPr>
          <w:fldChar w:fldCharType="begin"/>
        </w:r>
        <w:r>
          <w:rPr>
            <w:noProof/>
            <w:webHidden/>
          </w:rPr>
          <w:instrText xml:space="preserve"> PAGEREF _Toc446604197 \h </w:instrText>
        </w:r>
        <w:r>
          <w:rPr>
            <w:noProof/>
            <w:webHidden/>
          </w:rPr>
        </w:r>
        <w:r>
          <w:rPr>
            <w:noProof/>
            <w:webHidden/>
          </w:rPr>
          <w:fldChar w:fldCharType="separate"/>
        </w:r>
        <w:r>
          <w:rPr>
            <w:noProof/>
            <w:webHidden/>
          </w:rPr>
          <w:t>22</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198" w:history="1">
        <w:r w:rsidRPr="0062138B">
          <w:rPr>
            <w:rStyle w:val="Hypertextovodkaz"/>
            <w:rFonts w:cs="Times New Roman"/>
            <w:noProof/>
          </w:rPr>
          <w:t>1.3.1.</w:t>
        </w:r>
        <w:r>
          <w:rPr>
            <w:rFonts w:eastAsiaTheme="minorEastAsia"/>
            <w:noProof/>
            <w:lang w:eastAsia="cs-CZ"/>
          </w:rPr>
          <w:tab/>
        </w:r>
        <w:r w:rsidRPr="0062138B">
          <w:rPr>
            <w:rStyle w:val="Hypertextovodkaz"/>
            <w:rFonts w:cs="Times New Roman"/>
            <w:noProof/>
          </w:rPr>
          <w:t>Fungování transmisního mechanismu</w:t>
        </w:r>
        <w:r>
          <w:rPr>
            <w:noProof/>
            <w:webHidden/>
          </w:rPr>
          <w:tab/>
        </w:r>
        <w:r>
          <w:rPr>
            <w:noProof/>
            <w:webHidden/>
          </w:rPr>
          <w:fldChar w:fldCharType="begin"/>
        </w:r>
        <w:r>
          <w:rPr>
            <w:noProof/>
            <w:webHidden/>
          </w:rPr>
          <w:instrText xml:space="preserve"> PAGEREF _Toc446604198 \h </w:instrText>
        </w:r>
        <w:r>
          <w:rPr>
            <w:noProof/>
            <w:webHidden/>
          </w:rPr>
        </w:r>
        <w:r>
          <w:rPr>
            <w:noProof/>
            <w:webHidden/>
          </w:rPr>
          <w:fldChar w:fldCharType="separate"/>
        </w:r>
        <w:r>
          <w:rPr>
            <w:noProof/>
            <w:webHidden/>
          </w:rPr>
          <w:t>22</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199" w:history="1">
        <w:r w:rsidRPr="0062138B">
          <w:rPr>
            <w:rStyle w:val="Hypertextovodkaz"/>
            <w:rFonts w:cs="Times New Roman"/>
            <w:noProof/>
          </w:rPr>
          <w:t>1.3.2.</w:t>
        </w:r>
        <w:r>
          <w:rPr>
            <w:rFonts w:eastAsiaTheme="minorEastAsia"/>
            <w:noProof/>
            <w:lang w:eastAsia="cs-CZ"/>
          </w:rPr>
          <w:tab/>
        </w:r>
        <w:r w:rsidRPr="0062138B">
          <w:rPr>
            <w:rStyle w:val="Hypertextovodkaz"/>
            <w:rFonts w:cs="Times New Roman"/>
            <w:noProof/>
          </w:rPr>
          <w:t>Formy transmisního mechanismu</w:t>
        </w:r>
        <w:r>
          <w:rPr>
            <w:noProof/>
            <w:webHidden/>
          </w:rPr>
          <w:tab/>
        </w:r>
        <w:r>
          <w:rPr>
            <w:noProof/>
            <w:webHidden/>
          </w:rPr>
          <w:fldChar w:fldCharType="begin"/>
        </w:r>
        <w:r>
          <w:rPr>
            <w:noProof/>
            <w:webHidden/>
          </w:rPr>
          <w:instrText xml:space="preserve"> PAGEREF _Toc446604199 \h </w:instrText>
        </w:r>
        <w:r>
          <w:rPr>
            <w:noProof/>
            <w:webHidden/>
          </w:rPr>
        </w:r>
        <w:r>
          <w:rPr>
            <w:noProof/>
            <w:webHidden/>
          </w:rPr>
          <w:fldChar w:fldCharType="separate"/>
        </w:r>
        <w:r>
          <w:rPr>
            <w:noProof/>
            <w:webHidden/>
          </w:rPr>
          <w:t>23</w:t>
        </w:r>
        <w:r>
          <w:rPr>
            <w:noProof/>
            <w:webHidden/>
          </w:rPr>
          <w:fldChar w:fldCharType="end"/>
        </w:r>
      </w:hyperlink>
    </w:p>
    <w:p w:rsidR="008E3A7D" w:rsidRDefault="008E3A7D">
      <w:pPr>
        <w:pStyle w:val="Obsah1"/>
        <w:tabs>
          <w:tab w:val="left" w:pos="440"/>
          <w:tab w:val="right" w:leader="dot" w:pos="7927"/>
        </w:tabs>
        <w:rPr>
          <w:rFonts w:eastAsiaTheme="minorEastAsia"/>
          <w:noProof/>
          <w:lang w:eastAsia="cs-CZ"/>
        </w:rPr>
      </w:pPr>
      <w:hyperlink w:anchor="_Toc446604200" w:history="1">
        <w:r w:rsidRPr="0062138B">
          <w:rPr>
            <w:rStyle w:val="Hypertextovodkaz"/>
            <w:rFonts w:cs="Times New Roman"/>
            <w:noProof/>
          </w:rPr>
          <w:t>2.</w:t>
        </w:r>
        <w:r>
          <w:rPr>
            <w:rFonts w:eastAsiaTheme="minorEastAsia"/>
            <w:noProof/>
            <w:lang w:eastAsia="cs-CZ"/>
          </w:rPr>
          <w:tab/>
        </w:r>
        <w:r w:rsidRPr="0062138B">
          <w:rPr>
            <w:rStyle w:val="Hypertextovodkaz"/>
            <w:rFonts w:cs="Times New Roman"/>
            <w:noProof/>
          </w:rPr>
          <w:t>Právní zakotvení ČNB a její monetární politiky</w:t>
        </w:r>
        <w:r>
          <w:rPr>
            <w:noProof/>
            <w:webHidden/>
          </w:rPr>
          <w:tab/>
        </w:r>
        <w:r>
          <w:rPr>
            <w:noProof/>
            <w:webHidden/>
          </w:rPr>
          <w:fldChar w:fldCharType="begin"/>
        </w:r>
        <w:r>
          <w:rPr>
            <w:noProof/>
            <w:webHidden/>
          </w:rPr>
          <w:instrText xml:space="preserve"> PAGEREF _Toc446604200 \h </w:instrText>
        </w:r>
        <w:r>
          <w:rPr>
            <w:noProof/>
            <w:webHidden/>
          </w:rPr>
        </w:r>
        <w:r>
          <w:rPr>
            <w:noProof/>
            <w:webHidden/>
          </w:rPr>
          <w:fldChar w:fldCharType="separate"/>
        </w:r>
        <w:r>
          <w:rPr>
            <w:noProof/>
            <w:webHidden/>
          </w:rPr>
          <w:t>27</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01" w:history="1">
        <w:r w:rsidRPr="0062138B">
          <w:rPr>
            <w:rStyle w:val="Hypertextovodkaz"/>
            <w:rFonts w:cs="Times New Roman"/>
            <w:noProof/>
          </w:rPr>
          <w:t>2.1.</w:t>
        </w:r>
        <w:r>
          <w:rPr>
            <w:rFonts w:eastAsiaTheme="minorEastAsia"/>
            <w:noProof/>
            <w:lang w:eastAsia="cs-CZ"/>
          </w:rPr>
          <w:tab/>
        </w:r>
        <w:r w:rsidRPr="0062138B">
          <w:rPr>
            <w:rStyle w:val="Hypertextovodkaz"/>
            <w:rFonts w:cs="Times New Roman"/>
            <w:noProof/>
          </w:rPr>
          <w:t>Základní rysy české právní úpravy</w:t>
        </w:r>
        <w:r>
          <w:rPr>
            <w:noProof/>
            <w:webHidden/>
          </w:rPr>
          <w:tab/>
        </w:r>
        <w:r>
          <w:rPr>
            <w:noProof/>
            <w:webHidden/>
          </w:rPr>
          <w:fldChar w:fldCharType="begin"/>
        </w:r>
        <w:r>
          <w:rPr>
            <w:noProof/>
            <w:webHidden/>
          </w:rPr>
          <w:instrText xml:space="preserve"> PAGEREF _Toc446604201 \h </w:instrText>
        </w:r>
        <w:r>
          <w:rPr>
            <w:noProof/>
            <w:webHidden/>
          </w:rPr>
        </w:r>
        <w:r>
          <w:rPr>
            <w:noProof/>
            <w:webHidden/>
          </w:rPr>
          <w:fldChar w:fldCharType="separate"/>
        </w:r>
        <w:r>
          <w:rPr>
            <w:noProof/>
            <w:webHidden/>
          </w:rPr>
          <w:t>27</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02" w:history="1">
        <w:r w:rsidRPr="0062138B">
          <w:rPr>
            <w:rStyle w:val="Hypertextovodkaz"/>
            <w:rFonts w:cs="Times New Roman"/>
            <w:noProof/>
          </w:rPr>
          <w:t>2.2.</w:t>
        </w:r>
        <w:r>
          <w:rPr>
            <w:rFonts w:eastAsiaTheme="minorEastAsia"/>
            <w:noProof/>
            <w:lang w:eastAsia="cs-CZ"/>
          </w:rPr>
          <w:tab/>
        </w:r>
        <w:r w:rsidRPr="0062138B">
          <w:rPr>
            <w:rStyle w:val="Hypertextovodkaz"/>
            <w:rFonts w:cs="Times New Roman"/>
            <w:noProof/>
          </w:rPr>
          <w:t>Právní postavení ČNB</w:t>
        </w:r>
        <w:r>
          <w:rPr>
            <w:noProof/>
            <w:webHidden/>
          </w:rPr>
          <w:tab/>
        </w:r>
        <w:r>
          <w:rPr>
            <w:noProof/>
            <w:webHidden/>
          </w:rPr>
          <w:fldChar w:fldCharType="begin"/>
        </w:r>
        <w:r>
          <w:rPr>
            <w:noProof/>
            <w:webHidden/>
          </w:rPr>
          <w:instrText xml:space="preserve"> PAGEREF _Toc446604202 \h </w:instrText>
        </w:r>
        <w:r>
          <w:rPr>
            <w:noProof/>
            <w:webHidden/>
          </w:rPr>
        </w:r>
        <w:r>
          <w:rPr>
            <w:noProof/>
            <w:webHidden/>
          </w:rPr>
          <w:fldChar w:fldCharType="separate"/>
        </w:r>
        <w:r>
          <w:rPr>
            <w:noProof/>
            <w:webHidden/>
          </w:rPr>
          <w:t>30</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03" w:history="1">
        <w:r w:rsidRPr="0062138B">
          <w:rPr>
            <w:rStyle w:val="Hypertextovodkaz"/>
            <w:rFonts w:cs="Times New Roman"/>
            <w:noProof/>
          </w:rPr>
          <w:t>2.2.1.</w:t>
        </w:r>
        <w:r>
          <w:rPr>
            <w:rFonts w:eastAsiaTheme="minorEastAsia"/>
            <w:noProof/>
            <w:lang w:eastAsia="cs-CZ"/>
          </w:rPr>
          <w:tab/>
        </w:r>
        <w:r w:rsidRPr="0062138B">
          <w:rPr>
            <w:rStyle w:val="Hypertextovodkaz"/>
            <w:rFonts w:cs="Times New Roman"/>
            <w:noProof/>
          </w:rPr>
          <w:t>Působnost a pravomoci ČNB</w:t>
        </w:r>
        <w:r>
          <w:rPr>
            <w:noProof/>
            <w:webHidden/>
          </w:rPr>
          <w:tab/>
        </w:r>
        <w:r>
          <w:rPr>
            <w:noProof/>
            <w:webHidden/>
          </w:rPr>
          <w:fldChar w:fldCharType="begin"/>
        </w:r>
        <w:r>
          <w:rPr>
            <w:noProof/>
            <w:webHidden/>
          </w:rPr>
          <w:instrText xml:space="preserve"> PAGEREF _Toc446604203 \h </w:instrText>
        </w:r>
        <w:r>
          <w:rPr>
            <w:noProof/>
            <w:webHidden/>
          </w:rPr>
        </w:r>
        <w:r>
          <w:rPr>
            <w:noProof/>
            <w:webHidden/>
          </w:rPr>
          <w:fldChar w:fldCharType="separate"/>
        </w:r>
        <w:r>
          <w:rPr>
            <w:noProof/>
            <w:webHidden/>
          </w:rPr>
          <w:t>30</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04" w:history="1">
        <w:r w:rsidRPr="0062138B">
          <w:rPr>
            <w:rStyle w:val="Hypertextovodkaz"/>
            <w:rFonts w:cs="Times New Roman"/>
            <w:noProof/>
          </w:rPr>
          <w:t>2.2.2.</w:t>
        </w:r>
        <w:r>
          <w:rPr>
            <w:rFonts w:eastAsiaTheme="minorEastAsia"/>
            <w:noProof/>
            <w:lang w:eastAsia="cs-CZ"/>
          </w:rPr>
          <w:tab/>
        </w:r>
        <w:r w:rsidRPr="0062138B">
          <w:rPr>
            <w:rStyle w:val="Hypertextovodkaz"/>
            <w:rFonts w:cs="Times New Roman"/>
            <w:noProof/>
          </w:rPr>
          <w:t>Vnitřní struktura a rozhodovací činnost</w:t>
        </w:r>
        <w:r>
          <w:rPr>
            <w:noProof/>
            <w:webHidden/>
          </w:rPr>
          <w:tab/>
        </w:r>
        <w:r>
          <w:rPr>
            <w:noProof/>
            <w:webHidden/>
          </w:rPr>
          <w:fldChar w:fldCharType="begin"/>
        </w:r>
        <w:r>
          <w:rPr>
            <w:noProof/>
            <w:webHidden/>
          </w:rPr>
          <w:instrText xml:space="preserve"> PAGEREF _Toc446604204 \h </w:instrText>
        </w:r>
        <w:r>
          <w:rPr>
            <w:noProof/>
            <w:webHidden/>
          </w:rPr>
        </w:r>
        <w:r>
          <w:rPr>
            <w:noProof/>
            <w:webHidden/>
          </w:rPr>
          <w:fldChar w:fldCharType="separate"/>
        </w:r>
        <w:r>
          <w:rPr>
            <w:noProof/>
            <w:webHidden/>
          </w:rPr>
          <w:t>32</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05" w:history="1">
        <w:r w:rsidRPr="0062138B">
          <w:rPr>
            <w:rStyle w:val="Hypertextovodkaz"/>
            <w:rFonts w:cs="Times New Roman"/>
            <w:noProof/>
          </w:rPr>
          <w:t>2.2.3.</w:t>
        </w:r>
        <w:r>
          <w:rPr>
            <w:rFonts w:eastAsiaTheme="minorEastAsia"/>
            <w:noProof/>
            <w:lang w:eastAsia="cs-CZ"/>
          </w:rPr>
          <w:tab/>
        </w:r>
        <w:r w:rsidRPr="0062138B">
          <w:rPr>
            <w:rStyle w:val="Hypertextovodkaz"/>
            <w:rFonts w:cs="Times New Roman"/>
            <w:noProof/>
          </w:rPr>
          <w:t>Nezávislost</w:t>
        </w:r>
        <w:r>
          <w:rPr>
            <w:noProof/>
            <w:webHidden/>
          </w:rPr>
          <w:tab/>
        </w:r>
        <w:r>
          <w:rPr>
            <w:noProof/>
            <w:webHidden/>
          </w:rPr>
          <w:fldChar w:fldCharType="begin"/>
        </w:r>
        <w:r>
          <w:rPr>
            <w:noProof/>
            <w:webHidden/>
          </w:rPr>
          <w:instrText xml:space="preserve"> PAGEREF _Toc446604205 \h </w:instrText>
        </w:r>
        <w:r>
          <w:rPr>
            <w:noProof/>
            <w:webHidden/>
          </w:rPr>
        </w:r>
        <w:r>
          <w:rPr>
            <w:noProof/>
            <w:webHidden/>
          </w:rPr>
          <w:fldChar w:fldCharType="separate"/>
        </w:r>
        <w:r>
          <w:rPr>
            <w:noProof/>
            <w:webHidden/>
          </w:rPr>
          <w:t>33</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06" w:history="1">
        <w:r w:rsidRPr="0062138B">
          <w:rPr>
            <w:rStyle w:val="Hypertextovodkaz"/>
            <w:rFonts w:cs="Times New Roman"/>
            <w:noProof/>
          </w:rPr>
          <w:t>2.2.4.</w:t>
        </w:r>
        <w:r>
          <w:rPr>
            <w:rFonts w:eastAsiaTheme="minorEastAsia"/>
            <w:noProof/>
            <w:lang w:eastAsia="cs-CZ"/>
          </w:rPr>
          <w:tab/>
        </w:r>
        <w:r w:rsidRPr="0062138B">
          <w:rPr>
            <w:rStyle w:val="Hypertextovodkaz"/>
            <w:rFonts w:cs="Times New Roman"/>
            <w:noProof/>
          </w:rPr>
          <w:t>Hospodaření</w:t>
        </w:r>
        <w:r>
          <w:rPr>
            <w:noProof/>
            <w:webHidden/>
          </w:rPr>
          <w:tab/>
        </w:r>
        <w:r>
          <w:rPr>
            <w:noProof/>
            <w:webHidden/>
          </w:rPr>
          <w:fldChar w:fldCharType="begin"/>
        </w:r>
        <w:r>
          <w:rPr>
            <w:noProof/>
            <w:webHidden/>
          </w:rPr>
          <w:instrText xml:space="preserve"> PAGEREF _Toc446604206 \h </w:instrText>
        </w:r>
        <w:r>
          <w:rPr>
            <w:noProof/>
            <w:webHidden/>
          </w:rPr>
        </w:r>
        <w:r>
          <w:rPr>
            <w:noProof/>
            <w:webHidden/>
          </w:rPr>
          <w:fldChar w:fldCharType="separate"/>
        </w:r>
        <w:r>
          <w:rPr>
            <w:noProof/>
            <w:webHidden/>
          </w:rPr>
          <w:t>37</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07" w:history="1">
        <w:r w:rsidRPr="0062138B">
          <w:rPr>
            <w:rStyle w:val="Hypertextovodkaz"/>
            <w:rFonts w:cs="Times New Roman"/>
            <w:noProof/>
          </w:rPr>
          <w:t>2.3.</w:t>
        </w:r>
        <w:r>
          <w:rPr>
            <w:rFonts w:eastAsiaTheme="minorEastAsia"/>
            <w:noProof/>
            <w:lang w:eastAsia="cs-CZ"/>
          </w:rPr>
          <w:tab/>
        </w:r>
        <w:r w:rsidRPr="0062138B">
          <w:rPr>
            <w:rStyle w:val="Hypertextovodkaz"/>
            <w:rFonts w:cs="Times New Roman"/>
            <w:noProof/>
          </w:rPr>
          <w:t>Změny v souvislosti se vstupem ČR do EU a do eurozóny</w:t>
        </w:r>
        <w:r>
          <w:rPr>
            <w:noProof/>
            <w:webHidden/>
          </w:rPr>
          <w:tab/>
        </w:r>
        <w:r>
          <w:rPr>
            <w:noProof/>
            <w:webHidden/>
          </w:rPr>
          <w:fldChar w:fldCharType="begin"/>
        </w:r>
        <w:r>
          <w:rPr>
            <w:noProof/>
            <w:webHidden/>
          </w:rPr>
          <w:instrText xml:space="preserve"> PAGEREF _Toc446604207 \h </w:instrText>
        </w:r>
        <w:r>
          <w:rPr>
            <w:noProof/>
            <w:webHidden/>
          </w:rPr>
        </w:r>
        <w:r>
          <w:rPr>
            <w:noProof/>
            <w:webHidden/>
          </w:rPr>
          <w:fldChar w:fldCharType="separate"/>
        </w:r>
        <w:r>
          <w:rPr>
            <w:noProof/>
            <w:webHidden/>
          </w:rPr>
          <w:t>37</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08" w:history="1">
        <w:r w:rsidRPr="0062138B">
          <w:rPr>
            <w:rStyle w:val="Hypertextovodkaz"/>
            <w:rFonts w:cs="Times New Roman"/>
            <w:noProof/>
          </w:rPr>
          <w:t>2.4.</w:t>
        </w:r>
        <w:r>
          <w:rPr>
            <w:rFonts w:eastAsiaTheme="minorEastAsia"/>
            <w:noProof/>
            <w:lang w:eastAsia="cs-CZ"/>
          </w:rPr>
          <w:tab/>
        </w:r>
        <w:r w:rsidRPr="0062138B">
          <w:rPr>
            <w:rStyle w:val="Hypertextovodkaz"/>
            <w:rFonts w:cs="Times New Roman"/>
            <w:noProof/>
          </w:rPr>
          <w:t>Hodnocení právní úpravy</w:t>
        </w:r>
        <w:r>
          <w:rPr>
            <w:noProof/>
            <w:webHidden/>
          </w:rPr>
          <w:tab/>
        </w:r>
        <w:r>
          <w:rPr>
            <w:noProof/>
            <w:webHidden/>
          </w:rPr>
          <w:fldChar w:fldCharType="begin"/>
        </w:r>
        <w:r>
          <w:rPr>
            <w:noProof/>
            <w:webHidden/>
          </w:rPr>
          <w:instrText xml:space="preserve"> PAGEREF _Toc446604208 \h </w:instrText>
        </w:r>
        <w:r>
          <w:rPr>
            <w:noProof/>
            <w:webHidden/>
          </w:rPr>
        </w:r>
        <w:r>
          <w:rPr>
            <w:noProof/>
            <w:webHidden/>
          </w:rPr>
          <w:fldChar w:fldCharType="separate"/>
        </w:r>
        <w:r>
          <w:rPr>
            <w:noProof/>
            <w:webHidden/>
          </w:rPr>
          <w:t>40</w:t>
        </w:r>
        <w:r>
          <w:rPr>
            <w:noProof/>
            <w:webHidden/>
          </w:rPr>
          <w:fldChar w:fldCharType="end"/>
        </w:r>
      </w:hyperlink>
    </w:p>
    <w:p w:rsidR="008E3A7D" w:rsidRDefault="008E3A7D">
      <w:pPr>
        <w:pStyle w:val="Obsah1"/>
        <w:tabs>
          <w:tab w:val="left" w:pos="440"/>
          <w:tab w:val="right" w:leader="dot" w:pos="7927"/>
        </w:tabs>
        <w:rPr>
          <w:rFonts w:eastAsiaTheme="minorEastAsia"/>
          <w:noProof/>
          <w:lang w:eastAsia="cs-CZ"/>
        </w:rPr>
      </w:pPr>
      <w:hyperlink w:anchor="_Toc446604209" w:history="1">
        <w:r w:rsidRPr="0062138B">
          <w:rPr>
            <w:rStyle w:val="Hypertextovodkaz"/>
            <w:rFonts w:cs="Times New Roman"/>
            <w:noProof/>
          </w:rPr>
          <w:t>3.</w:t>
        </w:r>
        <w:r>
          <w:rPr>
            <w:rFonts w:eastAsiaTheme="minorEastAsia"/>
            <w:noProof/>
            <w:lang w:eastAsia="cs-CZ"/>
          </w:rPr>
          <w:tab/>
        </w:r>
        <w:r w:rsidRPr="0062138B">
          <w:rPr>
            <w:rStyle w:val="Hypertextovodkaz"/>
            <w:rFonts w:cs="Times New Roman"/>
            <w:noProof/>
          </w:rPr>
          <w:t>Monetární politika ČNB v praxi</w:t>
        </w:r>
        <w:r>
          <w:rPr>
            <w:noProof/>
            <w:webHidden/>
          </w:rPr>
          <w:tab/>
        </w:r>
        <w:r>
          <w:rPr>
            <w:noProof/>
            <w:webHidden/>
          </w:rPr>
          <w:fldChar w:fldCharType="begin"/>
        </w:r>
        <w:r>
          <w:rPr>
            <w:noProof/>
            <w:webHidden/>
          </w:rPr>
          <w:instrText xml:space="preserve"> PAGEREF _Toc446604209 \h </w:instrText>
        </w:r>
        <w:r>
          <w:rPr>
            <w:noProof/>
            <w:webHidden/>
          </w:rPr>
        </w:r>
        <w:r>
          <w:rPr>
            <w:noProof/>
            <w:webHidden/>
          </w:rPr>
          <w:fldChar w:fldCharType="separate"/>
        </w:r>
        <w:r>
          <w:rPr>
            <w:noProof/>
            <w:webHidden/>
          </w:rPr>
          <w:t>43</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10" w:history="1">
        <w:r w:rsidRPr="0062138B">
          <w:rPr>
            <w:rStyle w:val="Hypertextovodkaz"/>
            <w:rFonts w:cs="Times New Roman"/>
            <w:noProof/>
          </w:rPr>
          <w:t>3.1.</w:t>
        </w:r>
        <w:r>
          <w:rPr>
            <w:rFonts w:eastAsiaTheme="minorEastAsia"/>
            <w:noProof/>
            <w:lang w:eastAsia="cs-CZ"/>
          </w:rPr>
          <w:tab/>
        </w:r>
        <w:r w:rsidRPr="0062138B">
          <w:rPr>
            <w:rStyle w:val="Hypertextovodkaz"/>
            <w:rFonts w:cs="Times New Roman"/>
            <w:noProof/>
          </w:rPr>
          <w:t>Vývoj monetární politiky ČNB</w:t>
        </w:r>
        <w:r>
          <w:rPr>
            <w:noProof/>
            <w:webHidden/>
          </w:rPr>
          <w:tab/>
        </w:r>
        <w:r>
          <w:rPr>
            <w:noProof/>
            <w:webHidden/>
          </w:rPr>
          <w:fldChar w:fldCharType="begin"/>
        </w:r>
        <w:r>
          <w:rPr>
            <w:noProof/>
            <w:webHidden/>
          </w:rPr>
          <w:instrText xml:space="preserve"> PAGEREF _Toc446604210 \h </w:instrText>
        </w:r>
        <w:r>
          <w:rPr>
            <w:noProof/>
            <w:webHidden/>
          </w:rPr>
        </w:r>
        <w:r>
          <w:rPr>
            <w:noProof/>
            <w:webHidden/>
          </w:rPr>
          <w:fldChar w:fldCharType="separate"/>
        </w:r>
        <w:r>
          <w:rPr>
            <w:noProof/>
            <w:webHidden/>
          </w:rPr>
          <w:t>43</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11" w:history="1">
        <w:r w:rsidRPr="0062138B">
          <w:rPr>
            <w:rStyle w:val="Hypertextovodkaz"/>
            <w:rFonts w:cs="Times New Roman"/>
            <w:noProof/>
          </w:rPr>
          <w:t>3.1.1.</w:t>
        </w:r>
        <w:r>
          <w:rPr>
            <w:rFonts w:eastAsiaTheme="minorEastAsia"/>
            <w:noProof/>
            <w:lang w:eastAsia="cs-CZ"/>
          </w:rPr>
          <w:tab/>
        </w:r>
        <w:r w:rsidRPr="0062138B">
          <w:rPr>
            <w:rStyle w:val="Hypertextovodkaz"/>
            <w:rFonts w:cs="Times New Roman"/>
            <w:noProof/>
          </w:rPr>
          <w:t>Etapa cílování peněžní zásoby (1993 – 1997)</w:t>
        </w:r>
        <w:r>
          <w:rPr>
            <w:noProof/>
            <w:webHidden/>
          </w:rPr>
          <w:tab/>
        </w:r>
        <w:r>
          <w:rPr>
            <w:noProof/>
            <w:webHidden/>
          </w:rPr>
          <w:fldChar w:fldCharType="begin"/>
        </w:r>
        <w:r>
          <w:rPr>
            <w:noProof/>
            <w:webHidden/>
          </w:rPr>
          <w:instrText xml:space="preserve"> PAGEREF _Toc446604211 \h </w:instrText>
        </w:r>
        <w:r>
          <w:rPr>
            <w:noProof/>
            <w:webHidden/>
          </w:rPr>
        </w:r>
        <w:r>
          <w:rPr>
            <w:noProof/>
            <w:webHidden/>
          </w:rPr>
          <w:fldChar w:fldCharType="separate"/>
        </w:r>
        <w:r>
          <w:rPr>
            <w:noProof/>
            <w:webHidden/>
          </w:rPr>
          <w:t>43</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12" w:history="1">
        <w:r w:rsidRPr="0062138B">
          <w:rPr>
            <w:rStyle w:val="Hypertextovodkaz"/>
            <w:rFonts w:cs="Times New Roman"/>
            <w:noProof/>
          </w:rPr>
          <w:t>3.1.2.</w:t>
        </w:r>
        <w:r>
          <w:rPr>
            <w:rFonts w:eastAsiaTheme="minorEastAsia"/>
            <w:noProof/>
            <w:lang w:eastAsia="cs-CZ"/>
          </w:rPr>
          <w:tab/>
        </w:r>
        <w:r w:rsidRPr="0062138B">
          <w:rPr>
            <w:rStyle w:val="Hypertextovodkaz"/>
            <w:rFonts w:cs="Times New Roman"/>
            <w:noProof/>
          </w:rPr>
          <w:t>Etapa cílování čisté inflace (1998 – 2000)</w:t>
        </w:r>
        <w:r>
          <w:rPr>
            <w:noProof/>
            <w:webHidden/>
          </w:rPr>
          <w:tab/>
        </w:r>
        <w:r>
          <w:rPr>
            <w:noProof/>
            <w:webHidden/>
          </w:rPr>
          <w:fldChar w:fldCharType="begin"/>
        </w:r>
        <w:r>
          <w:rPr>
            <w:noProof/>
            <w:webHidden/>
          </w:rPr>
          <w:instrText xml:space="preserve"> PAGEREF _Toc446604212 \h </w:instrText>
        </w:r>
        <w:r>
          <w:rPr>
            <w:noProof/>
            <w:webHidden/>
          </w:rPr>
        </w:r>
        <w:r>
          <w:rPr>
            <w:noProof/>
            <w:webHidden/>
          </w:rPr>
          <w:fldChar w:fldCharType="separate"/>
        </w:r>
        <w:r>
          <w:rPr>
            <w:noProof/>
            <w:webHidden/>
          </w:rPr>
          <w:t>48</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13" w:history="1">
        <w:r w:rsidRPr="0062138B">
          <w:rPr>
            <w:rStyle w:val="Hypertextovodkaz"/>
            <w:rFonts w:cs="Times New Roman"/>
            <w:noProof/>
          </w:rPr>
          <w:t>3.1.3.</w:t>
        </w:r>
        <w:r>
          <w:rPr>
            <w:rFonts w:eastAsiaTheme="minorEastAsia"/>
            <w:noProof/>
            <w:lang w:eastAsia="cs-CZ"/>
          </w:rPr>
          <w:tab/>
        </w:r>
        <w:r w:rsidRPr="0062138B">
          <w:rPr>
            <w:rStyle w:val="Hypertextovodkaz"/>
            <w:rFonts w:cs="Times New Roman"/>
            <w:noProof/>
          </w:rPr>
          <w:t>Etapa cílování celkové inflace (2001 – současnost)</w:t>
        </w:r>
        <w:r>
          <w:rPr>
            <w:noProof/>
            <w:webHidden/>
          </w:rPr>
          <w:tab/>
        </w:r>
        <w:r>
          <w:rPr>
            <w:noProof/>
            <w:webHidden/>
          </w:rPr>
          <w:fldChar w:fldCharType="begin"/>
        </w:r>
        <w:r>
          <w:rPr>
            <w:noProof/>
            <w:webHidden/>
          </w:rPr>
          <w:instrText xml:space="preserve"> PAGEREF _Toc446604213 \h </w:instrText>
        </w:r>
        <w:r>
          <w:rPr>
            <w:noProof/>
            <w:webHidden/>
          </w:rPr>
        </w:r>
        <w:r>
          <w:rPr>
            <w:noProof/>
            <w:webHidden/>
          </w:rPr>
          <w:fldChar w:fldCharType="separate"/>
        </w:r>
        <w:r>
          <w:rPr>
            <w:noProof/>
            <w:webHidden/>
          </w:rPr>
          <w:t>49</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14" w:history="1">
        <w:r w:rsidRPr="0062138B">
          <w:rPr>
            <w:rStyle w:val="Hypertextovodkaz"/>
            <w:rFonts w:cs="Times New Roman"/>
            <w:noProof/>
          </w:rPr>
          <w:t>3.2.</w:t>
        </w:r>
        <w:r>
          <w:rPr>
            <w:rFonts w:eastAsiaTheme="minorEastAsia"/>
            <w:noProof/>
            <w:lang w:eastAsia="cs-CZ"/>
          </w:rPr>
          <w:tab/>
        </w:r>
        <w:r w:rsidRPr="0062138B">
          <w:rPr>
            <w:rStyle w:val="Hypertextovodkaz"/>
            <w:rFonts w:cs="Times New Roman"/>
            <w:noProof/>
          </w:rPr>
          <w:t>Nástroje využívané ČNB a jejich vývoj</w:t>
        </w:r>
        <w:r>
          <w:rPr>
            <w:noProof/>
            <w:webHidden/>
          </w:rPr>
          <w:tab/>
        </w:r>
        <w:r>
          <w:rPr>
            <w:noProof/>
            <w:webHidden/>
          </w:rPr>
          <w:fldChar w:fldCharType="begin"/>
        </w:r>
        <w:r>
          <w:rPr>
            <w:noProof/>
            <w:webHidden/>
          </w:rPr>
          <w:instrText xml:space="preserve"> PAGEREF _Toc446604214 \h </w:instrText>
        </w:r>
        <w:r>
          <w:rPr>
            <w:noProof/>
            <w:webHidden/>
          </w:rPr>
        </w:r>
        <w:r>
          <w:rPr>
            <w:noProof/>
            <w:webHidden/>
          </w:rPr>
          <w:fldChar w:fldCharType="separate"/>
        </w:r>
        <w:r>
          <w:rPr>
            <w:noProof/>
            <w:webHidden/>
          </w:rPr>
          <w:t>52</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15" w:history="1">
        <w:r w:rsidRPr="0062138B">
          <w:rPr>
            <w:rStyle w:val="Hypertextovodkaz"/>
            <w:rFonts w:cs="Times New Roman"/>
            <w:noProof/>
          </w:rPr>
          <w:t>3.3.</w:t>
        </w:r>
        <w:r>
          <w:rPr>
            <w:rFonts w:eastAsiaTheme="minorEastAsia"/>
            <w:noProof/>
            <w:lang w:eastAsia="cs-CZ"/>
          </w:rPr>
          <w:tab/>
        </w:r>
        <w:r w:rsidRPr="0062138B">
          <w:rPr>
            <w:rStyle w:val="Hypertextovodkaz"/>
            <w:rFonts w:cs="Times New Roman"/>
            <w:noProof/>
          </w:rPr>
          <w:t>Analýza účinnosti monetární politiky ČNB</w:t>
        </w:r>
        <w:r>
          <w:rPr>
            <w:noProof/>
            <w:webHidden/>
          </w:rPr>
          <w:tab/>
        </w:r>
        <w:r>
          <w:rPr>
            <w:noProof/>
            <w:webHidden/>
          </w:rPr>
          <w:fldChar w:fldCharType="begin"/>
        </w:r>
        <w:r>
          <w:rPr>
            <w:noProof/>
            <w:webHidden/>
          </w:rPr>
          <w:instrText xml:space="preserve"> PAGEREF _Toc446604215 \h </w:instrText>
        </w:r>
        <w:r>
          <w:rPr>
            <w:noProof/>
            <w:webHidden/>
          </w:rPr>
        </w:r>
        <w:r>
          <w:rPr>
            <w:noProof/>
            <w:webHidden/>
          </w:rPr>
          <w:fldChar w:fldCharType="separate"/>
        </w:r>
        <w:r>
          <w:rPr>
            <w:noProof/>
            <w:webHidden/>
          </w:rPr>
          <w:t>54</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16" w:history="1">
        <w:r w:rsidRPr="0062138B">
          <w:rPr>
            <w:rStyle w:val="Hypertextovodkaz"/>
            <w:rFonts w:cs="Times New Roman"/>
            <w:noProof/>
          </w:rPr>
          <w:t>3.3.1.</w:t>
        </w:r>
        <w:r>
          <w:rPr>
            <w:rFonts w:eastAsiaTheme="minorEastAsia"/>
            <w:noProof/>
            <w:lang w:eastAsia="cs-CZ"/>
          </w:rPr>
          <w:tab/>
        </w:r>
        <w:r w:rsidRPr="0062138B">
          <w:rPr>
            <w:rStyle w:val="Hypertextovodkaz"/>
            <w:rFonts w:cs="Times New Roman"/>
            <w:noProof/>
          </w:rPr>
          <w:t>Naplňování hlavního cíle ČNB</w:t>
        </w:r>
        <w:r>
          <w:rPr>
            <w:noProof/>
            <w:webHidden/>
          </w:rPr>
          <w:tab/>
        </w:r>
        <w:r>
          <w:rPr>
            <w:noProof/>
            <w:webHidden/>
          </w:rPr>
          <w:fldChar w:fldCharType="begin"/>
        </w:r>
        <w:r>
          <w:rPr>
            <w:noProof/>
            <w:webHidden/>
          </w:rPr>
          <w:instrText xml:space="preserve"> PAGEREF _Toc446604216 \h </w:instrText>
        </w:r>
        <w:r>
          <w:rPr>
            <w:noProof/>
            <w:webHidden/>
          </w:rPr>
        </w:r>
        <w:r>
          <w:rPr>
            <w:noProof/>
            <w:webHidden/>
          </w:rPr>
          <w:fldChar w:fldCharType="separate"/>
        </w:r>
        <w:r>
          <w:rPr>
            <w:noProof/>
            <w:webHidden/>
          </w:rPr>
          <w:t>54</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17" w:history="1">
        <w:r w:rsidRPr="0062138B">
          <w:rPr>
            <w:rStyle w:val="Hypertextovodkaz"/>
            <w:rFonts w:cs="Times New Roman"/>
            <w:noProof/>
          </w:rPr>
          <w:t>3.3.2.</w:t>
        </w:r>
        <w:r>
          <w:rPr>
            <w:rFonts w:eastAsiaTheme="minorEastAsia"/>
            <w:noProof/>
            <w:lang w:eastAsia="cs-CZ"/>
          </w:rPr>
          <w:tab/>
        </w:r>
        <w:r w:rsidRPr="0062138B">
          <w:rPr>
            <w:rStyle w:val="Hypertextovodkaz"/>
            <w:rFonts w:cs="Times New Roman"/>
            <w:noProof/>
          </w:rPr>
          <w:t>Naplňování vedlejšího cíle ČNB</w:t>
        </w:r>
        <w:r>
          <w:rPr>
            <w:noProof/>
            <w:webHidden/>
          </w:rPr>
          <w:tab/>
        </w:r>
        <w:r>
          <w:rPr>
            <w:noProof/>
            <w:webHidden/>
          </w:rPr>
          <w:fldChar w:fldCharType="begin"/>
        </w:r>
        <w:r>
          <w:rPr>
            <w:noProof/>
            <w:webHidden/>
          </w:rPr>
          <w:instrText xml:space="preserve"> PAGEREF _Toc446604217 \h </w:instrText>
        </w:r>
        <w:r>
          <w:rPr>
            <w:noProof/>
            <w:webHidden/>
          </w:rPr>
        </w:r>
        <w:r>
          <w:rPr>
            <w:noProof/>
            <w:webHidden/>
          </w:rPr>
          <w:fldChar w:fldCharType="separate"/>
        </w:r>
        <w:r>
          <w:rPr>
            <w:noProof/>
            <w:webHidden/>
          </w:rPr>
          <w:t>63</w:t>
        </w:r>
        <w:r>
          <w:rPr>
            <w:noProof/>
            <w:webHidden/>
          </w:rPr>
          <w:fldChar w:fldCharType="end"/>
        </w:r>
      </w:hyperlink>
    </w:p>
    <w:p w:rsidR="008E3A7D" w:rsidRDefault="008E3A7D">
      <w:pPr>
        <w:pStyle w:val="Obsah3"/>
        <w:tabs>
          <w:tab w:val="left" w:pos="1320"/>
          <w:tab w:val="right" w:leader="dot" w:pos="7927"/>
        </w:tabs>
        <w:rPr>
          <w:rFonts w:eastAsiaTheme="minorEastAsia"/>
          <w:noProof/>
          <w:lang w:eastAsia="cs-CZ"/>
        </w:rPr>
      </w:pPr>
      <w:hyperlink w:anchor="_Toc446604218" w:history="1">
        <w:r w:rsidRPr="0062138B">
          <w:rPr>
            <w:rStyle w:val="Hypertextovodkaz"/>
            <w:rFonts w:cs="Times New Roman"/>
            <w:noProof/>
          </w:rPr>
          <w:t>3.3.3.</w:t>
        </w:r>
        <w:r>
          <w:rPr>
            <w:rFonts w:eastAsiaTheme="minorEastAsia"/>
            <w:noProof/>
            <w:lang w:eastAsia="cs-CZ"/>
          </w:rPr>
          <w:tab/>
        </w:r>
        <w:r w:rsidRPr="0062138B">
          <w:rPr>
            <w:rStyle w:val="Hypertextovodkaz"/>
            <w:rFonts w:cs="Times New Roman"/>
            <w:noProof/>
          </w:rPr>
          <w:t>Role ČNB v dodržování vnějších monetárně-politických závazků</w:t>
        </w:r>
        <w:r>
          <w:rPr>
            <w:noProof/>
            <w:webHidden/>
          </w:rPr>
          <w:tab/>
        </w:r>
        <w:r>
          <w:rPr>
            <w:noProof/>
            <w:webHidden/>
          </w:rPr>
          <w:fldChar w:fldCharType="begin"/>
        </w:r>
        <w:r>
          <w:rPr>
            <w:noProof/>
            <w:webHidden/>
          </w:rPr>
          <w:instrText xml:space="preserve"> PAGEREF _Toc446604218 \h </w:instrText>
        </w:r>
        <w:r>
          <w:rPr>
            <w:noProof/>
            <w:webHidden/>
          </w:rPr>
        </w:r>
        <w:r>
          <w:rPr>
            <w:noProof/>
            <w:webHidden/>
          </w:rPr>
          <w:fldChar w:fldCharType="separate"/>
        </w:r>
        <w:r>
          <w:rPr>
            <w:noProof/>
            <w:webHidden/>
          </w:rPr>
          <w:t>72</w:t>
        </w:r>
        <w:r>
          <w:rPr>
            <w:noProof/>
            <w:webHidden/>
          </w:rPr>
          <w:fldChar w:fldCharType="end"/>
        </w:r>
      </w:hyperlink>
    </w:p>
    <w:p w:rsidR="008E3A7D" w:rsidRDefault="008E3A7D">
      <w:pPr>
        <w:pStyle w:val="Obsah2"/>
        <w:tabs>
          <w:tab w:val="left" w:pos="880"/>
          <w:tab w:val="right" w:leader="dot" w:pos="7927"/>
        </w:tabs>
        <w:rPr>
          <w:rFonts w:eastAsiaTheme="minorEastAsia"/>
          <w:noProof/>
          <w:lang w:eastAsia="cs-CZ"/>
        </w:rPr>
      </w:pPr>
      <w:hyperlink w:anchor="_Toc446604219" w:history="1">
        <w:r w:rsidRPr="0062138B">
          <w:rPr>
            <w:rStyle w:val="Hypertextovodkaz"/>
            <w:rFonts w:cs="Times New Roman"/>
            <w:noProof/>
          </w:rPr>
          <w:t>3.4.</w:t>
        </w:r>
        <w:r>
          <w:rPr>
            <w:rFonts w:eastAsiaTheme="minorEastAsia"/>
            <w:noProof/>
            <w:lang w:eastAsia="cs-CZ"/>
          </w:rPr>
          <w:tab/>
        </w:r>
        <w:r w:rsidRPr="0062138B">
          <w:rPr>
            <w:rStyle w:val="Hypertextovodkaz"/>
            <w:rFonts w:cs="Times New Roman"/>
            <w:noProof/>
          </w:rPr>
          <w:t>Hodnocení účinnosti monetární politiky</w:t>
        </w:r>
        <w:r>
          <w:rPr>
            <w:noProof/>
            <w:webHidden/>
          </w:rPr>
          <w:tab/>
        </w:r>
        <w:r>
          <w:rPr>
            <w:noProof/>
            <w:webHidden/>
          </w:rPr>
          <w:fldChar w:fldCharType="begin"/>
        </w:r>
        <w:r>
          <w:rPr>
            <w:noProof/>
            <w:webHidden/>
          </w:rPr>
          <w:instrText xml:space="preserve"> PAGEREF _Toc446604219 \h </w:instrText>
        </w:r>
        <w:r>
          <w:rPr>
            <w:noProof/>
            <w:webHidden/>
          </w:rPr>
        </w:r>
        <w:r>
          <w:rPr>
            <w:noProof/>
            <w:webHidden/>
          </w:rPr>
          <w:fldChar w:fldCharType="separate"/>
        </w:r>
        <w:r>
          <w:rPr>
            <w:noProof/>
            <w:webHidden/>
          </w:rPr>
          <w:t>82</w:t>
        </w:r>
        <w:r>
          <w:rPr>
            <w:noProof/>
            <w:webHidden/>
          </w:rPr>
          <w:fldChar w:fldCharType="end"/>
        </w:r>
      </w:hyperlink>
    </w:p>
    <w:p w:rsidR="008E3A7D" w:rsidRDefault="008E3A7D">
      <w:pPr>
        <w:pStyle w:val="Obsah1"/>
        <w:tabs>
          <w:tab w:val="right" w:leader="dot" w:pos="7927"/>
        </w:tabs>
        <w:rPr>
          <w:rFonts w:eastAsiaTheme="minorEastAsia"/>
          <w:noProof/>
          <w:lang w:eastAsia="cs-CZ"/>
        </w:rPr>
      </w:pPr>
      <w:hyperlink w:anchor="_Toc446604220" w:history="1">
        <w:r w:rsidRPr="0062138B">
          <w:rPr>
            <w:rStyle w:val="Hypertextovodkaz"/>
            <w:rFonts w:cs="Times New Roman"/>
            <w:noProof/>
          </w:rPr>
          <w:t>Závěr</w:t>
        </w:r>
        <w:r>
          <w:rPr>
            <w:noProof/>
            <w:webHidden/>
          </w:rPr>
          <w:tab/>
        </w:r>
        <w:r>
          <w:rPr>
            <w:noProof/>
            <w:webHidden/>
          </w:rPr>
          <w:fldChar w:fldCharType="begin"/>
        </w:r>
        <w:r>
          <w:rPr>
            <w:noProof/>
            <w:webHidden/>
          </w:rPr>
          <w:instrText xml:space="preserve"> PAGEREF _Toc446604220 \h </w:instrText>
        </w:r>
        <w:r>
          <w:rPr>
            <w:noProof/>
            <w:webHidden/>
          </w:rPr>
        </w:r>
        <w:r>
          <w:rPr>
            <w:noProof/>
            <w:webHidden/>
          </w:rPr>
          <w:fldChar w:fldCharType="separate"/>
        </w:r>
        <w:r>
          <w:rPr>
            <w:noProof/>
            <w:webHidden/>
          </w:rPr>
          <w:t>84</w:t>
        </w:r>
        <w:r>
          <w:rPr>
            <w:noProof/>
            <w:webHidden/>
          </w:rPr>
          <w:fldChar w:fldCharType="end"/>
        </w:r>
      </w:hyperlink>
    </w:p>
    <w:p w:rsidR="008E3A7D" w:rsidRDefault="008E3A7D">
      <w:pPr>
        <w:pStyle w:val="Obsah1"/>
        <w:tabs>
          <w:tab w:val="right" w:leader="dot" w:pos="7927"/>
        </w:tabs>
        <w:rPr>
          <w:rFonts w:eastAsiaTheme="minorEastAsia"/>
          <w:noProof/>
          <w:lang w:eastAsia="cs-CZ"/>
        </w:rPr>
      </w:pPr>
      <w:hyperlink w:anchor="_Toc446604221" w:history="1">
        <w:r w:rsidRPr="0062138B">
          <w:rPr>
            <w:rStyle w:val="Hypertextovodkaz"/>
            <w:rFonts w:cs="Times New Roman"/>
            <w:noProof/>
            <w:shd w:val="clear" w:color="auto" w:fill="FFFFFF"/>
          </w:rPr>
          <w:t>Seznam použitých zdrojů</w:t>
        </w:r>
        <w:r>
          <w:rPr>
            <w:noProof/>
            <w:webHidden/>
          </w:rPr>
          <w:tab/>
        </w:r>
        <w:r>
          <w:rPr>
            <w:noProof/>
            <w:webHidden/>
          </w:rPr>
          <w:fldChar w:fldCharType="begin"/>
        </w:r>
        <w:r>
          <w:rPr>
            <w:noProof/>
            <w:webHidden/>
          </w:rPr>
          <w:instrText xml:space="preserve"> PAGEREF _Toc446604221 \h </w:instrText>
        </w:r>
        <w:r>
          <w:rPr>
            <w:noProof/>
            <w:webHidden/>
          </w:rPr>
        </w:r>
        <w:r>
          <w:rPr>
            <w:noProof/>
            <w:webHidden/>
          </w:rPr>
          <w:fldChar w:fldCharType="separate"/>
        </w:r>
        <w:r>
          <w:rPr>
            <w:noProof/>
            <w:webHidden/>
          </w:rPr>
          <w:t>86</w:t>
        </w:r>
        <w:r>
          <w:rPr>
            <w:noProof/>
            <w:webHidden/>
          </w:rPr>
          <w:fldChar w:fldCharType="end"/>
        </w:r>
      </w:hyperlink>
    </w:p>
    <w:p w:rsidR="00B40EB7" w:rsidRPr="001E7829" w:rsidRDefault="007D6D71" w:rsidP="00B40EB7">
      <w:pPr>
        <w:pStyle w:val="Prvn"/>
        <w:rPr>
          <w:rFonts w:cs="Times New Roman"/>
        </w:rPr>
      </w:pPr>
      <w:r w:rsidRPr="001E7829">
        <w:rPr>
          <w:rFonts w:cs="Times New Roman"/>
          <w:sz w:val="22"/>
        </w:rPr>
        <w:fldChar w:fldCharType="end"/>
      </w:r>
    </w:p>
    <w:p w:rsidR="00B40EB7" w:rsidRPr="001E7829" w:rsidRDefault="00B40EB7" w:rsidP="00B40EB7">
      <w:pPr>
        <w:pStyle w:val="Druh"/>
        <w:rPr>
          <w:rFonts w:cs="Times New Roman"/>
        </w:rPr>
      </w:pPr>
      <w:r w:rsidRPr="001E7829">
        <w:rPr>
          <w:rFonts w:cs="Times New Roman"/>
        </w:rPr>
        <w:br w:type="page"/>
      </w:r>
      <w:bookmarkStart w:id="0" w:name="_GoBack"/>
      <w:bookmarkEnd w:id="0"/>
    </w:p>
    <w:p w:rsidR="00B40EB7" w:rsidRPr="001E7829" w:rsidRDefault="00B40EB7" w:rsidP="00B40EB7">
      <w:pPr>
        <w:pStyle w:val="Others"/>
        <w:rPr>
          <w:rFonts w:cs="Times New Roman"/>
        </w:rPr>
      </w:pPr>
      <w:bookmarkStart w:id="1" w:name="_Toc446604189"/>
      <w:r w:rsidRPr="001E7829">
        <w:rPr>
          <w:rFonts w:cs="Times New Roman"/>
        </w:rPr>
        <w:lastRenderedPageBreak/>
        <w:t>Seznam použitých tabulek</w:t>
      </w:r>
      <w:bookmarkEnd w:id="1"/>
    </w:p>
    <w:p w:rsidR="0042557E" w:rsidRPr="001E7829" w:rsidRDefault="007D6D71">
      <w:pPr>
        <w:pStyle w:val="Seznamobrzk"/>
        <w:tabs>
          <w:tab w:val="right" w:leader="dot" w:pos="7927"/>
        </w:tabs>
        <w:rPr>
          <w:rFonts w:ascii="Times New Roman" w:eastAsiaTheme="minorEastAsia" w:hAnsi="Times New Roman" w:cs="Times New Roman"/>
          <w:noProof/>
          <w:sz w:val="24"/>
          <w:szCs w:val="24"/>
          <w:lang w:eastAsia="cs-CZ"/>
        </w:rPr>
      </w:pPr>
      <w:r w:rsidRPr="001E7829">
        <w:rPr>
          <w:rFonts w:ascii="Times New Roman" w:hAnsi="Times New Roman" w:cs="Times New Roman"/>
          <w:sz w:val="24"/>
          <w:szCs w:val="24"/>
        </w:rPr>
        <w:fldChar w:fldCharType="begin"/>
      </w:r>
      <w:r w:rsidR="00B40EB7" w:rsidRPr="001E7829">
        <w:rPr>
          <w:rFonts w:ascii="Times New Roman" w:hAnsi="Times New Roman" w:cs="Times New Roman"/>
          <w:sz w:val="24"/>
          <w:szCs w:val="24"/>
        </w:rPr>
        <w:instrText xml:space="preserve"> TOC \h \z \c "Tabulka" </w:instrText>
      </w:r>
      <w:r w:rsidRPr="001E7829">
        <w:rPr>
          <w:rFonts w:ascii="Times New Roman" w:hAnsi="Times New Roman" w:cs="Times New Roman"/>
          <w:sz w:val="24"/>
          <w:szCs w:val="24"/>
        </w:rPr>
        <w:fldChar w:fldCharType="separate"/>
      </w:r>
      <w:hyperlink w:anchor="_Toc445910431" w:history="1">
        <w:r w:rsidR="0042557E" w:rsidRPr="001E7829">
          <w:rPr>
            <w:rStyle w:val="Hypertextovodkaz"/>
            <w:rFonts w:ascii="Times New Roman" w:hAnsi="Times New Roman" w:cs="Times New Roman"/>
            <w:noProof/>
            <w:sz w:val="24"/>
            <w:szCs w:val="24"/>
          </w:rPr>
          <w:t>1. Meziroční změna HDP (v %) v letech 1993-1998</w:t>
        </w:r>
        <w:r w:rsidR="0042557E" w:rsidRPr="001E7829">
          <w:rPr>
            <w:rFonts w:ascii="Times New Roman" w:hAnsi="Times New Roman" w:cs="Times New Roman"/>
            <w:noProof/>
            <w:webHidden/>
            <w:sz w:val="24"/>
            <w:szCs w:val="24"/>
          </w:rPr>
          <w:tab/>
        </w:r>
        <w:r w:rsidR="0042557E" w:rsidRPr="001E7829">
          <w:rPr>
            <w:rFonts w:ascii="Times New Roman" w:hAnsi="Times New Roman" w:cs="Times New Roman"/>
            <w:noProof/>
            <w:webHidden/>
            <w:sz w:val="24"/>
            <w:szCs w:val="24"/>
          </w:rPr>
          <w:fldChar w:fldCharType="begin"/>
        </w:r>
        <w:r w:rsidR="0042557E" w:rsidRPr="001E7829">
          <w:rPr>
            <w:rFonts w:ascii="Times New Roman" w:hAnsi="Times New Roman" w:cs="Times New Roman"/>
            <w:noProof/>
            <w:webHidden/>
            <w:sz w:val="24"/>
            <w:szCs w:val="24"/>
          </w:rPr>
          <w:instrText xml:space="preserve"> PAGEREF _Toc445910431 \h </w:instrText>
        </w:r>
        <w:r w:rsidR="0042557E" w:rsidRPr="001E7829">
          <w:rPr>
            <w:rFonts w:ascii="Times New Roman" w:hAnsi="Times New Roman" w:cs="Times New Roman"/>
            <w:noProof/>
            <w:webHidden/>
            <w:sz w:val="24"/>
            <w:szCs w:val="24"/>
          </w:rPr>
        </w:r>
        <w:r w:rsidR="0042557E" w:rsidRPr="001E7829">
          <w:rPr>
            <w:rFonts w:ascii="Times New Roman" w:hAnsi="Times New Roman" w:cs="Times New Roman"/>
            <w:noProof/>
            <w:webHidden/>
            <w:sz w:val="24"/>
            <w:szCs w:val="24"/>
          </w:rPr>
          <w:fldChar w:fldCharType="separate"/>
        </w:r>
        <w:r w:rsidR="008E3A7D">
          <w:rPr>
            <w:rFonts w:ascii="Times New Roman" w:hAnsi="Times New Roman" w:cs="Times New Roman"/>
            <w:noProof/>
            <w:webHidden/>
            <w:sz w:val="24"/>
            <w:szCs w:val="24"/>
          </w:rPr>
          <w:t>64</w:t>
        </w:r>
        <w:r w:rsidR="0042557E" w:rsidRPr="001E7829">
          <w:rPr>
            <w:rFonts w:ascii="Times New Roman" w:hAnsi="Times New Roman" w:cs="Times New Roman"/>
            <w:noProof/>
            <w:webHidden/>
            <w:sz w:val="24"/>
            <w:szCs w:val="24"/>
          </w:rPr>
          <w:fldChar w:fldCharType="end"/>
        </w:r>
      </w:hyperlink>
    </w:p>
    <w:p w:rsidR="0042557E" w:rsidRPr="001E7829" w:rsidRDefault="00704598">
      <w:pPr>
        <w:pStyle w:val="Seznamobrzk"/>
        <w:tabs>
          <w:tab w:val="right" w:leader="dot" w:pos="7927"/>
        </w:tabs>
        <w:rPr>
          <w:rFonts w:ascii="Times New Roman" w:eastAsiaTheme="minorEastAsia" w:hAnsi="Times New Roman" w:cs="Times New Roman"/>
          <w:noProof/>
          <w:sz w:val="24"/>
          <w:szCs w:val="24"/>
          <w:lang w:eastAsia="cs-CZ"/>
        </w:rPr>
      </w:pPr>
      <w:hyperlink w:anchor="_Toc445910432" w:history="1">
        <w:r w:rsidR="0042557E" w:rsidRPr="001E7829">
          <w:rPr>
            <w:rStyle w:val="Hypertextovodkaz"/>
            <w:rFonts w:ascii="Times New Roman" w:hAnsi="Times New Roman" w:cs="Times New Roman"/>
            <w:noProof/>
            <w:sz w:val="24"/>
            <w:szCs w:val="24"/>
          </w:rPr>
          <w:t>2. Meziroční změna HDP (v %) v letech 1998-2015</w:t>
        </w:r>
        <w:r w:rsidR="0042557E" w:rsidRPr="001E7829">
          <w:rPr>
            <w:rFonts w:ascii="Times New Roman" w:hAnsi="Times New Roman" w:cs="Times New Roman"/>
            <w:noProof/>
            <w:webHidden/>
            <w:sz w:val="24"/>
            <w:szCs w:val="24"/>
          </w:rPr>
          <w:tab/>
        </w:r>
        <w:r w:rsidR="0042557E" w:rsidRPr="001E7829">
          <w:rPr>
            <w:rFonts w:ascii="Times New Roman" w:hAnsi="Times New Roman" w:cs="Times New Roman"/>
            <w:noProof/>
            <w:webHidden/>
            <w:sz w:val="24"/>
            <w:szCs w:val="24"/>
          </w:rPr>
          <w:fldChar w:fldCharType="begin"/>
        </w:r>
        <w:r w:rsidR="0042557E" w:rsidRPr="001E7829">
          <w:rPr>
            <w:rFonts w:ascii="Times New Roman" w:hAnsi="Times New Roman" w:cs="Times New Roman"/>
            <w:noProof/>
            <w:webHidden/>
            <w:sz w:val="24"/>
            <w:szCs w:val="24"/>
          </w:rPr>
          <w:instrText xml:space="preserve"> PAGEREF _Toc445910432 \h </w:instrText>
        </w:r>
        <w:r w:rsidR="0042557E" w:rsidRPr="001E7829">
          <w:rPr>
            <w:rFonts w:ascii="Times New Roman" w:hAnsi="Times New Roman" w:cs="Times New Roman"/>
            <w:noProof/>
            <w:webHidden/>
            <w:sz w:val="24"/>
            <w:szCs w:val="24"/>
          </w:rPr>
        </w:r>
        <w:r w:rsidR="0042557E" w:rsidRPr="001E7829">
          <w:rPr>
            <w:rFonts w:ascii="Times New Roman" w:hAnsi="Times New Roman" w:cs="Times New Roman"/>
            <w:noProof/>
            <w:webHidden/>
            <w:sz w:val="24"/>
            <w:szCs w:val="24"/>
          </w:rPr>
          <w:fldChar w:fldCharType="separate"/>
        </w:r>
        <w:r w:rsidR="008E3A7D">
          <w:rPr>
            <w:rFonts w:ascii="Times New Roman" w:hAnsi="Times New Roman" w:cs="Times New Roman"/>
            <w:noProof/>
            <w:webHidden/>
            <w:sz w:val="24"/>
            <w:szCs w:val="24"/>
          </w:rPr>
          <w:t>66</w:t>
        </w:r>
        <w:r w:rsidR="0042557E" w:rsidRPr="001E7829">
          <w:rPr>
            <w:rFonts w:ascii="Times New Roman" w:hAnsi="Times New Roman" w:cs="Times New Roman"/>
            <w:noProof/>
            <w:webHidden/>
            <w:sz w:val="24"/>
            <w:szCs w:val="24"/>
          </w:rPr>
          <w:fldChar w:fldCharType="end"/>
        </w:r>
      </w:hyperlink>
    </w:p>
    <w:p w:rsidR="0042557E" w:rsidRPr="001E7829" w:rsidRDefault="00704598">
      <w:pPr>
        <w:pStyle w:val="Seznamobrzk"/>
        <w:tabs>
          <w:tab w:val="right" w:leader="dot" w:pos="7927"/>
        </w:tabs>
        <w:rPr>
          <w:rFonts w:ascii="Times New Roman" w:eastAsiaTheme="minorEastAsia" w:hAnsi="Times New Roman" w:cs="Times New Roman"/>
          <w:noProof/>
          <w:sz w:val="24"/>
          <w:szCs w:val="24"/>
          <w:lang w:eastAsia="cs-CZ"/>
        </w:rPr>
      </w:pPr>
      <w:hyperlink w:anchor="_Toc445910433" w:history="1">
        <w:r w:rsidR="0042557E" w:rsidRPr="001E7829">
          <w:rPr>
            <w:rStyle w:val="Hypertextovodkaz"/>
            <w:rFonts w:ascii="Times New Roman" w:hAnsi="Times New Roman" w:cs="Times New Roman"/>
            <w:noProof/>
            <w:sz w:val="24"/>
            <w:szCs w:val="24"/>
          </w:rPr>
          <w:t>3. Průměrná roční míra nezaměstnanosti v letech 1993-1997</w:t>
        </w:r>
        <w:r w:rsidR="0042557E" w:rsidRPr="001E7829">
          <w:rPr>
            <w:rFonts w:ascii="Times New Roman" w:hAnsi="Times New Roman" w:cs="Times New Roman"/>
            <w:noProof/>
            <w:webHidden/>
            <w:sz w:val="24"/>
            <w:szCs w:val="24"/>
          </w:rPr>
          <w:tab/>
        </w:r>
        <w:r w:rsidR="0042557E" w:rsidRPr="001E7829">
          <w:rPr>
            <w:rFonts w:ascii="Times New Roman" w:hAnsi="Times New Roman" w:cs="Times New Roman"/>
            <w:noProof/>
            <w:webHidden/>
            <w:sz w:val="24"/>
            <w:szCs w:val="24"/>
          </w:rPr>
          <w:fldChar w:fldCharType="begin"/>
        </w:r>
        <w:r w:rsidR="0042557E" w:rsidRPr="001E7829">
          <w:rPr>
            <w:rFonts w:ascii="Times New Roman" w:hAnsi="Times New Roman" w:cs="Times New Roman"/>
            <w:noProof/>
            <w:webHidden/>
            <w:sz w:val="24"/>
            <w:szCs w:val="24"/>
          </w:rPr>
          <w:instrText xml:space="preserve"> PAGEREF _Toc445910433 \h </w:instrText>
        </w:r>
        <w:r w:rsidR="0042557E" w:rsidRPr="001E7829">
          <w:rPr>
            <w:rFonts w:ascii="Times New Roman" w:hAnsi="Times New Roman" w:cs="Times New Roman"/>
            <w:noProof/>
            <w:webHidden/>
            <w:sz w:val="24"/>
            <w:szCs w:val="24"/>
          </w:rPr>
        </w:r>
        <w:r w:rsidR="0042557E" w:rsidRPr="001E7829">
          <w:rPr>
            <w:rFonts w:ascii="Times New Roman" w:hAnsi="Times New Roman" w:cs="Times New Roman"/>
            <w:noProof/>
            <w:webHidden/>
            <w:sz w:val="24"/>
            <w:szCs w:val="24"/>
          </w:rPr>
          <w:fldChar w:fldCharType="separate"/>
        </w:r>
        <w:r w:rsidR="008E3A7D">
          <w:rPr>
            <w:rFonts w:ascii="Times New Roman" w:hAnsi="Times New Roman" w:cs="Times New Roman"/>
            <w:noProof/>
            <w:webHidden/>
            <w:sz w:val="24"/>
            <w:szCs w:val="24"/>
          </w:rPr>
          <w:t>69</w:t>
        </w:r>
        <w:r w:rsidR="0042557E" w:rsidRPr="001E7829">
          <w:rPr>
            <w:rFonts w:ascii="Times New Roman" w:hAnsi="Times New Roman" w:cs="Times New Roman"/>
            <w:noProof/>
            <w:webHidden/>
            <w:sz w:val="24"/>
            <w:szCs w:val="24"/>
          </w:rPr>
          <w:fldChar w:fldCharType="end"/>
        </w:r>
      </w:hyperlink>
    </w:p>
    <w:p w:rsidR="0042557E" w:rsidRPr="001E7829" w:rsidRDefault="00704598">
      <w:pPr>
        <w:pStyle w:val="Seznamobrzk"/>
        <w:tabs>
          <w:tab w:val="right" w:leader="dot" w:pos="7927"/>
        </w:tabs>
        <w:rPr>
          <w:rFonts w:ascii="Times New Roman" w:eastAsiaTheme="minorEastAsia" w:hAnsi="Times New Roman" w:cs="Times New Roman"/>
          <w:noProof/>
          <w:sz w:val="24"/>
          <w:szCs w:val="24"/>
          <w:lang w:eastAsia="cs-CZ"/>
        </w:rPr>
      </w:pPr>
      <w:hyperlink w:anchor="_Toc445910434" w:history="1">
        <w:r w:rsidR="0042557E" w:rsidRPr="001E7829">
          <w:rPr>
            <w:rStyle w:val="Hypertextovodkaz"/>
            <w:rFonts w:ascii="Times New Roman" w:hAnsi="Times New Roman" w:cs="Times New Roman"/>
            <w:noProof/>
            <w:sz w:val="24"/>
            <w:szCs w:val="24"/>
          </w:rPr>
          <w:t>4. Průměrná roční míra nezaměstnanosti v letech 1998-2015</w:t>
        </w:r>
        <w:r w:rsidR="0042557E" w:rsidRPr="001E7829">
          <w:rPr>
            <w:rFonts w:ascii="Times New Roman" w:hAnsi="Times New Roman" w:cs="Times New Roman"/>
            <w:noProof/>
            <w:webHidden/>
            <w:sz w:val="24"/>
            <w:szCs w:val="24"/>
          </w:rPr>
          <w:tab/>
        </w:r>
        <w:r w:rsidR="0042557E" w:rsidRPr="001E7829">
          <w:rPr>
            <w:rFonts w:ascii="Times New Roman" w:hAnsi="Times New Roman" w:cs="Times New Roman"/>
            <w:noProof/>
            <w:webHidden/>
            <w:sz w:val="24"/>
            <w:szCs w:val="24"/>
          </w:rPr>
          <w:fldChar w:fldCharType="begin"/>
        </w:r>
        <w:r w:rsidR="0042557E" w:rsidRPr="001E7829">
          <w:rPr>
            <w:rFonts w:ascii="Times New Roman" w:hAnsi="Times New Roman" w:cs="Times New Roman"/>
            <w:noProof/>
            <w:webHidden/>
            <w:sz w:val="24"/>
            <w:szCs w:val="24"/>
          </w:rPr>
          <w:instrText xml:space="preserve"> PAGEREF _Toc445910434 \h </w:instrText>
        </w:r>
        <w:r w:rsidR="0042557E" w:rsidRPr="001E7829">
          <w:rPr>
            <w:rFonts w:ascii="Times New Roman" w:hAnsi="Times New Roman" w:cs="Times New Roman"/>
            <w:noProof/>
            <w:webHidden/>
            <w:sz w:val="24"/>
            <w:szCs w:val="24"/>
          </w:rPr>
        </w:r>
        <w:r w:rsidR="0042557E" w:rsidRPr="001E7829">
          <w:rPr>
            <w:rFonts w:ascii="Times New Roman" w:hAnsi="Times New Roman" w:cs="Times New Roman"/>
            <w:noProof/>
            <w:webHidden/>
            <w:sz w:val="24"/>
            <w:szCs w:val="24"/>
          </w:rPr>
          <w:fldChar w:fldCharType="separate"/>
        </w:r>
        <w:r w:rsidR="008E3A7D">
          <w:rPr>
            <w:rFonts w:ascii="Times New Roman" w:hAnsi="Times New Roman" w:cs="Times New Roman"/>
            <w:noProof/>
            <w:webHidden/>
            <w:sz w:val="24"/>
            <w:szCs w:val="24"/>
          </w:rPr>
          <w:t>70</w:t>
        </w:r>
        <w:r w:rsidR="0042557E" w:rsidRPr="001E7829">
          <w:rPr>
            <w:rFonts w:ascii="Times New Roman" w:hAnsi="Times New Roman" w:cs="Times New Roman"/>
            <w:noProof/>
            <w:webHidden/>
            <w:sz w:val="24"/>
            <w:szCs w:val="24"/>
          </w:rPr>
          <w:fldChar w:fldCharType="end"/>
        </w:r>
      </w:hyperlink>
    </w:p>
    <w:p w:rsidR="0042557E" w:rsidRPr="001E7829" w:rsidRDefault="00704598">
      <w:pPr>
        <w:pStyle w:val="Seznamobrzk"/>
        <w:tabs>
          <w:tab w:val="right" w:leader="dot" w:pos="7927"/>
        </w:tabs>
        <w:rPr>
          <w:rFonts w:ascii="Times New Roman" w:eastAsiaTheme="minorEastAsia" w:hAnsi="Times New Roman" w:cs="Times New Roman"/>
          <w:noProof/>
          <w:sz w:val="24"/>
          <w:szCs w:val="24"/>
          <w:lang w:eastAsia="cs-CZ"/>
        </w:rPr>
      </w:pPr>
      <w:hyperlink w:anchor="_Toc445910435" w:history="1">
        <w:r w:rsidR="0042557E" w:rsidRPr="001E7829">
          <w:rPr>
            <w:rStyle w:val="Hypertextovodkaz"/>
            <w:rFonts w:ascii="Times New Roman" w:hAnsi="Times New Roman" w:cs="Times New Roman"/>
            <w:noProof/>
            <w:sz w:val="24"/>
            <w:szCs w:val="24"/>
          </w:rPr>
          <w:t>5. Poměr salda obchodní bilance k HDP (ročně v %)</w:t>
        </w:r>
        <w:r w:rsidR="0042557E" w:rsidRPr="001E7829">
          <w:rPr>
            <w:rFonts w:ascii="Times New Roman" w:hAnsi="Times New Roman" w:cs="Times New Roman"/>
            <w:noProof/>
            <w:webHidden/>
            <w:sz w:val="24"/>
            <w:szCs w:val="24"/>
          </w:rPr>
          <w:tab/>
        </w:r>
        <w:r w:rsidR="0042557E" w:rsidRPr="001E7829">
          <w:rPr>
            <w:rFonts w:ascii="Times New Roman" w:hAnsi="Times New Roman" w:cs="Times New Roman"/>
            <w:noProof/>
            <w:webHidden/>
            <w:sz w:val="24"/>
            <w:szCs w:val="24"/>
          </w:rPr>
          <w:fldChar w:fldCharType="begin"/>
        </w:r>
        <w:r w:rsidR="0042557E" w:rsidRPr="001E7829">
          <w:rPr>
            <w:rFonts w:ascii="Times New Roman" w:hAnsi="Times New Roman" w:cs="Times New Roman"/>
            <w:noProof/>
            <w:webHidden/>
            <w:sz w:val="24"/>
            <w:szCs w:val="24"/>
          </w:rPr>
          <w:instrText xml:space="preserve"> PAGEREF _Toc445910435 \h </w:instrText>
        </w:r>
        <w:r w:rsidR="0042557E" w:rsidRPr="001E7829">
          <w:rPr>
            <w:rFonts w:ascii="Times New Roman" w:hAnsi="Times New Roman" w:cs="Times New Roman"/>
            <w:noProof/>
            <w:webHidden/>
            <w:sz w:val="24"/>
            <w:szCs w:val="24"/>
          </w:rPr>
        </w:r>
        <w:r w:rsidR="0042557E" w:rsidRPr="001E7829">
          <w:rPr>
            <w:rFonts w:ascii="Times New Roman" w:hAnsi="Times New Roman" w:cs="Times New Roman"/>
            <w:noProof/>
            <w:webHidden/>
            <w:sz w:val="24"/>
            <w:szCs w:val="24"/>
          </w:rPr>
          <w:fldChar w:fldCharType="separate"/>
        </w:r>
        <w:r w:rsidR="008E3A7D">
          <w:rPr>
            <w:rFonts w:ascii="Times New Roman" w:hAnsi="Times New Roman" w:cs="Times New Roman"/>
            <w:noProof/>
            <w:webHidden/>
            <w:sz w:val="24"/>
            <w:szCs w:val="24"/>
          </w:rPr>
          <w:t>71</w:t>
        </w:r>
        <w:r w:rsidR="0042557E" w:rsidRPr="001E7829">
          <w:rPr>
            <w:rFonts w:ascii="Times New Roman" w:hAnsi="Times New Roman" w:cs="Times New Roman"/>
            <w:noProof/>
            <w:webHidden/>
            <w:sz w:val="24"/>
            <w:szCs w:val="24"/>
          </w:rPr>
          <w:fldChar w:fldCharType="end"/>
        </w:r>
      </w:hyperlink>
    </w:p>
    <w:p w:rsidR="0042557E" w:rsidRPr="001E7829" w:rsidRDefault="00704598">
      <w:pPr>
        <w:pStyle w:val="Seznamobrzk"/>
        <w:tabs>
          <w:tab w:val="right" w:leader="dot" w:pos="7927"/>
        </w:tabs>
        <w:rPr>
          <w:rFonts w:ascii="Times New Roman" w:eastAsiaTheme="minorEastAsia" w:hAnsi="Times New Roman" w:cs="Times New Roman"/>
          <w:noProof/>
          <w:sz w:val="24"/>
          <w:szCs w:val="24"/>
          <w:lang w:eastAsia="cs-CZ"/>
        </w:rPr>
      </w:pPr>
      <w:hyperlink w:anchor="_Toc445910436" w:history="1">
        <w:r w:rsidR="0042557E" w:rsidRPr="001E7829">
          <w:rPr>
            <w:rStyle w:val="Hypertextovodkaz"/>
            <w:rFonts w:ascii="Times New Roman" w:hAnsi="Times New Roman" w:cs="Times New Roman"/>
            <w:noProof/>
            <w:sz w:val="24"/>
            <w:szCs w:val="24"/>
          </w:rPr>
          <w:t>6. Plnění kritéria cenové stability</w:t>
        </w:r>
        <w:r w:rsidR="0042557E" w:rsidRPr="001E7829">
          <w:rPr>
            <w:rFonts w:ascii="Times New Roman" w:hAnsi="Times New Roman" w:cs="Times New Roman"/>
            <w:noProof/>
            <w:webHidden/>
            <w:sz w:val="24"/>
            <w:szCs w:val="24"/>
          </w:rPr>
          <w:tab/>
        </w:r>
        <w:r w:rsidR="0042557E" w:rsidRPr="001E7829">
          <w:rPr>
            <w:rFonts w:ascii="Times New Roman" w:hAnsi="Times New Roman" w:cs="Times New Roman"/>
            <w:noProof/>
            <w:webHidden/>
            <w:sz w:val="24"/>
            <w:szCs w:val="24"/>
          </w:rPr>
          <w:fldChar w:fldCharType="begin"/>
        </w:r>
        <w:r w:rsidR="0042557E" w:rsidRPr="001E7829">
          <w:rPr>
            <w:rFonts w:ascii="Times New Roman" w:hAnsi="Times New Roman" w:cs="Times New Roman"/>
            <w:noProof/>
            <w:webHidden/>
            <w:sz w:val="24"/>
            <w:szCs w:val="24"/>
          </w:rPr>
          <w:instrText xml:space="preserve"> PAGEREF _Toc445910436 \h </w:instrText>
        </w:r>
        <w:r w:rsidR="0042557E" w:rsidRPr="001E7829">
          <w:rPr>
            <w:rFonts w:ascii="Times New Roman" w:hAnsi="Times New Roman" w:cs="Times New Roman"/>
            <w:noProof/>
            <w:webHidden/>
            <w:sz w:val="24"/>
            <w:szCs w:val="24"/>
          </w:rPr>
        </w:r>
        <w:r w:rsidR="0042557E" w:rsidRPr="001E7829">
          <w:rPr>
            <w:rFonts w:ascii="Times New Roman" w:hAnsi="Times New Roman" w:cs="Times New Roman"/>
            <w:noProof/>
            <w:webHidden/>
            <w:sz w:val="24"/>
            <w:szCs w:val="24"/>
          </w:rPr>
          <w:fldChar w:fldCharType="separate"/>
        </w:r>
        <w:r w:rsidR="008E3A7D">
          <w:rPr>
            <w:rFonts w:ascii="Times New Roman" w:hAnsi="Times New Roman" w:cs="Times New Roman"/>
            <w:noProof/>
            <w:webHidden/>
            <w:sz w:val="24"/>
            <w:szCs w:val="24"/>
          </w:rPr>
          <w:t>76</w:t>
        </w:r>
        <w:r w:rsidR="0042557E" w:rsidRPr="001E7829">
          <w:rPr>
            <w:rFonts w:ascii="Times New Roman" w:hAnsi="Times New Roman" w:cs="Times New Roman"/>
            <w:noProof/>
            <w:webHidden/>
            <w:sz w:val="24"/>
            <w:szCs w:val="24"/>
          </w:rPr>
          <w:fldChar w:fldCharType="end"/>
        </w:r>
      </w:hyperlink>
    </w:p>
    <w:p w:rsidR="00B40EB7" w:rsidRPr="001E7829" w:rsidRDefault="007D6D71" w:rsidP="00B40EB7">
      <w:pPr>
        <w:pStyle w:val="Druh"/>
        <w:rPr>
          <w:rFonts w:cs="Times New Roman"/>
        </w:rPr>
      </w:pPr>
      <w:r w:rsidRPr="001E7829">
        <w:rPr>
          <w:rFonts w:cs="Times New Roman"/>
          <w:szCs w:val="24"/>
        </w:rPr>
        <w:fldChar w:fldCharType="end"/>
      </w:r>
      <w:r w:rsidR="00B40EB7" w:rsidRPr="001E7829">
        <w:rPr>
          <w:rFonts w:cs="Times New Roman"/>
        </w:rPr>
        <w:br w:type="page"/>
      </w:r>
    </w:p>
    <w:p w:rsidR="00B90F6F" w:rsidRPr="001E7829" w:rsidRDefault="00B40EB7" w:rsidP="00B40EB7">
      <w:pPr>
        <w:pStyle w:val="Others"/>
        <w:rPr>
          <w:rFonts w:cs="Times New Roman"/>
        </w:rPr>
      </w:pPr>
      <w:bookmarkStart w:id="2" w:name="_Toc446604190"/>
      <w:r w:rsidRPr="001E7829">
        <w:rPr>
          <w:rFonts w:cs="Times New Roman"/>
        </w:rPr>
        <w:lastRenderedPageBreak/>
        <w:t>Seznam použitých zkratek</w:t>
      </w:r>
      <w:bookmarkEnd w:id="2"/>
    </w:p>
    <w:p w:rsidR="00CB745E" w:rsidRPr="001E7829" w:rsidRDefault="00CB745E" w:rsidP="001A6B60">
      <w:pPr>
        <w:rPr>
          <w:rFonts w:ascii="Times New Roman" w:hAnsi="Times New Roman" w:cs="Times New Roman"/>
          <w:sz w:val="24"/>
        </w:rPr>
      </w:pPr>
      <w:r w:rsidRPr="001E7829">
        <w:rPr>
          <w:rFonts w:ascii="Times New Roman" w:hAnsi="Times New Roman" w:cs="Times New Roman"/>
          <w:sz w:val="24"/>
        </w:rPr>
        <w:t>CPI</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index spotřebitelských cen</w:t>
      </w:r>
    </w:p>
    <w:p w:rsidR="008661AF" w:rsidRPr="001E7829" w:rsidRDefault="008661AF" w:rsidP="001A6B60">
      <w:pPr>
        <w:rPr>
          <w:rFonts w:ascii="Times New Roman" w:hAnsi="Times New Roman" w:cs="Times New Roman"/>
          <w:sz w:val="24"/>
        </w:rPr>
      </w:pPr>
      <w:r w:rsidRPr="001E7829">
        <w:rPr>
          <w:rFonts w:ascii="Times New Roman" w:hAnsi="Times New Roman" w:cs="Times New Roman"/>
          <w:sz w:val="24"/>
        </w:rPr>
        <w:t>CZK</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česká koruna</w:t>
      </w:r>
    </w:p>
    <w:p w:rsidR="00555376" w:rsidRPr="001E7829" w:rsidRDefault="00555376" w:rsidP="001A6B60">
      <w:pPr>
        <w:rPr>
          <w:rFonts w:ascii="Times New Roman" w:hAnsi="Times New Roman" w:cs="Times New Roman"/>
          <w:sz w:val="24"/>
        </w:rPr>
      </w:pPr>
      <w:r w:rsidRPr="001E7829">
        <w:rPr>
          <w:rFonts w:ascii="Times New Roman" w:hAnsi="Times New Roman" w:cs="Times New Roman"/>
          <w:sz w:val="24"/>
        </w:rPr>
        <w:t>ČNB, Banka</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Česká národní banka</w:t>
      </w:r>
    </w:p>
    <w:p w:rsidR="00555376" w:rsidRPr="001E7829" w:rsidRDefault="00555376" w:rsidP="001A6B60">
      <w:pPr>
        <w:rPr>
          <w:rFonts w:ascii="Times New Roman" w:hAnsi="Times New Roman" w:cs="Times New Roman"/>
          <w:sz w:val="24"/>
        </w:rPr>
      </w:pPr>
      <w:r w:rsidRPr="001E7829">
        <w:rPr>
          <w:rFonts w:ascii="Times New Roman" w:hAnsi="Times New Roman" w:cs="Times New Roman"/>
          <w:sz w:val="24"/>
        </w:rPr>
        <w:t>ČR</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Česká republika</w:t>
      </w:r>
    </w:p>
    <w:p w:rsidR="006A28BB" w:rsidRPr="001E7829" w:rsidRDefault="006A28BB" w:rsidP="001A6B60">
      <w:pPr>
        <w:rPr>
          <w:rFonts w:ascii="Times New Roman" w:hAnsi="Times New Roman" w:cs="Times New Roman"/>
          <w:sz w:val="24"/>
        </w:rPr>
      </w:pPr>
      <w:r w:rsidRPr="001E7829">
        <w:rPr>
          <w:rFonts w:ascii="Times New Roman" w:hAnsi="Times New Roman" w:cs="Times New Roman"/>
          <w:sz w:val="24"/>
        </w:rPr>
        <w:t>ČSFR</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Česká a Slovenská Federativní republika</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ČSÚ</w:t>
      </w:r>
      <w:r w:rsidRPr="001E7829">
        <w:rPr>
          <w:rFonts w:ascii="Times New Roman" w:hAnsi="Times New Roman" w:cs="Times New Roman"/>
          <w:sz w:val="24"/>
        </w:rPr>
        <w:tab/>
        <w:t>Český statistický úřad</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ECB</w:t>
      </w:r>
      <w:r w:rsidRPr="001E7829">
        <w:rPr>
          <w:rFonts w:ascii="Times New Roman" w:hAnsi="Times New Roman" w:cs="Times New Roman"/>
          <w:sz w:val="24"/>
        </w:rPr>
        <w:tab/>
        <w:t>Evropská centrální banka</w:t>
      </w:r>
    </w:p>
    <w:p w:rsidR="006A28BB" w:rsidRPr="001E7829" w:rsidRDefault="006A28BB" w:rsidP="00555376">
      <w:pPr>
        <w:ind w:left="3544" w:hanging="3544"/>
        <w:rPr>
          <w:rFonts w:ascii="Times New Roman" w:hAnsi="Times New Roman" w:cs="Times New Roman"/>
          <w:sz w:val="24"/>
        </w:rPr>
      </w:pPr>
      <w:r w:rsidRPr="001E7829">
        <w:rPr>
          <w:rFonts w:ascii="Times New Roman" w:hAnsi="Times New Roman" w:cs="Times New Roman"/>
          <w:sz w:val="24"/>
        </w:rPr>
        <w:t>ERM II</w:t>
      </w:r>
      <w:r w:rsidRPr="001E7829">
        <w:rPr>
          <w:rFonts w:ascii="Times New Roman" w:hAnsi="Times New Roman" w:cs="Times New Roman"/>
          <w:sz w:val="24"/>
        </w:rPr>
        <w:tab/>
        <w:t>Evropský mechanismus směnných kurzů II</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ESCB</w:t>
      </w:r>
      <w:r w:rsidRPr="001E7829">
        <w:rPr>
          <w:rFonts w:ascii="Times New Roman" w:hAnsi="Times New Roman" w:cs="Times New Roman"/>
          <w:sz w:val="24"/>
        </w:rPr>
        <w:tab/>
        <w:t>Evropský systém centrálních bank</w:t>
      </w:r>
    </w:p>
    <w:p w:rsidR="00555376" w:rsidRPr="001E7829" w:rsidRDefault="00555376" w:rsidP="001A6B60">
      <w:pPr>
        <w:rPr>
          <w:rFonts w:ascii="Times New Roman" w:hAnsi="Times New Roman" w:cs="Times New Roman"/>
          <w:sz w:val="24"/>
        </w:rPr>
      </w:pPr>
      <w:r w:rsidRPr="001E7829">
        <w:rPr>
          <w:rFonts w:ascii="Times New Roman" w:hAnsi="Times New Roman" w:cs="Times New Roman"/>
          <w:sz w:val="24"/>
        </w:rPr>
        <w:t>EU</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Evropská unie</w:t>
      </w:r>
    </w:p>
    <w:p w:rsidR="00071456" w:rsidRPr="001E7829" w:rsidRDefault="00071456" w:rsidP="001A6B60">
      <w:pPr>
        <w:rPr>
          <w:rFonts w:ascii="Times New Roman" w:hAnsi="Times New Roman" w:cs="Times New Roman"/>
          <w:sz w:val="24"/>
        </w:rPr>
      </w:pPr>
      <w:r w:rsidRPr="001E7829">
        <w:rPr>
          <w:rFonts w:ascii="Times New Roman" w:hAnsi="Times New Roman" w:cs="Times New Roman"/>
          <w:sz w:val="24"/>
        </w:rPr>
        <w:t>EUR</w:t>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r>
      <w:r w:rsidRPr="001E7829">
        <w:rPr>
          <w:rFonts w:ascii="Times New Roman" w:hAnsi="Times New Roman" w:cs="Times New Roman"/>
          <w:sz w:val="24"/>
        </w:rPr>
        <w:tab/>
        <w:t>euro</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HDP</w:t>
      </w:r>
      <w:r w:rsidRPr="001E7829">
        <w:rPr>
          <w:rFonts w:ascii="Times New Roman" w:hAnsi="Times New Roman" w:cs="Times New Roman"/>
          <w:sz w:val="24"/>
        </w:rPr>
        <w:tab/>
        <w:t>hrubý domácí produkt</w:t>
      </w:r>
    </w:p>
    <w:p w:rsidR="00CB745E" w:rsidRPr="001E7829" w:rsidRDefault="00CB745E" w:rsidP="00555376">
      <w:pPr>
        <w:ind w:left="3544" w:hanging="3544"/>
        <w:rPr>
          <w:rFonts w:ascii="Times New Roman" w:hAnsi="Times New Roman" w:cs="Times New Roman"/>
          <w:sz w:val="24"/>
        </w:rPr>
      </w:pPr>
      <w:r w:rsidRPr="001E7829">
        <w:rPr>
          <w:rFonts w:ascii="Times New Roman" w:hAnsi="Times New Roman" w:cs="Times New Roman"/>
          <w:sz w:val="24"/>
        </w:rPr>
        <w:t>HICP</w:t>
      </w:r>
      <w:r w:rsidRPr="001E7829">
        <w:rPr>
          <w:rFonts w:ascii="Times New Roman" w:hAnsi="Times New Roman" w:cs="Times New Roman"/>
          <w:sz w:val="24"/>
        </w:rPr>
        <w:tab/>
        <w:t>harmonizovaný index spotřebitelských cen</w:t>
      </w:r>
    </w:p>
    <w:p w:rsidR="00071456" w:rsidRPr="001E7829" w:rsidRDefault="00071456" w:rsidP="00555376">
      <w:pPr>
        <w:ind w:left="3544" w:hanging="3544"/>
        <w:rPr>
          <w:rFonts w:ascii="Times New Roman" w:hAnsi="Times New Roman" w:cs="Times New Roman"/>
          <w:sz w:val="24"/>
        </w:rPr>
      </w:pPr>
      <w:r w:rsidRPr="001E7829">
        <w:rPr>
          <w:rFonts w:ascii="Times New Roman" w:hAnsi="Times New Roman" w:cs="Times New Roman"/>
          <w:sz w:val="24"/>
        </w:rPr>
        <w:t>NBS</w:t>
      </w:r>
      <w:r w:rsidRPr="001E7829">
        <w:rPr>
          <w:rFonts w:ascii="Times New Roman" w:hAnsi="Times New Roman" w:cs="Times New Roman"/>
          <w:sz w:val="24"/>
        </w:rPr>
        <w:tab/>
      </w:r>
      <w:r w:rsidRPr="001E7829">
        <w:rPr>
          <w:rFonts w:ascii="Times New Roman" w:hAnsi="Times New Roman" w:cs="Times New Roman"/>
          <w:sz w:val="24"/>
          <w:lang w:val="sk-SK"/>
        </w:rPr>
        <w:t>Národná</w:t>
      </w:r>
      <w:r w:rsidRPr="001E7829">
        <w:rPr>
          <w:rFonts w:ascii="Times New Roman" w:hAnsi="Times New Roman" w:cs="Times New Roman"/>
          <w:sz w:val="24"/>
        </w:rPr>
        <w:t xml:space="preserve"> banka Slovenska</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OECD</w:t>
      </w:r>
      <w:r w:rsidRPr="001E7829">
        <w:rPr>
          <w:rFonts w:ascii="Times New Roman" w:hAnsi="Times New Roman" w:cs="Times New Roman"/>
          <w:sz w:val="24"/>
        </w:rPr>
        <w:tab/>
        <w:t>Organizace pro ekonomickou spolupráci a rozvoj</w:t>
      </w:r>
    </w:p>
    <w:p w:rsidR="000A0B33" w:rsidRPr="001E7829" w:rsidRDefault="000A0B33" w:rsidP="00555376">
      <w:pPr>
        <w:ind w:left="3544" w:hanging="3544"/>
        <w:rPr>
          <w:rFonts w:ascii="Times New Roman" w:hAnsi="Times New Roman" w:cs="Times New Roman"/>
          <w:sz w:val="24"/>
        </w:rPr>
      </w:pPr>
      <w:proofErr w:type="spellStart"/>
      <w:proofErr w:type="gramStart"/>
      <w:r w:rsidRPr="001E7829">
        <w:rPr>
          <w:rFonts w:ascii="Times New Roman" w:hAnsi="Times New Roman" w:cs="Times New Roman"/>
          <w:sz w:val="24"/>
        </w:rPr>
        <w:t>p.b</w:t>
      </w:r>
      <w:proofErr w:type="spellEnd"/>
      <w:r w:rsidRPr="001E7829">
        <w:rPr>
          <w:rFonts w:ascii="Times New Roman" w:hAnsi="Times New Roman" w:cs="Times New Roman"/>
          <w:sz w:val="24"/>
        </w:rPr>
        <w:t>.</w:t>
      </w:r>
      <w:r w:rsidRPr="001E7829">
        <w:rPr>
          <w:rFonts w:ascii="Times New Roman" w:hAnsi="Times New Roman" w:cs="Times New Roman"/>
          <w:sz w:val="24"/>
        </w:rPr>
        <w:tab/>
        <w:t>procentní</w:t>
      </w:r>
      <w:proofErr w:type="gramEnd"/>
      <w:r w:rsidRPr="001E7829">
        <w:rPr>
          <w:rFonts w:ascii="Times New Roman" w:hAnsi="Times New Roman" w:cs="Times New Roman"/>
          <w:sz w:val="24"/>
        </w:rPr>
        <w:t xml:space="preserve"> bod</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SEU</w:t>
      </w:r>
      <w:r w:rsidRPr="001E7829">
        <w:rPr>
          <w:rFonts w:ascii="Times New Roman" w:hAnsi="Times New Roman" w:cs="Times New Roman"/>
          <w:sz w:val="24"/>
        </w:rPr>
        <w:tab/>
        <w:t>Smlouva o Evropské unii</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SFEU</w:t>
      </w:r>
      <w:r w:rsidRPr="001E7829">
        <w:rPr>
          <w:rFonts w:ascii="Times New Roman" w:hAnsi="Times New Roman" w:cs="Times New Roman"/>
          <w:sz w:val="24"/>
        </w:rPr>
        <w:tab/>
        <w:t>Smlouva o fungování Evropské unie</w:t>
      </w:r>
    </w:p>
    <w:p w:rsidR="00071456" w:rsidRPr="001E7829" w:rsidRDefault="00071456" w:rsidP="00555376">
      <w:pPr>
        <w:ind w:left="3544" w:hanging="3544"/>
        <w:rPr>
          <w:rFonts w:ascii="Times New Roman" w:hAnsi="Times New Roman" w:cs="Times New Roman"/>
          <w:sz w:val="24"/>
        </w:rPr>
      </w:pPr>
      <w:r w:rsidRPr="001E7829">
        <w:rPr>
          <w:rFonts w:ascii="Times New Roman" w:hAnsi="Times New Roman" w:cs="Times New Roman"/>
          <w:sz w:val="24"/>
        </w:rPr>
        <w:t>SKK</w:t>
      </w:r>
      <w:r w:rsidRPr="001E7829">
        <w:rPr>
          <w:rFonts w:ascii="Times New Roman" w:hAnsi="Times New Roman" w:cs="Times New Roman"/>
          <w:sz w:val="24"/>
        </w:rPr>
        <w:tab/>
        <w:t>slovenská koruna</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Statut</w:t>
      </w:r>
      <w:r w:rsidRPr="001E7829">
        <w:rPr>
          <w:rFonts w:ascii="Times New Roman" w:hAnsi="Times New Roman" w:cs="Times New Roman"/>
          <w:sz w:val="24"/>
        </w:rPr>
        <w:tab/>
      </w:r>
      <w:proofErr w:type="spellStart"/>
      <w:r w:rsidRPr="001E7829">
        <w:rPr>
          <w:rFonts w:ascii="Times New Roman" w:hAnsi="Times New Roman" w:cs="Times New Roman"/>
          <w:sz w:val="24"/>
        </w:rPr>
        <w:t>statut</w:t>
      </w:r>
      <w:proofErr w:type="spellEnd"/>
      <w:r w:rsidRPr="001E7829">
        <w:rPr>
          <w:rFonts w:ascii="Times New Roman" w:hAnsi="Times New Roman" w:cs="Times New Roman"/>
          <w:sz w:val="24"/>
        </w:rPr>
        <w:t xml:space="preserve"> Evropského systému centrální</w:t>
      </w:r>
      <w:r w:rsidR="00250D52" w:rsidRPr="001E7829">
        <w:rPr>
          <w:rFonts w:ascii="Times New Roman" w:hAnsi="Times New Roman" w:cs="Times New Roman"/>
          <w:sz w:val="24"/>
        </w:rPr>
        <w:t>ch</w:t>
      </w:r>
      <w:r w:rsidRPr="001E7829">
        <w:rPr>
          <w:rFonts w:ascii="Times New Roman" w:hAnsi="Times New Roman" w:cs="Times New Roman"/>
          <w:sz w:val="24"/>
        </w:rPr>
        <w:t xml:space="preserve"> bank a Evropské centrální banky</w:t>
      </w:r>
    </w:p>
    <w:p w:rsidR="00071456" w:rsidRPr="001E7829" w:rsidRDefault="00071456" w:rsidP="00555376">
      <w:pPr>
        <w:ind w:left="3544" w:hanging="3544"/>
        <w:rPr>
          <w:rFonts w:ascii="Times New Roman" w:hAnsi="Times New Roman" w:cs="Times New Roman"/>
          <w:sz w:val="24"/>
        </w:rPr>
      </w:pPr>
      <w:r w:rsidRPr="001E7829">
        <w:rPr>
          <w:rFonts w:ascii="Times New Roman" w:hAnsi="Times New Roman" w:cs="Times New Roman"/>
          <w:sz w:val="24"/>
        </w:rPr>
        <w:t>Strategie</w:t>
      </w:r>
      <w:r w:rsidRPr="001E7829">
        <w:rPr>
          <w:rFonts w:ascii="Times New Roman" w:hAnsi="Times New Roman" w:cs="Times New Roman"/>
          <w:sz w:val="24"/>
        </w:rPr>
        <w:tab/>
      </w:r>
      <w:proofErr w:type="spellStart"/>
      <w:r w:rsidRPr="001E7829">
        <w:rPr>
          <w:rFonts w:ascii="Times New Roman" w:hAnsi="Times New Roman" w:cs="Times New Roman"/>
          <w:sz w:val="24"/>
        </w:rPr>
        <w:t>Strategie</w:t>
      </w:r>
      <w:proofErr w:type="spellEnd"/>
      <w:r w:rsidRPr="001E7829">
        <w:rPr>
          <w:rFonts w:ascii="Times New Roman" w:hAnsi="Times New Roman" w:cs="Times New Roman"/>
          <w:sz w:val="24"/>
        </w:rPr>
        <w:t xml:space="preserve"> přistoupení České republiky k eurozóně</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lastRenderedPageBreak/>
        <w:t>Ústava</w:t>
      </w:r>
      <w:r w:rsidRPr="001E7829">
        <w:rPr>
          <w:rFonts w:ascii="Times New Roman" w:hAnsi="Times New Roman" w:cs="Times New Roman"/>
          <w:sz w:val="24"/>
        </w:rPr>
        <w:tab/>
        <w:t>ústavní zákon č. 1/1993 Sb., Ústava České republiky, ve znění pozdějších předpisů</w:t>
      </w:r>
    </w:p>
    <w:p w:rsidR="00071456" w:rsidRPr="001E7829" w:rsidRDefault="00071456" w:rsidP="00071456">
      <w:pPr>
        <w:ind w:left="3544" w:hanging="3544"/>
        <w:rPr>
          <w:rFonts w:ascii="Times New Roman" w:hAnsi="Times New Roman" w:cs="Times New Roman"/>
          <w:sz w:val="24"/>
        </w:rPr>
      </w:pPr>
      <w:r w:rsidRPr="001E7829">
        <w:rPr>
          <w:rFonts w:ascii="Times New Roman" w:hAnsi="Times New Roman" w:cs="Times New Roman"/>
          <w:sz w:val="24"/>
        </w:rPr>
        <w:t>Vyhodnocení</w:t>
      </w:r>
      <w:r w:rsidRPr="001E7829">
        <w:rPr>
          <w:rFonts w:ascii="Times New Roman" w:hAnsi="Times New Roman" w:cs="Times New Roman"/>
          <w:sz w:val="24"/>
        </w:rPr>
        <w:tab/>
      </w:r>
      <w:proofErr w:type="spellStart"/>
      <w:r w:rsidRPr="001E7829">
        <w:rPr>
          <w:rFonts w:ascii="Times New Roman" w:hAnsi="Times New Roman" w:cs="Times New Roman"/>
          <w:sz w:val="24"/>
        </w:rPr>
        <w:t>Vyhodnocení</w:t>
      </w:r>
      <w:proofErr w:type="spellEnd"/>
      <w:r w:rsidRPr="001E7829">
        <w:rPr>
          <w:rFonts w:ascii="Times New Roman" w:hAnsi="Times New Roman" w:cs="Times New Roman"/>
          <w:sz w:val="24"/>
        </w:rPr>
        <w:t xml:space="preserve"> plnění </w:t>
      </w:r>
      <w:r w:rsidR="00F66355" w:rsidRPr="001E7829">
        <w:rPr>
          <w:rFonts w:ascii="Times New Roman" w:hAnsi="Times New Roman" w:cs="Times New Roman"/>
          <w:sz w:val="24"/>
        </w:rPr>
        <w:t>m</w:t>
      </w:r>
      <w:r w:rsidRPr="001E7829">
        <w:rPr>
          <w:rFonts w:ascii="Times New Roman" w:hAnsi="Times New Roman" w:cs="Times New Roman"/>
          <w:sz w:val="24"/>
        </w:rPr>
        <w:t>aastrichtských konvergenčních kritérií a stupně ekonomické sladěnosti ČR s eurozónou</w:t>
      </w:r>
    </w:p>
    <w:p w:rsidR="00555376" w:rsidRPr="001E7829" w:rsidRDefault="00555376" w:rsidP="00555376">
      <w:pPr>
        <w:ind w:left="3544" w:hanging="3544"/>
        <w:rPr>
          <w:rFonts w:ascii="Times New Roman" w:hAnsi="Times New Roman" w:cs="Times New Roman"/>
          <w:sz w:val="24"/>
        </w:rPr>
      </w:pPr>
      <w:r w:rsidRPr="001E7829">
        <w:rPr>
          <w:rFonts w:ascii="Times New Roman" w:hAnsi="Times New Roman" w:cs="Times New Roman"/>
          <w:sz w:val="24"/>
        </w:rPr>
        <w:t>ZČNB</w:t>
      </w:r>
      <w:r w:rsidRPr="001E7829">
        <w:rPr>
          <w:rFonts w:ascii="Times New Roman" w:hAnsi="Times New Roman" w:cs="Times New Roman"/>
          <w:sz w:val="24"/>
        </w:rPr>
        <w:tab/>
        <w:t>zákon č. 6/1993 Sb., o České národní bance, ve znění pozdějších předpisů</w:t>
      </w:r>
    </w:p>
    <w:p w:rsidR="001A6B60" w:rsidRPr="001E7829" w:rsidRDefault="001A6B60" w:rsidP="001A6B60">
      <w:pPr>
        <w:pStyle w:val="Druh"/>
        <w:rPr>
          <w:rFonts w:cs="Times New Roman"/>
        </w:rPr>
      </w:pPr>
    </w:p>
    <w:p w:rsidR="00B90F6F" w:rsidRPr="001E7829" w:rsidRDefault="00B90F6F" w:rsidP="00B90F6F">
      <w:pPr>
        <w:pStyle w:val="Others"/>
        <w:rPr>
          <w:rFonts w:cs="Times New Roman"/>
        </w:rPr>
      </w:pPr>
      <w:bookmarkStart w:id="3" w:name="_Toc446604191"/>
      <w:r w:rsidRPr="001E7829">
        <w:rPr>
          <w:rFonts w:cs="Times New Roman"/>
        </w:rPr>
        <w:lastRenderedPageBreak/>
        <w:t>Úvod</w:t>
      </w:r>
      <w:bookmarkEnd w:id="3"/>
    </w:p>
    <w:p w:rsidR="002C6EE0" w:rsidRPr="001E7829" w:rsidRDefault="002C6EE0" w:rsidP="00B40EB7">
      <w:pPr>
        <w:pStyle w:val="Prvn"/>
        <w:rPr>
          <w:rFonts w:cs="Times New Roman"/>
        </w:rPr>
      </w:pPr>
      <w:r w:rsidRPr="001E7829">
        <w:rPr>
          <w:rFonts w:cs="Times New Roman"/>
        </w:rPr>
        <w:t>Monetární</w:t>
      </w:r>
      <w:r w:rsidR="005E159B" w:rsidRPr="001E7829">
        <w:rPr>
          <w:rFonts w:cs="Times New Roman"/>
        </w:rPr>
        <w:t xml:space="preserve"> (či měnové)</w:t>
      </w:r>
      <w:r w:rsidRPr="001E7829">
        <w:rPr>
          <w:rFonts w:cs="Times New Roman"/>
        </w:rPr>
        <w:t xml:space="preserve"> politiky centrálních bank v současné době, kdy svět opakovaně čelí ekonomickým potížím a krizím, nabývají stále větší důležitosti. Centrální banky se tak stávají nositeli rozhodování, které může výrazně ovlivnit e</w:t>
      </w:r>
      <w:r w:rsidR="008B6958" w:rsidRPr="001E7829">
        <w:rPr>
          <w:rFonts w:cs="Times New Roman"/>
        </w:rPr>
        <w:t>konomickou sféru, a tím i život</w:t>
      </w:r>
      <w:r w:rsidRPr="001E7829">
        <w:rPr>
          <w:rFonts w:cs="Times New Roman"/>
        </w:rPr>
        <w:t xml:space="preserve"> každého člověka ve státě. Tím samozřejmě rostou i požadavky na kvalitu a účinnost takového rozhodování. Monetární politika je tak stále více diskutovaným tématem jak mezi praktiky a odborníky na ekonomii a právo, tak mezi širokou veřejností.</w:t>
      </w:r>
    </w:p>
    <w:p w:rsidR="00E62350" w:rsidRPr="001E7829" w:rsidRDefault="005E159B" w:rsidP="000F2783">
      <w:pPr>
        <w:pStyle w:val="Druh"/>
        <w:rPr>
          <w:rFonts w:cs="Times New Roman"/>
        </w:rPr>
      </w:pPr>
      <w:r w:rsidRPr="001E7829">
        <w:rPr>
          <w:rFonts w:cs="Times New Roman"/>
        </w:rPr>
        <w:t xml:space="preserve">Cílem této práce je </w:t>
      </w:r>
      <w:r w:rsidR="00E36923">
        <w:rPr>
          <w:rFonts w:cs="Times New Roman"/>
        </w:rPr>
        <w:t>popsat</w:t>
      </w:r>
      <w:r w:rsidRPr="001E7829">
        <w:rPr>
          <w:rFonts w:cs="Times New Roman"/>
        </w:rPr>
        <w:t xml:space="preserve"> monetární politiku</w:t>
      </w:r>
      <w:r w:rsidR="00486DE6" w:rsidRPr="001E7829">
        <w:rPr>
          <w:rFonts w:cs="Times New Roman"/>
        </w:rPr>
        <w:t xml:space="preserve"> České národní banky</w:t>
      </w:r>
      <w:r w:rsidRPr="001E7829">
        <w:rPr>
          <w:rFonts w:cs="Times New Roman"/>
        </w:rPr>
        <w:t xml:space="preserve"> (dále také „ČNB“ nebo „Banka“) od jejího vzniku až po současnost a zhodnotit její účinnost. Účinností přitom pro účely práce rozumím míru, s jakou se ČNB dařilo naplňovat cíle, které jí pro tuto oblast dává česká legislativa, případně mezinárodní závazky.</w:t>
      </w:r>
      <w:r w:rsidR="00F57567" w:rsidRPr="001E7829">
        <w:rPr>
          <w:rFonts w:cs="Times New Roman"/>
        </w:rPr>
        <w:t xml:space="preserve"> Součástí práce je nejen hodnocení faktického plnění těchto cílů, ale rovněž vhodnosti nastavení monetární politiky s ohledem na potřeby české ekonomiky v daném čase a vlivu rozhodnutí ČNB na plnění cílů, </w:t>
      </w:r>
      <w:r w:rsidR="002C1BE6" w:rsidRPr="001E7829">
        <w:rPr>
          <w:rFonts w:cs="Times New Roman"/>
        </w:rPr>
        <w:t>případně na ekonomiku jako celek.</w:t>
      </w:r>
    </w:p>
    <w:p w:rsidR="00F9500A" w:rsidRPr="001E7829" w:rsidRDefault="00F9500A" w:rsidP="000F2783">
      <w:pPr>
        <w:pStyle w:val="Druh"/>
        <w:rPr>
          <w:rFonts w:cs="Times New Roman"/>
        </w:rPr>
      </w:pPr>
      <w:r w:rsidRPr="001E7829">
        <w:rPr>
          <w:rFonts w:cs="Times New Roman"/>
        </w:rPr>
        <w:t xml:space="preserve">Jednotlivým cílům monetární politiky ČNB odpovídá členění </w:t>
      </w:r>
      <w:r w:rsidR="00C81186" w:rsidRPr="001E7829">
        <w:rPr>
          <w:rFonts w:cs="Times New Roman"/>
        </w:rPr>
        <w:t>analytické</w:t>
      </w:r>
      <w:r w:rsidRPr="001E7829">
        <w:rPr>
          <w:rFonts w:cs="Times New Roman"/>
        </w:rPr>
        <w:t xml:space="preserve"> části práce, tedy podkapitoly 3.3. Kromě tzv. hlavního cíle v podobě cenové stability a několika </w:t>
      </w:r>
      <w:r w:rsidR="00B00E0B" w:rsidRPr="001E7829">
        <w:rPr>
          <w:rFonts w:cs="Times New Roman"/>
        </w:rPr>
        <w:t>oblastí spadajících pod vedlejší cíl</w:t>
      </w:r>
      <w:r w:rsidR="002C1BE6" w:rsidRPr="001E7829">
        <w:rPr>
          <w:rFonts w:cs="Times New Roman"/>
        </w:rPr>
        <w:t xml:space="preserve"> se věnuji rovněž analýze plnění maastrichtských kritérií, na které má monetární politika značný vliv.</w:t>
      </w:r>
      <w:r w:rsidR="0007625A" w:rsidRPr="001E7829">
        <w:rPr>
          <w:rFonts w:cs="Times New Roman"/>
        </w:rPr>
        <w:t xml:space="preserve"> V</w:t>
      </w:r>
      <w:r w:rsidR="00130878" w:rsidRPr="001E7829">
        <w:rPr>
          <w:rFonts w:cs="Times New Roman"/>
        </w:rPr>
        <w:t xml:space="preserve"> části </w:t>
      </w:r>
      <w:r w:rsidR="0007625A" w:rsidRPr="001E7829">
        <w:rPr>
          <w:rFonts w:cs="Times New Roman"/>
        </w:rPr>
        <w:t xml:space="preserve">věnované </w:t>
      </w:r>
      <w:r w:rsidR="00130878" w:rsidRPr="001E7829">
        <w:rPr>
          <w:rFonts w:cs="Times New Roman"/>
        </w:rPr>
        <w:t>vedlejším</w:t>
      </w:r>
      <w:r w:rsidR="00B00E0B" w:rsidRPr="001E7829">
        <w:rPr>
          <w:rFonts w:cs="Times New Roman"/>
        </w:rPr>
        <w:t>u</w:t>
      </w:r>
      <w:r w:rsidR="00130878" w:rsidRPr="001E7829">
        <w:rPr>
          <w:rFonts w:cs="Times New Roman"/>
        </w:rPr>
        <w:t xml:space="preserve"> cíl</w:t>
      </w:r>
      <w:r w:rsidR="00B00E0B" w:rsidRPr="001E7829">
        <w:rPr>
          <w:rFonts w:cs="Times New Roman"/>
        </w:rPr>
        <w:t>i</w:t>
      </w:r>
      <w:r w:rsidR="0007625A" w:rsidRPr="001E7829">
        <w:rPr>
          <w:rFonts w:cs="Times New Roman"/>
        </w:rPr>
        <w:t xml:space="preserve"> je navíc testována dílčí hypotéza o účinnosti, resp. neúčinnosti monetární politiky, v závislosti na zvoleném režimu kurzu měny.</w:t>
      </w:r>
      <w:r w:rsidR="002C1BE6" w:rsidRPr="001E7829">
        <w:rPr>
          <w:rFonts w:cs="Times New Roman"/>
        </w:rPr>
        <w:t xml:space="preserve"> Analytické části bezprostředně předchází popis vývoje praktické měnové politiky ČNB a jejích nástrojů v podkapitolách </w:t>
      </w:r>
      <w:proofErr w:type="gramStart"/>
      <w:r w:rsidR="002C1BE6" w:rsidRPr="001E7829">
        <w:rPr>
          <w:rFonts w:cs="Times New Roman"/>
        </w:rPr>
        <w:t>3.1. a 3.2</w:t>
      </w:r>
      <w:proofErr w:type="gramEnd"/>
      <w:r w:rsidR="002C1BE6" w:rsidRPr="001E7829">
        <w:rPr>
          <w:rFonts w:cs="Times New Roman"/>
        </w:rPr>
        <w:t>.</w:t>
      </w:r>
    </w:p>
    <w:p w:rsidR="00313A45" w:rsidRPr="001E7829" w:rsidRDefault="00313A45" w:rsidP="000F2783">
      <w:pPr>
        <w:pStyle w:val="Druh"/>
        <w:rPr>
          <w:rFonts w:cs="Times New Roman"/>
        </w:rPr>
      </w:pPr>
      <w:r w:rsidRPr="001E7829">
        <w:rPr>
          <w:rFonts w:cs="Times New Roman"/>
        </w:rPr>
        <w:t>Úvodní dvě kapitoly představují teoretický a právní základ pro fungování monetární politiky ČNB. V první kapitole nejprve představuji základní instituty a procesy, které s tímto druhem hospodářské politiky souvisí. V některých aspektech nezbytných pro téma práce se rovněž soustředím na širší souvislosti činnosti centrálních bank, abych přiblížil postavení, které v moderním státě tyto instituce zaujímají. Ve druhé kapitole se věnuji právní úprav</w:t>
      </w:r>
      <w:r w:rsidR="00B00E0B" w:rsidRPr="001E7829">
        <w:rPr>
          <w:rFonts w:cs="Times New Roman"/>
        </w:rPr>
        <w:t xml:space="preserve">ě ČNB a její </w:t>
      </w:r>
      <w:r w:rsidR="00B00E0B" w:rsidRPr="001E7829">
        <w:rPr>
          <w:rFonts w:cs="Times New Roman"/>
        </w:rPr>
        <w:lastRenderedPageBreak/>
        <w:t>monetární politiky</w:t>
      </w:r>
      <w:r w:rsidRPr="001E7829">
        <w:rPr>
          <w:rFonts w:cs="Times New Roman"/>
        </w:rPr>
        <w:t xml:space="preserve"> s cílem hodnotit, zda tato úprava poskytuje dostatečně kvalitní právní základ pro praxi.</w:t>
      </w:r>
      <w:r w:rsidR="00731BD9" w:rsidRPr="001E7829">
        <w:rPr>
          <w:rFonts w:cs="Times New Roman"/>
        </w:rPr>
        <w:t xml:space="preserve"> Součástí kapitoly je také nástin změn, které do postavení ČNB přinesl vstup České republiky (dále </w:t>
      </w:r>
      <w:r w:rsidR="00F30842" w:rsidRPr="001E7829">
        <w:rPr>
          <w:rFonts w:cs="Times New Roman"/>
        </w:rPr>
        <w:t>také</w:t>
      </w:r>
      <w:r w:rsidR="00731BD9" w:rsidRPr="001E7829">
        <w:rPr>
          <w:rFonts w:cs="Times New Roman"/>
        </w:rPr>
        <w:t xml:space="preserve"> „ČR“) do Evropské </w:t>
      </w:r>
      <w:r w:rsidR="008C79DF" w:rsidRPr="001E7829">
        <w:rPr>
          <w:rFonts w:cs="Times New Roman"/>
        </w:rPr>
        <w:t>unie (dále také „EU“</w:t>
      </w:r>
      <w:r w:rsidR="00731BD9" w:rsidRPr="001E7829">
        <w:rPr>
          <w:rFonts w:cs="Times New Roman"/>
        </w:rPr>
        <w:t>) a které v budoucnu nastanou v souvislosti s očekávaným vstupem ČR do eurozóny.</w:t>
      </w:r>
    </w:p>
    <w:p w:rsidR="00731BD9" w:rsidRPr="001E7829" w:rsidRDefault="00E45D40" w:rsidP="000F2783">
      <w:pPr>
        <w:pStyle w:val="Druh"/>
        <w:rPr>
          <w:rFonts w:cs="Times New Roman"/>
        </w:rPr>
      </w:pPr>
      <w:r w:rsidRPr="001E7829">
        <w:rPr>
          <w:rFonts w:cs="Times New Roman"/>
        </w:rPr>
        <w:t xml:space="preserve">V částech věnovaných teoretickým východiskům a právní úpravě vycházím především z dostupné odborné literatury. V prvním případě jde o tituly zabývající se převážně makroekonomií a centrálním bankovnictvím, v případě právní problematiky jde zejména o komentáře k zákonu č. 6/1993 Sb., o České národní bance, ve znění pozdějších předpisů (dále </w:t>
      </w:r>
      <w:r w:rsidR="00F30842" w:rsidRPr="001E7829">
        <w:rPr>
          <w:rFonts w:cs="Times New Roman"/>
        </w:rPr>
        <w:t>také</w:t>
      </w:r>
      <w:r w:rsidRPr="001E7829">
        <w:rPr>
          <w:rFonts w:cs="Times New Roman"/>
        </w:rPr>
        <w:t xml:space="preserve"> „ZČNB“) a k ústavnímu zákonu č. 1/1993 Sb., Ústava České republiky, ve znění pozdějších předpisů (dále </w:t>
      </w:r>
      <w:r w:rsidR="00F30842" w:rsidRPr="001E7829">
        <w:rPr>
          <w:rFonts w:cs="Times New Roman"/>
        </w:rPr>
        <w:t>také</w:t>
      </w:r>
      <w:r w:rsidRPr="001E7829">
        <w:rPr>
          <w:rFonts w:cs="Times New Roman"/>
        </w:rPr>
        <w:t xml:space="preserve"> „Ústava“), doplněné o jiné předpisy a další zdroje. V </w:t>
      </w:r>
      <w:r w:rsidR="00BD143D" w:rsidRPr="001E7829">
        <w:rPr>
          <w:rFonts w:cs="Times New Roman"/>
        </w:rPr>
        <w:t>analytické</w:t>
      </w:r>
      <w:r w:rsidRPr="001E7829">
        <w:rPr>
          <w:rFonts w:cs="Times New Roman"/>
        </w:rPr>
        <w:t xml:space="preserve"> části využívám v převážné míře dokumenty vydávané a publikované samotnou ČNB. Jde např. o Výroční zprávy, či Vyhodnocení plnění maastrichtských konvergenčních kritérií a stupně ekonomické sladěnosti ČR s eurozónou. </w:t>
      </w:r>
      <w:r w:rsidR="008D7052" w:rsidRPr="001E7829">
        <w:rPr>
          <w:rFonts w:cs="Times New Roman"/>
        </w:rPr>
        <w:t>Často také pracuji s daty pro</w:t>
      </w:r>
      <w:r w:rsidR="00C81186" w:rsidRPr="001E7829">
        <w:rPr>
          <w:rFonts w:cs="Times New Roman"/>
        </w:rPr>
        <w:t xml:space="preserve"> relevantní ekonomické veličiny</w:t>
      </w:r>
      <w:r w:rsidR="008D7052" w:rsidRPr="001E7829">
        <w:rPr>
          <w:rFonts w:cs="Times New Roman"/>
        </w:rPr>
        <w:t xml:space="preserve"> poskytovanými Českým statistickým úřadem (dále </w:t>
      </w:r>
      <w:r w:rsidR="00A30AB8" w:rsidRPr="001E7829">
        <w:rPr>
          <w:rFonts w:cs="Times New Roman"/>
        </w:rPr>
        <w:t>také</w:t>
      </w:r>
      <w:r w:rsidR="008D7052" w:rsidRPr="001E7829">
        <w:rPr>
          <w:rFonts w:cs="Times New Roman"/>
        </w:rPr>
        <w:t xml:space="preserve"> „ČSÚ“), </w:t>
      </w:r>
      <w:proofErr w:type="spellStart"/>
      <w:r w:rsidR="008D7052" w:rsidRPr="001E7829">
        <w:rPr>
          <w:rFonts w:cs="Times New Roman"/>
        </w:rPr>
        <w:t>Eurostatem</w:t>
      </w:r>
      <w:proofErr w:type="spellEnd"/>
      <w:r w:rsidR="008D7052" w:rsidRPr="001E7829">
        <w:rPr>
          <w:rFonts w:cs="Times New Roman"/>
        </w:rPr>
        <w:t xml:space="preserve"> a dalšími institucemi.</w:t>
      </w:r>
    </w:p>
    <w:p w:rsidR="008D7052" w:rsidRPr="001E7829" w:rsidRDefault="008D7052" w:rsidP="000F2783">
      <w:pPr>
        <w:pStyle w:val="Druh"/>
        <w:rPr>
          <w:rFonts w:cs="Times New Roman"/>
        </w:rPr>
      </w:pPr>
      <w:r w:rsidRPr="001E7829">
        <w:rPr>
          <w:rFonts w:cs="Times New Roman"/>
        </w:rPr>
        <w:t xml:space="preserve">Klíčovou metodou je analýza dat a doprovodných informací o měnové politice a české ekonomice. Pro lepší představu o míře efektivity ČNB při provádění měnové politiky využívám komparaci s centrální bankou, která vznikla za stejných okolností a čelila v mnoha rysech srovnatelnému ekonomickému vývoji – </w:t>
      </w:r>
      <w:r w:rsidRPr="001E7829">
        <w:rPr>
          <w:rFonts w:cs="Times New Roman"/>
          <w:lang w:val="sk-SK"/>
        </w:rPr>
        <w:t xml:space="preserve">Národnou </w:t>
      </w:r>
      <w:r w:rsidRPr="001E7829">
        <w:rPr>
          <w:rFonts w:cs="Times New Roman"/>
        </w:rPr>
        <w:t>bankou Slovenska</w:t>
      </w:r>
      <w:r w:rsidR="00454C38" w:rsidRPr="001E7829">
        <w:rPr>
          <w:rFonts w:cs="Times New Roman"/>
        </w:rPr>
        <w:t xml:space="preserve"> (dále také „NBS“)</w:t>
      </w:r>
      <w:r w:rsidRPr="001E7829">
        <w:rPr>
          <w:rFonts w:cs="Times New Roman"/>
        </w:rPr>
        <w:t>.</w:t>
      </w:r>
    </w:p>
    <w:p w:rsidR="00B60C4F" w:rsidRPr="001E7829" w:rsidRDefault="007D1F62" w:rsidP="00F57567">
      <w:pPr>
        <w:pStyle w:val="Druh"/>
        <w:rPr>
          <w:rFonts w:cs="Times New Roman"/>
        </w:rPr>
      </w:pPr>
      <w:r w:rsidRPr="001E7829">
        <w:rPr>
          <w:rFonts w:cs="Times New Roman"/>
        </w:rPr>
        <w:t xml:space="preserve">Na základě provedené analýzy a hodnocení formuluji doporučení možných změn v právní úpravě nebo praktickém provádění monetární politiky. Práce by tedy měla být přínosem pro </w:t>
      </w:r>
      <w:r w:rsidR="00F50924" w:rsidRPr="001E7829">
        <w:rPr>
          <w:rFonts w:cs="Times New Roman"/>
        </w:rPr>
        <w:t xml:space="preserve">subjekty se zákonodárnou iniciativou, kterým může poskytnout souhrnný pohled na problematiku. Může také přispět ke kvalitní přípravě návrhu nového </w:t>
      </w:r>
      <w:r w:rsidR="00941A00" w:rsidRPr="001E7829">
        <w:rPr>
          <w:rFonts w:cs="Times New Roman"/>
        </w:rPr>
        <w:t>ZČNB</w:t>
      </w:r>
      <w:r w:rsidR="00F50924" w:rsidRPr="001E7829">
        <w:rPr>
          <w:rFonts w:cs="Times New Roman"/>
        </w:rPr>
        <w:t>, který bude s největší pravděpodobností vypracován v době, kdy se ČR závazně rozhodne přijmout euro jako svou národní měnu. Konečně, bankovní radě ČNB může práce poskytnout externí stu</w:t>
      </w:r>
      <w:r w:rsidR="00B00E0B" w:rsidRPr="001E7829">
        <w:rPr>
          <w:rFonts w:cs="Times New Roman"/>
        </w:rPr>
        <w:t xml:space="preserve">dii </w:t>
      </w:r>
      <w:r w:rsidR="00B00E0B" w:rsidRPr="001E7829">
        <w:rPr>
          <w:rFonts w:cs="Times New Roman"/>
        </w:rPr>
        <w:lastRenderedPageBreak/>
        <w:t>důsledků jejího rozhodování</w:t>
      </w:r>
      <w:r w:rsidR="00F50924" w:rsidRPr="001E7829">
        <w:rPr>
          <w:rFonts w:cs="Times New Roman"/>
        </w:rPr>
        <w:t xml:space="preserve"> a iniciovat tak případné pozitivní změny v praktické rovině monetární politiky.</w:t>
      </w:r>
      <w:r w:rsidR="00BA29F9" w:rsidRPr="001E7829">
        <w:rPr>
          <w:rFonts w:cs="Times New Roman"/>
        </w:rPr>
        <w:br w:type="page"/>
      </w:r>
    </w:p>
    <w:p w:rsidR="00B60C4F" w:rsidRPr="001E7829" w:rsidRDefault="00A47C67" w:rsidP="00A47C67">
      <w:pPr>
        <w:pStyle w:val="1"/>
        <w:rPr>
          <w:rFonts w:cs="Times New Roman"/>
        </w:rPr>
      </w:pPr>
      <w:bookmarkStart w:id="4" w:name="_Toc444516048"/>
      <w:bookmarkStart w:id="5" w:name="_Toc446604192"/>
      <w:r w:rsidRPr="001E7829">
        <w:rPr>
          <w:rFonts w:cs="Times New Roman"/>
        </w:rPr>
        <w:lastRenderedPageBreak/>
        <w:t>Obecná východiska monetární politiky</w:t>
      </w:r>
      <w:bookmarkEnd w:id="4"/>
      <w:bookmarkEnd w:id="5"/>
    </w:p>
    <w:p w:rsidR="00F44F2D" w:rsidRPr="001E7829" w:rsidRDefault="00F9548A" w:rsidP="00B40EB7">
      <w:pPr>
        <w:pStyle w:val="Prvn"/>
        <w:rPr>
          <w:rFonts w:cs="Times New Roman"/>
        </w:rPr>
      </w:pPr>
      <w:r w:rsidRPr="001E7829">
        <w:rPr>
          <w:rFonts w:cs="Times New Roman"/>
        </w:rPr>
        <w:t>Dříve než budu moci přistoupit k samotné analýze účinnost</w:t>
      </w:r>
      <w:r w:rsidR="008B6958" w:rsidRPr="001E7829">
        <w:rPr>
          <w:rFonts w:cs="Times New Roman"/>
        </w:rPr>
        <w:t>i</w:t>
      </w:r>
      <w:r w:rsidRPr="001E7829">
        <w:rPr>
          <w:rFonts w:cs="Times New Roman"/>
        </w:rPr>
        <w:t xml:space="preserve"> monetární politiky ČNB, je samozřejmě nezbytné teoreticky vymezit základní pojmy, instituty a procesy, ze kterých bude analýza vycházet a na nichž bude postavena. V první části práce se tedy budu věnovat vymezení monetární politiky</w:t>
      </w:r>
      <w:r w:rsidR="005108B0" w:rsidRPr="001E7829">
        <w:rPr>
          <w:rFonts w:cs="Times New Roman"/>
        </w:rPr>
        <w:t xml:space="preserve"> v rámci obecné hospodářské politiky a představím základní principy jejího fungování a možnosti jejího nastavení.</w:t>
      </w:r>
      <w:r w:rsidR="00D34DA2" w:rsidRPr="001E7829">
        <w:rPr>
          <w:rFonts w:cs="Times New Roman"/>
        </w:rPr>
        <w:t xml:space="preserve"> Pro </w:t>
      </w:r>
      <w:r w:rsidR="001A5B04" w:rsidRPr="001E7829">
        <w:rPr>
          <w:rFonts w:cs="Times New Roman"/>
        </w:rPr>
        <w:t>pochopení role ČNB budu</w:t>
      </w:r>
      <w:r w:rsidR="005108B0" w:rsidRPr="001E7829">
        <w:rPr>
          <w:rFonts w:cs="Times New Roman"/>
        </w:rPr>
        <w:t xml:space="preserve"> také</w:t>
      </w:r>
      <w:r w:rsidR="001A5B04" w:rsidRPr="001E7829">
        <w:rPr>
          <w:rFonts w:cs="Times New Roman"/>
        </w:rPr>
        <w:t xml:space="preserve"> definovat centrální banku a její úlohu v monetární politice. </w:t>
      </w:r>
    </w:p>
    <w:p w:rsidR="005D358D" w:rsidRPr="001E7829" w:rsidRDefault="005D358D" w:rsidP="001A5B04">
      <w:pPr>
        <w:pStyle w:val="11"/>
        <w:ind w:left="1418" w:hanging="1061"/>
        <w:rPr>
          <w:rFonts w:cs="Times New Roman"/>
        </w:rPr>
      </w:pPr>
      <w:bookmarkStart w:id="6" w:name="_Toc444083223"/>
      <w:bookmarkStart w:id="7" w:name="_Toc444516049"/>
      <w:bookmarkStart w:id="8" w:name="_Toc446604193"/>
      <w:r w:rsidRPr="001E7829">
        <w:rPr>
          <w:rFonts w:cs="Times New Roman"/>
        </w:rPr>
        <w:t xml:space="preserve">Podstata </w:t>
      </w:r>
      <w:r w:rsidR="00EA4782" w:rsidRPr="001E7829">
        <w:rPr>
          <w:rFonts w:cs="Times New Roman"/>
        </w:rPr>
        <w:t>monetární</w:t>
      </w:r>
      <w:r w:rsidRPr="001E7829">
        <w:rPr>
          <w:rFonts w:cs="Times New Roman"/>
        </w:rPr>
        <w:t xml:space="preserve"> politiky a </w:t>
      </w:r>
      <w:r w:rsidR="001A5B04" w:rsidRPr="001E7829">
        <w:rPr>
          <w:rFonts w:cs="Times New Roman"/>
        </w:rPr>
        <w:t>její institucionální zabezpečení</w:t>
      </w:r>
      <w:bookmarkEnd w:id="6"/>
      <w:bookmarkEnd w:id="7"/>
      <w:bookmarkEnd w:id="8"/>
    </w:p>
    <w:p w:rsidR="00F95962" w:rsidRPr="001E7829" w:rsidRDefault="0065432C" w:rsidP="00B40EB7">
      <w:pPr>
        <w:pStyle w:val="Prvn"/>
        <w:rPr>
          <w:rFonts w:cs="Times New Roman"/>
        </w:rPr>
      </w:pPr>
      <w:r w:rsidRPr="001E7829">
        <w:rPr>
          <w:rFonts w:cs="Times New Roman"/>
        </w:rPr>
        <w:t>Pod pojmem monetární politika rozumíme jeden z typů hospodářské politiky, tedy záměrné praktické činnosti státu vůči své ekonomice</w:t>
      </w:r>
      <w:r w:rsidR="007570BB" w:rsidRPr="001E7829">
        <w:rPr>
          <w:rFonts w:cs="Times New Roman"/>
        </w:rPr>
        <w:t>,</w:t>
      </w:r>
      <w:r w:rsidRPr="001E7829">
        <w:rPr>
          <w:rStyle w:val="Znakapoznpodarou"/>
          <w:rFonts w:cs="Times New Roman"/>
        </w:rPr>
        <w:footnoteReference w:id="1"/>
      </w:r>
      <w:r w:rsidRPr="001E7829">
        <w:rPr>
          <w:rFonts w:cs="Times New Roman"/>
        </w:rPr>
        <w:t xml:space="preserve"> jejímž nejvyšším cílem je maximalizace společenského blahobytu.</w:t>
      </w:r>
      <w:r w:rsidRPr="001E7829">
        <w:rPr>
          <w:rStyle w:val="Znakapoznpodarou"/>
          <w:rFonts w:cs="Times New Roman"/>
        </w:rPr>
        <w:footnoteReference w:id="2"/>
      </w:r>
      <w:r w:rsidRPr="001E7829">
        <w:rPr>
          <w:rFonts w:cs="Times New Roman"/>
        </w:rPr>
        <w:t xml:space="preserve"> Mezi další takové typy řadíme např. fiskální politiku, vnější hospodářskou politiku, strukturální politiku, politiku ochrany hospodářské soutěže a další.</w:t>
      </w:r>
      <w:r w:rsidRPr="001E7829">
        <w:rPr>
          <w:rStyle w:val="Znakapoznpodarou"/>
          <w:rFonts w:cs="Times New Roman"/>
        </w:rPr>
        <w:footnoteReference w:id="3"/>
      </w:r>
    </w:p>
    <w:p w:rsidR="0094677F" w:rsidRPr="001E7829" w:rsidRDefault="0094677F" w:rsidP="0094677F">
      <w:pPr>
        <w:pStyle w:val="Druh"/>
        <w:rPr>
          <w:rFonts w:cs="Times New Roman"/>
        </w:rPr>
      </w:pPr>
      <w:r w:rsidRPr="001E7829">
        <w:rPr>
          <w:rFonts w:cs="Times New Roman"/>
        </w:rPr>
        <w:t>Samotnou</w:t>
      </w:r>
      <w:r w:rsidR="00A6546C" w:rsidRPr="001E7829">
        <w:rPr>
          <w:rFonts w:cs="Times New Roman"/>
        </w:rPr>
        <w:t xml:space="preserve"> monetární politiku bychom mohli</w:t>
      </w:r>
      <w:r w:rsidRPr="001E7829">
        <w:rPr>
          <w:rFonts w:cs="Times New Roman"/>
        </w:rPr>
        <w:t xml:space="preserve"> definovat jako </w:t>
      </w:r>
      <w:r w:rsidR="00A6546C" w:rsidRPr="001E7829">
        <w:rPr>
          <w:rFonts w:cs="Times New Roman"/>
        </w:rPr>
        <w:t>„</w:t>
      </w:r>
      <w:r w:rsidRPr="001E7829">
        <w:rPr>
          <w:rFonts w:cs="Times New Roman"/>
          <w:i/>
        </w:rPr>
        <w:t>proces, ve kterém se centrální banka prostřednictvím svých nástrojů</w:t>
      </w:r>
      <w:r w:rsidR="00A6546C" w:rsidRPr="001E7829">
        <w:rPr>
          <w:rFonts w:cs="Times New Roman"/>
          <w:i/>
        </w:rPr>
        <w:t xml:space="preserve"> snaží o dosažení předem stanovených cílů</w:t>
      </w:r>
      <w:r w:rsidR="00A6546C" w:rsidRPr="001E7829">
        <w:rPr>
          <w:rFonts w:cs="Times New Roman"/>
        </w:rPr>
        <w:t>“.</w:t>
      </w:r>
      <w:r w:rsidR="001A6901" w:rsidRPr="001E7829">
        <w:rPr>
          <w:rFonts w:cs="Times New Roman"/>
        </w:rPr>
        <w:t xml:space="preserve"> Nejčastějším cílem bývá stabilita kupní síly domácí měny, kterou můžeme dále dělit na stabilitu domácí cenové hladiny a stabilitu měnového kurzu (hovoříme o tzv. stabilitě vnitřní a vnější).</w:t>
      </w:r>
      <w:r w:rsidR="00122C3F" w:rsidRPr="001E7829">
        <w:rPr>
          <w:rFonts w:cs="Times New Roman"/>
        </w:rPr>
        <w:t xml:space="preserve"> Mimo to však existují i další cíle, někdy označované jako vedlejší. Mohou jimi být např. podpora hospodářského růstu, zaměstnanosti, rovnováhy platební bilance apod.</w:t>
      </w:r>
      <w:r w:rsidR="00A6546C" w:rsidRPr="001E7829">
        <w:rPr>
          <w:rStyle w:val="Znakapoznpodarou"/>
          <w:rFonts w:cs="Times New Roman"/>
        </w:rPr>
        <w:footnoteReference w:id="4"/>
      </w:r>
    </w:p>
    <w:p w:rsidR="00EC1C5B" w:rsidRPr="001E7829" w:rsidRDefault="009B556C" w:rsidP="0094677F">
      <w:pPr>
        <w:pStyle w:val="Druh"/>
        <w:rPr>
          <w:rFonts w:cs="Times New Roman"/>
        </w:rPr>
      </w:pPr>
      <w:r w:rsidRPr="001E7829">
        <w:rPr>
          <w:rFonts w:cs="Times New Roman"/>
        </w:rPr>
        <w:t xml:space="preserve">Jak vyplývá z definice monetární politiky, jejím nositelem je centrální banka, kterou je v České republice ČNB. </w:t>
      </w:r>
      <w:r w:rsidR="000F3CAB" w:rsidRPr="001E7829">
        <w:rPr>
          <w:rFonts w:cs="Times New Roman"/>
        </w:rPr>
        <w:t xml:space="preserve">Centrální banky jsou v porovnání </w:t>
      </w:r>
      <w:r w:rsidR="000F3CAB" w:rsidRPr="001E7829">
        <w:rPr>
          <w:rFonts w:cs="Times New Roman"/>
        </w:rPr>
        <w:lastRenderedPageBreak/>
        <w:t xml:space="preserve">s ostatními typy bank poměrně mladou institucí, když první z nich vznikla až v 17. století, většina z nich potom až ve 20. století. Kromě toho, že je jim svěřeno provádění monetární politiky, se centrální banky vyznačují </w:t>
      </w:r>
      <w:r w:rsidR="009F2649" w:rsidRPr="001E7829">
        <w:rPr>
          <w:rFonts w:cs="Times New Roman"/>
        </w:rPr>
        <w:t xml:space="preserve">zejména tím, že mají emisní monopol na vydávání hotovostních peněz a </w:t>
      </w:r>
      <w:r w:rsidR="00B77C53" w:rsidRPr="001E7829">
        <w:rPr>
          <w:rFonts w:cs="Times New Roman"/>
        </w:rPr>
        <w:t>vystupují</w:t>
      </w:r>
      <w:r w:rsidR="009F2649" w:rsidRPr="001E7829">
        <w:rPr>
          <w:rFonts w:cs="Times New Roman"/>
        </w:rPr>
        <w:t xml:space="preserve"> jako regulátor bankovního systému.</w:t>
      </w:r>
      <w:r w:rsidR="009F2649" w:rsidRPr="001E7829">
        <w:rPr>
          <w:rStyle w:val="Znakapoznpodarou"/>
          <w:rFonts w:cs="Times New Roman"/>
        </w:rPr>
        <w:footnoteReference w:id="5"/>
      </w:r>
      <w:r w:rsidR="00377561" w:rsidRPr="001E7829">
        <w:rPr>
          <w:rFonts w:cs="Times New Roman"/>
        </w:rPr>
        <w:t xml:space="preserve"> </w:t>
      </w:r>
      <w:r w:rsidR="001621D3" w:rsidRPr="001E7829">
        <w:rPr>
          <w:rFonts w:cs="Times New Roman"/>
        </w:rPr>
        <w:t>Dále pak fungují jako banky bank, banky státu, vykonávají devizovou činnost, či dohled nad finančním trhem. Právním základem pro fungování ČNB a realizaci její monetární politiky je</w:t>
      </w:r>
      <w:r w:rsidR="00377561" w:rsidRPr="001E7829">
        <w:rPr>
          <w:rFonts w:cs="Times New Roman"/>
        </w:rPr>
        <w:t xml:space="preserve"> </w:t>
      </w:r>
      <w:r w:rsidR="00A30AB8" w:rsidRPr="001E7829">
        <w:rPr>
          <w:rFonts w:cs="Times New Roman"/>
        </w:rPr>
        <w:t>Ústava</w:t>
      </w:r>
      <w:r w:rsidR="001621D3" w:rsidRPr="001E7829">
        <w:rPr>
          <w:rFonts w:cs="Times New Roman"/>
        </w:rPr>
        <w:t xml:space="preserve"> a </w:t>
      </w:r>
      <w:r w:rsidR="00A30AB8" w:rsidRPr="001E7829">
        <w:rPr>
          <w:rFonts w:cs="Times New Roman"/>
        </w:rPr>
        <w:t>ZČNB.</w:t>
      </w:r>
      <w:r w:rsidR="00B77C53" w:rsidRPr="001E7829">
        <w:rPr>
          <w:rFonts w:cs="Times New Roman"/>
        </w:rPr>
        <w:t xml:space="preserve"> Této problematice bude věnována hlubší pozornost v samostatné kapitole.</w:t>
      </w:r>
    </w:p>
    <w:p w:rsidR="00EC7852" w:rsidRPr="001E7829" w:rsidRDefault="00EC7852" w:rsidP="00EC7852">
      <w:pPr>
        <w:pStyle w:val="11"/>
        <w:rPr>
          <w:rFonts w:cs="Times New Roman"/>
        </w:rPr>
      </w:pPr>
      <w:bookmarkStart w:id="9" w:name="_Toc444083224"/>
      <w:bookmarkStart w:id="10" w:name="_Toc444516050"/>
      <w:bookmarkStart w:id="11" w:name="_Toc446604194"/>
      <w:r w:rsidRPr="001E7829">
        <w:rPr>
          <w:rFonts w:cs="Times New Roman"/>
        </w:rPr>
        <w:t>Nástroje monetární politiky</w:t>
      </w:r>
      <w:bookmarkEnd w:id="9"/>
      <w:bookmarkEnd w:id="10"/>
      <w:bookmarkEnd w:id="11"/>
    </w:p>
    <w:p w:rsidR="004A7950" w:rsidRPr="001E7829" w:rsidRDefault="00B5592F" w:rsidP="00B40EB7">
      <w:pPr>
        <w:pStyle w:val="Prvn"/>
        <w:rPr>
          <w:rFonts w:cs="Times New Roman"/>
        </w:rPr>
      </w:pPr>
      <w:r w:rsidRPr="001E7829">
        <w:rPr>
          <w:rFonts w:cs="Times New Roman"/>
        </w:rPr>
        <w:t>K provádění monetární politiky má centrální banka k dispozici soubor několika nástrojů, jimiž se snaží většinou působit vůči bankám na mezibankovním trhu a dosáhnout tak požadovaného cíle</w:t>
      </w:r>
      <w:r w:rsidR="004A7950" w:rsidRPr="001E7829">
        <w:rPr>
          <w:rFonts w:cs="Times New Roman"/>
        </w:rPr>
        <w:t>. Podle způsobu, jakým banka nástroje využívá lze monetární politiku charakterizovat buď jako expanzivní, nebo restriktivní. V případě monetární expanze centrální banka zvyšuje nabídku peněz (neboli množství peněz v ekonomice)</w:t>
      </w:r>
      <w:r w:rsidR="00F968CB" w:rsidRPr="001E7829">
        <w:rPr>
          <w:rFonts w:cs="Times New Roman"/>
        </w:rPr>
        <w:t xml:space="preserve"> a</w:t>
      </w:r>
      <w:r w:rsidR="004A7950" w:rsidRPr="001E7829">
        <w:rPr>
          <w:rFonts w:cs="Times New Roman"/>
        </w:rPr>
        <w:t xml:space="preserve"> naopak při restriktivní politice </w:t>
      </w:r>
      <w:r w:rsidR="00F968CB" w:rsidRPr="001E7829">
        <w:rPr>
          <w:rFonts w:cs="Times New Roman"/>
        </w:rPr>
        <w:t>se množství peněz snižuje.</w:t>
      </w:r>
      <w:r w:rsidR="00F968CB" w:rsidRPr="001E7829">
        <w:rPr>
          <w:rStyle w:val="Znakapoznpodarou"/>
          <w:rFonts w:cs="Times New Roman"/>
        </w:rPr>
        <w:footnoteReference w:id="6"/>
      </w:r>
      <w:r w:rsidR="00377561" w:rsidRPr="001E7829">
        <w:rPr>
          <w:rFonts w:cs="Times New Roman"/>
        </w:rPr>
        <w:t xml:space="preserve"> </w:t>
      </w:r>
      <w:r w:rsidRPr="001E7829">
        <w:rPr>
          <w:rFonts w:cs="Times New Roman"/>
        </w:rPr>
        <w:t>Děje</w:t>
      </w:r>
      <w:r w:rsidR="004A7950" w:rsidRPr="001E7829">
        <w:rPr>
          <w:rFonts w:cs="Times New Roman"/>
        </w:rPr>
        <w:t xml:space="preserve"> se</w:t>
      </w:r>
      <w:r w:rsidRPr="001E7829">
        <w:rPr>
          <w:rFonts w:cs="Times New Roman"/>
        </w:rPr>
        <w:t xml:space="preserve"> tak skrze tzv. operativní a zprostředkující kritéria, která budou blíže představena v podkapitole o transmisních mechanismech. V následujícím textu budou popsány jednotlivé nástroje podle jejich klasického členění – na </w:t>
      </w:r>
      <w:r w:rsidR="00DE1409" w:rsidRPr="001E7829">
        <w:rPr>
          <w:rFonts w:cs="Times New Roman"/>
        </w:rPr>
        <w:t>nepřímé a přímé</w:t>
      </w:r>
      <w:r w:rsidRPr="001E7829">
        <w:rPr>
          <w:rFonts w:cs="Times New Roman"/>
        </w:rPr>
        <w:t>.</w:t>
      </w:r>
      <w:r w:rsidRPr="001E7829">
        <w:rPr>
          <w:rStyle w:val="Znakapoznpodarou"/>
          <w:rFonts w:cs="Times New Roman"/>
        </w:rPr>
        <w:footnoteReference w:id="7"/>
      </w:r>
    </w:p>
    <w:p w:rsidR="00EC7852" w:rsidRPr="001E7829" w:rsidRDefault="00DE1409" w:rsidP="0003331A">
      <w:pPr>
        <w:pStyle w:val="1310"/>
        <w:rPr>
          <w:rFonts w:cs="Times New Roman"/>
        </w:rPr>
      </w:pPr>
      <w:bookmarkStart w:id="12" w:name="_Toc444083225"/>
      <w:bookmarkStart w:id="13" w:name="_Toc444516051"/>
      <w:bookmarkStart w:id="14" w:name="_Toc446604195"/>
      <w:r w:rsidRPr="001E7829">
        <w:rPr>
          <w:rFonts w:cs="Times New Roman"/>
        </w:rPr>
        <w:t>Nep</w:t>
      </w:r>
      <w:r w:rsidR="0003331A" w:rsidRPr="001E7829">
        <w:rPr>
          <w:rFonts w:cs="Times New Roman"/>
        </w:rPr>
        <w:t>římé nástroje</w:t>
      </w:r>
      <w:bookmarkEnd w:id="12"/>
      <w:bookmarkEnd w:id="13"/>
      <w:bookmarkEnd w:id="14"/>
    </w:p>
    <w:p w:rsidR="00637044" w:rsidRPr="001E7829" w:rsidRDefault="00DE1409" w:rsidP="00B40EB7">
      <w:pPr>
        <w:pStyle w:val="Prvn"/>
        <w:rPr>
          <w:rFonts w:cs="Times New Roman"/>
        </w:rPr>
      </w:pPr>
      <w:r w:rsidRPr="001E7829">
        <w:rPr>
          <w:rFonts w:cs="Times New Roman"/>
        </w:rPr>
        <w:t>Typickým rysem nepřímých nástrojů je jejich jednotné plošné působení na ba</w:t>
      </w:r>
      <w:r w:rsidR="00DB3726" w:rsidRPr="001E7829">
        <w:rPr>
          <w:rFonts w:cs="Times New Roman"/>
        </w:rPr>
        <w:t>nky v bankovním systému.</w:t>
      </w:r>
      <w:r w:rsidR="00377561" w:rsidRPr="001E7829">
        <w:rPr>
          <w:rFonts w:cs="Times New Roman"/>
        </w:rPr>
        <w:t xml:space="preserve"> </w:t>
      </w:r>
      <w:r w:rsidR="00DB3726" w:rsidRPr="001E7829">
        <w:rPr>
          <w:rFonts w:cs="Times New Roman"/>
        </w:rPr>
        <w:t>J</w:t>
      </w:r>
      <w:r w:rsidRPr="001E7829">
        <w:rPr>
          <w:rFonts w:cs="Times New Roman"/>
        </w:rPr>
        <w:t>sou tedy v souladu s fungováním tržní ekonomiky, což je jejich nespornou výhodou</w:t>
      </w:r>
      <w:r w:rsidR="006C7871" w:rsidRPr="001E7829">
        <w:rPr>
          <w:rFonts w:cs="Times New Roman"/>
        </w:rPr>
        <w:t xml:space="preserve"> a centrální banky je tak využívají častěji, než nástroje přímé</w:t>
      </w:r>
      <w:r w:rsidRPr="001E7829">
        <w:rPr>
          <w:rFonts w:cs="Times New Roman"/>
        </w:rPr>
        <w:t>.</w:t>
      </w:r>
      <w:r w:rsidRPr="001E7829">
        <w:rPr>
          <w:rStyle w:val="Znakapoznpodarou"/>
          <w:rFonts w:cs="Times New Roman"/>
        </w:rPr>
        <w:footnoteReference w:id="8"/>
      </w:r>
      <w:r w:rsidRPr="001E7829">
        <w:rPr>
          <w:rFonts w:cs="Times New Roman"/>
        </w:rPr>
        <w:t xml:space="preserve"> Přitom je v zásadě ponecháno na rozhodnutí jednotlivých</w:t>
      </w:r>
      <w:r w:rsidR="00DB3726" w:rsidRPr="001E7829">
        <w:rPr>
          <w:rFonts w:cs="Times New Roman"/>
        </w:rPr>
        <w:t xml:space="preserve"> komerčních</w:t>
      </w:r>
      <w:r w:rsidRPr="001E7829">
        <w:rPr>
          <w:rFonts w:cs="Times New Roman"/>
        </w:rPr>
        <w:t xml:space="preserve"> </w:t>
      </w:r>
      <w:r w:rsidRPr="001E7829">
        <w:rPr>
          <w:rFonts w:cs="Times New Roman"/>
        </w:rPr>
        <w:lastRenderedPageBreak/>
        <w:t>bank, zda na přijatá opatření budou reagovat č</w:t>
      </w:r>
      <w:r w:rsidR="006C7871" w:rsidRPr="001E7829">
        <w:rPr>
          <w:rFonts w:cs="Times New Roman"/>
        </w:rPr>
        <w:t>i</w:t>
      </w:r>
      <w:r w:rsidRPr="001E7829">
        <w:rPr>
          <w:rFonts w:cs="Times New Roman"/>
        </w:rPr>
        <w:t xml:space="preserve"> nikoli</w:t>
      </w:r>
      <w:r w:rsidR="00DB3726" w:rsidRPr="001E7829">
        <w:rPr>
          <w:rFonts w:cs="Times New Roman"/>
        </w:rPr>
        <w:t xml:space="preserve">. </w:t>
      </w:r>
      <w:r w:rsidRPr="001E7829">
        <w:rPr>
          <w:rFonts w:cs="Times New Roman"/>
        </w:rPr>
        <w:t>Tyto nástroje ovlivňují především podnikání bank, můžeme je tedy také označit jako tržní nástroje. Oproti nástrojům přímým jsou operativnější, ale také méně efektivní. Patří mezi ně operace na volném trhu, diskontní nástroje, kurzové intervence</w:t>
      </w:r>
      <w:r w:rsidR="00637044" w:rsidRPr="001E7829">
        <w:rPr>
          <w:rFonts w:cs="Times New Roman"/>
        </w:rPr>
        <w:t xml:space="preserve"> a</w:t>
      </w:r>
      <w:r w:rsidRPr="001E7829">
        <w:rPr>
          <w:rFonts w:cs="Times New Roman"/>
        </w:rPr>
        <w:t xml:space="preserve"> povinné minimální rezervy</w:t>
      </w:r>
      <w:r w:rsidR="00936C31" w:rsidRPr="001E7829">
        <w:rPr>
          <w:rFonts w:cs="Times New Roman"/>
        </w:rPr>
        <w:t>.</w:t>
      </w:r>
      <w:r w:rsidR="00936C31" w:rsidRPr="001E7829">
        <w:rPr>
          <w:rStyle w:val="Znakapoznpodarou"/>
          <w:rFonts w:cs="Times New Roman"/>
        </w:rPr>
        <w:footnoteReference w:id="9"/>
      </w:r>
    </w:p>
    <w:p w:rsidR="00637044" w:rsidRPr="001E7829" w:rsidRDefault="00637044" w:rsidP="00637044">
      <w:pPr>
        <w:pStyle w:val="Druh"/>
        <w:rPr>
          <w:rFonts w:cs="Times New Roman"/>
        </w:rPr>
      </w:pPr>
    </w:p>
    <w:p w:rsidR="00637044" w:rsidRPr="001E7829" w:rsidRDefault="00637044" w:rsidP="00936C31">
      <w:pPr>
        <w:rPr>
          <w:rFonts w:ascii="Times New Roman" w:hAnsi="Times New Roman" w:cs="Times New Roman"/>
          <w:b/>
          <w:sz w:val="24"/>
        </w:rPr>
      </w:pPr>
      <w:r w:rsidRPr="001E7829">
        <w:rPr>
          <w:rFonts w:ascii="Times New Roman" w:hAnsi="Times New Roman" w:cs="Times New Roman"/>
          <w:b/>
          <w:sz w:val="24"/>
        </w:rPr>
        <w:t>Operace na volném trhu</w:t>
      </w:r>
    </w:p>
    <w:p w:rsidR="002262DC" w:rsidRPr="001E7829" w:rsidRDefault="00A91583" w:rsidP="00B40EB7">
      <w:pPr>
        <w:pStyle w:val="Prvn"/>
        <w:rPr>
          <w:rFonts w:cs="Times New Roman"/>
        </w:rPr>
      </w:pPr>
      <w:r w:rsidRPr="001E7829">
        <w:rPr>
          <w:rFonts w:cs="Times New Roman"/>
        </w:rPr>
        <w:t xml:space="preserve">Operace na volném trhu jsou hlavním monetárně-politickým nástrojem centrálních bank. Ty při nich prodávají nebo nakupují státní cenné papíry (většinou od komerčních bank) a tím ovlivňují množství peněz v ekonomice a úrokovou sazbu. Při prodeji cenných papírů centrální banka </w:t>
      </w:r>
      <w:r w:rsidRPr="001E7829">
        <w:rPr>
          <w:rFonts w:cs="Times New Roman"/>
          <w:i/>
        </w:rPr>
        <w:t>de facto</w:t>
      </w:r>
      <w:r w:rsidRPr="001E7829">
        <w:rPr>
          <w:rFonts w:cs="Times New Roman"/>
        </w:rPr>
        <w:t xml:space="preserve"> odčerpává z ekonomiky peníze, a tím zvyšuje konkurenci na straně poptávky po penězích. Úroková sazba tak roste. Naopak při nákupu cenných papírů centrální bankou se do ekonomiky dostává více peněz a úroková sazba klesá.</w:t>
      </w:r>
    </w:p>
    <w:p w:rsidR="00637044" w:rsidRPr="001E7829" w:rsidRDefault="002262DC" w:rsidP="002262DC">
      <w:pPr>
        <w:pStyle w:val="Druh"/>
        <w:rPr>
          <w:rFonts w:cs="Times New Roman"/>
        </w:rPr>
      </w:pPr>
      <w:r w:rsidRPr="001E7829">
        <w:rPr>
          <w:rFonts w:cs="Times New Roman"/>
        </w:rPr>
        <w:t xml:space="preserve">Nejběžnějším nástrojem tohoto typu jsou </w:t>
      </w:r>
      <w:proofErr w:type="spellStart"/>
      <w:r w:rsidRPr="001E7829">
        <w:rPr>
          <w:rFonts w:cs="Times New Roman"/>
        </w:rPr>
        <w:t>repo</w:t>
      </w:r>
      <w:proofErr w:type="spellEnd"/>
      <w:r w:rsidRPr="001E7829">
        <w:rPr>
          <w:rFonts w:cs="Times New Roman"/>
        </w:rPr>
        <w:t xml:space="preserve"> operace, při kterých centrální banka přijímá přebytečnou likviditu komerčních bank výměnou za dohodnuté cenné papíry. Následně po uplynutí doby splatnosti vrátí obě strany plnění nazpět, v případě centrální banky navíc zvýšené o smluvený úrok.</w:t>
      </w:r>
      <w:r w:rsidRPr="001E7829">
        <w:rPr>
          <w:rStyle w:val="Znakapoznpodarou"/>
          <w:rFonts w:cs="Times New Roman"/>
        </w:rPr>
        <w:footnoteReference w:id="10"/>
      </w:r>
      <w:r w:rsidR="00E40DA4" w:rsidRPr="001E7829">
        <w:rPr>
          <w:rFonts w:cs="Times New Roman"/>
        </w:rPr>
        <w:t xml:space="preserve"> Velikost tohoto úroku je určena tzv. </w:t>
      </w:r>
      <w:proofErr w:type="spellStart"/>
      <w:r w:rsidR="00E40DA4" w:rsidRPr="001E7829">
        <w:rPr>
          <w:rFonts w:cs="Times New Roman"/>
        </w:rPr>
        <w:t>repo</w:t>
      </w:r>
      <w:proofErr w:type="spellEnd"/>
      <w:r w:rsidR="00E40DA4" w:rsidRPr="001E7829">
        <w:rPr>
          <w:rFonts w:cs="Times New Roman"/>
        </w:rPr>
        <w:t xml:space="preserve"> sazbou</w:t>
      </w:r>
      <w:r w:rsidR="00072F2A" w:rsidRPr="001E7829">
        <w:rPr>
          <w:rFonts w:cs="Times New Roman"/>
        </w:rPr>
        <w:t xml:space="preserve">, jejíž varianta pro dvoutýdenní </w:t>
      </w:r>
      <w:proofErr w:type="spellStart"/>
      <w:r w:rsidR="00072F2A" w:rsidRPr="001E7829">
        <w:rPr>
          <w:rFonts w:cs="Times New Roman"/>
        </w:rPr>
        <w:t>repo</w:t>
      </w:r>
      <w:proofErr w:type="spellEnd"/>
      <w:r w:rsidR="00072F2A" w:rsidRPr="001E7829">
        <w:rPr>
          <w:rFonts w:cs="Times New Roman"/>
        </w:rPr>
        <w:t xml:space="preserve"> operace (2T </w:t>
      </w:r>
      <w:proofErr w:type="spellStart"/>
      <w:r w:rsidR="00072F2A" w:rsidRPr="001E7829">
        <w:rPr>
          <w:rFonts w:cs="Times New Roman"/>
        </w:rPr>
        <w:t>repo</w:t>
      </w:r>
      <w:proofErr w:type="spellEnd"/>
      <w:r w:rsidR="00072F2A" w:rsidRPr="001E7829">
        <w:rPr>
          <w:rFonts w:cs="Times New Roman"/>
        </w:rPr>
        <w:t xml:space="preserve"> sazba) patří spolu s diskontní a lombardní sazbou mezi nejdůležitější sazby v ekonomice.</w:t>
      </w:r>
      <w:r w:rsidR="00072F2A" w:rsidRPr="001E7829">
        <w:rPr>
          <w:rStyle w:val="Znakapoznpodarou"/>
          <w:rFonts w:cs="Times New Roman"/>
        </w:rPr>
        <w:footnoteReference w:id="11"/>
      </w:r>
      <w:r w:rsidRPr="001E7829">
        <w:rPr>
          <w:rFonts w:cs="Times New Roman"/>
        </w:rPr>
        <w:t xml:space="preserve"> Výhodou operací na volném trhu je jejich operativnost, pružnost a nízké náklady, přičemž efektivnost a dopad provedeného opatření lze předem relativně úspěšně kvantifikovat.</w:t>
      </w:r>
      <w:r w:rsidRPr="001E7829">
        <w:rPr>
          <w:rStyle w:val="Znakapoznpodarou"/>
          <w:rFonts w:cs="Times New Roman"/>
        </w:rPr>
        <w:footnoteReference w:id="12"/>
      </w:r>
    </w:p>
    <w:p w:rsidR="00604F25" w:rsidRPr="001E7829" w:rsidRDefault="00604F25" w:rsidP="00604F25">
      <w:pPr>
        <w:rPr>
          <w:rFonts w:ascii="Times New Roman" w:hAnsi="Times New Roman" w:cs="Times New Roman"/>
          <w:b/>
          <w:sz w:val="24"/>
        </w:rPr>
      </w:pPr>
    </w:p>
    <w:p w:rsidR="009F5289" w:rsidRPr="001E7829" w:rsidRDefault="009F5289" w:rsidP="00604F25">
      <w:pPr>
        <w:rPr>
          <w:rFonts w:ascii="Times New Roman" w:hAnsi="Times New Roman" w:cs="Times New Roman"/>
          <w:b/>
          <w:sz w:val="24"/>
        </w:rPr>
      </w:pPr>
    </w:p>
    <w:p w:rsidR="009F5289" w:rsidRPr="001E7829" w:rsidRDefault="009F5289" w:rsidP="00604F25">
      <w:pPr>
        <w:rPr>
          <w:rFonts w:ascii="Times New Roman" w:hAnsi="Times New Roman" w:cs="Times New Roman"/>
          <w:b/>
          <w:sz w:val="24"/>
        </w:rPr>
      </w:pPr>
    </w:p>
    <w:p w:rsidR="00604F25" w:rsidRPr="001E7829" w:rsidRDefault="00604F25" w:rsidP="00604F25">
      <w:pPr>
        <w:rPr>
          <w:rFonts w:ascii="Times New Roman" w:hAnsi="Times New Roman" w:cs="Times New Roman"/>
          <w:b/>
          <w:sz w:val="24"/>
        </w:rPr>
      </w:pPr>
      <w:r w:rsidRPr="001E7829">
        <w:rPr>
          <w:rFonts w:ascii="Times New Roman" w:hAnsi="Times New Roman" w:cs="Times New Roman"/>
          <w:b/>
          <w:sz w:val="24"/>
        </w:rPr>
        <w:lastRenderedPageBreak/>
        <w:t>Diskontní nástroje</w:t>
      </w:r>
    </w:p>
    <w:p w:rsidR="00604F25" w:rsidRPr="001E7829" w:rsidRDefault="00803F4B" w:rsidP="00B40EB7">
      <w:pPr>
        <w:pStyle w:val="Prvn"/>
        <w:rPr>
          <w:rFonts w:cs="Times New Roman"/>
        </w:rPr>
      </w:pPr>
      <w:r w:rsidRPr="001E7829">
        <w:rPr>
          <w:rFonts w:cs="Times New Roman"/>
        </w:rPr>
        <w:t>Pod tímto pojmem chápeme tři základní typy úvěrů, které poskytují centrální banky komerčním bankám, a sazby, kterými jsou tyto úvěry úročeny. Diskontní úvěr je běžným úvěrem, který se poskytuje za předem stanovených podmínek, a diskontní sazba, která se k tomuto úvěru váže, bývá nejnižší úrokovou sazbou v ekonomice. Reeskontní úvěr poskytuje centrální banka komerčním bankám formou odkupu eskontovaných směnek</w:t>
      </w:r>
      <w:r w:rsidR="00A10056" w:rsidRPr="001E7829">
        <w:rPr>
          <w:rFonts w:cs="Times New Roman"/>
        </w:rPr>
        <w:t xml:space="preserve"> v hodnotě, která je snížena o reeskontní sazbu. Lombardní úvěr poskytne centrální banka komerční bance oproti zástavě cenných papírů v případě, že má mimořádné problémy s likviditou. S tímto úvěrem související lombardní sazba bývá nejvyšší sazbou v ekonomice.</w:t>
      </w:r>
    </w:p>
    <w:p w:rsidR="00DC44DD" w:rsidRPr="001E7829" w:rsidRDefault="004B360B" w:rsidP="00A10056">
      <w:pPr>
        <w:pStyle w:val="Druh"/>
        <w:rPr>
          <w:rFonts w:cs="Times New Roman"/>
        </w:rPr>
      </w:pPr>
      <w:r w:rsidRPr="001E7829">
        <w:rPr>
          <w:rFonts w:cs="Times New Roman"/>
        </w:rPr>
        <w:t>Poskytování uvedených úvěrů zvyšuje peněžní zásobu a má tak účinky monetární expanze.</w:t>
      </w:r>
      <w:r w:rsidRPr="001E7829">
        <w:rPr>
          <w:rStyle w:val="Znakapoznpodarou"/>
          <w:rFonts w:cs="Times New Roman"/>
        </w:rPr>
        <w:footnoteReference w:id="13"/>
      </w:r>
      <w:r w:rsidRPr="001E7829">
        <w:rPr>
          <w:rFonts w:cs="Times New Roman"/>
        </w:rPr>
        <w:t xml:space="preserve"> Změnou výše jednotlivých úrokových sazeb pak centrální banka ovlivňuje poptávku komerčních bank po těchto úvěrech, a zejména v případě diskontní sazby pak také </w:t>
      </w:r>
      <w:r w:rsidR="00DC44DD" w:rsidRPr="001E7829">
        <w:rPr>
          <w:rFonts w:cs="Times New Roman"/>
        </w:rPr>
        <w:t>úrokovou sazbu úvěrů poskytovaných komerčními bankami konečným klientům. Jelikož však jde o nepřímý nástroj, závisí jeho účinnost na množství různých faktorů, např. závislosti komerčních bank na zdrojích vypůjčených od centrální banky a jejich možnosti získat úvěry od jiných subjektů.</w:t>
      </w:r>
    </w:p>
    <w:p w:rsidR="00735EFE" w:rsidRPr="001E7829" w:rsidRDefault="00DC44DD" w:rsidP="00A10056">
      <w:pPr>
        <w:pStyle w:val="Druh"/>
        <w:rPr>
          <w:rFonts w:cs="Times New Roman"/>
        </w:rPr>
      </w:pPr>
      <w:r w:rsidRPr="001E7829">
        <w:rPr>
          <w:rFonts w:cs="Times New Roman"/>
        </w:rPr>
        <w:t>Pro zjednodušení tedy můžeme shrnout, že snížením úrokových sazeb diskontních nástrojů provádí centrální banka expanzi a jejich zvýšením restrikci.</w:t>
      </w:r>
      <w:r w:rsidRPr="001E7829">
        <w:rPr>
          <w:rStyle w:val="Znakapoznpodarou"/>
          <w:rFonts w:cs="Times New Roman"/>
        </w:rPr>
        <w:footnoteReference w:id="14"/>
      </w:r>
      <w:r w:rsidR="009F1129" w:rsidRPr="001E7829">
        <w:rPr>
          <w:rFonts w:cs="Times New Roman"/>
        </w:rPr>
        <w:t xml:space="preserve"> </w:t>
      </w:r>
      <w:r w:rsidR="002168FD" w:rsidRPr="001E7829">
        <w:rPr>
          <w:rFonts w:cs="Times New Roman"/>
        </w:rPr>
        <w:t>Tento typ nástroje je relativně operativní, centrální bank</w:t>
      </w:r>
      <w:r w:rsidR="001820B3" w:rsidRPr="001E7829">
        <w:rPr>
          <w:rFonts w:cs="Times New Roman"/>
        </w:rPr>
        <w:t>y</w:t>
      </w:r>
      <w:r w:rsidR="002168FD" w:rsidRPr="001E7829">
        <w:rPr>
          <w:rFonts w:cs="Times New Roman"/>
        </w:rPr>
        <w:t xml:space="preserve"> však většinou preferují stabilitu úrokových sazeb.</w:t>
      </w:r>
      <w:r w:rsidR="002168FD" w:rsidRPr="001E7829">
        <w:rPr>
          <w:rStyle w:val="Znakapoznpodarou"/>
          <w:rFonts w:cs="Times New Roman"/>
        </w:rPr>
        <w:footnoteReference w:id="15"/>
      </w:r>
    </w:p>
    <w:p w:rsidR="009B2202" w:rsidRPr="001E7829" w:rsidRDefault="009B2202" w:rsidP="00A10056">
      <w:pPr>
        <w:pStyle w:val="Druh"/>
        <w:rPr>
          <w:rFonts w:cs="Times New Roman"/>
        </w:rPr>
      </w:pPr>
    </w:p>
    <w:p w:rsidR="00A10056" w:rsidRPr="001E7829" w:rsidRDefault="00735EFE" w:rsidP="00735EFE">
      <w:pPr>
        <w:rPr>
          <w:rFonts w:ascii="Times New Roman" w:hAnsi="Times New Roman" w:cs="Times New Roman"/>
          <w:sz w:val="24"/>
        </w:rPr>
      </w:pPr>
      <w:r w:rsidRPr="001E7829">
        <w:rPr>
          <w:rFonts w:ascii="Times New Roman" w:hAnsi="Times New Roman" w:cs="Times New Roman"/>
          <w:b/>
          <w:sz w:val="24"/>
        </w:rPr>
        <w:t>Kurzové intervence</w:t>
      </w:r>
    </w:p>
    <w:p w:rsidR="00604F25" w:rsidRPr="001E7829" w:rsidRDefault="00861549" w:rsidP="00B40EB7">
      <w:pPr>
        <w:pStyle w:val="Prvn"/>
        <w:rPr>
          <w:rFonts w:cs="Times New Roman"/>
        </w:rPr>
      </w:pPr>
      <w:r w:rsidRPr="001E7829">
        <w:rPr>
          <w:rFonts w:cs="Times New Roman"/>
        </w:rPr>
        <w:t xml:space="preserve">Zatímco cílem operací na volném trhu a diskontních nástrojů je regulace měnové báze (rezerv bank) a změna krátkodobé úrokové míry, účelem kurzových intervencí je ovlivnění kurzu domácí měny, který je v tržní ekonomice určován </w:t>
      </w:r>
      <w:r w:rsidRPr="001E7829">
        <w:rPr>
          <w:rFonts w:cs="Times New Roman"/>
        </w:rPr>
        <w:lastRenderedPageBreak/>
        <w:t>nabídkou a poptávkou po domácí měně a měnách zahraničních. Centrální banka se tedy snaží ovlivnit vztah mezi nabídkou a poptávkou na měnovém trhu a tím i rovnovážnou cenu, kterou je měnový kurz.</w:t>
      </w:r>
    </w:p>
    <w:p w:rsidR="00861549" w:rsidRPr="001E7829" w:rsidRDefault="00861549" w:rsidP="00861549">
      <w:pPr>
        <w:pStyle w:val="Druh"/>
        <w:rPr>
          <w:rFonts w:cs="Times New Roman"/>
        </w:rPr>
      </w:pPr>
      <w:r w:rsidRPr="001E7829">
        <w:rPr>
          <w:rFonts w:cs="Times New Roman"/>
        </w:rPr>
        <w:t>Provádí-li centrální banka intervence nákupem či prodejem zahraničních měn za domácí měnu od obchodních a jiných bank, hovoříme o devizových intervencích. Ty probíhají vždy bezhotovostně a jsou-li měny vol</w:t>
      </w:r>
      <w:r w:rsidR="007F73B4" w:rsidRPr="001E7829">
        <w:rPr>
          <w:rFonts w:cs="Times New Roman"/>
        </w:rPr>
        <w:t>ně směnitelné, mohou být prováděny i na zahraničních devizových trzích. Centrální banka může měnový kurz ovlivnit rovněž změnami svých úrokových sazeb, sazeb povinných minimálních rezerv nebo různými administrativními opatřeními. Tento druh intervencí se označuje jako nepřímé intervence.</w:t>
      </w:r>
    </w:p>
    <w:p w:rsidR="007F73B4" w:rsidRPr="001E7829" w:rsidRDefault="007F73B4" w:rsidP="00861549">
      <w:pPr>
        <w:pStyle w:val="Druh"/>
        <w:rPr>
          <w:rFonts w:cs="Times New Roman"/>
        </w:rPr>
      </w:pPr>
      <w:r w:rsidRPr="001E7829">
        <w:rPr>
          <w:rFonts w:cs="Times New Roman"/>
        </w:rPr>
        <w:t>Z pohledu kurzové politiky znamená nákup zahraniční měny centrální bankou zvýšení poptávky po této měně na devizovém trhu, a tím dochází k znehodnocení (depreciaci) domácí měny. Naopak prodejem zahraniční měny zvyšuje centrální banka její nabídku a v důsledku toho domácí měna posiluje (</w:t>
      </w:r>
      <w:proofErr w:type="spellStart"/>
      <w:r w:rsidRPr="001E7829">
        <w:rPr>
          <w:rFonts w:cs="Times New Roman"/>
        </w:rPr>
        <w:t>apreciuje</w:t>
      </w:r>
      <w:proofErr w:type="spellEnd"/>
      <w:r w:rsidRPr="001E7829">
        <w:rPr>
          <w:rFonts w:cs="Times New Roman"/>
        </w:rPr>
        <w:t>).</w:t>
      </w:r>
      <w:r w:rsidR="009C5346" w:rsidRPr="001E7829">
        <w:rPr>
          <w:rStyle w:val="Znakapoznpodarou"/>
          <w:rFonts w:cs="Times New Roman"/>
        </w:rPr>
        <w:footnoteReference w:id="16"/>
      </w:r>
      <w:r w:rsidR="009C5346" w:rsidRPr="001E7829">
        <w:rPr>
          <w:rFonts w:cs="Times New Roman"/>
        </w:rPr>
        <w:t xml:space="preserve"> Současně nákupem zahraniční měny za měnu domácí na tuzemském trhu zvyšuje centrální banka množství domácí měny v ekonomice a tím ovlivňuje měnovou bázi podobně jako </w:t>
      </w:r>
      <w:r w:rsidR="00371C5B" w:rsidRPr="001E7829">
        <w:rPr>
          <w:rFonts w:cs="Times New Roman"/>
        </w:rPr>
        <w:t>operacemi na volném trhu nebo diskontní politikou. Prodej zahraniční měny za stejných podmínek má samozřejmě právě opačný efekt.</w:t>
      </w:r>
      <w:r w:rsidR="00371C5B" w:rsidRPr="001E7829">
        <w:rPr>
          <w:rStyle w:val="Znakapoznpodarou"/>
          <w:rFonts w:cs="Times New Roman"/>
        </w:rPr>
        <w:footnoteReference w:id="17"/>
      </w:r>
    </w:p>
    <w:p w:rsidR="00371C5B" w:rsidRPr="001E7829" w:rsidRDefault="00371C5B" w:rsidP="00861549">
      <w:pPr>
        <w:pStyle w:val="Druh"/>
        <w:rPr>
          <w:rFonts w:cs="Times New Roman"/>
        </w:rPr>
      </w:pPr>
      <w:r w:rsidRPr="001E7829">
        <w:rPr>
          <w:rFonts w:cs="Times New Roman"/>
        </w:rPr>
        <w:t>Pro účely zkoumání monetární politiky je velmi důležité vědět, zda domácí měna funguje v režimu fixního nebo plovoucího kurzu. V režimu fixního, nebo též pevného kurzu intervenuje centrální banka</w:t>
      </w:r>
      <w:r w:rsidR="00737DB4" w:rsidRPr="001E7829">
        <w:rPr>
          <w:rFonts w:cs="Times New Roman"/>
        </w:rPr>
        <w:t xml:space="preserve"> tak</w:t>
      </w:r>
      <w:r w:rsidRPr="001E7829">
        <w:rPr>
          <w:rFonts w:cs="Times New Roman"/>
        </w:rPr>
        <w:t>, aby udržela kurz v určitém předem stanoveném fluktuačním pásmu</w:t>
      </w:r>
      <w:r w:rsidR="00737DB4" w:rsidRPr="001E7829">
        <w:rPr>
          <w:rFonts w:cs="Times New Roman"/>
        </w:rPr>
        <w:t xml:space="preserve"> okolo hodnoty, která se označuje jako centrální parita. K tomu musí neustále disponovat potřebnými devizovými rezervami. V případě, že tyto rezervy nejsou k obraně kurzu dostatečné, musí banka měnu uměle oslabit (devalvovat). </w:t>
      </w:r>
      <w:r w:rsidR="00072F2A" w:rsidRPr="001E7829">
        <w:rPr>
          <w:rFonts w:cs="Times New Roman"/>
        </w:rPr>
        <w:t xml:space="preserve">Tento </w:t>
      </w:r>
      <w:r w:rsidR="00B25F34" w:rsidRPr="001E7829">
        <w:rPr>
          <w:rFonts w:cs="Times New Roman"/>
        </w:rPr>
        <w:t>režim</w:t>
      </w:r>
      <w:r w:rsidR="00072F2A" w:rsidRPr="001E7829">
        <w:rPr>
          <w:rFonts w:cs="Times New Roman"/>
        </w:rPr>
        <w:t xml:space="preserve"> se využíval</w:t>
      </w:r>
      <w:r w:rsidR="00737DB4" w:rsidRPr="001E7829">
        <w:rPr>
          <w:rFonts w:cs="Times New Roman"/>
        </w:rPr>
        <w:t xml:space="preserve"> zejména v rámci tzv. </w:t>
      </w:r>
      <w:proofErr w:type="spellStart"/>
      <w:r w:rsidR="00737DB4" w:rsidRPr="001E7829">
        <w:rPr>
          <w:rFonts w:cs="Times New Roman"/>
        </w:rPr>
        <w:t>bretton-w</w:t>
      </w:r>
      <w:r w:rsidR="00B25F34" w:rsidRPr="001E7829">
        <w:rPr>
          <w:rFonts w:cs="Times New Roman"/>
        </w:rPr>
        <w:t>oodského</w:t>
      </w:r>
      <w:proofErr w:type="spellEnd"/>
      <w:r w:rsidR="00B25F34" w:rsidRPr="001E7829">
        <w:rPr>
          <w:rFonts w:cs="Times New Roman"/>
        </w:rPr>
        <w:t xml:space="preserve"> systému od konce 2. světové</w:t>
      </w:r>
      <w:r w:rsidR="00737DB4" w:rsidRPr="001E7829">
        <w:rPr>
          <w:rFonts w:cs="Times New Roman"/>
        </w:rPr>
        <w:t xml:space="preserve"> války až po jeho rozpad. Jak ale uvidíme dále, po určitou dobu jej využívala rovněž Česká republika. Naproti </w:t>
      </w:r>
      <w:r w:rsidR="00737DB4" w:rsidRPr="001E7829">
        <w:rPr>
          <w:rFonts w:cs="Times New Roman"/>
        </w:rPr>
        <w:lastRenderedPageBreak/>
        <w:t xml:space="preserve">tomu v režimu plovoucího kurzu, který se také označuje jako pružný nebo </w:t>
      </w:r>
      <w:proofErr w:type="spellStart"/>
      <w:r w:rsidR="00737DB4" w:rsidRPr="001E7829">
        <w:rPr>
          <w:rFonts w:cs="Times New Roman"/>
        </w:rPr>
        <w:t>floating</w:t>
      </w:r>
      <w:proofErr w:type="spellEnd"/>
      <w:r w:rsidR="00737DB4" w:rsidRPr="001E7829">
        <w:rPr>
          <w:rFonts w:cs="Times New Roman"/>
        </w:rPr>
        <w:t>, je kur</w:t>
      </w:r>
      <w:r w:rsidR="00072F2A" w:rsidRPr="001E7829">
        <w:rPr>
          <w:rFonts w:cs="Times New Roman"/>
        </w:rPr>
        <w:t>z ponechán, aby se přizpůsoboval</w:t>
      </w:r>
      <w:r w:rsidR="00737DB4" w:rsidRPr="001E7829">
        <w:rPr>
          <w:rFonts w:cs="Times New Roman"/>
        </w:rPr>
        <w:t xml:space="preserve"> nabídce a poptávce na trhu a volně se tak pohyboval podle aktuální situace. Na rozdíl od fixního kurzu jsou zde </w:t>
      </w:r>
      <w:r w:rsidR="00200FA2" w:rsidRPr="001E7829">
        <w:rPr>
          <w:rFonts w:cs="Times New Roman"/>
        </w:rPr>
        <w:t>intervence nepovinné a centrální banka k nim většinou přistupuje pouze v případě hrozících významných</w:t>
      </w:r>
      <w:r w:rsidR="007A5C70" w:rsidRPr="001E7829">
        <w:rPr>
          <w:rFonts w:cs="Times New Roman"/>
        </w:rPr>
        <w:t xml:space="preserve"> </w:t>
      </w:r>
      <w:r w:rsidR="00200FA2" w:rsidRPr="001E7829">
        <w:rPr>
          <w:rFonts w:cs="Times New Roman"/>
        </w:rPr>
        <w:t xml:space="preserve">kurzových výkyvů. Tomuto režimu s občasnými zásahy centrální banky se </w:t>
      </w:r>
      <w:r w:rsidR="00072F2A" w:rsidRPr="001E7829">
        <w:rPr>
          <w:rFonts w:cs="Times New Roman"/>
        </w:rPr>
        <w:t>pak</w:t>
      </w:r>
      <w:r w:rsidR="00200FA2" w:rsidRPr="001E7829">
        <w:rPr>
          <w:rFonts w:cs="Times New Roman"/>
        </w:rPr>
        <w:t xml:space="preserve"> říká řízený </w:t>
      </w:r>
      <w:proofErr w:type="spellStart"/>
      <w:r w:rsidR="00200FA2" w:rsidRPr="001E7829">
        <w:rPr>
          <w:rFonts w:cs="Times New Roman"/>
        </w:rPr>
        <w:t>floating</w:t>
      </w:r>
      <w:proofErr w:type="spellEnd"/>
      <w:r w:rsidR="00200FA2" w:rsidRPr="001E7829">
        <w:rPr>
          <w:rFonts w:cs="Times New Roman"/>
        </w:rPr>
        <w:t>.</w:t>
      </w:r>
      <w:r w:rsidR="00200FA2" w:rsidRPr="001E7829">
        <w:rPr>
          <w:rStyle w:val="Znakapoznpodarou"/>
          <w:rFonts w:cs="Times New Roman"/>
        </w:rPr>
        <w:footnoteReference w:id="18"/>
      </w:r>
    </w:p>
    <w:p w:rsidR="007A5C70" w:rsidRPr="001E7829" w:rsidRDefault="007A5C70" w:rsidP="00861549">
      <w:pPr>
        <w:pStyle w:val="Druh"/>
        <w:rPr>
          <w:rFonts w:cs="Times New Roman"/>
        </w:rPr>
      </w:pPr>
    </w:p>
    <w:p w:rsidR="00A766F0" w:rsidRPr="001E7829" w:rsidRDefault="00A766F0" w:rsidP="00A766F0">
      <w:pPr>
        <w:rPr>
          <w:rFonts w:ascii="Times New Roman" w:hAnsi="Times New Roman" w:cs="Times New Roman"/>
          <w:b/>
          <w:sz w:val="24"/>
        </w:rPr>
      </w:pPr>
      <w:r w:rsidRPr="001E7829">
        <w:rPr>
          <w:rFonts w:ascii="Times New Roman" w:hAnsi="Times New Roman" w:cs="Times New Roman"/>
          <w:b/>
          <w:sz w:val="24"/>
        </w:rPr>
        <w:t>Povinné minimální rezervy</w:t>
      </w:r>
    </w:p>
    <w:p w:rsidR="003C07C1" w:rsidRPr="001E7829" w:rsidRDefault="00FF57D2" w:rsidP="00B40EB7">
      <w:pPr>
        <w:pStyle w:val="Prvn"/>
        <w:rPr>
          <w:rFonts w:cs="Times New Roman"/>
        </w:rPr>
      </w:pPr>
      <w:r w:rsidRPr="001E7829">
        <w:rPr>
          <w:rFonts w:cs="Times New Roman"/>
        </w:rPr>
        <w:t>Tento nástroj je využíván spíše k zajištění plynulosti mezibankovního styku, než k úpravám množství peněžní zásoby, přesto může mít i v této oblasti svůj význam.</w:t>
      </w:r>
      <w:r w:rsidRPr="001E7829">
        <w:rPr>
          <w:rStyle w:val="Znakapoznpodarou"/>
          <w:rFonts w:cs="Times New Roman"/>
        </w:rPr>
        <w:footnoteReference w:id="19"/>
      </w:r>
      <w:r w:rsidR="00CE0705" w:rsidRPr="001E7829">
        <w:rPr>
          <w:rFonts w:cs="Times New Roman"/>
        </w:rPr>
        <w:t xml:space="preserve"> </w:t>
      </w:r>
      <w:r w:rsidR="00C06301" w:rsidRPr="001E7829">
        <w:rPr>
          <w:rFonts w:cs="Times New Roman"/>
        </w:rPr>
        <w:t xml:space="preserve">Jedná se o obligatorně vytvářené vklady komerčních bank u centrální banky, jejichž výše je stanovena jako procentní část z vkladů domácích nebankovních subjektů u těchto bank. Snížení procentní sazby povinných minimálních rezerv má za důsledek zvýšení množství finančních zdrojů, které mají banky k dispozici a které mohou ve formě úvěrů poskytnout svým klientům. Díky tzv. multiplikačnímu účinku úvěrů dochází tímto způsobem ke zvyšování množství peněz v ekonomice. Snížení sazby tedy funguje jako expanze a zvýšení jako restrikce. </w:t>
      </w:r>
    </w:p>
    <w:p w:rsidR="00A766F0" w:rsidRPr="001E7829" w:rsidRDefault="00C06301" w:rsidP="003C07C1">
      <w:pPr>
        <w:pStyle w:val="Druh"/>
        <w:rPr>
          <w:rFonts w:cs="Times New Roman"/>
        </w:rPr>
      </w:pPr>
      <w:r w:rsidRPr="001E7829">
        <w:rPr>
          <w:rFonts w:cs="Times New Roman"/>
        </w:rPr>
        <w:t>Povinné minimální rezervy jsou tedy relativně efektivním nástrojem regulace úvěrové kapacity bank</w:t>
      </w:r>
      <w:r w:rsidR="003C07C1" w:rsidRPr="001E7829">
        <w:rPr>
          <w:rFonts w:cs="Times New Roman"/>
        </w:rPr>
        <w:t>, současně však jde o nástroj administrativně náročný, neboť úpravu sazby musí centrální banka vyhlašovat s výrazným časovým předstihem, aby umožnila komerčním bankám se změně přizpůsobit.</w:t>
      </w:r>
      <w:r w:rsidR="00CE0705" w:rsidRPr="001E7829">
        <w:rPr>
          <w:rFonts w:cs="Times New Roman"/>
        </w:rPr>
        <w:t xml:space="preserve"> </w:t>
      </w:r>
      <w:r w:rsidR="003C07C1" w:rsidRPr="001E7829">
        <w:rPr>
          <w:rFonts w:cs="Times New Roman"/>
        </w:rPr>
        <w:t>Účinnost úpravy pak nastává s určitým časovým zpožděním, rezervy jsou tedy oproti ostatním nástrojům méně operativní.</w:t>
      </w:r>
      <w:r w:rsidR="003C07C1" w:rsidRPr="001E7829">
        <w:rPr>
          <w:rStyle w:val="Znakapoznpodarou"/>
          <w:rFonts w:cs="Times New Roman"/>
        </w:rPr>
        <w:footnoteReference w:id="20"/>
      </w:r>
    </w:p>
    <w:p w:rsidR="0003331A" w:rsidRPr="001E7829" w:rsidRDefault="00DE1409" w:rsidP="0003331A">
      <w:pPr>
        <w:pStyle w:val="1310"/>
        <w:rPr>
          <w:rFonts w:cs="Times New Roman"/>
        </w:rPr>
      </w:pPr>
      <w:bookmarkStart w:id="15" w:name="_Toc444083226"/>
      <w:bookmarkStart w:id="16" w:name="_Toc444516052"/>
      <w:bookmarkStart w:id="17" w:name="_Toc446604196"/>
      <w:r w:rsidRPr="001E7829">
        <w:rPr>
          <w:rFonts w:cs="Times New Roman"/>
        </w:rPr>
        <w:lastRenderedPageBreak/>
        <w:t>P</w:t>
      </w:r>
      <w:r w:rsidR="0003331A" w:rsidRPr="001E7829">
        <w:rPr>
          <w:rFonts w:cs="Times New Roman"/>
        </w:rPr>
        <w:t>římé nástroje</w:t>
      </w:r>
      <w:bookmarkEnd w:id="15"/>
      <w:bookmarkEnd w:id="16"/>
      <w:bookmarkEnd w:id="17"/>
    </w:p>
    <w:p w:rsidR="00FD701C" w:rsidRPr="001E7829" w:rsidRDefault="006C7871" w:rsidP="00B40EB7">
      <w:pPr>
        <w:pStyle w:val="Prvn"/>
        <w:rPr>
          <w:rFonts w:cs="Times New Roman"/>
        </w:rPr>
      </w:pPr>
      <w:r w:rsidRPr="001E7829">
        <w:rPr>
          <w:rFonts w:cs="Times New Roman"/>
        </w:rPr>
        <w:t>Přímé nástroje mají sice vyšší účinnost než nepřímé, přesto jsou však využívány v mnohem menším rozsahu. Důvodem je fakt, že omezují rozhodování a podnikatelskou samostatnost komerčních bank. Často jsou navíc uplatň</w:t>
      </w:r>
      <w:r w:rsidR="00FD701C" w:rsidRPr="001E7829">
        <w:rPr>
          <w:rFonts w:cs="Times New Roman"/>
        </w:rPr>
        <w:t>ovány selektivně vůči konkrétní bance nebo skupině bank.</w:t>
      </w:r>
      <w:r w:rsidRPr="001E7829">
        <w:rPr>
          <w:rFonts w:cs="Times New Roman"/>
        </w:rPr>
        <w:t xml:space="preserve"> Z pohledu tržní ekonomiky tedy nejsou</w:t>
      </w:r>
      <w:r w:rsidR="00FD701C" w:rsidRPr="001E7829">
        <w:rPr>
          <w:rFonts w:cs="Times New Roman"/>
        </w:rPr>
        <w:t xml:space="preserve"> tyto nástroje ideální a centrální banky se proto snaží jejich využití omezit co do frekvence i časového trvání. Řadíme sem limity úvěrů bank, limity úrokových sazeb bank, povinné vklady, pravidla likvidity a také různá doporučení, výzvy a dohody.</w:t>
      </w:r>
      <w:r w:rsidR="00FD701C" w:rsidRPr="001E7829">
        <w:rPr>
          <w:rStyle w:val="Znakapoznpodarou"/>
          <w:rFonts w:cs="Times New Roman"/>
        </w:rPr>
        <w:footnoteReference w:id="21"/>
      </w:r>
    </w:p>
    <w:p w:rsidR="007A5C70" w:rsidRPr="001E7829" w:rsidRDefault="007A5C70" w:rsidP="007A5C70">
      <w:pPr>
        <w:pStyle w:val="Druh"/>
        <w:rPr>
          <w:rFonts w:cs="Times New Roman"/>
        </w:rPr>
      </w:pPr>
    </w:p>
    <w:p w:rsidR="00FD701C" w:rsidRPr="001E7829" w:rsidRDefault="00FD701C" w:rsidP="00FD701C">
      <w:pPr>
        <w:rPr>
          <w:rFonts w:ascii="Times New Roman" w:hAnsi="Times New Roman" w:cs="Times New Roman"/>
          <w:b/>
          <w:sz w:val="24"/>
        </w:rPr>
      </w:pPr>
      <w:r w:rsidRPr="001E7829">
        <w:rPr>
          <w:rFonts w:ascii="Times New Roman" w:hAnsi="Times New Roman" w:cs="Times New Roman"/>
          <w:b/>
          <w:sz w:val="24"/>
        </w:rPr>
        <w:t>Limity úvěrů bank</w:t>
      </w:r>
    </w:p>
    <w:p w:rsidR="00EC7852" w:rsidRPr="001E7829" w:rsidRDefault="00B7019E" w:rsidP="00B40EB7">
      <w:pPr>
        <w:pStyle w:val="Prvn"/>
        <w:rPr>
          <w:rFonts w:cs="Times New Roman"/>
        </w:rPr>
      </w:pPr>
      <w:r w:rsidRPr="001E7829">
        <w:rPr>
          <w:rFonts w:cs="Times New Roman"/>
        </w:rPr>
        <w:t>Úvěrové limity, také označované jako úvěrové kontingenty nebo úvěrové st</w:t>
      </w:r>
      <w:r w:rsidR="00B25F34" w:rsidRPr="001E7829">
        <w:rPr>
          <w:rFonts w:cs="Times New Roman"/>
        </w:rPr>
        <w:t>r</w:t>
      </w:r>
      <w:r w:rsidRPr="001E7829">
        <w:rPr>
          <w:rFonts w:cs="Times New Roman"/>
        </w:rPr>
        <w:t>opy, jsou spolu s operacemi na volném trhu nejúčinnějším nástrojem monetární politiky. Mohou nabývat třech forem, a to limitace absolutní výše nově poskytnutých úvěrů bankami</w:t>
      </w:r>
      <w:r w:rsidR="00935254" w:rsidRPr="001E7829">
        <w:rPr>
          <w:rFonts w:cs="Times New Roman"/>
        </w:rPr>
        <w:t xml:space="preserve"> klientům</w:t>
      </w:r>
      <w:r w:rsidRPr="001E7829">
        <w:rPr>
          <w:rFonts w:cs="Times New Roman"/>
        </w:rPr>
        <w:t>, relativní změny množství poskytnutých úvěrů vzhledem k předchozímu období, nebo</w:t>
      </w:r>
      <w:r w:rsidR="00935254" w:rsidRPr="001E7829">
        <w:rPr>
          <w:rFonts w:cs="Times New Roman"/>
        </w:rPr>
        <w:t xml:space="preserve"> jejich</w:t>
      </w:r>
      <w:r w:rsidRPr="001E7829">
        <w:rPr>
          <w:rFonts w:cs="Times New Roman"/>
        </w:rPr>
        <w:t xml:space="preserve"> poměru ke kapitálu či aktivům banky.</w:t>
      </w:r>
      <w:r w:rsidR="00CE0705" w:rsidRPr="001E7829">
        <w:rPr>
          <w:rFonts w:cs="Times New Roman"/>
        </w:rPr>
        <w:t xml:space="preserve"> </w:t>
      </w:r>
      <w:r w:rsidRPr="001E7829">
        <w:rPr>
          <w:rFonts w:cs="Times New Roman"/>
        </w:rPr>
        <w:t>Jak uvidíme později, funguje tento nástroj zejména skrze úvěrový transmisní mechanismus, má však rovněž vliv na měnovou bázi nebo měnový kurz.</w:t>
      </w:r>
      <w:r w:rsidR="00935254" w:rsidRPr="001E7829">
        <w:rPr>
          <w:rFonts w:cs="Times New Roman"/>
        </w:rPr>
        <w:t xml:space="preserve"> Prakticky vyjádřeno pak snížení limitů, neboli omezení finančních prostředků, které jsou bankám dostupné pro úvěrové účely, znamená tlak </w:t>
      </w:r>
      <w:r w:rsidR="00D62E54" w:rsidRPr="001E7829">
        <w:rPr>
          <w:rFonts w:cs="Times New Roman"/>
        </w:rPr>
        <w:t>na růst úrokových sazeb z úvěrů</w:t>
      </w:r>
      <w:r w:rsidR="00935254" w:rsidRPr="001E7829">
        <w:rPr>
          <w:rFonts w:cs="Times New Roman"/>
        </w:rPr>
        <w:t xml:space="preserve"> a tím dochází k monetární restrikci.</w:t>
      </w:r>
      <w:r w:rsidR="00935254" w:rsidRPr="001E7829">
        <w:rPr>
          <w:rStyle w:val="Znakapoznpodarou"/>
          <w:rFonts w:cs="Times New Roman"/>
        </w:rPr>
        <w:footnoteReference w:id="22"/>
      </w:r>
      <w:r w:rsidR="00935254" w:rsidRPr="001E7829">
        <w:rPr>
          <w:rFonts w:cs="Times New Roman"/>
        </w:rPr>
        <w:t xml:space="preserve"> Někdy se do této kategorie zařazují i tzv. relativní limity (výše popsané limity jsou pak limity absolutními), které omezují objem úvěrů, které mohou komerční banky získat od banky centrální.</w:t>
      </w:r>
      <w:r w:rsidR="00531980" w:rsidRPr="001E7829">
        <w:rPr>
          <w:rStyle w:val="Znakapoznpodarou"/>
          <w:rFonts w:cs="Times New Roman"/>
        </w:rPr>
        <w:footnoteReference w:id="23"/>
      </w:r>
    </w:p>
    <w:p w:rsidR="001820B3" w:rsidRPr="001E7829" w:rsidRDefault="001820B3" w:rsidP="00531980">
      <w:pPr>
        <w:pStyle w:val="Druh"/>
        <w:rPr>
          <w:rFonts w:cs="Times New Roman"/>
        </w:rPr>
      </w:pPr>
    </w:p>
    <w:p w:rsidR="009F5289" w:rsidRPr="001E7829" w:rsidRDefault="009F5289" w:rsidP="00531980">
      <w:pPr>
        <w:pStyle w:val="Druh"/>
        <w:rPr>
          <w:rFonts w:cs="Times New Roman"/>
        </w:rPr>
      </w:pPr>
    </w:p>
    <w:p w:rsidR="009F5289" w:rsidRPr="001E7829" w:rsidRDefault="009F5289" w:rsidP="00531980">
      <w:pPr>
        <w:pStyle w:val="Druh"/>
        <w:rPr>
          <w:rFonts w:cs="Times New Roman"/>
        </w:rPr>
      </w:pPr>
    </w:p>
    <w:p w:rsidR="00531980" w:rsidRPr="001E7829" w:rsidRDefault="00531980" w:rsidP="00531980">
      <w:pPr>
        <w:rPr>
          <w:rFonts w:ascii="Times New Roman" w:hAnsi="Times New Roman" w:cs="Times New Roman"/>
          <w:b/>
          <w:sz w:val="24"/>
        </w:rPr>
      </w:pPr>
      <w:r w:rsidRPr="001E7829">
        <w:rPr>
          <w:rFonts w:ascii="Times New Roman" w:hAnsi="Times New Roman" w:cs="Times New Roman"/>
          <w:b/>
          <w:sz w:val="24"/>
        </w:rPr>
        <w:lastRenderedPageBreak/>
        <w:t>Limity úrokových sazeb</w:t>
      </w:r>
    </w:p>
    <w:p w:rsidR="00C75E25" w:rsidRPr="001E7829" w:rsidRDefault="00982EFC" w:rsidP="00B40EB7">
      <w:pPr>
        <w:pStyle w:val="Prvn"/>
        <w:rPr>
          <w:rFonts w:cs="Times New Roman"/>
        </w:rPr>
      </w:pPr>
      <w:r w:rsidRPr="001E7829">
        <w:rPr>
          <w:rFonts w:cs="Times New Roman"/>
        </w:rPr>
        <w:t xml:space="preserve">Tento druh limitů může směřovat buď k regulaci úrokových sazeb z úvěrů bank, nebo úrokových sazeb z vkladů v těchto bankách. </w:t>
      </w:r>
      <w:r w:rsidR="001A668E" w:rsidRPr="001E7829">
        <w:rPr>
          <w:rFonts w:cs="Times New Roman"/>
        </w:rPr>
        <w:t xml:space="preserve">V prvním případě je vždy limitována pouze maximální hodnota sazeb. Cílem limitace sazeb z úvěrů bývá vyvolání odpovídající změny v nastavení těchto sazeb, je však zcela na uvážení komerčních bank, zda ke změnám přistoupí či nikoli, samozřejmě za předpokladu, že sazba je stále v rámci rozmezí určeného limitem. </w:t>
      </w:r>
    </w:p>
    <w:p w:rsidR="00492740" w:rsidRPr="001E7829" w:rsidRDefault="00C75E25" w:rsidP="00C75E25">
      <w:pPr>
        <w:pStyle w:val="Druh"/>
        <w:rPr>
          <w:rFonts w:cs="Times New Roman"/>
        </w:rPr>
      </w:pPr>
      <w:r w:rsidRPr="001E7829">
        <w:rPr>
          <w:rFonts w:cs="Times New Roman"/>
        </w:rPr>
        <w:t>Limity sazeb z vkladů mohou být stanoveny jak pro maximální, tak pro minimální hodnoty, v obou případech za odlišným účelem. Určením horní meze sleduje centrální banka ovlivnění úrokových sazeb podobně jako v případě limitů sazeb z úvěrů. Tímto způsobem se může např. pokusit regulovat příliv vkladů do bank, což má vliv na množství peněžní zásoby a může způsobit odliv zahraničního kapitálu ze země. Spodními limity se naopak centrální banka snaží podpořit tvorbu peněžních úspor v podobě vkladů u bank.</w:t>
      </w:r>
    </w:p>
    <w:p w:rsidR="00492740" w:rsidRPr="001E7829" w:rsidRDefault="00492740" w:rsidP="00C75E25">
      <w:pPr>
        <w:pStyle w:val="Druh"/>
        <w:rPr>
          <w:rFonts w:cs="Times New Roman"/>
        </w:rPr>
      </w:pPr>
      <w:r w:rsidRPr="001E7829">
        <w:rPr>
          <w:rFonts w:cs="Times New Roman"/>
        </w:rPr>
        <w:t>Přes přímý charakter tohoto nástroje je jeho efekt předem velice často poměrně nejistý. Proto se využívá spíše výjimečně.</w:t>
      </w:r>
      <w:r w:rsidRPr="001E7829">
        <w:rPr>
          <w:rStyle w:val="Znakapoznpodarou"/>
          <w:rFonts w:cs="Times New Roman"/>
        </w:rPr>
        <w:footnoteReference w:id="24"/>
      </w:r>
    </w:p>
    <w:p w:rsidR="00492740" w:rsidRPr="001E7829" w:rsidRDefault="00492740" w:rsidP="00C75E25">
      <w:pPr>
        <w:pStyle w:val="Druh"/>
        <w:rPr>
          <w:rFonts w:cs="Times New Roman"/>
        </w:rPr>
      </w:pPr>
    </w:p>
    <w:p w:rsidR="00492740" w:rsidRPr="001E7829" w:rsidRDefault="00492740" w:rsidP="00492740">
      <w:pPr>
        <w:rPr>
          <w:rFonts w:ascii="Times New Roman" w:hAnsi="Times New Roman" w:cs="Times New Roman"/>
          <w:b/>
          <w:sz w:val="24"/>
        </w:rPr>
      </w:pPr>
      <w:r w:rsidRPr="001E7829">
        <w:rPr>
          <w:rFonts w:ascii="Times New Roman" w:hAnsi="Times New Roman" w:cs="Times New Roman"/>
          <w:b/>
          <w:sz w:val="24"/>
        </w:rPr>
        <w:t>Povinné vklady</w:t>
      </w:r>
    </w:p>
    <w:p w:rsidR="00531980" w:rsidRPr="001E7829" w:rsidRDefault="003B0945" w:rsidP="00B40EB7">
      <w:pPr>
        <w:pStyle w:val="Prvn"/>
        <w:rPr>
          <w:rFonts w:cs="Times New Roman"/>
        </w:rPr>
      </w:pPr>
      <w:r w:rsidRPr="001E7829">
        <w:rPr>
          <w:rFonts w:cs="Times New Roman"/>
        </w:rPr>
        <w:t xml:space="preserve">Povinné vklady jsou nástrojem, který v dnešní době ustupuje do pozadí a jeho význam již není příliš velký. Spočívá v povinnosti různých subjektů, zejména orgánů veřejné správy, státních fondů a některých podniků ve vlastnictví státu, otevírat běžné účty, ukládat volné finanční prostředky a provádět další operace u centrální banky. </w:t>
      </w:r>
      <w:r w:rsidR="00A667D3" w:rsidRPr="001E7829">
        <w:rPr>
          <w:rFonts w:cs="Times New Roman"/>
        </w:rPr>
        <w:t>T</w:t>
      </w:r>
      <w:r w:rsidRPr="001E7829">
        <w:rPr>
          <w:rFonts w:cs="Times New Roman"/>
        </w:rPr>
        <w:t xml:space="preserve">a tímto způsobem může kontrolovat nakládání s prostředky </w:t>
      </w:r>
      <w:r w:rsidR="00A667D3" w:rsidRPr="001E7829">
        <w:rPr>
          <w:rFonts w:cs="Times New Roman"/>
        </w:rPr>
        <w:t>zmíněných</w:t>
      </w:r>
      <w:r w:rsidRPr="001E7829">
        <w:rPr>
          <w:rFonts w:cs="Times New Roman"/>
        </w:rPr>
        <w:t xml:space="preserve"> subjektů. Jiným efektem povinných vkladů je regulace rezerv bank, neboť v případě neexistence vkladové povinnosti by se finanční prostředky namísto u centrální banky soustředily právě v rezervách komerčních bank.</w:t>
      </w:r>
      <w:r w:rsidR="003E7FC5" w:rsidRPr="001E7829">
        <w:rPr>
          <w:rStyle w:val="Znakapoznpodarou"/>
          <w:rFonts w:cs="Times New Roman"/>
        </w:rPr>
        <w:footnoteReference w:id="25"/>
      </w:r>
    </w:p>
    <w:p w:rsidR="003E7FC5" w:rsidRPr="001E7829" w:rsidRDefault="003E7FC5" w:rsidP="003E7FC5">
      <w:pPr>
        <w:pStyle w:val="Druh"/>
        <w:rPr>
          <w:rFonts w:cs="Times New Roman"/>
        </w:rPr>
      </w:pPr>
    </w:p>
    <w:p w:rsidR="003E7FC5" w:rsidRPr="001E7829" w:rsidRDefault="003E7FC5" w:rsidP="003E7FC5">
      <w:pPr>
        <w:rPr>
          <w:rFonts w:ascii="Times New Roman" w:hAnsi="Times New Roman" w:cs="Times New Roman"/>
          <w:b/>
          <w:sz w:val="24"/>
        </w:rPr>
      </w:pPr>
      <w:r w:rsidRPr="001E7829">
        <w:rPr>
          <w:rFonts w:ascii="Times New Roman" w:hAnsi="Times New Roman" w:cs="Times New Roman"/>
          <w:b/>
          <w:sz w:val="24"/>
        </w:rPr>
        <w:lastRenderedPageBreak/>
        <w:t>Pravidla likvidity</w:t>
      </w:r>
    </w:p>
    <w:p w:rsidR="00225B45" w:rsidRPr="001E7829" w:rsidRDefault="00FB0ECB" w:rsidP="00B40EB7">
      <w:pPr>
        <w:pStyle w:val="Prvn"/>
        <w:rPr>
          <w:rFonts w:cs="Times New Roman"/>
        </w:rPr>
      </w:pPr>
      <w:r w:rsidRPr="001E7829">
        <w:rPr>
          <w:rFonts w:cs="Times New Roman"/>
        </w:rPr>
        <w:t>Smyslem pravidel likvidity není na prvním místě působení na kritéria v rámci transmisních mechanismů, ale podpora stability bankovního systému prostřednictvím dosažení určité úrovně likvidity bank.</w:t>
      </w:r>
      <w:r w:rsidRPr="001E7829">
        <w:rPr>
          <w:rStyle w:val="Znakapoznpodarou"/>
          <w:rFonts w:cs="Times New Roman"/>
        </w:rPr>
        <w:footnoteReference w:id="26"/>
      </w:r>
      <w:r w:rsidRPr="001E7829">
        <w:rPr>
          <w:rFonts w:cs="Times New Roman"/>
        </w:rPr>
        <w:t xml:space="preserve"> Pomocí nich může centrální banka zajistit diverzifikaci aktiv a pasiv komerčních bank a zmírnit tak rizika potenciá</w:t>
      </w:r>
      <w:r w:rsidR="008B6958" w:rsidRPr="001E7829">
        <w:rPr>
          <w:rFonts w:cs="Times New Roman"/>
        </w:rPr>
        <w:t>lně ohrožující jejich platební</w:t>
      </w:r>
      <w:r w:rsidRPr="001E7829">
        <w:rPr>
          <w:rFonts w:cs="Times New Roman"/>
        </w:rPr>
        <w:t xml:space="preserve"> schopnost.</w:t>
      </w:r>
      <w:r w:rsidRPr="001E7829">
        <w:rPr>
          <w:rStyle w:val="Znakapoznpodarou"/>
          <w:rFonts w:cs="Times New Roman"/>
        </w:rPr>
        <w:footnoteReference w:id="27"/>
      </w:r>
      <w:r w:rsidRPr="001E7829">
        <w:rPr>
          <w:rFonts w:cs="Times New Roman"/>
        </w:rPr>
        <w:t xml:space="preserve"> Pravidla však mohou mít vliv i na bankovní rezervy, krátkodobou úrokovou míru nebo měnový kurz, a proto se většinou mezi nástroje monetární politiky zařazují.</w:t>
      </w:r>
      <w:r w:rsidR="00225B45" w:rsidRPr="001E7829">
        <w:rPr>
          <w:rFonts w:cs="Times New Roman"/>
        </w:rPr>
        <w:t xml:space="preserve"> Prakticky mohou mít např. podobu minimálního poměru mezi krátkodobými aktivy a krátkodobými vklady.</w:t>
      </w:r>
      <w:r w:rsidR="00225B45" w:rsidRPr="001E7829">
        <w:rPr>
          <w:rStyle w:val="Znakapoznpodarou"/>
          <w:rFonts w:cs="Times New Roman"/>
        </w:rPr>
        <w:footnoteReference w:id="28"/>
      </w:r>
    </w:p>
    <w:p w:rsidR="00225B45" w:rsidRPr="001E7829" w:rsidRDefault="00225B45" w:rsidP="00B40EB7">
      <w:pPr>
        <w:pStyle w:val="Prvn"/>
        <w:rPr>
          <w:rFonts w:cs="Times New Roman"/>
        </w:rPr>
      </w:pPr>
    </w:p>
    <w:p w:rsidR="00225B45" w:rsidRPr="001E7829" w:rsidRDefault="00225B45" w:rsidP="00225B45">
      <w:pPr>
        <w:rPr>
          <w:rFonts w:ascii="Times New Roman" w:hAnsi="Times New Roman" w:cs="Times New Roman"/>
          <w:b/>
          <w:sz w:val="24"/>
        </w:rPr>
      </w:pPr>
      <w:r w:rsidRPr="001E7829">
        <w:rPr>
          <w:rFonts w:ascii="Times New Roman" w:hAnsi="Times New Roman" w:cs="Times New Roman"/>
          <w:b/>
          <w:sz w:val="24"/>
        </w:rPr>
        <w:t>Doporučení, výzvy a dohody</w:t>
      </w:r>
    </w:p>
    <w:p w:rsidR="006C70F1" w:rsidRPr="001E7829" w:rsidRDefault="005B7C93" w:rsidP="00B40EB7">
      <w:pPr>
        <w:pStyle w:val="Prvn"/>
        <w:rPr>
          <w:rFonts w:cs="Times New Roman"/>
        </w:rPr>
      </w:pPr>
      <w:r w:rsidRPr="001E7829">
        <w:rPr>
          <w:rFonts w:cs="Times New Roman"/>
        </w:rPr>
        <w:t>Tuto kategorii nástrojů lze považovat vzhledem k ostatním za doplňkovou, přesto však může mít veliký význam</w:t>
      </w:r>
      <w:r w:rsidR="006C70F1" w:rsidRPr="001E7829">
        <w:rPr>
          <w:rFonts w:cs="Times New Roman"/>
        </w:rPr>
        <w:t xml:space="preserve"> a</w:t>
      </w:r>
      <w:r w:rsidRPr="001E7829">
        <w:rPr>
          <w:rFonts w:cs="Times New Roman"/>
        </w:rPr>
        <w:t xml:space="preserve"> efektivitu. Důvodem je skutečnost, že centrální banka používající tyto nástroje je pro komerční banky autoritou</w:t>
      </w:r>
      <w:r w:rsidR="003F3024" w:rsidRPr="001E7829">
        <w:rPr>
          <w:rFonts w:cs="Times New Roman"/>
        </w:rPr>
        <w:t xml:space="preserve"> </w:t>
      </w:r>
      <w:r w:rsidRPr="001E7829">
        <w:rPr>
          <w:rFonts w:cs="Times New Roman"/>
        </w:rPr>
        <w:t xml:space="preserve">a nerespektování </w:t>
      </w:r>
      <w:r w:rsidR="00A667D3" w:rsidRPr="001E7829">
        <w:rPr>
          <w:rFonts w:cs="Times New Roman"/>
        </w:rPr>
        <w:t>jejích</w:t>
      </w:r>
      <w:r w:rsidRPr="001E7829">
        <w:rPr>
          <w:rFonts w:cs="Times New Roman"/>
        </w:rPr>
        <w:t xml:space="preserve"> představ pro ně může znamenat ztrátu důvěryhodnosti a v některých případech i sankce. Často jsou tyto nástroje využívány na místě, kde by centrální banka mohla využít k</w:t>
      </w:r>
      <w:r w:rsidR="006C70F1" w:rsidRPr="001E7829">
        <w:rPr>
          <w:rFonts w:cs="Times New Roman"/>
        </w:rPr>
        <w:t>lasický přímý nástroj, který by však znamenal mnohem výraznější zásah do autonomie bank. Je tedy v jejich zájmu jedna</w:t>
      </w:r>
      <w:r w:rsidR="00A667D3" w:rsidRPr="001E7829">
        <w:rPr>
          <w:rFonts w:cs="Times New Roman"/>
        </w:rPr>
        <w:t>t</w:t>
      </w:r>
      <w:r w:rsidR="006C70F1" w:rsidRPr="001E7829">
        <w:rPr>
          <w:rFonts w:cs="Times New Roman"/>
        </w:rPr>
        <w:t xml:space="preserve"> v souladu s pokyny centrální banky.</w:t>
      </w:r>
      <w:r w:rsidR="006C70F1" w:rsidRPr="001E7829">
        <w:rPr>
          <w:rStyle w:val="Znakapoznpodarou"/>
          <w:rFonts w:cs="Times New Roman"/>
        </w:rPr>
        <w:footnoteReference w:id="29"/>
      </w:r>
    </w:p>
    <w:p w:rsidR="003E7FC5" w:rsidRPr="001E7829" w:rsidRDefault="006C70F1" w:rsidP="006C70F1">
      <w:pPr>
        <w:pStyle w:val="Druh"/>
        <w:rPr>
          <w:rFonts w:cs="Times New Roman"/>
        </w:rPr>
      </w:pPr>
      <w:r w:rsidRPr="001E7829">
        <w:rPr>
          <w:rFonts w:cs="Times New Roman"/>
        </w:rPr>
        <w:t>Doporučení mají povahu spíše obecných přání centrální banky ohledně chování komerčních bank a často nemají písemnou formu. Výzvy bývají formulovány konkrétněji a důrazněji než doporučení.</w:t>
      </w:r>
      <w:r w:rsidRPr="001E7829">
        <w:rPr>
          <w:rStyle w:val="Znakapoznpodarou"/>
          <w:rFonts w:cs="Times New Roman"/>
        </w:rPr>
        <w:footnoteReference w:id="30"/>
      </w:r>
      <w:r w:rsidR="003F3024" w:rsidRPr="001E7829">
        <w:rPr>
          <w:rFonts w:cs="Times New Roman"/>
        </w:rPr>
        <w:t xml:space="preserve"> </w:t>
      </w:r>
      <w:r w:rsidRPr="001E7829">
        <w:rPr>
          <w:rFonts w:cs="Times New Roman"/>
        </w:rPr>
        <w:t>Dohody jsou ve většině případů písemné a po podpisu stran také závazné. Mohou s nimi být spojeny sankce v případě neplnění povinností.</w:t>
      </w:r>
      <w:r w:rsidRPr="001E7829">
        <w:rPr>
          <w:rStyle w:val="Znakapoznpodarou"/>
          <w:rFonts w:cs="Times New Roman"/>
        </w:rPr>
        <w:footnoteReference w:id="31"/>
      </w:r>
    </w:p>
    <w:p w:rsidR="00C12DE2" w:rsidRPr="001E7829" w:rsidRDefault="00FF72CA" w:rsidP="00C12DE2">
      <w:pPr>
        <w:pStyle w:val="11"/>
        <w:rPr>
          <w:rFonts w:cs="Times New Roman"/>
        </w:rPr>
      </w:pPr>
      <w:bookmarkStart w:id="18" w:name="_Toc444083227"/>
      <w:bookmarkStart w:id="19" w:name="_Toc444516053"/>
      <w:bookmarkStart w:id="20" w:name="_Toc446604197"/>
      <w:r w:rsidRPr="001E7829">
        <w:rPr>
          <w:rFonts w:cs="Times New Roman"/>
        </w:rPr>
        <w:lastRenderedPageBreak/>
        <w:t>Transmisní mechanismus</w:t>
      </w:r>
      <w:r w:rsidR="00C12DE2" w:rsidRPr="001E7829">
        <w:rPr>
          <w:rFonts w:cs="Times New Roman"/>
        </w:rPr>
        <w:t xml:space="preserve"> monetární politiky</w:t>
      </w:r>
      <w:bookmarkEnd w:id="18"/>
      <w:bookmarkEnd w:id="19"/>
      <w:bookmarkEnd w:id="20"/>
    </w:p>
    <w:p w:rsidR="00DD630D" w:rsidRPr="001E7829" w:rsidRDefault="00DD630D" w:rsidP="00B40EB7">
      <w:pPr>
        <w:pStyle w:val="Prvn"/>
        <w:rPr>
          <w:rFonts w:cs="Times New Roman"/>
        </w:rPr>
      </w:pPr>
      <w:r w:rsidRPr="001E7829">
        <w:rPr>
          <w:rFonts w:cs="Times New Roman"/>
        </w:rPr>
        <w:t>Změny nastavení nástrojů nemají vliv na konečné cíle monetární politiky samy o sobě. Děje se tak zprostředkovaně skrze řetězec ekonomických vazeb a vztahů, který označujeme jako transmisní mechanismus. Ten tak skrze různé procesy zaručuje, že monetární opatření centrální banky bude skutečně mít požadovaný efekt na cenovou hladinu, hospodářský růst, nezaměstnanost a další cíle.</w:t>
      </w:r>
      <w:r w:rsidRPr="001E7829">
        <w:rPr>
          <w:rStyle w:val="Znakapoznpodarou"/>
          <w:rFonts w:cs="Times New Roman"/>
        </w:rPr>
        <w:footnoteReference w:id="32"/>
      </w:r>
    </w:p>
    <w:p w:rsidR="00DD630D" w:rsidRPr="001E7829" w:rsidRDefault="00DD630D" w:rsidP="00DD630D">
      <w:pPr>
        <w:pStyle w:val="131"/>
        <w:rPr>
          <w:rFonts w:cs="Times New Roman"/>
        </w:rPr>
      </w:pPr>
      <w:bookmarkStart w:id="21" w:name="_Toc444516054"/>
      <w:bookmarkStart w:id="22" w:name="_Toc446604198"/>
      <w:r w:rsidRPr="001E7829">
        <w:rPr>
          <w:rFonts w:cs="Times New Roman"/>
        </w:rPr>
        <w:t>Fungování transmisního mechanismu</w:t>
      </w:r>
      <w:bookmarkEnd w:id="21"/>
      <w:bookmarkEnd w:id="22"/>
    </w:p>
    <w:p w:rsidR="00142789" w:rsidRPr="001E7829" w:rsidRDefault="00142789" w:rsidP="00B40EB7">
      <w:pPr>
        <w:pStyle w:val="Prvn"/>
        <w:rPr>
          <w:rFonts w:cs="Times New Roman"/>
        </w:rPr>
      </w:pPr>
      <w:r w:rsidRPr="001E7829">
        <w:rPr>
          <w:rFonts w:cs="Times New Roman"/>
        </w:rPr>
        <w:t>Na nejobecnější rovině zahrnuje transmisní mechanismu</w:t>
      </w:r>
      <w:r w:rsidR="008B6958" w:rsidRPr="001E7829">
        <w:rPr>
          <w:rFonts w:cs="Times New Roman"/>
        </w:rPr>
        <w:t>s</w:t>
      </w:r>
      <w:r w:rsidRPr="001E7829">
        <w:rPr>
          <w:rFonts w:cs="Times New Roman"/>
        </w:rPr>
        <w:t xml:space="preserve"> čtyři prvky, z nichž každý ovlivňuje prvek, který bezprostředně následuje za ním. Jsou jimi nástroje, operativní (krátkodobá) kritéria, zprostředkující (střednědobá) kritéria a cíle.</w:t>
      </w:r>
      <w:r w:rsidRPr="001E7829">
        <w:rPr>
          <w:rStyle w:val="Znakapoznpodarou"/>
          <w:rFonts w:cs="Times New Roman"/>
        </w:rPr>
        <w:footnoteReference w:id="33"/>
      </w:r>
      <w:r w:rsidRPr="001E7829">
        <w:rPr>
          <w:rFonts w:cs="Times New Roman"/>
        </w:rPr>
        <w:t xml:space="preserve"> Tyto prvky pak u jednotlivých typů transmisních mechanismů nabývají konkrétních podob a ne vždy musí být všechny přítomny.</w:t>
      </w:r>
    </w:p>
    <w:p w:rsidR="00FF72CA" w:rsidRPr="001E7829" w:rsidRDefault="00FF72CA" w:rsidP="00142789">
      <w:pPr>
        <w:pStyle w:val="Druh"/>
        <w:rPr>
          <w:rFonts w:cs="Times New Roman"/>
        </w:rPr>
      </w:pPr>
      <w:r w:rsidRPr="001E7829">
        <w:rPr>
          <w:rFonts w:cs="Times New Roman"/>
        </w:rPr>
        <w:t xml:space="preserve">Mechanismus působí souběžně několika cestami, kterým se v ekonomické </w:t>
      </w:r>
      <w:r w:rsidR="00037A83" w:rsidRPr="001E7829">
        <w:rPr>
          <w:rFonts w:cs="Times New Roman"/>
        </w:rPr>
        <w:t>teorii říká kanály. Tradičně se definují čtyři – úvěrový, podnikatelský, výdajový a kurzový. V rámci úvěrového kanálu</w:t>
      </w:r>
      <w:r w:rsidR="003F3024" w:rsidRPr="001E7829">
        <w:rPr>
          <w:rFonts w:cs="Times New Roman"/>
        </w:rPr>
        <w:t xml:space="preserve"> </w:t>
      </w:r>
      <w:r w:rsidR="00B0328D" w:rsidRPr="001E7829">
        <w:rPr>
          <w:rFonts w:cs="Times New Roman"/>
        </w:rPr>
        <w:t>dochází ke změnám u nabídky úvěrů ze strany bank a poptávky po nich u klientů. Sníží-li kupříkladu centrální banka krátkodobou úrokovou míru, dojde k růstu poptávky po úvěrech, potažmo i růstu jejich celkového objemu. Tím se zvyšuje peněžní zásoba, poptávka po domácím zboží a službách, a v konečném důsledku také inflace, domácí produkt a míra zaměstnanosti.</w:t>
      </w:r>
      <w:r w:rsidR="00B0328D" w:rsidRPr="001E7829">
        <w:rPr>
          <w:rStyle w:val="Znakapoznpodarou"/>
          <w:rFonts w:cs="Times New Roman"/>
        </w:rPr>
        <w:footnoteReference w:id="34"/>
      </w:r>
    </w:p>
    <w:p w:rsidR="00B0328D" w:rsidRPr="001E7829" w:rsidRDefault="00B0328D" w:rsidP="00142789">
      <w:pPr>
        <w:pStyle w:val="Druh"/>
        <w:rPr>
          <w:rFonts w:cs="Times New Roman"/>
        </w:rPr>
      </w:pPr>
      <w:r w:rsidRPr="001E7829">
        <w:rPr>
          <w:rFonts w:cs="Times New Roman"/>
        </w:rPr>
        <w:t>Skrze podnikatelský kanál dopadají opatření centrální banky na podnikatelskou aktivitu</w:t>
      </w:r>
      <w:r w:rsidR="007C6C0F" w:rsidRPr="001E7829">
        <w:rPr>
          <w:rFonts w:cs="Times New Roman"/>
        </w:rPr>
        <w:t>. Expanze v podobě snížení úrokové míry podnikatelskou aktivitu stimuluje, což následně vede k posílení domácí poptávky po tuzemském zboží a službách. Výsledkem je opět růst inflace, domácího produktu a zaměstnanosti. Stejně působí expanzivní monetární politika také pro</w:t>
      </w:r>
      <w:r w:rsidR="00E40B71" w:rsidRPr="001E7829">
        <w:rPr>
          <w:rFonts w:cs="Times New Roman"/>
        </w:rPr>
        <w:t xml:space="preserve">střednictvím výdajového kanálu, který ovlivňuje, zda domácnosti a podniky preferují spoření či </w:t>
      </w:r>
      <w:r w:rsidR="00E40B71" w:rsidRPr="001E7829">
        <w:rPr>
          <w:rFonts w:cs="Times New Roman"/>
        </w:rPr>
        <w:lastRenderedPageBreak/>
        <w:t xml:space="preserve">výdaje. Expanze tlačí na růst výdajů na </w:t>
      </w:r>
      <w:r w:rsidR="0016553E" w:rsidRPr="001E7829">
        <w:rPr>
          <w:rFonts w:cs="Times New Roman"/>
        </w:rPr>
        <w:t>úkor</w:t>
      </w:r>
      <w:r w:rsidR="00E40B71" w:rsidRPr="001E7829">
        <w:rPr>
          <w:rFonts w:cs="Times New Roman"/>
        </w:rPr>
        <w:t xml:space="preserve"> spoření, roste tak domácí poptávka i koncové veličiny.</w:t>
      </w:r>
      <w:r w:rsidR="00F837BA" w:rsidRPr="001E7829">
        <w:rPr>
          <w:rFonts w:cs="Times New Roman"/>
        </w:rPr>
        <w:t xml:space="preserve"> Fungování kurzového kanálu spočívá v tom, že úprava krátkodobé úrokové míry vyvolává posílení nebo oslabení měnového kurzu v důsledku rozdílu mezi domácími a zahraničními úrokovými měrami.</w:t>
      </w:r>
      <w:r w:rsidR="0016553E" w:rsidRPr="001E7829">
        <w:rPr>
          <w:rFonts w:cs="Times New Roman"/>
        </w:rPr>
        <w:t xml:space="preserve"> Expanze má v rámci tohoto kanálu za následek odliv spekulačního kapitálu do zahraničí a tím i depreciaci domácí měny. To vede ke zvýšení inflace a díky posílení zahraniční poptávky po domácím zboží (tuzemské zboží se stává relativně levnějším) a naopak poklesu zahraniční nabídky také k růstu HDP a zaměstnanosti.</w:t>
      </w:r>
      <w:r w:rsidR="0016553E" w:rsidRPr="001E7829">
        <w:rPr>
          <w:rStyle w:val="Znakapoznpodarou"/>
          <w:rFonts w:cs="Times New Roman"/>
        </w:rPr>
        <w:footnoteReference w:id="35"/>
      </w:r>
    </w:p>
    <w:p w:rsidR="00DD630D" w:rsidRPr="001E7829" w:rsidRDefault="00DD630D" w:rsidP="00DD630D">
      <w:pPr>
        <w:pStyle w:val="131"/>
        <w:rPr>
          <w:rFonts w:cs="Times New Roman"/>
        </w:rPr>
      </w:pPr>
      <w:bookmarkStart w:id="23" w:name="_Toc444516055"/>
      <w:bookmarkStart w:id="24" w:name="_Toc446604199"/>
      <w:r w:rsidRPr="001E7829">
        <w:rPr>
          <w:rFonts w:cs="Times New Roman"/>
        </w:rPr>
        <w:t>Formy transmisního mechanismu</w:t>
      </w:r>
      <w:bookmarkEnd w:id="23"/>
      <w:bookmarkEnd w:id="24"/>
    </w:p>
    <w:p w:rsidR="00E22489" w:rsidRPr="001E7829" w:rsidRDefault="00DD630D" w:rsidP="00B40EB7">
      <w:pPr>
        <w:pStyle w:val="Prvn"/>
        <w:rPr>
          <w:rFonts w:cs="Times New Roman"/>
        </w:rPr>
      </w:pPr>
      <w:r w:rsidRPr="001E7829">
        <w:rPr>
          <w:rFonts w:cs="Times New Roman"/>
        </w:rPr>
        <w:t xml:space="preserve">Výše popsaný teoretický model transmisního mechanismu může v praxi nabývat mnoha </w:t>
      </w:r>
      <w:r w:rsidR="009F5289" w:rsidRPr="001E7829">
        <w:rPr>
          <w:rFonts w:cs="Times New Roman"/>
        </w:rPr>
        <w:t>rozdílných</w:t>
      </w:r>
      <w:r w:rsidRPr="001E7829">
        <w:rPr>
          <w:rFonts w:cs="Times New Roman"/>
        </w:rPr>
        <w:t xml:space="preserve"> podob</w:t>
      </w:r>
      <w:r w:rsidR="00E22489" w:rsidRPr="001E7829">
        <w:rPr>
          <w:rFonts w:cs="Times New Roman"/>
        </w:rPr>
        <w:t xml:space="preserve">. Centrální banky tak za posledních několik dekád využívaly jeho různé formy vycházející z odlišných teorií a kladoucí důraz </w:t>
      </w:r>
      <w:r w:rsidR="00A667D3" w:rsidRPr="001E7829">
        <w:rPr>
          <w:rFonts w:cs="Times New Roman"/>
        </w:rPr>
        <w:t xml:space="preserve">na </w:t>
      </w:r>
      <w:r w:rsidR="00E22489" w:rsidRPr="001E7829">
        <w:rPr>
          <w:rFonts w:cs="Times New Roman"/>
        </w:rPr>
        <w:t>odlišné ekonomické proměnné. Ty nejdůležitější budou představeny v následujícím textu.</w:t>
      </w:r>
    </w:p>
    <w:p w:rsidR="00E22489" w:rsidRPr="001E7829" w:rsidRDefault="00E22489" w:rsidP="00B40EB7">
      <w:pPr>
        <w:pStyle w:val="Prvn"/>
        <w:rPr>
          <w:rFonts w:cs="Times New Roman"/>
        </w:rPr>
      </w:pPr>
    </w:p>
    <w:p w:rsidR="00DD630D" w:rsidRPr="001E7829" w:rsidRDefault="00E22489" w:rsidP="00E052DF">
      <w:pPr>
        <w:keepNext/>
        <w:rPr>
          <w:rFonts w:ascii="Times New Roman" w:hAnsi="Times New Roman" w:cs="Times New Roman"/>
        </w:rPr>
      </w:pPr>
      <w:r w:rsidRPr="001E7829">
        <w:rPr>
          <w:rFonts w:ascii="Times New Roman" w:hAnsi="Times New Roman" w:cs="Times New Roman"/>
          <w:b/>
          <w:sz w:val="24"/>
        </w:rPr>
        <w:t>Keynesiánský úrokový transmisní mechanismus</w:t>
      </w:r>
    </w:p>
    <w:p w:rsidR="004B04CC" w:rsidRPr="001E7829" w:rsidRDefault="00041CEB" w:rsidP="00B40EB7">
      <w:pPr>
        <w:pStyle w:val="Prvn"/>
        <w:rPr>
          <w:rFonts w:cs="Times New Roman"/>
        </w:rPr>
      </w:pPr>
      <w:r w:rsidRPr="001E7829">
        <w:rPr>
          <w:rFonts w:cs="Times New Roman"/>
        </w:rPr>
        <w:t xml:space="preserve">Tato forma vychází z učení britského ekonoma Johna </w:t>
      </w:r>
      <w:proofErr w:type="spellStart"/>
      <w:r w:rsidRPr="001E7829">
        <w:rPr>
          <w:rFonts w:cs="Times New Roman"/>
        </w:rPr>
        <w:t>Maynarda</w:t>
      </w:r>
      <w:proofErr w:type="spellEnd"/>
      <w:r w:rsidR="003F3024" w:rsidRPr="001E7829">
        <w:rPr>
          <w:rFonts w:cs="Times New Roman"/>
        </w:rPr>
        <w:t xml:space="preserve"> </w:t>
      </w:r>
      <w:proofErr w:type="spellStart"/>
      <w:r w:rsidRPr="001E7829">
        <w:rPr>
          <w:rFonts w:cs="Times New Roman"/>
        </w:rPr>
        <w:t>Keynese</w:t>
      </w:r>
      <w:proofErr w:type="spellEnd"/>
      <w:r w:rsidRPr="001E7829">
        <w:rPr>
          <w:rFonts w:cs="Times New Roman"/>
        </w:rPr>
        <w:t xml:space="preserve">, jehož přístup k monetární, resp. k hospodářské politice byl vůdčím směrem od konce 30. let do konce 70. let </w:t>
      </w:r>
      <w:r w:rsidR="00793D92" w:rsidRPr="001E7829">
        <w:rPr>
          <w:rFonts w:cs="Times New Roman"/>
        </w:rPr>
        <w:t xml:space="preserve">20. </w:t>
      </w:r>
      <w:r w:rsidRPr="001E7829">
        <w:rPr>
          <w:rFonts w:cs="Times New Roman"/>
        </w:rPr>
        <w:t>století. V </w:t>
      </w:r>
      <w:proofErr w:type="spellStart"/>
      <w:r w:rsidRPr="001E7829">
        <w:rPr>
          <w:rFonts w:cs="Times New Roman"/>
        </w:rPr>
        <w:t>Keynesově</w:t>
      </w:r>
      <w:proofErr w:type="spellEnd"/>
      <w:r w:rsidRPr="001E7829">
        <w:rPr>
          <w:rFonts w:cs="Times New Roman"/>
        </w:rPr>
        <w:t xml:space="preserve"> pojetí byly hlavními cíli monetární politiky podpora hospodářského růstu a zaměstnanosti, cíl ve formě cenové stability ustupoval do pozadí. </w:t>
      </w:r>
      <w:r w:rsidR="00C324C6" w:rsidRPr="001E7829">
        <w:rPr>
          <w:rFonts w:cs="Times New Roman"/>
        </w:rPr>
        <w:t>Klíčovou roli zde hrály úrokové sazby. Krátkodobé plnily funkci opera</w:t>
      </w:r>
      <w:r w:rsidR="0046748A" w:rsidRPr="001E7829">
        <w:rPr>
          <w:rFonts w:cs="Times New Roman"/>
        </w:rPr>
        <w:t>tivního</w:t>
      </w:r>
      <w:r w:rsidR="00C324C6" w:rsidRPr="001E7829">
        <w:rPr>
          <w:rFonts w:cs="Times New Roman"/>
        </w:rPr>
        <w:t xml:space="preserve"> kritéria a dlouhodobé byly kritériem zprostředkujícím. Úkolem centrální banky využívající tento mechanismus bylo udržovat krátkodobé úrokové sazby na stabilní nízké úrovni, což mělo skrze vliv na dlouhodobé sazby podporovat agregátní poptávku a tím i růst produktu.</w:t>
      </w:r>
      <w:r w:rsidR="004B04CC" w:rsidRPr="001E7829">
        <w:rPr>
          <w:rStyle w:val="Znakapoznpodarou"/>
          <w:rFonts w:cs="Times New Roman"/>
        </w:rPr>
        <w:footnoteReference w:id="36"/>
      </w:r>
      <w:r w:rsidR="00C324C6" w:rsidRPr="001E7829">
        <w:rPr>
          <w:rFonts w:cs="Times New Roman"/>
        </w:rPr>
        <w:t xml:space="preserve"> Od keynesiánského přístupu však bylo nakonec upuštěno, neboť</w:t>
      </w:r>
      <w:r w:rsidR="004B04CC" w:rsidRPr="001E7829">
        <w:rPr>
          <w:rFonts w:cs="Times New Roman"/>
        </w:rPr>
        <w:t xml:space="preserve"> v zemích, které jej </w:t>
      </w:r>
      <w:r w:rsidR="004B04CC" w:rsidRPr="001E7829">
        <w:rPr>
          <w:rFonts w:cs="Times New Roman"/>
        </w:rPr>
        <w:lastRenderedPageBreak/>
        <w:t>uplatňovaly,</w:t>
      </w:r>
      <w:r w:rsidR="00C324C6" w:rsidRPr="001E7829">
        <w:rPr>
          <w:rFonts w:cs="Times New Roman"/>
        </w:rPr>
        <w:t xml:space="preserve"> vedl k </w:t>
      </w:r>
      <w:r w:rsidR="004B04CC" w:rsidRPr="001E7829">
        <w:rPr>
          <w:rFonts w:cs="Times New Roman"/>
        </w:rPr>
        <w:t>vysoké</w:t>
      </w:r>
      <w:r w:rsidR="00C324C6" w:rsidRPr="001E7829">
        <w:rPr>
          <w:rFonts w:cs="Times New Roman"/>
        </w:rPr>
        <w:t xml:space="preserve"> inflac</w:t>
      </w:r>
      <w:r w:rsidR="004B04CC" w:rsidRPr="001E7829">
        <w:rPr>
          <w:rFonts w:cs="Times New Roman"/>
        </w:rPr>
        <w:t>i</w:t>
      </w:r>
      <w:r w:rsidR="00C324C6" w:rsidRPr="001E7829">
        <w:rPr>
          <w:rFonts w:cs="Times New Roman"/>
        </w:rPr>
        <w:t xml:space="preserve"> a podle mnohých názorů byl rovněž hlavní příčinou prudkého růstu vládních výdajů, které vyústily v rozpočtové </w:t>
      </w:r>
      <w:r w:rsidR="004B04CC" w:rsidRPr="001E7829">
        <w:rPr>
          <w:rFonts w:cs="Times New Roman"/>
        </w:rPr>
        <w:t>deficity a státní dluhy</w:t>
      </w:r>
      <w:r w:rsidR="003F3024" w:rsidRPr="001E7829">
        <w:rPr>
          <w:rFonts w:cs="Times New Roman"/>
        </w:rPr>
        <w:t xml:space="preserve"> </w:t>
      </w:r>
      <w:r w:rsidR="004B04CC" w:rsidRPr="001E7829">
        <w:rPr>
          <w:rFonts w:cs="Times New Roman"/>
        </w:rPr>
        <w:t>značného rozsahu.</w:t>
      </w:r>
      <w:r w:rsidR="004B04CC" w:rsidRPr="001E7829">
        <w:rPr>
          <w:rStyle w:val="Znakapoznpodarou"/>
          <w:rFonts w:cs="Times New Roman"/>
        </w:rPr>
        <w:footnoteReference w:id="37"/>
      </w:r>
    </w:p>
    <w:p w:rsidR="00CB745E" w:rsidRPr="001E7829" w:rsidRDefault="00CB745E" w:rsidP="00CB745E">
      <w:pPr>
        <w:pStyle w:val="Druh"/>
        <w:rPr>
          <w:rFonts w:cs="Times New Roman"/>
        </w:rPr>
      </w:pPr>
    </w:p>
    <w:p w:rsidR="004B04CC" w:rsidRPr="001E7829" w:rsidRDefault="004B04CC" w:rsidP="004B04CC">
      <w:pPr>
        <w:rPr>
          <w:rFonts w:ascii="Times New Roman" w:hAnsi="Times New Roman" w:cs="Times New Roman"/>
          <w:b/>
          <w:sz w:val="24"/>
        </w:rPr>
      </w:pPr>
      <w:r w:rsidRPr="001E7829">
        <w:rPr>
          <w:rFonts w:ascii="Times New Roman" w:hAnsi="Times New Roman" w:cs="Times New Roman"/>
          <w:b/>
          <w:sz w:val="24"/>
        </w:rPr>
        <w:t>Monetaristický peněžní transmisní mechanismus</w:t>
      </w:r>
    </w:p>
    <w:p w:rsidR="00F06D39" w:rsidRPr="001E7829" w:rsidRDefault="00F77511" w:rsidP="00B40EB7">
      <w:pPr>
        <w:pStyle w:val="Prvn"/>
        <w:rPr>
          <w:rFonts w:cs="Times New Roman"/>
        </w:rPr>
      </w:pPr>
      <w:r w:rsidRPr="001E7829">
        <w:rPr>
          <w:rFonts w:cs="Times New Roman"/>
        </w:rPr>
        <w:t>Tato forma se v mnoha zemích využívá od ústupu keynesiánského mechanismu, tedy od 70. let dvacátého století prakticky až do současnosti. Cílem monetární politiky tohoto typu je cenová stabilita ve formě nízké hladiny inflace. Operativním kritériem je měnová báze a zprostředkujícím kritériem peněžní zásoba.</w:t>
      </w:r>
      <w:r w:rsidRPr="001E7829">
        <w:rPr>
          <w:rStyle w:val="Znakapoznpodarou"/>
          <w:rFonts w:cs="Times New Roman"/>
        </w:rPr>
        <w:footnoteReference w:id="38"/>
      </w:r>
    </w:p>
    <w:p w:rsidR="00324242" w:rsidRPr="001E7829" w:rsidRDefault="00324242" w:rsidP="00324242">
      <w:pPr>
        <w:pStyle w:val="Druh"/>
        <w:rPr>
          <w:rFonts w:cs="Times New Roman"/>
        </w:rPr>
      </w:pPr>
      <w:r w:rsidRPr="001E7829">
        <w:rPr>
          <w:rFonts w:cs="Times New Roman"/>
        </w:rPr>
        <w:t>Inflací se rozumí růst všeobecné cenové hladiny.</w:t>
      </w:r>
      <w:r w:rsidRPr="001E7829">
        <w:rPr>
          <w:rStyle w:val="Znakapoznpodarou"/>
          <w:rFonts w:cs="Times New Roman"/>
        </w:rPr>
        <w:footnoteReference w:id="39"/>
      </w:r>
      <w:r w:rsidRPr="001E7829">
        <w:rPr>
          <w:rFonts w:cs="Times New Roman"/>
        </w:rPr>
        <w:t xml:space="preserve"> Negativními důsledky příliš vysokého tempa inflace jsou pak zejména znevýhodnění určitých sociálních skupin</w:t>
      </w:r>
      <w:r w:rsidR="002F144A" w:rsidRPr="001E7829">
        <w:rPr>
          <w:rFonts w:cs="Times New Roman"/>
        </w:rPr>
        <w:t>, nejistota při investičním rozhodování společností a podnikatelů, relativní zdražení domácího zboží oproti zahraničnímu, a další dopady, kterým se říká náklady inflace.</w:t>
      </w:r>
      <w:r w:rsidR="002F144A" w:rsidRPr="001E7829">
        <w:rPr>
          <w:rStyle w:val="Znakapoznpodarou"/>
          <w:rFonts w:cs="Times New Roman"/>
        </w:rPr>
        <w:footnoteReference w:id="40"/>
      </w:r>
      <w:r w:rsidR="002F144A" w:rsidRPr="001E7829">
        <w:rPr>
          <w:rFonts w:cs="Times New Roman"/>
        </w:rPr>
        <w:t xml:space="preserve"> Monetaristé označují za příčinu inflace především nadměrný růst peněžní zásoby, který svým tempem přesahuje tempo růstu potenciálního HDP. Jiné směry naopak tvrdí, že inflace má svůj původ ve zvyšování vládních výdajů, tlaku odborů a monopolů na ceny atd.</w:t>
      </w:r>
      <w:r w:rsidR="002F144A" w:rsidRPr="001E7829">
        <w:rPr>
          <w:rStyle w:val="Znakapoznpodarou"/>
          <w:rFonts w:cs="Times New Roman"/>
        </w:rPr>
        <w:footnoteReference w:id="41"/>
      </w:r>
      <w:r w:rsidR="002F144A" w:rsidRPr="001E7829">
        <w:rPr>
          <w:rFonts w:cs="Times New Roman"/>
        </w:rPr>
        <w:t xml:space="preserve"> P</w:t>
      </w:r>
      <w:r w:rsidR="00826C05" w:rsidRPr="001E7829">
        <w:rPr>
          <w:rFonts w:cs="Times New Roman"/>
        </w:rPr>
        <w:t>ro tuto práci je však stěžejní především způsob, jakým může centrální banka ovlivnit inflaci jako konečný cíl, a to je skrze výše zmíněná kritéria.</w:t>
      </w:r>
      <w:r w:rsidR="00D76E9A" w:rsidRPr="001E7829">
        <w:rPr>
          <w:rFonts w:cs="Times New Roman"/>
        </w:rPr>
        <w:t xml:space="preserve"> Měnová báze představuje oběživo u nebankovních subjektů a komerčních bank a také rezervy těchto bank u centrální banky. </w:t>
      </w:r>
      <w:r w:rsidR="00A01C06" w:rsidRPr="001E7829">
        <w:rPr>
          <w:rFonts w:cs="Times New Roman"/>
        </w:rPr>
        <w:t>Peněžní zásoba je pak jedním z tzv. měnových agregátů, který podle názoru centrální banky nejpřesněji vyjadřuje množství peněz v oběhu.</w:t>
      </w:r>
      <w:r w:rsidR="00A01C06" w:rsidRPr="001E7829">
        <w:rPr>
          <w:rStyle w:val="Znakapoznpodarou"/>
          <w:rFonts w:cs="Times New Roman"/>
        </w:rPr>
        <w:footnoteReference w:id="42"/>
      </w:r>
    </w:p>
    <w:p w:rsidR="00A01C06" w:rsidRPr="001E7829" w:rsidRDefault="00A01C06" w:rsidP="00324242">
      <w:pPr>
        <w:pStyle w:val="Druh"/>
        <w:rPr>
          <w:rFonts w:cs="Times New Roman"/>
        </w:rPr>
      </w:pPr>
      <w:r w:rsidRPr="001E7829">
        <w:rPr>
          <w:rFonts w:cs="Times New Roman"/>
        </w:rPr>
        <w:t xml:space="preserve">Efektivita monetárního transmisního mechanismu je závislá na síle vazeb mezi měnovou bází a peněžní zásobou, a také mezi peněžní zásobou a cenovou </w:t>
      </w:r>
      <w:r w:rsidRPr="001E7829">
        <w:rPr>
          <w:rFonts w:cs="Times New Roman"/>
        </w:rPr>
        <w:lastRenderedPageBreak/>
        <w:t>hladinou.</w:t>
      </w:r>
      <w:r w:rsidR="00614601" w:rsidRPr="001E7829">
        <w:rPr>
          <w:rStyle w:val="Znakapoznpodarou"/>
          <w:rFonts w:cs="Times New Roman"/>
        </w:rPr>
        <w:footnoteReference w:id="43"/>
      </w:r>
      <w:r w:rsidRPr="001E7829">
        <w:rPr>
          <w:rFonts w:cs="Times New Roman"/>
        </w:rPr>
        <w:t xml:space="preserve"> Důležitým faktorem je rovněž schopnost centrální banky působit na měnovou bázi, která není stejná u všech jejích složek.</w:t>
      </w:r>
      <w:r w:rsidR="00C23472" w:rsidRPr="001E7829">
        <w:rPr>
          <w:rFonts w:cs="Times New Roman"/>
        </w:rPr>
        <w:t xml:space="preserve"> </w:t>
      </w:r>
      <w:r w:rsidR="00337FD7" w:rsidRPr="001E7829">
        <w:rPr>
          <w:rFonts w:cs="Times New Roman"/>
        </w:rPr>
        <w:t>Prakticky</w:t>
      </w:r>
      <w:r w:rsidR="00614601" w:rsidRPr="001E7829">
        <w:rPr>
          <w:rFonts w:cs="Times New Roman"/>
        </w:rPr>
        <w:t xml:space="preserve"> vyjádřeno, bude-</w:t>
      </w:r>
      <w:r w:rsidR="00337FD7" w:rsidRPr="001E7829">
        <w:rPr>
          <w:rFonts w:cs="Times New Roman"/>
        </w:rPr>
        <w:t>l</w:t>
      </w:r>
      <w:r w:rsidR="00614601" w:rsidRPr="001E7829">
        <w:rPr>
          <w:rFonts w:cs="Times New Roman"/>
        </w:rPr>
        <w:t xml:space="preserve">i se centrální banka </w:t>
      </w:r>
      <w:r w:rsidR="00337FD7" w:rsidRPr="001E7829">
        <w:rPr>
          <w:rFonts w:cs="Times New Roman"/>
        </w:rPr>
        <w:t>pokoušet</w:t>
      </w:r>
      <w:r w:rsidR="00614601" w:rsidRPr="001E7829">
        <w:rPr>
          <w:rFonts w:cs="Times New Roman"/>
        </w:rPr>
        <w:t xml:space="preserve"> snížit inflaci, bude jednat tak, aby </w:t>
      </w:r>
      <w:r w:rsidR="00337FD7" w:rsidRPr="001E7829">
        <w:rPr>
          <w:rFonts w:cs="Times New Roman"/>
        </w:rPr>
        <w:t>redukovala velikost měnové báze</w:t>
      </w:r>
      <w:r w:rsidR="00614601" w:rsidRPr="001E7829">
        <w:rPr>
          <w:rFonts w:cs="Times New Roman"/>
        </w:rPr>
        <w:t>. Toho může dosáhnout např. prodejem cenných papírů komerčním bankám, čímž dojde ke snížení bankovních rezerv. Poklesem měnové báze by měla poklesnout rovněž peněžní zásoba a nakonec také tempo růstu cenové hladiny.</w:t>
      </w:r>
      <w:r w:rsidR="00614601" w:rsidRPr="001E7829">
        <w:rPr>
          <w:rStyle w:val="Znakapoznpodarou"/>
          <w:rFonts w:cs="Times New Roman"/>
        </w:rPr>
        <w:footnoteReference w:id="44"/>
      </w:r>
    </w:p>
    <w:p w:rsidR="00337FD7" w:rsidRPr="001E7829" w:rsidRDefault="00337FD7" w:rsidP="00614601">
      <w:pPr>
        <w:rPr>
          <w:rFonts w:ascii="Times New Roman" w:hAnsi="Times New Roman" w:cs="Times New Roman"/>
          <w:b/>
          <w:sz w:val="24"/>
        </w:rPr>
      </w:pPr>
    </w:p>
    <w:p w:rsidR="00614601" w:rsidRPr="001E7829" w:rsidRDefault="00614601" w:rsidP="00614601">
      <w:pPr>
        <w:rPr>
          <w:rFonts w:ascii="Times New Roman" w:hAnsi="Times New Roman" w:cs="Times New Roman"/>
          <w:b/>
          <w:sz w:val="24"/>
        </w:rPr>
      </w:pPr>
      <w:r w:rsidRPr="001E7829">
        <w:rPr>
          <w:rFonts w:ascii="Times New Roman" w:hAnsi="Times New Roman" w:cs="Times New Roman"/>
          <w:b/>
          <w:sz w:val="24"/>
        </w:rPr>
        <w:t>Úvěrový transmisní mechanismus</w:t>
      </w:r>
    </w:p>
    <w:p w:rsidR="00614601" w:rsidRPr="001E7829" w:rsidRDefault="00E66CA6" w:rsidP="00B40EB7">
      <w:pPr>
        <w:pStyle w:val="Prvn"/>
        <w:rPr>
          <w:rFonts w:cs="Times New Roman"/>
        </w:rPr>
      </w:pPr>
      <w:r w:rsidRPr="001E7829">
        <w:rPr>
          <w:rFonts w:cs="Times New Roman"/>
        </w:rPr>
        <w:t>Jak napovídá název, při použití této formy transmisního mechanismu se bude centrální banka snažit dosáhnout stanoveného cíle prostřednictvím regulace množství úvěrů. Zprostředkujícím kritériem tak může být celkový stav úvěr</w:t>
      </w:r>
      <w:r w:rsidR="00337FD7" w:rsidRPr="001E7829">
        <w:rPr>
          <w:rFonts w:cs="Times New Roman"/>
        </w:rPr>
        <w:t xml:space="preserve">ů v domácí měně v ekonomice, </w:t>
      </w:r>
      <w:r w:rsidRPr="001E7829">
        <w:rPr>
          <w:rFonts w:cs="Times New Roman"/>
        </w:rPr>
        <w:t>celkový stav bankovních úvěrů, a</w:t>
      </w:r>
      <w:r w:rsidR="00337FD7" w:rsidRPr="001E7829">
        <w:rPr>
          <w:rFonts w:cs="Times New Roman"/>
        </w:rPr>
        <w:t>nebo</w:t>
      </w:r>
      <w:r w:rsidRPr="001E7829">
        <w:rPr>
          <w:rFonts w:cs="Times New Roman"/>
        </w:rPr>
        <w:t xml:space="preserve"> dlouhodobá úroková míra. Operativním kritériem je krátkodobá úroková míra.</w:t>
      </w:r>
      <w:r w:rsidRPr="001E7829">
        <w:rPr>
          <w:rStyle w:val="Znakapoznpodarou"/>
          <w:rFonts w:cs="Times New Roman"/>
        </w:rPr>
        <w:footnoteReference w:id="45"/>
      </w:r>
      <w:r w:rsidRPr="001E7829">
        <w:rPr>
          <w:rFonts w:cs="Times New Roman"/>
        </w:rPr>
        <w:t xml:space="preserve"> Jelikož objem úvěrů ovlivňuje velikost nominálního produktu, bývá ekonomický růst často dalším konečným cílem takovéto měnové politiky.</w:t>
      </w:r>
      <w:r w:rsidRPr="001E7829">
        <w:rPr>
          <w:rStyle w:val="Znakapoznpodarou"/>
          <w:rFonts w:cs="Times New Roman"/>
        </w:rPr>
        <w:footnoteReference w:id="46"/>
      </w:r>
    </w:p>
    <w:p w:rsidR="00E66CA6" w:rsidRPr="001E7829" w:rsidRDefault="00E66CA6" w:rsidP="00E66CA6">
      <w:pPr>
        <w:pStyle w:val="Druh"/>
        <w:rPr>
          <w:rFonts w:cs="Times New Roman"/>
        </w:rPr>
      </w:pPr>
    </w:p>
    <w:p w:rsidR="00E66CA6" w:rsidRPr="001E7829" w:rsidRDefault="00E66CA6" w:rsidP="00E66CA6">
      <w:pPr>
        <w:rPr>
          <w:rFonts w:ascii="Times New Roman" w:hAnsi="Times New Roman" w:cs="Times New Roman"/>
          <w:b/>
          <w:sz w:val="24"/>
        </w:rPr>
      </w:pPr>
      <w:r w:rsidRPr="001E7829">
        <w:rPr>
          <w:rFonts w:ascii="Times New Roman" w:hAnsi="Times New Roman" w:cs="Times New Roman"/>
          <w:b/>
          <w:sz w:val="24"/>
        </w:rPr>
        <w:t>Kurzový transmisní mechanismus</w:t>
      </w:r>
    </w:p>
    <w:p w:rsidR="00DC7948" w:rsidRPr="001E7829" w:rsidRDefault="004C2989" w:rsidP="00B40EB7">
      <w:pPr>
        <w:pStyle w:val="Prvn"/>
        <w:rPr>
          <w:rFonts w:cs="Times New Roman"/>
        </w:rPr>
      </w:pPr>
      <w:r w:rsidRPr="001E7829">
        <w:rPr>
          <w:rFonts w:cs="Times New Roman"/>
        </w:rPr>
        <w:t>Zásadní roli v tomto mechanismu hraje kurz domácí měny, jehož prostřednictvím se centrální banka nebo jiná měnově-politická autorita snaží zajistit požadovaný vývoj jiných ekonomických veličin. Nerozlišuje se přitom operativní a zprostředkující kritérium. Kurzový kanál může samozřejmě spolupůsobit i tehdy, pokud se centrální banka zaměřuje na jiný než kurzový transmisní mechanismus, a měnový kurz, jako vyjádření vnější cenové stability, může být také často konečným cílem měnové politiky.</w:t>
      </w:r>
      <w:r w:rsidRPr="001E7829">
        <w:rPr>
          <w:rStyle w:val="Znakapoznpodarou"/>
          <w:rFonts w:cs="Times New Roman"/>
        </w:rPr>
        <w:footnoteReference w:id="47"/>
      </w:r>
    </w:p>
    <w:p w:rsidR="00DC7948" w:rsidRPr="001E7829" w:rsidRDefault="00DC7948" w:rsidP="00B40EB7">
      <w:pPr>
        <w:pStyle w:val="Prvn"/>
        <w:rPr>
          <w:rFonts w:cs="Times New Roman"/>
        </w:rPr>
      </w:pPr>
    </w:p>
    <w:p w:rsidR="00DC7948" w:rsidRPr="001E7829" w:rsidRDefault="00DC7948" w:rsidP="00DC7948">
      <w:pPr>
        <w:rPr>
          <w:rFonts w:ascii="Times New Roman" w:hAnsi="Times New Roman" w:cs="Times New Roman"/>
          <w:b/>
          <w:sz w:val="24"/>
        </w:rPr>
      </w:pPr>
      <w:r w:rsidRPr="001E7829">
        <w:rPr>
          <w:rFonts w:ascii="Times New Roman" w:hAnsi="Times New Roman" w:cs="Times New Roman"/>
          <w:b/>
          <w:sz w:val="24"/>
        </w:rPr>
        <w:lastRenderedPageBreak/>
        <w:t>Cílování inflace</w:t>
      </w:r>
    </w:p>
    <w:p w:rsidR="00E66CA6" w:rsidRPr="001E7829" w:rsidRDefault="001960B6" w:rsidP="00B40EB7">
      <w:pPr>
        <w:pStyle w:val="Prvn"/>
        <w:rPr>
          <w:rFonts w:cs="Times New Roman"/>
        </w:rPr>
      </w:pPr>
      <w:r w:rsidRPr="001E7829">
        <w:rPr>
          <w:rFonts w:cs="Times New Roman"/>
        </w:rPr>
        <w:t>Mezi transmisní mechanismy bývá někdy zařazováno rovněž cílování inflace, častěji se však o něm hovoří jako o režimu měnové politiky. Je to systém, je</w:t>
      </w:r>
      <w:r w:rsidR="00793D92" w:rsidRPr="001E7829">
        <w:rPr>
          <w:rFonts w:cs="Times New Roman"/>
        </w:rPr>
        <w:t>n</w:t>
      </w:r>
      <w:r w:rsidRPr="001E7829">
        <w:rPr>
          <w:rFonts w:cs="Times New Roman"/>
        </w:rPr>
        <w:t xml:space="preserve">ž začal získávat na popularitě </w:t>
      </w:r>
      <w:r w:rsidR="00793D92" w:rsidRPr="001E7829">
        <w:rPr>
          <w:rFonts w:cs="Times New Roman"/>
        </w:rPr>
        <w:t xml:space="preserve">začátkem </w:t>
      </w:r>
      <w:r w:rsidRPr="001E7829">
        <w:rPr>
          <w:rFonts w:cs="Times New Roman"/>
        </w:rPr>
        <w:t xml:space="preserve">90. let </w:t>
      </w:r>
      <w:r w:rsidR="00793D92" w:rsidRPr="001E7829">
        <w:rPr>
          <w:rFonts w:cs="Times New Roman"/>
        </w:rPr>
        <w:t>20.</w:t>
      </w:r>
      <w:r w:rsidRPr="001E7829">
        <w:rPr>
          <w:rFonts w:cs="Times New Roman"/>
        </w:rPr>
        <w:t xml:space="preserve"> století</w:t>
      </w:r>
      <w:r w:rsidRPr="001E7829">
        <w:rPr>
          <w:rStyle w:val="Znakapoznpodarou"/>
          <w:rFonts w:cs="Times New Roman"/>
        </w:rPr>
        <w:footnoteReference w:id="48"/>
      </w:r>
      <w:r w:rsidRPr="001E7829">
        <w:rPr>
          <w:rFonts w:cs="Times New Roman"/>
        </w:rPr>
        <w:t xml:space="preserve"> a pro Českou republiku je mimořádně významný, protože jej v současnosti využívá ČNB.</w:t>
      </w:r>
    </w:p>
    <w:p w:rsidR="001960B6" w:rsidRPr="001E7829" w:rsidRDefault="001960B6" w:rsidP="001960B6">
      <w:pPr>
        <w:pStyle w:val="Druh"/>
        <w:rPr>
          <w:rFonts w:cs="Times New Roman"/>
        </w:rPr>
      </w:pPr>
      <w:r w:rsidRPr="001E7829">
        <w:rPr>
          <w:rFonts w:cs="Times New Roman"/>
        </w:rPr>
        <w:t>Jeho typickým rysem je, že nepočítá se zprostředkujícím kritériem a centrální banka se snaží cíle dosáhnout přímo prostřednictvím operativního kritéria, kterým je krátkodobá úroková míra. Cíl má podobu konkrétních hodnot či rozmezí hodnot pro výši inflace</w:t>
      </w:r>
      <w:r w:rsidR="00940F9B" w:rsidRPr="001E7829">
        <w:rPr>
          <w:rFonts w:cs="Times New Roman"/>
        </w:rPr>
        <w:t xml:space="preserve"> a je vyhlašován veřejně. Po vyhlášení upravuje banka nastavení</w:t>
      </w:r>
      <w:r w:rsidR="00793D92" w:rsidRPr="001E7829">
        <w:rPr>
          <w:rFonts w:cs="Times New Roman"/>
        </w:rPr>
        <w:t xml:space="preserve"> nástrojů</w:t>
      </w:r>
      <w:r w:rsidR="00940F9B" w:rsidRPr="001E7829">
        <w:rPr>
          <w:rFonts w:cs="Times New Roman"/>
        </w:rPr>
        <w:t xml:space="preserve"> měnové politiky tak, aby se skutečné hodnoty inflace v určitém časovém horizontu dostaly k cílené hladině. Výhodou režimu je jeho transparentnost vůči veřejnosti, rozhodování o cíli i nastavení měnové politiky se totiž uskutečňuje v rámci jasně stanovených postupů a pravidel.</w:t>
      </w:r>
      <w:r w:rsidR="001C1AEC" w:rsidRPr="001E7829">
        <w:rPr>
          <w:rStyle w:val="Znakapoznpodarou"/>
          <w:rFonts w:cs="Times New Roman"/>
        </w:rPr>
        <w:footnoteReference w:id="49"/>
      </w:r>
    </w:p>
    <w:p w:rsidR="001C1AEC" w:rsidRPr="001E7829" w:rsidRDefault="001C1AEC" w:rsidP="001960B6">
      <w:pPr>
        <w:pStyle w:val="Druh"/>
        <w:rPr>
          <w:rFonts w:cs="Times New Roman"/>
        </w:rPr>
      </w:pPr>
      <w:r w:rsidRPr="001E7829">
        <w:rPr>
          <w:rFonts w:cs="Times New Roman"/>
        </w:rPr>
        <w:t>Kvůli střednědobému charakteru cílování inflace v něm hrají významnou úlohu prognózy ohledně budoucího vývoje inflace. Právě na základě těchto progn</w:t>
      </w:r>
      <w:r w:rsidR="00886D78" w:rsidRPr="001E7829">
        <w:rPr>
          <w:rFonts w:cs="Times New Roman"/>
        </w:rPr>
        <w:t>óz se centrální banka rozhoduje,</w:t>
      </w:r>
      <w:r w:rsidRPr="001E7829">
        <w:rPr>
          <w:rFonts w:cs="Times New Roman"/>
        </w:rPr>
        <w:t xml:space="preserve"> zda a jakým způsobem změnit nastavení </w:t>
      </w:r>
      <w:r w:rsidR="00793D92" w:rsidRPr="001E7829">
        <w:rPr>
          <w:rFonts w:cs="Times New Roman"/>
        </w:rPr>
        <w:t xml:space="preserve">nástrojů </w:t>
      </w:r>
      <w:r w:rsidRPr="001E7829">
        <w:rPr>
          <w:rFonts w:cs="Times New Roman"/>
        </w:rPr>
        <w:t>monetární politiky.</w:t>
      </w:r>
      <w:r w:rsidR="00477CEB" w:rsidRPr="001E7829">
        <w:rPr>
          <w:rStyle w:val="Znakapoznpodarou"/>
          <w:rFonts w:cs="Times New Roman"/>
        </w:rPr>
        <w:footnoteReference w:id="50"/>
      </w:r>
      <w:r w:rsidR="00477CEB" w:rsidRPr="001E7829">
        <w:rPr>
          <w:rFonts w:cs="Times New Roman"/>
        </w:rPr>
        <w:t xml:space="preserve"> V praxi lze rozlišovat mezi prognózami podmíněnými a nepodmíněnými. První typ, který využívala ČNB do roku 2002, je založen na předpokladu neměnnosti úrokových sazeb centrální banky. Při jejich změně se stává prognóza neplatnou. To přinášelo zjevné nevýhody, proto přešla </w:t>
      </w:r>
      <w:r w:rsidR="00160A31" w:rsidRPr="001E7829">
        <w:rPr>
          <w:rFonts w:cs="Times New Roman"/>
        </w:rPr>
        <w:t>ČNB</w:t>
      </w:r>
      <w:r w:rsidR="00477CEB" w:rsidRPr="001E7829">
        <w:rPr>
          <w:rFonts w:cs="Times New Roman"/>
        </w:rPr>
        <w:t xml:space="preserve"> k nepodmíněným prognózám, které pomocí simulačního modelu umožňují v rámci prognózy zohlednit i předpokládaná budoucí měnově-politická rozhodnutí centrální banky.</w:t>
      </w:r>
      <w:r w:rsidR="00160A31" w:rsidRPr="001E7829">
        <w:rPr>
          <w:rStyle w:val="Znakapoznpodarou"/>
          <w:rFonts w:cs="Times New Roman"/>
        </w:rPr>
        <w:footnoteReference w:id="51"/>
      </w:r>
    </w:p>
    <w:p w:rsidR="002F144A" w:rsidRPr="001E7829" w:rsidRDefault="002F144A" w:rsidP="00324242">
      <w:pPr>
        <w:pStyle w:val="Druh"/>
        <w:rPr>
          <w:rFonts w:cs="Times New Roman"/>
        </w:rPr>
      </w:pPr>
    </w:p>
    <w:p w:rsidR="00A47C67" w:rsidRPr="001E7829" w:rsidRDefault="00A47C67" w:rsidP="00A47C67">
      <w:pPr>
        <w:pStyle w:val="1"/>
        <w:rPr>
          <w:rFonts w:cs="Times New Roman"/>
        </w:rPr>
      </w:pPr>
      <w:bookmarkStart w:id="25" w:name="_Toc444516056"/>
      <w:bookmarkStart w:id="26" w:name="_Toc446604200"/>
      <w:r w:rsidRPr="001E7829">
        <w:rPr>
          <w:rFonts w:cs="Times New Roman"/>
        </w:rPr>
        <w:lastRenderedPageBreak/>
        <w:t>Právní zakotvení ČNB a její monetární politiky</w:t>
      </w:r>
      <w:bookmarkEnd w:id="25"/>
      <w:bookmarkEnd w:id="26"/>
    </w:p>
    <w:p w:rsidR="002B5CBF" w:rsidRPr="001E7829" w:rsidRDefault="00D45C13" w:rsidP="00B40EB7">
      <w:pPr>
        <w:pStyle w:val="Prvn"/>
        <w:rPr>
          <w:rFonts w:cs="Times New Roman"/>
        </w:rPr>
      </w:pPr>
      <w:r w:rsidRPr="001E7829">
        <w:rPr>
          <w:rFonts w:cs="Times New Roman"/>
        </w:rPr>
        <w:t>V současné době, kdy se ekonomiky mnoha zemí musejí potýkat s důsledky hospodářských a finančních krizí světového rozsahu, roste význam centrálních bank, jejichž vrcholné orgány mají v rukou rozhodování o důlež</w:t>
      </w:r>
      <w:r w:rsidR="003A06E2" w:rsidRPr="001E7829">
        <w:rPr>
          <w:rFonts w:cs="Times New Roman"/>
        </w:rPr>
        <w:t>itých otázkách ekonomického směř</w:t>
      </w:r>
      <w:r w:rsidRPr="001E7829">
        <w:rPr>
          <w:rFonts w:cs="Times New Roman"/>
        </w:rPr>
        <w:t>ování státu. Má-li však centrální banka efektivně plnit své funkce (včet</w:t>
      </w:r>
      <w:r w:rsidR="00886D78" w:rsidRPr="001E7829">
        <w:rPr>
          <w:rFonts w:cs="Times New Roman"/>
        </w:rPr>
        <w:t>ně určování monetární politiky)</w:t>
      </w:r>
      <w:r w:rsidRPr="001E7829">
        <w:rPr>
          <w:rFonts w:cs="Times New Roman"/>
        </w:rPr>
        <w:t xml:space="preserve"> je nezbytné, aby jí byly právními předpisy svěřeny odpovídající </w:t>
      </w:r>
      <w:r w:rsidR="009066F6" w:rsidRPr="001E7829">
        <w:rPr>
          <w:rFonts w:cs="Times New Roman"/>
        </w:rPr>
        <w:t xml:space="preserve">kompetence a dáno postavení, které zaručí nezávislost jejího rozhodování. V této kapitole se pokusím charakterizovat právní úpravu ČNB, a to se zaměřením především na ustanovení podstatná pro její roli vrcholného subjektu monetární politiky. Dále se budu věnovat právnímu postavení ČNB a závěrem nastíním rovněž základní změny právní </w:t>
      </w:r>
      <w:r w:rsidR="00793D92" w:rsidRPr="001E7829">
        <w:rPr>
          <w:rFonts w:cs="Times New Roman"/>
        </w:rPr>
        <w:t>úpravy, postavení a kompetencí B</w:t>
      </w:r>
      <w:r w:rsidR="009066F6" w:rsidRPr="001E7829">
        <w:rPr>
          <w:rFonts w:cs="Times New Roman"/>
        </w:rPr>
        <w:t>anky v souvislosti se vstupem České republiky do Evropské unie a s plánovaným vstupem do eurozóny.</w:t>
      </w:r>
    </w:p>
    <w:p w:rsidR="0003331A" w:rsidRPr="001E7829" w:rsidRDefault="00D54EEA" w:rsidP="009C173B">
      <w:pPr>
        <w:pStyle w:val="21"/>
        <w:rPr>
          <w:rFonts w:cs="Times New Roman"/>
        </w:rPr>
      </w:pPr>
      <w:bookmarkStart w:id="27" w:name="_Toc444083228"/>
      <w:bookmarkStart w:id="28" w:name="_Toc444516057"/>
      <w:bookmarkStart w:id="29" w:name="_Toc446604201"/>
      <w:r w:rsidRPr="001E7829">
        <w:rPr>
          <w:rFonts w:cs="Times New Roman"/>
        </w:rPr>
        <w:t>Základní rysy</w:t>
      </w:r>
      <w:r w:rsidR="00A4684C" w:rsidRPr="001E7829">
        <w:rPr>
          <w:rFonts w:cs="Times New Roman"/>
        </w:rPr>
        <w:t xml:space="preserve"> české právní úpravy</w:t>
      </w:r>
      <w:bookmarkEnd w:id="27"/>
      <w:bookmarkEnd w:id="28"/>
      <w:bookmarkEnd w:id="29"/>
    </w:p>
    <w:p w:rsidR="003A06E2" w:rsidRPr="001E7829" w:rsidRDefault="00D6247D" w:rsidP="00B40EB7">
      <w:pPr>
        <w:pStyle w:val="Prvn"/>
        <w:rPr>
          <w:rFonts w:cs="Times New Roman"/>
        </w:rPr>
      </w:pPr>
      <w:r w:rsidRPr="001E7829">
        <w:rPr>
          <w:rFonts w:cs="Times New Roman"/>
        </w:rPr>
        <w:t>Existence a činnost ČNB jsou založeny dvěma klíčovými předpisy. Na ústavní úrovni jde o Ústavu</w:t>
      </w:r>
      <w:r w:rsidRPr="001E7829">
        <w:rPr>
          <w:rStyle w:val="Znakapoznpodarou"/>
          <w:rFonts w:cs="Times New Roman"/>
        </w:rPr>
        <w:footnoteReference w:id="52"/>
      </w:r>
      <w:r w:rsidRPr="001E7829">
        <w:rPr>
          <w:rFonts w:cs="Times New Roman"/>
        </w:rPr>
        <w:t xml:space="preserve">, kterou na úrovni zákonné doplňuje zákon č. 6/1993 Sb., o České národní bance, ve znění pozdějších předpisů. </w:t>
      </w:r>
      <w:r w:rsidR="005F0018" w:rsidRPr="001E7829">
        <w:rPr>
          <w:rFonts w:cs="Times New Roman"/>
        </w:rPr>
        <w:t>Zakotvení centrální banky v předpise ne</w:t>
      </w:r>
      <w:r w:rsidR="002F2AE7" w:rsidRPr="001E7829">
        <w:rPr>
          <w:rFonts w:cs="Times New Roman"/>
        </w:rPr>
        <w:t>j</w:t>
      </w:r>
      <w:r w:rsidR="005F0018" w:rsidRPr="001E7829">
        <w:rPr>
          <w:rFonts w:cs="Times New Roman"/>
        </w:rPr>
        <w:t>vyšší právní síly je přitom v českém právním řádu prvkem relativně novým, který přinesla právě až současná ústava.</w:t>
      </w:r>
      <w:r w:rsidR="005F0018" w:rsidRPr="001E7829">
        <w:rPr>
          <w:rStyle w:val="Znakapoznpodarou"/>
          <w:rFonts w:cs="Times New Roman"/>
        </w:rPr>
        <w:footnoteReference w:id="53"/>
      </w:r>
    </w:p>
    <w:p w:rsidR="005F0018" w:rsidRPr="001E7829" w:rsidRDefault="005F0018" w:rsidP="005F0018">
      <w:pPr>
        <w:pStyle w:val="Druh"/>
        <w:rPr>
          <w:rFonts w:cs="Times New Roman"/>
        </w:rPr>
      </w:pPr>
      <w:r w:rsidRPr="001E7829">
        <w:rPr>
          <w:rFonts w:cs="Times New Roman"/>
        </w:rPr>
        <w:t>České národní bance je v aktuálně platném znění věnována hlava šestá Ústavy, která obsahuje jediné ustanovení, a to čl. 98. Ten v prvním odstavci vymezuje ČNB jako ústřední banku státu</w:t>
      </w:r>
      <w:r w:rsidR="0072369D" w:rsidRPr="001E7829">
        <w:rPr>
          <w:rFonts w:cs="Times New Roman"/>
        </w:rPr>
        <w:t xml:space="preserve"> (</w:t>
      </w:r>
      <w:r w:rsidR="00A30AB8" w:rsidRPr="001E7829">
        <w:rPr>
          <w:rFonts w:cs="Times New Roman"/>
        </w:rPr>
        <w:t>ZČNB</w:t>
      </w:r>
      <w:r w:rsidR="0072369D" w:rsidRPr="001E7829">
        <w:rPr>
          <w:rFonts w:cs="Times New Roman"/>
        </w:rPr>
        <w:t xml:space="preserve"> dále doplňuje, že jde o právnickou osobu veřejného práva</w:t>
      </w:r>
      <w:r w:rsidR="0072369D" w:rsidRPr="001E7829">
        <w:rPr>
          <w:rStyle w:val="Znakapoznpodarou"/>
          <w:rFonts w:cs="Times New Roman"/>
        </w:rPr>
        <w:footnoteReference w:id="54"/>
      </w:r>
      <w:r w:rsidR="0072369D" w:rsidRPr="001E7829">
        <w:rPr>
          <w:rFonts w:cs="Times New Roman"/>
        </w:rPr>
        <w:t>)</w:t>
      </w:r>
      <w:r w:rsidRPr="001E7829">
        <w:rPr>
          <w:rFonts w:cs="Times New Roman"/>
        </w:rPr>
        <w:t>, definuje jako hlavní cíl její činnosti péči o cenovou stabilitu, a také stanoví, že do činnosti ČNB lze zasahovat pouze na základě zákona.</w:t>
      </w:r>
      <w:r w:rsidR="009C74A9" w:rsidRPr="001E7829">
        <w:rPr>
          <w:rFonts w:cs="Times New Roman"/>
        </w:rPr>
        <w:t xml:space="preserve"> Zmocnění k zákonnému provedení obsahuje rovněž druhý </w:t>
      </w:r>
      <w:r w:rsidR="009C74A9" w:rsidRPr="001E7829">
        <w:rPr>
          <w:rFonts w:cs="Times New Roman"/>
        </w:rPr>
        <w:lastRenderedPageBreak/>
        <w:t>odstavec, a to v souvislosti s postavením, působností a veškerými dalšími podrobnosti, které se zákonodárce rozhodne touto formou upravit.</w:t>
      </w:r>
    </w:p>
    <w:p w:rsidR="009C74A9" w:rsidRPr="001E7829" w:rsidRDefault="009C74A9" w:rsidP="005F0018">
      <w:pPr>
        <w:pStyle w:val="Druh"/>
        <w:rPr>
          <w:rFonts w:cs="Times New Roman"/>
        </w:rPr>
      </w:pPr>
      <w:r w:rsidRPr="001E7829">
        <w:rPr>
          <w:rFonts w:cs="Times New Roman"/>
        </w:rPr>
        <w:t xml:space="preserve">Na první pohled je tak vidět, že Ústava poskytuje pouze nejzákladnější rámec pro fungování </w:t>
      </w:r>
      <w:r w:rsidR="00A30AB8" w:rsidRPr="001E7829">
        <w:rPr>
          <w:rFonts w:cs="Times New Roman"/>
        </w:rPr>
        <w:t>Banky</w:t>
      </w:r>
      <w:r w:rsidRPr="001E7829">
        <w:rPr>
          <w:rFonts w:cs="Times New Roman"/>
        </w:rPr>
        <w:t xml:space="preserve"> a detaily ponechává na prováděcím předpisu – </w:t>
      </w:r>
      <w:r w:rsidR="0043036A" w:rsidRPr="001E7829">
        <w:rPr>
          <w:rFonts w:cs="Times New Roman"/>
        </w:rPr>
        <w:t>ZČNB</w:t>
      </w:r>
      <w:r w:rsidRPr="001E7829">
        <w:rPr>
          <w:rFonts w:cs="Times New Roman"/>
        </w:rPr>
        <w:t xml:space="preserve">. V praxi toto pojetí nezpůsobilo zásadní problém, protože </w:t>
      </w:r>
      <w:r w:rsidR="00CF0336" w:rsidRPr="001E7829">
        <w:rPr>
          <w:rFonts w:cs="Times New Roman"/>
        </w:rPr>
        <w:t>Z</w:t>
      </w:r>
      <w:r w:rsidR="00A30AB8" w:rsidRPr="001E7829">
        <w:rPr>
          <w:rFonts w:cs="Times New Roman"/>
        </w:rPr>
        <w:t>ČNB</w:t>
      </w:r>
      <w:r w:rsidR="00CF0336" w:rsidRPr="001E7829">
        <w:rPr>
          <w:rFonts w:cs="Times New Roman"/>
        </w:rPr>
        <w:t xml:space="preserve"> byl přijat </w:t>
      </w:r>
      <w:r w:rsidR="0010599F" w:rsidRPr="001E7829">
        <w:rPr>
          <w:rFonts w:cs="Times New Roman"/>
        </w:rPr>
        <w:t xml:space="preserve">17. prosince 1992, tedy </w:t>
      </w:r>
      <w:r w:rsidR="00CF0336" w:rsidRPr="001E7829">
        <w:rPr>
          <w:rFonts w:cs="Times New Roman"/>
        </w:rPr>
        <w:t xml:space="preserve">v den následující po dni přijetí Ústavy. Při schvalování ústavní normy byl tedy již znám obsah </w:t>
      </w:r>
      <w:r w:rsidR="00A30AB8" w:rsidRPr="001E7829">
        <w:rPr>
          <w:rFonts w:cs="Times New Roman"/>
        </w:rPr>
        <w:t>zákona</w:t>
      </w:r>
      <w:r w:rsidR="00A67736" w:rsidRPr="001E7829">
        <w:rPr>
          <w:rFonts w:cs="Times New Roman"/>
        </w:rPr>
        <w:t xml:space="preserve"> a nemohlo tudíž</w:t>
      </w:r>
      <w:r w:rsidR="00CF0336" w:rsidRPr="001E7829">
        <w:rPr>
          <w:rFonts w:cs="Times New Roman"/>
        </w:rPr>
        <w:t xml:space="preserve"> dojít k situaci, kdy by nebyl po delší dobu v českém právu dostatečně kvalitní podklad pro fungování centrální banky.</w:t>
      </w:r>
      <w:r w:rsidR="00A67736" w:rsidRPr="001E7829">
        <w:rPr>
          <w:rStyle w:val="Znakapoznpodarou"/>
          <w:rFonts w:cs="Times New Roman"/>
        </w:rPr>
        <w:footnoteReference w:id="55"/>
      </w:r>
    </w:p>
    <w:p w:rsidR="00B50866" w:rsidRPr="001E7829" w:rsidRDefault="00B50866" w:rsidP="005F0018">
      <w:pPr>
        <w:pStyle w:val="Druh"/>
        <w:rPr>
          <w:rFonts w:cs="Times New Roman"/>
        </w:rPr>
      </w:pPr>
      <w:r w:rsidRPr="001E7829">
        <w:rPr>
          <w:rFonts w:cs="Times New Roman"/>
        </w:rPr>
        <w:t xml:space="preserve">Základem pro vznik </w:t>
      </w:r>
      <w:r w:rsidR="009D4DC4" w:rsidRPr="001E7829">
        <w:rPr>
          <w:rFonts w:cs="Times New Roman"/>
        </w:rPr>
        <w:t>ZČNB</w:t>
      </w:r>
      <w:r w:rsidRPr="001E7829">
        <w:rPr>
          <w:rFonts w:cs="Times New Roman"/>
        </w:rPr>
        <w:t xml:space="preserve"> byla novela</w:t>
      </w:r>
      <w:r w:rsidR="00605B16" w:rsidRPr="001E7829">
        <w:rPr>
          <w:rStyle w:val="Znakapoznpodarou"/>
          <w:rFonts w:cs="Times New Roman"/>
        </w:rPr>
        <w:footnoteReference w:id="56"/>
      </w:r>
      <w:r w:rsidRPr="001E7829">
        <w:rPr>
          <w:rFonts w:cs="Times New Roman"/>
        </w:rPr>
        <w:t xml:space="preserve"> ústavního zákona č. 143/1968 Sb., o československé federaci, ve znění pozdějších předpisů, která</w:t>
      </w:r>
      <w:r w:rsidR="00605B16" w:rsidRPr="001E7829">
        <w:rPr>
          <w:rFonts w:cs="Times New Roman"/>
        </w:rPr>
        <w:t xml:space="preserve"> umožnila České a Slovenské republice vytvořit vlastní emisní banky. Ty měly vzniknout rozdělením jejich předchůdce, kterým byla Státní banka československá</w:t>
      </w:r>
      <w:r w:rsidR="002F2AE7" w:rsidRPr="001E7829">
        <w:rPr>
          <w:rFonts w:cs="Times New Roman"/>
        </w:rPr>
        <w:t xml:space="preserve"> (dále </w:t>
      </w:r>
      <w:r w:rsidR="00A30AB8" w:rsidRPr="001E7829">
        <w:rPr>
          <w:rFonts w:cs="Times New Roman"/>
        </w:rPr>
        <w:t>také</w:t>
      </w:r>
      <w:r w:rsidR="002F2AE7" w:rsidRPr="001E7829">
        <w:rPr>
          <w:rFonts w:cs="Times New Roman"/>
        </w:rPr>
        <w:t xml:space="preserve"> „SBČS“)</w:t>
      </w:r>
      <w:r w:rsidR="00605B16" w:rsidRPr="001E7829">
        <w:rPr>
          <w:rFonts w:cs="Times New Roman"/>
        </w:rPr>
        <w:t>. Nový zákon přitom koncepčně vycházel ze zákona o SBČS</w:t>
      </w:r>
      <w:r w:rsidR="00506D9A" w:rsidRPr="001E7829">
        <w:rPr>
          <w:rStyle w:val="Znakapoznpodarou"/>
          <w:rFonts w:cs="Times New Roman"/>
        </w:rPr>
        <w:footnoteReference w:id="57"/>
      </w:r>
      <w:r w:rsidR="00605B16" w:rsidRPr="001E7829">
        <w:rPr>
          <w:rFonts w:cs="Times New Roman"/>
        </w:rPr>
        <w:t>, což bylo podle důvodové zprávy konzultováno s experty ze Světové banky, Mezinárodního měnového fondu a některých centrálních bank.</w:t>
      </w:r>
      <w:r w:rsidR="00B93859" w:rsidRPr="001E7829">
        <w:rPr>
          <w:rFonts w:cs="Times New Roman"/>
        </w:rPr>
        <w:t xml:space="preserve"> Úprava má převážně kompetenční charakter, jelikož konkretizuje pravomoci a působnosti ČNB, jejichž základ vymezila Ústava.</w:t>
      </w:r>
      <w:r w:rsidR="00506D9A" w:rsidRPr="001E7829">
        <w:rPr>
          <w:rStyle w:val="Znakapoznpodarou"/>
          <w:rFonts w:cs="Times New Roman"/>
        </w:rPr>
        <w:footnoteReference w:id="58"/>
      </w:r>
    </w:p>
    <w:p w:rsidR="00A67736" w:rsidRPr="001E7829" w:rsidRDefault="00B93859" w:rsidP="005F0018">
      <w:pPr>
        <w:pStyle w:val="Druh"/>
        <w:rPr>
          <w:rFonts w:cs="Times New Roman"/>
        </w:rPr>
      </w:pPr>
      <w:r w:rsidRPr="001E7829">
        <w:rPr>
          <w:rFonts w:cs="Times New Roman"/>
        </w:rPr>
        <w:t>Ústavní z</w:t>
      </w:r>
      <w:r w:rsidR="00A67736" w:rsidRPr="001E7829">
        <w:rPr>
          <w:rFonts w:cs="Times New Roman"/>
        </w:rPr>
        <w:t>mínka o hlavním cíli v podobě péče o cenovou stabilitu v podstatě otevírá dveře měnové politice, jakožto nejvýznamnějšímu prostředku, který centrální banka k dosažení tohoto cíle má.</w:t>
      </w:r>
      <w:r w:rsidR="00A972FA" w:rsidRPr="001E7829">
        <w:rPr>
          <w:rFonts w:cs="Times New Roman"/>
        </w:rPr>
        <w:t xml:space="preserve"> To potvrzuje i její zařazení na první místo mezi úkoly ČNB vyjmenované v § 2 odst. 2 Z</w:t>
      </w:r>
      <w:r w:rsidR="00A30AB8" w:rsidRPr="001E7829">
        <w:rPr>
          <w:rFonts w:cs="Times New Roman"/>
        </w:rPr>
        <w:t>ČNB</w:t>
      </w:r>
      <w:r w:rsidR="00A972FA" w:rsidRPr="001E7829">
        <w:rPr>
          <w:rFonts w:cs="Times New Roman"/>
        </w:rPr>
        <w:t>.</w:t>
      </w:r>
      <w:r w:rsidR="00FF4255" w:rsidRPr="001E7829">
        <w:rPr>
          <w:rStyle w:val="Znakapoznpodarou"/>
          <w:rFonts w:cs="Times New Roman"/>
        </w:rPr>
        <w:footnoteReference w:id="59"/>
      </w:r>
      <w:r w:rsidR="0043036A" w:rsidRPr="001E7829">
        <w:rPr>
          <w:rFonts w:cs="Times New Roman"/>
        </w:rPr>
        <w:t xml:space="preserve"> </w:t>
      </w:r>
      <w:r w:rsidR="00A972FA" w:rsidRPr="001E7829">
        <w:rPr>
          <w:rFonts w:cs="Times New Roman"/>
        </w:rPr>
        <w:t>Stejný paragraf ve svém prvním odstavci</w:t>
      </w:r>
      <w:r w:rsidR="00FF4255" w:rsidRPr="001E7829">
        <w:rPr>
          <w:rFonts w:cs="Times New Roman"/>
        </w:rPr>
        <w:t xml:space="preserve"> doplňuje ústavní vymezení cíle ČNB, když</w:t>
      </w:r>
      <w:r w:rsidR="00A972FA" w:rsidRPr="001E7829">
        <w:rPr>
          <w:rFonts w:cs="Times New Roman"/>
        </w:rPr>
        <w:t xml:space="preserve"> kromě hlavní</w:t>
      </w:r>
      <w:r w:rsidR="00FF4255" w:rsidRPr="001E7829">
        <w:rPr>
          <w:rFonts w:cs="Times New Roman"/>
        </w:rPr>
        <w:t>ho</w:t>
      </w:r>
      <w:r w:rsidR="00A972FA" w:rsidRPr="001E7829">
        <w:rPr>
          <w:rFonts w:cs="Times New Roman"/>
        </w:rPr>
        <w:t xml:space="preserve"> cíle formulovaného stejně jako v Ústavě uvádí rovněž další cíle – </w:t>
      </w:r>
      <w:r w:rsidR="00A972FA" w:rsidRPr="001E7829">
        <w:rPr>
          <w:rFonts w:cs="Times New Roman"/>
        </w:rPr>
        <w:lastRenderedPageBreak/>
        <w:t>podporu obecné hospodářské politiky vlády a obecné hospodářské politiky v Evropské unii. Kromě toho svěřuje Bance péči o finanční stabilitu a bezpečné fungování finančního systému, a rovněž jí ukládá jednat v souladu se zásadou otevřeného tržního hospodářství. Cíle ČNB doznaly od nabytí účinnosti obou předpisů určitých změn, tuto problematiku však budu blíže popisovat až v části o změnách v souvislosti se zapojením ČR do evropského integračního procesu.</w:t>
      </w:r>
    </w:p>
    <w:p w:rsidR="00443A80" w:rsidRPr="001E7829" w:rsidRDefault="00D54EEA" w:rsidP="00443A80">
      <w:pPr>
        <w:pStyle w:val="Druh"/>
        <w:rPr>
          <w:rFonts w:cs="Times New Roman"/>
        </w:rPr>
      </w:pPr>
      <w:r w:rsidRPr="001E7829">
        <w:rPr>
          <w:rFonts w:cs="Times New Roman"/>
        </w:rPr>
        <w:t>Měnové politice je přímo vě</w:t>
      </w:r>
      <w:r w:rsidR="00692269" w:rsidRPr="001E7829">
        <w:rPr>
          <w:rFonts w:cs="Times New Roman"/>
        </w:rPr>
        <w:t>nována část šestá Z</w:t>
      </w:r>
      <w:r w:rsidR="00A30AB8" w:rsidRPr="001E7829">
        <w:rPr>
          <w:rFonts w:cs="Times New Roman"/>
        </w:rPr>
        <w:t>ČNB</w:t>
      </w:r>
      <w:r w:rsidR="00692269" w:rsidRPr="001E7829">
        <w:rPr>
          <w:rFonts w:cs="Times New Roman"/>
        </w:rPr>
        <w:t xml:space="preserve">. Jedná se o nepříliš obsáhlou úpravu v rozsahu čtyř paragrafů. Paragraf 23 dává </w:t>
      </w:r>
      <w:r w:rsidR="00A30AB8" w:rsidRPr="001E7829">
        <w:rPr>
          <w:rFonts w:cs="Times New Roman"/>
        </w:rPr>
        <w:t>Bance</w:t>
      </w:r>
      <w:r w:rsidR="00692269" w:rsidRPr="001E7829">
        <w:rPr>
          <w:rFonts w:cs="Times New Roman"/>
        </w:rPr>
        <w:t xml:space="preserve"> pravomoc stanovovat „</w:t>
      </w:r>
      <w:r w:rsidR="00692269" w:rsidRPr="001E7829">
        <w:rPr>
          <w:rFonts w:cs="Times New Roman"/>
          <w:i/>
        </w:rPr>
        <w:t>úrokové sazby, rámce, splatnosti a další podmínky obchodů, které provádí podle tohoto zákona a jiných zákonů.</w:t>
      </w:r>
      <w:r w:rsidR="00692269" w:rsidRPr="001E7829">
        <w:rPr>
          <w:rFonts w:cs="Times New Roman"/>
        </w:rPr>
        <w:t>“</w:t>
      </w:r>
      <w:r w:rsidR="00443A80" w:rsidRPr="001E7829">
        <w:rPr>
          <w:rFonts w:cs="Times New Roman"/>
        </w:rPr>
        <w:t xml:space="preserve"> Toto ustanovení je tak legislativním podkladem pro většinu měnově-politických nástrojů Banky, včetně diskontních nástrojů, operací na volném trhu, či devizových intervencí.</w:t>
      </w:r>
      <w:r w:rsidR="00443A80" w:rsidRPr="001E7829">
        <w:rPr>
          <w:rStyle w:val="Znakapoznpodarou"/>
          <w:rFonts w:cs="Times New Roman"/>
        </w:rPr>
        <w:footnoteReference w:id="60"/>
      </w:r>
      <w:r w:rsidR="00443A80" w:rsidRPr="001E7829">
        <w:rPr>
          <w:rFonts w:cs="Times New Roman"/>
        </w:rPr>
        <w:t xml:space="preserve"> Paragrafy 24 a 25 jsou věnovány povinným minimálním rezervám – první z nich ukládá bankám, pobočkám zahraničních bank a spořitelním a úvěrním družstvům ukládat </w:t>
      </w:r>
      <w:r w:rsidR="003631D7" w:rsidRPr="001E7829">
        <w:rPr>
          <w:rFonts w:cs="Times New Roman"/>
        </w:rPr>
        <w:t>u ČNB povinné minimální rezervy</w:t>
      </w:r>
      <w:r w:rsidR="00443A80" w:rsidRPr="001E7829">
        <w:rPr>
          <w:rFonts w:cs="Times New Roman"/>
        </w:rPr>
        <w:t xml:space="preserve"> a druhý obsahuje sankční mechanismus, který má ČNB k dispozici v případě, že není dodržena povinnost podle § 24. Paragraf 26 je zmocňovacím ustanovením, které umožňuje Bance upravovat formou vyhlášky některé </w:t>
      </w:r>
      <w:r w:rsidR="003E03A6" w:rsidRPr="001E7829">
        <w:rPr>
          <w:rFonts w:cs="Times New Roman"/>
        </w:rPr>
        <w:t>otázky související s povinnými minimálními rezervami.</w:t>
      </w:r>
      <w:r w:rsidR="00860861" w:rsidRPr="001E7829">
        <w:rPr>
          <w:rStyle w:val="Znakapoznpodarou"/>
          <w:rFonts w:cs="Times New Roman"/>
        </w:rPr>
        <w:footnoteReference w:id="61"/>
      </w:r>
      <w:r w:rsidR="00860861" w:rsidRPr="001E7829">
        <w:rPr>
          <w:rFonts w:cs="Times New Roman"/>
        </w:rPr>
        <w:t xml:space="preserve"> Pro měno</w:t>
      </w:r>
      <w:r w:rsidR="002F2AE7" w:rsidRPr="001E7829">
        <w:rPr>
          <w:rFonts w:cs="Times New Roman"/>
        </w:rPr>
        <w:t>vo</w:t>
      </w:r>
      <w:r w:rsidR="00860861" w:rsidRPr="001E7829">
        <w:rPr>
          <w:rFonts w:cs="Times New Roman"/>
        </w:rPr>
        <w:t>u politiku jsou dále přímo relevantní i n</w:t>
      </w:r>
      <w:r w:rsidR="00C57159" w:rsidRPr="001E7829">
        <w:rPr>
          <w:rFonts w:cs="Times New Roman"/>
        </w:rPr>
        <w:t>ěkterá další ustanovení Z</w:t>
      </w:r>
      <w:r w:rsidR="00A30AB8" w:rsidRPr="001E7829">
        <w:rPr>
          <w:rFonts w:cs="Times New Roman"/>
        </w:rPr>
        <w:t>ČNB</w:t>
      </w:r>
      <w:r w:rsidR="00C57159" w:rsidRPr="001E7829">
        <w:rPr>
          <w:rFonts w:cs="Times New Roman"/>
        </w:rPr>
        <w:t xml:space="preserve">, </w:t>
      </w:r>
      <w:r w:rsidR="00860861" w:rsidRPr="001E7829">
        <w:rPr>
          <w:rFonts w:cs="Times New Roman"/>
        </w:rPr>
        <w:t>především pak části šesté o obchodech s bankami, či části sedmé, která svěřuje Bance pravomoci ve vztahu k měnovému kurzu a devizovým obchodům a rezervám</w:t>
      </w:r>
      <w:r w:rsidR="00947B60" w:rsidRPr="001E7829">
        <w:rPr>
          <w:rFonts w:cs="Times New Roman"/>
        </w:rPr>
        <w:t>.</w:t>
      </w:r>
    </w:p>
    <w:p w:rsidR="003631D7" w:rsidRPr="001E7829" w:rsidRDefault="003631D7" w:rsidP="00443A80">
      <w:pPr>
        <w:pStyle w:val="Druh"/>
        <w:rPr>
          <w:rFonts w:cs="Times New Roman"/>
        </w:rPr>
      </w:pPr>
    </w:p>
    <w:p w:rsidR="00A4684C" w:rsidRPr="001E7829" w:rsidRDefault="00A4684C" w:rsidP="00A4684C">
      <w:pPr>
        <w:pStyle w:val="21"/>
        <w:rPr>
          <w:rFonts w:cs="Times New Roman"/>
        </w:rPr>
      </w:pPr>
      <w:bookmarkStart w:id="30" w:name="_Toc444083229"/>
      <w:bookmarkStart w:id="31" w:name="_Toc444516058"/>
      <w:bookmarkStart w:id="32" w:name="_Toc446604202"/>
      <w:r w:rsidRPr="001E7829">
        <w:rPr>
          <w:rFonts w:cs="Times New Roman"/>
        </w:rPr>
        <w:lastRenderedPageBreak/>
        <w:t>Právní postavení ČNB</w:t>
      </w:r>
      <w:bookmarkEnd w:id="30"/>
      <w:bookmarkEnd w:id="31"/>
      <w:bookmarkEnd w:id="32"/>
    </w:p>
    <w:p w:rsidR="00947B60" w:rsidRPr="001E7829" w:rsidRDefault="00947B60" w:rsidP="00947B60">
      <w:pPr>
        <w:pStyle w:val="221"/>
        <w:rPr>
          <w:rFonts w:cs="Times New Roman"/>
        </w:rPr>
      </w:pPr>
      <w:bookmarkStart w:id="33" w:name="_Toc444083230"/>
      <w:bookmarkStart w:id="34" w:name="_Toc444516059"/>
      <w:bookmarkStart w:id="35" w:name="_Toc446604203"/>
      <w:r w:rsidRPr="001E7829">
        <w:rPr>
          <w:rFonts w:cs="Times New Roman"/>
        </w:rPr>
        <w:t>Působnost a pravomoci ČNB</w:t>
      </w:r>
      <w:bookmarkEnd w:id="33"/>
      <w:bookmarkEnd w:id="34"/>
      <w:bookmarkEnd w:id="35"/>
    </w:p>
    <w:p w:rsidR="00C57159" w:rsidRPr="001E7829" w:rsidRDefault="00D75A49" w:rsidP="00B40EB7">
      <w:pPr>
        <w:pStyle w:val="Prvn"/>
        <w:rPr>
          <w:rFonts w:cs="Times New Roman"/>
        </w:rPr>
      </w:pPr>
      <w:r w:rsidRPr="001E7829">
        <w:rPr>
          <w:rFonts w:cs="Times New Roman"/>
        </w:rPr>
        <w:t>Pět nejdůležitějších úkolů ČNB je uvedeno v § 2 odst. 2 Z</w:t>
      </w:r>
      <w:r w:rsidR="00A30AB8" w:rsidRPr="001E7829">
        <w:rPr>
          <w:rFonts w:cs="Times New Roman"/>
        </w:rPr>
        <w:t>ČNB</w:t>
      </w:r>
      <w:r w:rsidRPr="001E7829">
        <w:rPr>
          <w:rFonts w:cs="Times New Roman"/>
        </w:rPr>
        <w:t>. Patří mezi ně určování měnové politiky, vydávání bankovek a mincí (emisní funkce), činnost v oblasti peněžního oběhu, platebního styku a zúčtování, dohled nad finančním trhem</w:t>
      </w:r>
      <w:r w:rsidR="001051FA" w:rsidRPr="001E7829">
        <w:rPr>
          <w:rFonts w:cs="Times New Roman"/>
        </w:rPr>
        <w:t xml:space="preserve"> a</w:t>
      </w:r>
      <w:r w:rsidRPr="001E7829">
        <w:rPr>
          <w:rFonts w:cs="Times New Roman"/>
        </w:rPr>
        <w:t xml:space="preserve"> péče o stabilitu finančního systému (tzv. </w:t>
      </w:r>
      <w:proofErr w:type="spellStart"/>
      <w:r w:rsidRPr="001E7829">
        <w:rPr>
          <w:rFonts w:cs="Times New Roman"/>
        </w:rPr>
        <w:t>makroobezřetnostní</w:t>
      </w:r>
      <w:proofErr w:type="spellEnd"/>
      <w:r w:rsidRPr="001E7829">
        <w:rPr>
          <w:rFonts w:cs="Times New Roman"/>
        </w:rPr>
        <w:t xml:space="preserve"> politika).</w:t>
      </w:r>
      <w:r w:rsidR="005F5635" w:rsidRPr="001E7829">
        <w:rPr>
          <w:rFonts w:cs="Times New Roman"/>
        </w:rPr>
        <w:t xml:space="preserve"> Kromě výše uvedených funkcí působí jako regulátor bankovního systému, nad nímž rovněž vykonává dozor, a má postavení banky bank a banky státu.</w:t>
      </w:r>
    </w:p>
    <w:p w:rsidR="00D75A49" w:rsidRPr="001E7829" w:rsidRDefault="00C57159" w:rsidP="00C57159">
      <w:pPr>
        <w:pStyle w:val="Druh"/>
        <w:rPr>
          <w:rFonts w:cs="Times New Roman"/>
        </w:rPr>
      </w:pPr>
      <w:r w:rsidRPr="001E7829">
        <w:rPr>
          <w:rFonts w:cs="Times New Roman"/>
        </w:rPr>
        <w:t>Co se týče emisní činnosti, jsou centrální banky včetně ČNB monopolními emitenty hotovostních peněz, tedy bankovek, mincí a pamětních mincí. Naopak bezhotovostní peníze mohou vydávat rovněž komerční banky.</w:t>
      </w:r>
      <w:r w:rsidRPr="001E7829">
        <w:rPr>
          <w:rStyle w:val="Znakapoznpodarou"/>
          <w:rFonts w:cs="Times New Roman"/>
        </w:rPr>
        <w:footnoteReference w:id="62"/>
      </w:r>
      <w:r w:rsidRPr="001E7829">
        <w:rPr>
          <w:rFonts w:cs="Times New Roman"/>
        </w:rPr>
        <w:t xml:space="preserve"> Do kompetencí ČNB spadá také řízení oběhu peněz, jejich stahování z oběhu, případně výměna, a rovněž se podílí na přípravě legislativní a technické ochrany bankovek a mincí proti padělání</w:t>
      </w:r>
      <w:r w:rsidR="005F5635" w:rsidRPr="001E7829">
        <w:rPr>
          <w:rFonts w:cs="Times New Roman"/>
        </w:rPr>
        <w:t>.</w:t>
      </w:r>
      <w:r w:rsidR="0043036A" w:rsidRPr="001E7829">
        <w:rPr>
          <w:rFonts w:cs="Times New Roman"/>
        </w:rPr>
        <w:t xml:space="preserve"> </w:t>
      </w:r>
      <w:r w:rsidR="005F5635" w:rsidRPr="001E7829">
        <w:rPr>
          <w:rFonts w:cs="Times New Roman"/>
        </w:rPr>
        <w:t>Jsou-li na území České republiky zadržena padělaná či pozměněná platidla, zajistí Banka jejich evidenci.</w:t>
      </w:r>
      <w:r w:rsidR="005F5635" w:rsidRPr="001E7829">
        <w:rPr>
          <w:rStyle w:val="Znakapoznpodarou"/>
          <w:rFonts w:cs="Times New Roman"/>
        </w:rPr>
        <w:footnoteReference w:id="63"/>
      </w:r>
      <w:r w:rsidR="005F5635" w:rsidRPr="001E7829">
        <w:rPr>
          <w:rFonts w:cs="Times New Roman"/>
        </w:rPr>
        <w:t xml:space="preserve"> Blíže tuto problematiku vymezuje část čtvrtá Z</w:t>
      </w:r>
      <w:r w:rsidR="005A02A3" w:rsidRPr="001E7829">
        <w:rPr>
          <w:rFonts w:cs="Times New Roman"/>
        </w:rPr>
        <w:t>ČNB</w:t>
      </w:r>
      <w:r w:rsidR="005F5635" w:rsidRPr="001E7829">
        <w:rPr>
          <w:rFonts w:cs="Times New Roman"/>
        </w:rPr>
        <w:t>.</w:t>
      </w:r>
      <w:r w:rsidR="0043036A" w:rsidRPr="001E7829">
        <w:rPr>
          <w:rFonts w:cs="Times New Roman"/>
        </w:rPr>
        <w:t xml:space="preserve"> </w:t>
      </w:r>
      <w:r w:rsidR="005F5635" w:rsidRPr="001E7829">
        <w:rPr>
          <w:rFonts w:cs="Times New Roman"/>
        </w:rPr>
        <w:t>V</w:t>
      </w:r>
      <w:r w:rsidR="00CA695E" w:rsidRPr="001E7829">
        <w:rPr>
          <w:rFonts w:cs="Times New Roman"/>
        </w:rPr>
        <w:t> oblasti platebního styku se ČNB podílí na legislativních přípravách a zajišťuje bezproblémové fungování platebního styku a bezpečnost platebních systémů. Sama provozuje systém mezibankovního platebního styku CERTIS, který umožňuje zúčtování mezi jednotlivými účty bank, poboček zahraničních bank a spořitelních a úvěrních družstev. Dále pak vede účty organizačních složek státu, státních fondů a dalších subjektů podle zákona č.</w:t>
      </w:r>
      <w:r w:rsidR="005A02A3" w:rsidRPr="001E7829">
        <w:rPr>
          <w:rFonts w:cs="Times New Roman"/>
        </w:rPr>
        <w:t> </w:t>
      </w:r>
      <w:r w:rsidR="00CA695E" w:rsidRPr="001E7829">
        <w:rPr>
          <w:rFonts w:cs="Times New Roman"/>
        </w:rPr>
        <w:t>218/2000 Sb., o rozpočtových pravidlech a o změně některých souvisejících zákonů.</w:t>
      </w:r>
      <w:r w:rsidR="00CA695E" w:rsidRPr="001E7829">
        <w:rPr>
          <w:rStyle w:val="Znakapoznpodarou"/>
          <w:rFonts w:cs="Times New Roman"/>
        </w:rPr>
        <w:footnoteReference w:id="64"/>
      </w:r>
    </w:p>
    <w:p w:rsidR="00755D68" w:rsidRPr="001E7829" w:rsidRDefault="00885ABC" w:rsidP="00C57159">
      <w:pPr>
        <w:pStyle w:val="Druh"/>
        <w:rPr>
          <w:rFonts w:cs="Times New Roman"/>
        </w:rPr>
      </w:pPr>
      <w:r w:rsidRPr="001E7829">
        <w:rPr>
          <w:rFonts w:cs="Times New Roman"/>
        </w:rPr>
        <w:t xml:space="preserve">V rámci finančního trhu dohlíží ČNB nad bankami, družstevními záložnami, pojišťovnictvím, kapitálovým trhem, penzijními fondy a společnostmi, směnárnami apod. V těchto oblastech je rovněž oprávněna vytvářet pravidla a sankcionovat jejich nedodržování, to vše za účelem ochrany jejich stability. Při </w:t>
      </w:r>
      <w:r w:rsidRPr="001E7829">
        <w:rPr>
          <w:rFonts w:cs="Times New Roman"/>
        </w:rPr>
        <w:lastRenderedPageBreak/>
        <w:t>této činnosti vychází z velkého množství právních předpisů, např. zákona č. 21/1992 Sb., o bankách, zákona č. 256/2004 Sb., o podnikání na kapitálovém trhu a dalších.</w:t>
      </w:r>
      <w:r w:rsidR="00755D68" w:rsidRPr="001E7829">
        <w:rPr>
          <w:rStyle w:val="Znakapoznpodarou"/>
          <w:rFonts w:cs="Times New Roman"/>
        </w:rPr>
        <w:footnoteReference w:id="65"/>
      </w:r>
    </w:p>
    <w:p w:rsidR="002533A1" w:rsidRPr="001E7829" w:rsidRDefault="00755D68" w:rsidP="00C57159">
      <w:pPr>
        <w:pStyle w:val="Druh"/>
        <w:rPr>
          <w:rFonts w:cs="Times New Roman"/>
        </w:rPr>
      </w:pPr>
      <w:r w:rsidRPr="001E7829">
        <w:rPr>
          <w:rFonts w:cs="Times New Roman"/>
        </w:rPr>
        <w:t xml:space="preserve">Cílem </w:t>
      </w:r>
      <w:proofErr w:type="spellStart"/>
      <w:r w:rsidRPr="001E7829">
        <w:rPr>
          <w:rFonts w:cs="Times New Roman"/>
        </w:rPr>
        <w:t>makroobezřetnostní</w:t>
      </w:r>
      <w:proofErr w:type="spellEnd"/>
      <w:r w:rsidRPr="001E7829">
        <w:rPr>
          <w:rFonts w:cs="Times New Roman"/>
        </w:rPr>
        <w:t xml:space="preserve"> politiky je předcházet vzniku nebo snižovat riziko výskytu poruch, které by mohly ohrozit stabilitu finančního systému. </w:t>
      </w:r>
      <w:r w:rsidR="00B13302" w:rsidRPr="001E7829">
        <w:rPr>
          <w:rFonts w:cs="Times New Roman"/>
        </w:rPr>
        <w:t>Činnost centrálních bank, včetně ČNB, v oblasti finanční stability nabyl</w:t>
      </w:r>
      <w:r w:rsidR="00535082" w:rsidRPr="001E7829">
        <w:rPr>
          <w:rFonts w:cs="Times New Roman"/>
        </w:rPr>
        <w:t>a</w:t>
      </w:r>
      <w:r w:rsidR="00B13302" w:rsidRPr="001E7829">
        <w:rPr>
          <w:rFonts w:cs="Times New Roman"/>
        </w:rPr>
        <w:t xml:space="preserve"> velkého významu během nedávné finanční krize. Banka má pro tento úkol k d</w:t>
      </w:r>
      <w:r w:rsidR="002F2AE7" w:rsidRPr="001E7829">
        <w:rPr>
          <w:rFonts w:cs="Times New Roman"/>
        </w:rPr>
        <w:t>ispozici řadu nástrojů</w:t>
      </w:r>
      <w:r w:rsidR="00B13302" w:rsidRPr="001E7829">
        <w:rPr>
          <w:rFonts w:cs="Times New Roman"/>
        </w:rPr>
        <w:t xml:space="preserve">, jejichž působení má především preventivní charakter. Jedná se např. o různé druhy kapitálových rezerv, pokyny a doporučení k řízení rizik aj. </w:t>
      </w:r>
      <w:r w:rsidR="002533A1" w:rsidRPr="001E7829">
        <w:rPr>
          <w:rFonts w:cs="Times New Roman"/>
        </w:rPr>
        <w:t xml:space="preserve">Nezbytnými předpoklady k zajištění finanční stability jsou cenová stabilita a bezpečnost finančních institucí, </w:t>
      </w:r>
      <w:proofErr w:type="spellStart"/>
      <w:r w:rsidR="002533A1" w:rsidRPr="001E7829">
        <w:rPr>
          <w:rFonts w:cs="Times New Roman"/>
        </w:rPr>
        <w:t>makroobezřetnostní</w:t>
      </w:r>
      <w:proofErr w:type="spellEnd"/>
      <w:r w:rsidR="002533A1" w:rsidRPr="001E7829">
        <w:rPr>
          <w:rFonts w:cs="Times New Roman"/>
        </w:rPr>
        <w:t xml:space="preserve"> politika tedy úzce souvisí s politikou monetární a s oblastí dohledu nad finančním trhem.</w:t>
      </w:r>
      <w:r w:rsidR="002533A1" w:rsidRPr="001E7829">
        <w:rPr>
          <w:rStyle w:val="Znakapoznpodarou"/>
          <w:rFonts w:cs="Times New Roman"/>
        </w:rPr>
        <w:footnoteReference w:id="66"/>
      </w:r>
    </w:p>
    <w:p w:rsidR="00885ABC" w:rsidRPr="001E7829" w:rsidRDefault="009C5E71" w:rsidP="00C57159">
      <w:pPr>
        <w:pStyle w:val="Druh"/>
        <w:rPr>
          <w:rFonts w:cs="Times New Roman"/>
        </w:rPr>
      </w:pPr>
      <w:r w:rsidRPr="001E7829">
        <w:rPr>
          <w:rFonts w:cs="Times New Roman"/>
        </w:rPr>
        <w:t>Při výkonu svých činností může ČNB upravovat nejrůznější problematiku pomocí sekundárních právních norem ve formě vyhlášek. Toto oprávnění souvisí s § 1 odst. 3 Z</w:t>
      </w:r>
      <w:r w:rsidR="005A02A3" w:rsidRPr="001E7829">
        <w:rPr>
          <w:rFonts w:cs="Times New Roman"/>
        </w:rPr>
        <w:t>ČNB</w:t>
      </w:r>
      <w:r w:rsidRPr="001E7829">
        <w:rPr>
          <w:rFonts w:cs="Times New Roman"/>
        </w:rPr>
        <w:t xml:space="preserve">, který Bance svěřuje kompetence správního úřadu jednak v rozsahu </w:t>
      </w:r>
      <w:r w:rsidR="005A02A3" w:rsidRPr="001E7829">
        <w:rPr>
          <w:rFonts w:cs="Times New Roman"/>
        </w:rPr>
        <w:t>Z</w:t>
      </w:r>
      <w:r w:rsidRPr="001E7829">
        <w:rPr>
          <w:rFonts w:cs="Times New Roman"/>
        </w:rPr>
        <w:t>ČNB, ale také dalších předpisů, například zákona o bankách, nebo devizového zákona.</w:t>
      </w:r>
      <w:r w:rsidR="00F46F58" w:rsidRPr="001E7829">
        <w:rPr>
          <w:rStyle w:val="Znakapoznpodarou"/>
          <w:rFonts w:cs="Times New Roman"/>
        </w:rPr>
        <w:footnoteReference w:id="67"/>
      </w:r>
      <w:r w:rsidR="00F46F58" w:rsidRPr="001E7829">
        <w:rPr>
          <w:rFonts w:cs="Times New Roman"/>
        </w:rPr>
        <w:t xml:space="preserve"> Kromě vyhlášky mohou mít akty ČNB řadu dalších forem s různými stupni závaznosti a s rozdílnými </w:t>
      </w:r>
      <w:r w:rsidR="00CE1B46" w:rsidRPr="001E7829">
        <w:rPr>
          <w:rFonts w:cs="Times New Roman"/>
        </w:rPr>
        <w:t>účely. Mezi nejvýznamnější patřilo</w:t>
      </w:r>
      <w:r w:rsidR="0024435E" w:rsidRPr="001E7829">
        <w:rPr>
          <w:rFonts w:cs="Times New Roman"/>
        </w:rPr>
        <w:t xml:space="preserve"> </w:t>
      </w:r>
      <w:r w:rsidR="00F46F58" w:rsidRPr="001E7829">
        <w:rPr>
          <w:rFonts w:cs="Times New Roman"/>
        </w:rPr>
        <w:t>opatření</w:t>
      </w:r>
      <w:r w:rsidR="00CE1B46" w:rsidRPr="001E7829">
        <w:rPr>
          <w:rFonts w:cs="Times New Roman"/>
        </w:rPr>
        <w:t>, které bylo jako regulatorní nástroj zrušeno novelou ZČNB v roce 2013.</w:t>
      </w:r>
      <w:r w:rsidR="00CE1B46" w:rsidRPr="001E7829">
        <w:rPr>
          <w:rStyle w:val="Znakapoznpodarou"/>
          <w:rFonts w:cs="Times New Roman"/>
        </w:rPr>
        <w:footnoteReference w:id="68"/>
      </w:r>
      <w:r w:rsidR="0024435E" w:rsidRPr="001E7829">
        <w:rPr>
          <w:rFonts w:cs="Times New Roman"/>
        </w:rPr>
        <w:t xml:space="preserve"> </w:t>
      </w:r>
      <w:r w:rsidR="00F46F58" w:rsidRPr="001E7829">
        <w:rPr>
          <w:rFonts w:cs="Times New Roman"/>
        </w:rPr>
        <w:t>Banka</w:t>
      </w:r>
      <w:r w:rsidR="00CE1B46" w:rsidRPr="001E7829">
        <w:rPr>
          <w:rFonts w:cs="Times New Roman"/>
        </w:rPr>
        <w:t xml:space="preserve"> tohoto nástroje</w:t>
      </w:r>
      <w:r w:rsidR="00F46F58" w:rsidRPr="001E7829">
        <w:rPr>
          <w:rFonts w:cs="Times New Roman"/>
        </w:rPr>
        <w:t xml:space="preserve"> využív</w:t>
      </w:r>
      <w:r w:rsidR="00CE1B46" w:rsidRPr="001E7829">
        <w:rPr>
          <w:rFonts w:cs="Times New Roman"/>
        </w:rPr>
        <w:t>ala</w:t>
      </w:r>
      <w:r w:rsidR="00F46F58" w:rsidRPr="001E7829">
        <w:rPr>
          <w:rFonts w:cs="Times New Roman"/>
        </w:rPr>
        <w:t xml:space="preserve"> zejména v oblasti bankovního dohledu</w:t>
      </w:r>
      <w:r w:rsidR="002936D9" w:rsidRPr="001E7829">
        <w:rPr>
          <w:rFonts w:cs="Times New Roman"/>
        </w:rPr>
        <w:t>.</w:t>
      </w:r>
      <w:r w:rsidR="00F46F58" w:rsidRPr="001E7829">
        <w:rPr>
          <w:rStyle w:val="Znakapoznpodarou"/>
          <w:rFonts w:cs="Times New Roman"/>
        </w:rPr>
        <w:footnoteReference w:id="69"/>
      </w:r>
      <w:r w:rsidR="0024435E" w:rsidRPr="001E7829">
        <w:rPr>
          <w:rFonts w:cs="Times New Roman"/>
        </w:rPr>
        <w:t xml:space="preserve"> </w:t>
      </w:r>
      <w:r w:rsidR="002936D9" w:rsidRPr="001E7829">
        <w:rPr>
          <w:rFonts w:cs="Times New Roman"/>
        </w:rPr>
        <w:t>Dále lze zmínit</w:t>
      </w:r>
      <w:r w:rsidR="00F46F58" w:rsidRPr="001E7829">
        <w:rPr>
          <w:rFonts w:cs="Times New Roman"/>
        </w:rPr>
        <w:t xml:space="preserve"> úřední sdělení, kterými komunikuje svá roz</w:t>
      </w:r>
      <w:r w:rsidR="002936D9" w:rsidRPr="001E7829">
        <w:rPr>
          <w:rFonts w:cs="Times New Roman"/>
        </w:rPr>
        <w:t>hodnutí ohledně úrokových sazeb a</w:t>
      </w:r>
      <w:r w:rsidR="00F46F58" w:rsidRPr="001E7829">
        <w:rPr>
          <w:rFonts w:cs="Times New Roman"/>
        </w:rPr>
        <w:t xml:space="preserve"> podmínek provádění svých obchodů, </w:t>
      </w:r>
      <w:r w:rsidR="002936D9" w:rsidRPr="001E7829">
        <w:rPr>
          <w:rFonts w:cs="Times New Roman"/>
        </w:rPr>
        <w:t>a nakonec</w:t>
      </w:r>
      <w:r w:rsidR="00F46F58" w:rsidRPr="001E7829">
        <w:rPr>
          <w:rFonts w:cs="Times New Roman"/>
        </w:rPr>
        <w:t xml:space="preserve"> výkladová stanoviska.</w:t>
      </w:r>
      <w:r w:rsidR="00F46F58" w:rsidRPr="001E7829">
        <w:rPr>
          <w:rStyle w:val="Znakapoznpodarou"/>
          <w:rFonts w:cs="Times New Roman"/>
        </w:rPr>
        <w:footnoteReference w:id="70"/>
      </w:r>
    </w:p>
    <w:p w:rsidR="00947B60" w:rsidRPr="001E7829" w:rsidRDefault="00947B60" w:rsidP="00947B60">
      <w:pPr>
        <w:pStyle w:val="221"/>
        <w:rPr>
          <w:rFonts w:cs="Times New Roman"/>
        </w:rPr>
      </w:pPr>
      <w:bookmarkStart w:id="36" w:name="_Toc444083231"/>
      <w:bookmarkStart w:id="37" w:name="_Toc444516060"/>
      <w:bookmarkStart w:id="38" w:name="_Toc446604204"/>
      <w:r w:rsidRPr="001E7829">
        <w:rPr>
          <w:rFonts w:cs="Times New Roman"/>
        </w:rPr>
        <w:lastRenderedPageBreak/>
        <w:t>Vnitřní struktura a rozhodovací činnost</w:t>
      </w:r>
      <w:bookmarkEnd w:id="36"/>
      <w:bookmarkEnd w:id="37"/>
      <w:bookmarkEnd w:id="38"/>
    </w:p>
    <w:p w:rsidR="003D6246" w:rsidRPr="001E7829" w:rsidRDefault="003D6246" w:rsidP="00B40EB7">
      <w:pPr>
        <w:pStyle w:val="Prvn"/>
        <w:rPr>
          <w:rFonts w:cs="Times New Roman"/>
        </w:rPr>
      </w:pPr>
      <w:r w:rsidRPr="001E7829">
        <w:rPr>
          <w:rFonts w:cs="Times New Roman"/>
        </w:rPr>
        <w:t xml:space="preserve">Organizační struktura ČNB je upravena částí druhou </w:t>
      </w:r>
      <w:r w:rsidR="005A02A3" w:rsidRPr="001E7829">
        <w:rPr>
          <w:rFonts w:cs="Times New Roman"/>
        </w:rPr>
        <w:t>Z</w:t>
      </w:r>
      <w:r w:rsidRPr="001E7829">
        <w:rPr>
          <w:rFonts w:cs="Times New Roman"/>
        </w:rPr>
        <w:t>ČNB.</w:t>
      </w:r>
      <w:r w:rsidR="00C43A91" w:rsidRPr="001E7829">
        <w:rPr>
          <w:rFonts w:cs="Times New Roman"/>
        </w:rPr>
        <w:t xml:space="preserve"> Banku tvoří ústředí sídlící v Praze, síť poboček a účelové organizační jednotky,</w:t>
      </w:r>
      <w:r w:rsidR="00C43A91" w:rsidRPr="001E7829">
        <w:rPr>
          <w:rStyle w:val="Znakapoznpodarou"/>
          <w:rFonts w:cs="Times New Roman"/>
        </w:rPr>
        <w:footnoteReference w:id="71"/>
      </w:r>
      <w:r w:rsidR="00C43A91" w:rsidRPr="001E7829">
        <w:rPr>
          <w:rFonts w:cs="Times New Roman"/>
        </w:rPr>
        <w:t xml:space="preserve"> kterými jsou územní pracoviště ústředí.</w:t>
      </w:r>
      <w:r w:rsidR="00C43A91" w:rsidRPr="001E7829">
        <w:rPr>
          <w:rStyle w:val="Znakapoznpodarou"/>
          <w:rFonts w:cs="Times New Roman"/>
        </w:rPr>
        <w:footnoteReference w:id="72"/>
      </w:r>
      <w:r w:rsidR="00C43A91" w:rsidRPr="001E7829">
        <w:rPr>
          <w:rFonts w:cs="Times New Roman"/>
        </w:rPr>
        <w:t xml:space="preserve"> Pobočky v současné době sídlí v Praze, Brně, Ostravě a Hradci Králové. Na stejných místech kromě Prahy, a navíc ještě v Českých Budějovicích, Plzni a </w:t>
      </w:r>
      <w:r w:rsidR="002936D9" w:rsidRPr="001E7829">
        <w:rPr>
          <w:rFonts w:cs="Times New Roman"/>
        </w:rPr>
        <w:t>Ústí</w:t>
      </w:r>
      <w:r w:rsidR="00C43A91" w:rsidRPr="001E7829">
        <w:rPr>
          <w:rFonts w:cs="Times New Roman"/>
        </w:rPr>
        <w:t xml:space="preserve"> nad Labem sídlí územní pracoviště, ve kterých jsou umístěny různé útvary určitých sekcí ústředí.</w:t>
      </w:r>
      <w:r w:rsidR="00C43A91" w:rsidRPr="001E7829">
        <w:rPr>
          <w:rStyle w:val="Znakapoznpodarou"/>
          <w:rFonts w:cs="Times New Roman"/>
        </w:rPr>
        <w:footnoteReference w:id="73"/>
      </w:r>
    </w:p>
    <w:p w:rsidR="003F7FEE" w:rsidRPr="001E7829" w:rsidRDefault="003F7FEE" w:rsidP="003F7FEE">
      <w:pPr>
        <w:pStyle w:val="Druh"/>
        <w:rPr>
          <w:rFonts w:cs="Times New Roman"/>
        </w:rPr>
      </w:pPr>
      <w:r w:rsidRPr="001E7829">
        <w:rPr>
          <w:rFonts w:cs="Times New Roman"/>
        </w:rPr>
        <w:t xml:space="preserve">Nejvyšším řídícím orgánem ČNB je sedmičlenná bankovní rada, která se </w:t>
      </w:r>
      <w:r w:rsidR="00F93281" w:rsidRPr="001E7829">
        <w:rPr>
          <w:rFonts w:cs="Times New Roman"/>
        </w:rPr>
        <w:t>skládá z guvernéra, dvou vi</w:t>
      </w:r>
      <w:r w:rsidRPr="001E7829">
        <w:rPr>
          <w:rFonts w:cs="Times New Roman"/>
        </w:rPr>
        <w:t>ceguvernérů a čtyř dalších členů bankovní rady. Všichni členové jsou jmenováni a odvoláváni prezidentem republiky, s možností jedné obnovy mandátu. Funkční období je šestileté. Podmínkami pro výkon funkce jsou způsobilost k právním úkonům, ukončené vysokoškolské vzdělání, bezúhonnost a zkušenost v oblasti měny a finančního trhu. Členství je rovněž neslučitelné s různými funkcemi v jiných orgáne</w:t>
      </w:r>
      <w:r w:rsidR="00BC753E" w:rsidRPr="001E7829">
        <w:rPr>
          <w:rFonts w:cs="Times New Roman"/>
        </w:rPr>
        <w:t>ch moci zákonodárné a výkonné, v orgánech bank a podnikatelských subjektů, jakož i se standardními formami výdělečné činnos</w:t>
      </w:r>
      <w:r w:rsidR="008B6958" w:rsidRPr="001E7829">
        <w:rPr>
          <w:rFonts w:cs="Times New Roman"/>
        </w:rPr>
        <w:t>ti, či jakoukoli činností, která</w:t>
      </w:r>
      <w:r w:rsidR="00BC753E" w:rsidRPr="001E7829">
        <w:rPr>
          <w:rFonts w:cs="Times New Roman"/>
        </w:rPr>
        <w:t xml:space="preserve"> by mohla způsobit střet zájmů s funkcí </w:t>
      </w:r>
      <w:r w:rsidR="00D45C38" w:rsidRPr="001E7829">
        <w:rPr>
          <w:rFonts w:cs="Times New Roman"/>
        </w:rPr>
        <w:t>člena</w:t>
      </w:r>
      <w:r w:rsidR="00BC753E" w:rsidRPr="001E7829">
        <w:rPr>
          <w:rFonts w:cs="Times New Roman"/>
        </w:rPr>
        <w:t xml:space="preserve"> bankovní rady.</w:t>
      </w:r>
      <w:r w:rsidR="00BC753E" w:rsidRPr="001E7829">
        <w:rPr>
          <w:rStyle w:val="Znakapoznpodarou"/>
          <w:rFonts w:cs="Times New Roman"/>
        </w:rPr>
        <w:footnoteReference w:id="74"/>
      </w:r>
    </w:p>
    <w:p w:rsidR="00BC753E" w:rsidRPr="001E7829" w:rsidRDefault="00D45C38" w:rsidP="003F7FEE">
      <w:pPr>
        <w:pStyle w:val="Druh"/>
        <w:rPr>
          <w:rFonts w:cs="Times New Roman"/>
        </w:rPr>
      </w:pPr>
      <w:r w:rsidRPr="001E7829">
        <w:rPr>
          <w:rFonts w:cs="Times New Roman"/>
        </w:rPr>
        <w:t>Bankovní rada</w:t>
      </w:r>
      <w:r w:rsidR="00535082" w:rsidRPr="001E7829">
        <w:rPr>
          <w:rFonts w:cs="Times New Roman"/>
        </w:rPr>
        <w:t xml:space="preserve"> (dále také „Rada“)</w:t>
      </w:r>
      <w:r w:rsidRPr="001E7829">
        <w:rPr>
          <w:rFonts w:cs="Times New Roman"/>
        </w:rPr>
        <w:t xml:space="preserve"> podle § 5 odst. 1 rozhoduje o měnové a </w:t>
      </w:r>
      <w:proofErr w:type="spellStart"/>
      <w:r w:rsidRPr="001E7829">
        <w:rPr>
          <w:rFonts w:cs="Times New Roman"/>
        </w:rPr>
        <w:t>makroobezřetnostní</w:t>
      </w:r>
      <w:proofErr w:type="spellEnd"/>
      <w:r w:rsidRPr="001E7829">
        <w:rPr>
          <w:rFonts w:cs="Times New Roman"/>
        </w:rPr>
        <w:t xml:space="preserve"> politice a určuje nástroje k jejich realizaci. Dále rozhoduje o zásadních opatřeních v rámci dohledu nad finančním trhem a krizového řízení na finančním trhu. Druhý odstavec obsahuje demonstrativní výčet dalších činností bankovní rady, mezi které patří např. stanovování zásad činnosti a obchodů ČNB, schvalování rozpočtu Banky, rozhodování o organizačním uspořádání a působnosti organizačních jednotek, rozhodování o rozkladech a další.</w:t>
      </w:r>
      <w:r w:rsidRPr="001E7829">
        <w:rPr>
          <w:rStyle w:val="Znakapoznpodarou"/>
          <w:rFonts w:cs="Times New Roman"/>
        </w:rPr>
        <w:footnoteReference w:id="75"/>
      </w:r>
      <w:r w:rsidRPr="001E7829">
        <w:rPr>
          <w:rFonts w:cs="Times New Roman"/>
        </w:rPr>
        <w:t xml:space="preserve"> Jednání Rady řídí guvernér nebo jím pověřený v</w:t>
      </w:r>
      <w:r w:rsidR="00F93281" w:rsidRPr="001E7829">
        <w:rPr>
          <w:rFonts w:cs="Times New Roman"/>
        </w:rPr>
        <w:t>i</w:t>
      </w:r>
      <w:r w:rsidRPr="001E7829">
        <w:rPr>
          <w:rFonts w:cs="Times New Roman"/>
        </w:rPr>
        <w:t>ceguvernér, je-li guvernér nepřítomen. Rada je usnášeníschopná</w:t>
      </w:r>
      <w:r w:rsidR="00137933" w:rsidRPr="001E7829">
        <w:rPr>
          <w:rFonts w:cs="Times New Roman"/>
        </w:rPr>
        <w:t>, pokud je pří</w:t>
      </w:r>
      <w:r w:rsidR="00F93281" w:rsidRPr="001E7829">
        <w:rPr>
          <w:rFonts w:cs="Times New Roman"/>
        </w:rPr>
        <w:t xml:space="preserve">tomen guvernér, nebo pověřený </w:t>
      </w:r>
      <w:r w:rsidR="00F93281" w:rsidRPr="001E7829">
        <w:rPr>
          <w:rFonts w:cs="Times New Roman"/>
        </w:rPr>
        <w:lastRenderedPageBreak/>
        <w:t>vi</w:t>
      </w:r>
      <w:r w:rsidR="00137933" w:rsidRPr="001E7829">
        <w:rPr>
          <w:rFonts w:cs="Times New Roman"/>
        </w:rPr>
        <w:t>ceguvernér, a minimálně tři další členové. Rozhodnutí jsou přijímána prostou většinou hlasů.</w:t>
      </w:r>
      <w:r w:rsidR="00137933" w:rsidRPr="001E7829">
        <w:rPr>
          <w:rStyle w:val="Znakapoznpodarou"/>
          <w:rFonts w:cs="Times New Roman"/>
        </w:rPr>
        <w:footnoteReference w:id="76"/>
      </w:r>
    </w:p>
    <w:p w:rsidR="00947B60" w:rsidRPr="001E7829" w:rsidRDefault="00947B60" w:rsidP="00947B60">
      <w:pPr>
        <w:pStyle w:val="221"/>
        <w:rPr>
          <w:rFonts w:cs="Times New Roman"/>
        </w:rPr>
      </w:pPr>
      <w:bookmarkStart w:id="39" w:name="_Toc444083232"/>
      <w:bookmarkStart w:id="40" w:name="_Toc444516061"/>
      <w:bookmarkStart w:id="41" w:name="_Toc446604205"/>
      <w:r w:rsidRPr="001E7829">
        <w:rPr>
          <w:rFonts w:cs="Times New Roman"/>
        </w:rPr>
        <w:t>Nezávislost</w:t>
      </w:r>
      <w:bookmarkEnd w:id="39"/>
      <w:bookmarkEnd w:id="40"/>
      <w:bookmarkEnd w:id="41"/>
    </w:p>
    <w:p w:rsidR="009B16C6" w:rsidRPr="001E7829" w:rsidRDefault="007100C9" w:rsidP="00B40EB7">
      <w:pPr>
        <w:pStyle w:val="Prvn"/>
        <w:rPr>
          <w:rFonts w:cs="Times New Roman"/>
        </w:rPr>
      </w:pPr>
      <w:r w:rsidRPr="001E7829">
        <w:rPr>
          <w:rFonts w:cs="Times New Roman"/>
        </w:rPr>
        <w:t>Empirické výzkumy ukazují, že až na výjimky existuje souvislost mezi stupněm nezávislosti (či samostatnosti) centrální banky a cenovou stabilitou.</w:t>
      </w:r>
      <w:r w:rsidR="004A1EF7" w:rsidRPr="001E7829">
        <w:rPr>
          <w:rStyle w:val="Znakapoznpodarou"/>
          <w:rFonts w:cs="Times New Roman"/>
        </w:rPr>
        <w:footnoteReference w:id="77"/>
      </w:r>
      <w:r w:rsidRPr="001E7829">
        <w:rPr>
          <w:rFonts w:cs="Times New Roman"/>
        </w:rPr>
        <w:t xml:space="preserve"> </w:t>
      </w:r>
      <w:r w:rsidR="00AC0EF3" w:rsidRPr="001E7829">
        <w:rPr>
          <w:rFonts w:cs="Times New Roman"/>
        </w:rPr>
        <w:t xml:space="preserve">Zdá se tedy, že nezávislé rozhodování je </w:t>
      </w:r>
      <w:r w:rsidRPr="001E7829">
        <w:rPr>
          <w:rFonts w:cs="Times New Roman"/>
        </w:rPr>
        <w:t xml:space="preserve">jedním z klíčových faktorů ovlivňujících </w:t>
      </w:r>
      <w:r w:rsidR="00AC0EF3" w:rsidRPr="001E7829">
        <w:rPr>
          <w:rFonts w:cs="Times New Roman"/>
        </w:rPr>
        <w:t>účinnost monetární politiky.</w:t>
      </w:r>
      <w:r w:rsidR="00F56B48" w:rsidRPr="001E7829">
        <w:rPr>
          <w:rFonts w:cs="Times New Roman"/>
        </w:rPr>
        <w:t xml:space="preserve"> </w:t>
      </w:r>
      <w:r w:rsidR="00AC0EF3" w:rsidRPr="001E7829">
        <w:rPr>
          <w:rFonts w:cs="Times New Roman"/>
        </w:rPr>
        <w:t>N</w:t>
      </w:r>
      <w:r w:rsidR="00F56B48" w:rsidRPr="001E7829">
        <w:rPr>
          <w:rFonts w:cs="Times New Roman"/>
        </w:rPr>
        <w:t>ikdy však nemůže být absolutní, neboť centrální banka by měla respektovat aktuální ekonomickou situaci a celkový směr hospodářské politiky země.</w:t>
      </w:r>
      <w:r w:rsidR="009B16C6" w:rsidRPr="001E7829">
        <w:rPr>
          <w:rFonts w:cs="Times New Roman"/>
        </w:rPr>
        <w:t xml:space="preserve"> Nezávislost můžeme chápat na čtyřech rovinách, a to jako nezávislost institucionální, funkční, osobní a finanční.</w:t>
      </w:r>
      <w:r w:rsidR="009B16C6" w:rsidRPr="001E7829">
        <w:rPr>
          <w:rStyle w:val="Znakapoznpodarou"/>
          <w:rFonts w:cs="Times New Roman"/>
        </w:rPr>
        <w:footnoteReference w:id="78"/>
      </w:r>
    </w:p>
    <w:p w:rsidR="004B1406" w:rsidRPr="001E7829" w:rsidRDefault="009B16C6" w:rsidP="009B16C6">
      <w:pPr>
        <w:pStyle w:val="Druh"/>
        <w:rPr>
          <w:rFonts w:cs="Times New Roman"/>
        </w:rPr>
      </w:pPr>
      <w:r w:rsidRPr="001E7829">
        <w:rPr>
          <w:rFonts w:cs="Times New Roman"/>
        </w:rPr>
        <w:t>Institucionální aspekt se projevuje závazkem centrální banky nepožadovat a nepřijímat pokyny ze strany orgánů státní moci, typicky vlád, nebo orgánů Evropské unie v případě Evropské centrální banky</w:t>
      </w:r>
      <w:r w:rsidR="005A02A3" w:rsidRPr="001E7829">
        <w:rPr>
          <w:rFonts w:cs="Times New Roman"/>
        </w:rPr>
        <w:t xml:space="preserve"> (dále také „ECB“)</w:t>
      </w:r>
      <w:r w:rsidRPr="001E7829">
        <w:rPr>
          <w:rFonts w:cs="Times New Roman"/>
        </w:rPr>
        <w:t xml:space="preserve">. Tento typ nezávislosti upravil zákonodárce v § 9 </w:t>
      </w:r>
      <w:r w:rsidR="005A02A3" w:rsidRPr="001E7829">
        <w:rPr>
          <w:rFonts w:cs="Times New Roman"/>
        </w:rPr>
        <w:t>Z</w:t>
      </w:r>
      <w:r w:rsidRPr="001E7829">
        <w:rPr>
          <w:rFonts w:cs="Times New Roman"/>
        </w:rPr>
        <w:t>ČNB.</w:t>
      </w:r>
      <w:r w:rsidR="0012409F" w:rsidRPr="001E7829">
        <w:rPr>
          <w:rFonts w:cs="Times New Roman"/>
        </w:rPr>
        <w:t xml:space="preserve"> Ten zakazuje Bance jako celku, bankovní radě a každému jejímu členovi vyžadovat a přijímat pokyny při výkonu pravomocí a v rámci plnění úkolů a povinností,</w:t>
      </w:r>
      <w:r w:rsidR="00EB5BC6" w:rsidRPr="001E7829">
        <w:rPr>
          <w:rFonts w:cs="Times New Roman"/>
        </w:rPr>
        <w:t xml:space="preserve"> které jsou jí svěřeny</w:t>
      </w:r>
      <w:r w:rsidR="0012409F" w:rsidRPr="001E7829">
        <w:rPr>
          <w:rFonts w:cs="Times New Roman"/>
        </w:rPr>
        <w:t xml:space="preserve"> Smlouvou o EU</w:t>
      </w:r>
      <w:r w:rsidR="005A02A3" w:rsidRPr="001E7829">
        <w:rPr>
          <w:rFonts w:cs="Times New Roman"/>
        </w:rPr>
        <w:t xml:space="preserve"> (dále také „SEU“)</w:t>
      </w:r>
      <w:r w:rsidR="0012409F" w:rsidRPr="001E7829">
        <w:rPr>
          <w:rFonts w:cs="Times New Roman"/>
        </w:rPr>
        <w:t>, Smlouvou o fungování EU</w:t>
      </w:r>
      <w:r w:rsidR="005A02A3" w:rsidRPr="001E7829">
        <w:rPr>
          <w:rFonts w:cs="Times New Roman"/>
        </w:rPr>
        <w:t xml:space="preserve"> (dále také „SFEU“)</w:t>
      </w:r>
      <w:r w:rsidR="0012409F" w:rsidRPr="001E7829">
        <w:rPr>
          <w:rFonts w:cs="Times New Roman"/>
        </w:rPr>
        <w:t xml:space="preserve"> a Statutem E</w:t>
      </w:r>
      <w:r w:rsidR="005A02A3" w:rsidRPr="001E7829">
        <w:rPr>
          <w:rFonts w:cs="Times New Roman"/>
        </w:rPr>
        <w:t>vropského systému centrálních bank</w:t>
      </w:r>
      <w:r w:rsidR="0012409F" w:rsidRPr="001E7829">
        <w:rPr>
          <w:rFonts w:cs="Times New Roman"/>
        </w:rPr>
        <w:t xml:space="preserve"> a E</w:t>
      </w:r>
      <w:r w:rsidR="00D17BC0" w:rsidRPr="001E7829">
        <w:rPr>
          <w:rFonts w:cs="Times New Roman"/>
        </w:rPr>
        <w:t>vropské centrální</w:t>
      </w:r>
      <w:r w:rsidR="005A02A3" w:rsidRPr="001E7829">
        <w:rPr>
          <w:rFonts w:cs="Times New Roman"/>
        </w:rPr>
        <w:t xml:space="preserve"> banky (dále také „Statut“)</w:t>
      </w:r>
      <w:r w:rsidR="0012409F" w:rsidRPr="001E7829">
        <w:rPr>
          <w:rFonts w:cs="Times New Roman"/>
        </w:rPr>
        <w:t>.</w:t>
      </w:r>
      <w:r w:rsidR="0012409F" w:rsidRPr="001E7829">
        <w:rPr>
          <w:rStyle w:val="Znakapoznpodarou"/>
          <w:rFonts w:cs="Times New Roman"/>
        </w:rPr>
        <w:footnoteReference w:id="79"/>
      </w:r>
      <w:r w:rsidR="0012409F" w:rsidRPr="001E7829">
        <w:rPr>
          <w:rFonts w:cs="Times New Roman"/>
        </w:rPr>
        <w:t xml:space="preserve"> Ustanovení vychází ze znění současného článku 130 SFEU a role ČNB jako jedné z národních centrálních bank v rámci E</w:t>
      </w:r>
      <w:r w:rsidR="005A02A3" w:rsidRPr="001E7829">
        <w:rPr>
          <w:rFonts w:cs="Times New Roman"/>
        </w:rPr>
        <w:t>vropského systému centrálních bank (dále také „ESCB“)</w:t>
      </w:r>
      <w:r w:rsidR="0012409F" w:rsidRPr="001E7829">
        <w:rPr>
          <w:rFonts w:cs="Times New Roman"/>
        </w:rPr>
        <w:t xml:space="preserve">. </w:t>
      </w:r>
      <w:r w:rsidR="006A19B6" w:rsidRPr="001E7829">
        <w:rPr>
          <w:rFonts w:cs="Times New Roman"/>
        </w:rPr>
        <w:t>Přes vysoký stupeň institucionální nezávislosti, který právní úprava ČNB poskytuje, musí Banka dodržovat určitá pravidla v zájmu své vlastní kredibility a transparentnos</w:t>
      </w:r>
      <w:r w:rsidR="004B1406" w:rsidRPr="001E7829">
        <w:rPr>
          <w:rFonts w:cs="Times New Roman"/>
        </w:rPr>
        <w:t>ti své měnové politiky.</w:t>
      </w:r>
      <w:r w:rsidR="004B1406" w:rsidRPr="001E7829">
        <w:rPr>
          <w:rStyle w:val="Znakapoznpodarou"/>
          <w:rFonts w:cs="Times New Roman"/>
        </w:rPr>
        <w:footnoteReference w:id="80"/>
      </w:r>
      <w:r w:rsidR="004B1406" w:rsidRPr="001E7829">
        <w:rPr>
          <w:rFonts w:cs="Times New Roman"/>
        </w:rPr>
        <w:t xml:space="preserve"> Jedním z nich je informační povinnost,</w:t>
      </w:r>
      <w:r w:rsidR="00B921F2" w:rsidRPr="001E7829">
        <w:rPr>
          <w:rFonts w:cs="Times New Roman"/>
        </w:rPr>
        <w:t xml:space="preserve"> a to zejména vůči vládě a </w:t>
      </w:r>
      <w:r w:rsidR="004B1406" w:rsidRPr="001E7829">
        <w:rPr>
          <w:rFonts w:cs="Times New Roman"/>
        </w:rPr>
        <w:t xml:space="preserve">veřejnosti. </w:t>
      </w:r>
      <w:r w:rsidR="004B1406" w:rsidRPr="001E7829">
        <w:rPr>
          <w:rFonts w:cs="Times New Roman"/>
        </w:rPr>
        <w:lastRenderedPageBreak/>
        <w:t>Vzájemné informování ČNB a vlády zakotvuje § 9 odst. 2 ve vztahu k zásadám a opatřením v rámci politik těchto subjektů. Povinnost informovat veřejnost o měnovém vývoji vyplývá Bance z § 3 odst. 5, podle něhož musí být splněna minimálně každé tři měsíce způsobem umožňujícím dálkový přístup. Mimo to musí Banka rovněž předkládat zprávu o měnovém vývoji Poslanecké sněmovně, a to nejméně dvakrát ročně.</w:t>
      </w:r>
      <w:r w:rsidR="004B1406" w:rsidRPr="001E7829">
        <w:rPr>
          <w:rStyle w:val="Znakapoznpodarou"/>
          <w:rFonts w:cs="Times New Roman"/>
        </w:rPr>
        <w:footnoteReference w:id="81"/>
      </w:r>
    </w:p>
    <w:p w:rsidR="00306858" w:rsidRPr="001E7829" w:rsidRDefault="00F464CE" w:rsidP="009B16C6">
      <w:pPr>
        <w:pStyle w:val="Druh"/>
        <w:rPr>
          <w:rFonts w:cs="Times New Roman"/>
        </w:rPr>
      </w:pPr>
      <w:r w:rsidRPr="001E7829">
        <w:rPr>
          <w:rFonts w:cs="Times New Roman"/>
        </w:rPr>
        <w:t>Funkční nezávislost zaručuje centrální bance</w:t>
      </w:r>
      <w:r w:rsidR="00D17BC0" w:rsidRPr="001E7829">
        <w:rPr>
          <w:rFonts w:cs="Times New Roman"/>
        </w:rPr>
        <w:t xml:space="preserve"> </w:t>
      </w:r>
      <w:r w:rsidRPr="001E7829">
        <w:rPr>
          <w:rFonts w:cs="Times New Roman"/>
        </w:rPr>
        <w:t>autonomii při formulaci cílů měn</w:t>
      </w:r>
      <w:r w:rsidR="004547FE" w:rsidRPr="001E7829">
        <w:rPr>
          <w:rFonts w:cs="Times New Roman"/>
        </w:rPr>
        <w:t>ové politiky a určování</w:t>
      </w:r>
      <w:r w:rsidRPr="001E7829">
        <w:rPr>
          <w:rFonts w:cs="Times New Roman"/>
        </w:rPr>
        <w:t xml:space="preserve"> nástrojů, pomocí nichž má být cílů dosaženo.</w:t>
      </w:r>
      <w:r w:rsidRPr="001E7829">
        <w:rPr>
          <w:rStyle w:val="Znakapoznpodarou"/>
          <w:rFonts w:cs="Times New Roman"/>
        </w:rPr>
        <w:footnoteReference w:id="82"/>
      </w:r>
      <w:r w:rsidRPr="001E7829">
        <w:rPr>
          <w:rFonts w:cs="Times New Roman"/>
        </w:rPr>
        <w:t xml:space="preserve"> Ve světě je využíváno mnoho různých modelů formulace cílů. Protipól autonomie centrální banky tvoří systémy, kde jsou cíle určovány vládami (např. </w:t>
      </w:r>
      <w:r w:rsidR="004547FE" w:rsidRPr="001E7829">
        <w:rPr>
          <w:rFonts w:cs="Times New Roman"/>
        </w:rPr>
        <w:t>V</w:t>
      </w:r>
      <w:r w:rsidRPr="001E7829">
        <w:rPr>
          <w:rFonts w:cs="Times New Roman"/>
        </w:rPr>
        <w:t>elká Británie), často se však jedná o kombinaci obou přístupů, kde základem je vzájemná dohoda.</w:t>
      </w:r>
      <w:r w:rsidR="004547FE" w:rsidRPr="001E7829">
        <w:rPr>
          <w:rStyle w:val="Znakapoznpodarou"/>
          <w:rFonts w:cs="Times New Roman"/>
        </w:rPr>
        <w:footnoteReference w:id="83"/>
      </w:r>
      <w:r w:rsidR="00D17BC0" w:rsidRPr="001E7829">
        <w:rPr>
          <w:rFonts w:cs="Times New Roman"/>
        </w:rPr>
        <w:t xml:space="preserve"> </w:t>
      </w:r>
      <w:r w:rsidR="00306858" w:rsidRPr="001E7829">
        <w:rPr>
          <w:rFonts w:cs="Times New Roman"/>
        </w:rPr>
        <w:t xml:space="preserve">Jelikož obecné cíle ČNB jsou dány zákonem, projevuje se v jejím případě tato forma nezávislosti zejména samostatností při formulaci inflační cílů a výběru nástrojů. Určitou výjimkou je kurzový režim, který ČNB podle § 35 písm. a) </w:t>
      </w:r>
      <w:r w:rsidR="005A02A3" w:rsidRPr="001E7829">
        <w:rPr>
          <w:rFonts w:cs="Times New Roman"/>
        </w:rPr>
        <w:t>ZČNB</w:t>
      </w:r>
      <w:r w:rsidR="00306858" w:rsidRPr="001E7829">
        <w:rPr>
          <w:rFonts w:cs="Times New Roman"/>
        </w:rPr>
        <w:t xml:space="preserve"> stanovuje po projednání s vládou. Nesmí však být v rozporu s hlavním měnovým cílem, což brání případnému negativnímu vlivu vlády na měnovou politiku.</w:t>
      </w:r>
      <w:r w:rsidR="00306858" w:rsidRPr="001E7829">
        <w:rPr>
          <w:rStyle w:val="Znakapoznpodarou"/>
          <w:rFonts w:cs="Times New Roman"/>
        </w:rPr>
        <w:footnoteReference w:id="84"/>
      </w:r>
    </w:p>
    <w:p w:rsidR="00137933" w:rsidRPr="001E7829" w:rsidRDefault="00306858" w:rsidP="009B16C6">
      <w:pPr>
        <w:pStyle w:val="Druh"/>
        <w:rPr>
          <w:rFonts w:cs="Times New Roman"/>
        </w:rPr>
      </w:pPr>
      <w:r w:rsidRPr="001E7829">
        <w:rPr>
          <w:rFonts w:cs="Times New Roman"/>
        </w:rPr>
        <w:t xml:space="preserve"> Osobní nebo též personální nezávislost je založená na způsobu jmenování členů </w:t>
      </w:r>
      <w:r w:rsidR="003921BD" w:rsidRPr="001E7829">
        <w:rPr>
          <w:rFonts w:cs="Times New Roman"/>
        </w:rPr>
        <w:t xml:space="preserve">vrcholného orgánu centrální banky s limitovanými možnostmi jejich odvolání. </w:t>
      </w:r>
      <w:r w:rsidR="005A02A3" w:rsidRPr="001E7829">
        <w:rPr>
          <w:rFonts w:cs="Times New Roman"/>
        </w:rPr>
        <w:t>Z</w:t>
      </w:r>
      <w:r w:rsidR="003921BD" w:rsidRPr="001E7829">
        <w:rPr>
          <w:rFonts w:cs="Times New Roman"/>
        </w:rPr>
        <w:t xml:space="preserve">ČNB se této problematice věnuje v § 6 v souvislosti s bankovní radou a členstvím v ní. Jmenování prezidentem republiky je v zájmu nezávislosti na vládě a parlamentu. Člen rady může být odvolán </w:t>
      </w:r>
      <w:proofErr w:type="gramStart"/>
      <w:r w:rsidR="003921BD" w:rsidRPr="001E7829">
        <w:rPr>
          <w:rFonts w:cs="Times New Roman"/>
        </w:rPr>
        <w:t>pouze přestane</w:t>
      </w:r>
      <w:proofErr w:type="gramEnd"/>
      <w:r w:rsidR="003921BD" w:rsidRPr="001E7829">
        <w:rPr>
          <w:rFonts w:cs="Times New Roman"/>
        </w:rPr>
        <w:t xml:space="preserve">-li splňovat podmínky pro výkon funkce, nebo dopustí-li se vážného pochybení. Tím </w:t>
      </w:r>
      <w:r w:rsidR="003103BF" w:rsidRPr="001E7829">
        <w:rPr>
          <w:rFonts w:cs="Times New Roman"/>
        </w:rPr>
        <w:t>by mělo být</w:t>
      </w:r>
      <w:r w:rsidR="003921BD" w:rsidRPr="001E7829">
        <w:rPr>
          <w:rFonts w:cs="Times New Roman"/>
        </w:rPr>
        <w:t xml:space="preserve"> zaručeno, že členové rady </w:t>
      </w:r>
      <w:r w:rsidR="00B921F2" w:rsidRPr="001E7829">
        <w:rPr>
          <w:rFonts w:cs="Times New Roman"/>
        </w:rPr>
        <w:t>nebudou</w:t>
      </w:r>
      <w:r w:rsidR="003921BD" w:rsidRPr="001E7829">
        <w:rPr>
          <w:rFonts w:cs="Times New Roman"/>
        </w:rPr>
        <w:t xml:space="preserve"> libovolně odvoláváni např. z politických důvodů. </w:t>
      </w:r>
      <w:r w:rsidR="00A91753" w:rsidRPr="001E7829">
        <w:rPr>
          <w:rFonts w:cs="Times New Roman"/>
        </w:rPr>
        <w:t>Důležitým prvkem personální nezávislosti je požadavek n</w:t>
      </w:r>
      <w:r w:rsidR="00AD3D7B" w:rsidRPr="001E7829">
        <w:rPr>
          <w:rFonts w:cs="Times New Roman"/>
        </w:rPr>
        <w:t>a délku funkčního období členů bankovní r</w:t>
      </w:r>
      <w:r w:rsidR="00A91753" w:rsidRPr="001E7829">
        <w:rPr>
          <w:rFonts w:cs="Times New Roman"/>
        </w:rPr>
        <w:t xml:space="preserve">ady, která by měla přesahovat délku funkčního období členů vlády. Takto koncipovaná úprava umožňuje zamezit náhlé změně </w:t>
      </w:r>
      <w:r w:rsidR="00A91753" w:rsidRPr="001E7829">
        <w:rPr>
          <w:rFonts w:cs="Times New Roman"/>
        </w:rPr>
        <w:lastRenderedPageBreak/>
        <w:t>měnové politiky v případech, kdy ve volbách zvítězí opozice a přinese odlišné ekonomické preference.</w:t>
      </w:r>
      <w:r w:rsidR="00A91753" w:rsidRPr="001E7829">
        <w:rPr>
          <w:rStyle w:val="Znakapoznpodarou"/>
          <w:rFonts w:cs="Times New Roman"/>
        </w:rPr>
        <w:footnoteReference w:id="85"/>
      </w:r>
      <w:r w:rsidR="00A91753" w:rsidRPr="001E7829">
        <w:rPr>
          <w:rFonts w:cs="Times New Roman"/>
        </w:rPr>
        <w:t xml:space="preserve"> Funkční období členů bankovní</w:t>
      </w:r>
      <w:r w:rsidR="00D17BC0" w:rsidRPr="001E7829">
        <w:rPr>
          <w:rFonts w:cs="Times New Roman"/>
        </w:rPr>
        <w:t xml:space="preserve"> rady</w:t>
      </w:r>
      <w:r w:rsidR="00A91753" w:rsidRPr="001E7829">
        <w:rPr>
          <w:rFonts w:cs="Times New Roman"/>
        </w:rPr>
        <w:t xml:space="preserve"> ČNB je šestileté, </w:t>
      </w:r>
      <w:r w:rsidR="005A02A3" w:rsidRPr="001E7829">
        <w:rPr>
          <w:rFonts w:cs="Times New Roman"/>
        </w:rPr>
        <w:t>Z</w:t>
      </w:r>
      <w:r w:rsidR="00A91753" w:rsidRPr="001E7829">
        <w:rPr>
          <w:rFonts w:cs="Times New Roman"/>
        </w:rPr>
        <w:t>ČNB tedy toto kritérium splňuje. K</w:t>
      </w:r>
      <w:r w:rsidR="0026053F" w:rsidRPr="001E7829">
        <w:rPr>
          <w:rFonts w:cs="Times New Roman"/>
        </w:rPr>
        <w:t xml:space="preserve"> vysoké úrovni personální nezávislosti přispívá rovněž neslučitelnost funkcí, která zamezuje vlivu jiných subjektů na monetární politiku tím, že by se jejich vrcholní představitelé stali členy bankovní rady a prosazovali tak odlišné zájmy. </w:t>
      </w:r>
      <w:r w:rsidR="00941A00" w:rsidRPr="001E7829">
        <w:rPr>
          <w:rFonts w:cs="Times New Roman"/>
        </w:rPr>
        <w:t>ZČNB</w:t>
      </w:r>
      <w:r w:rsidR="0026053F" w:rsidRPr="001E7829">
        <w:rPr>
          <w:rFonts w:cs="Times New Roman"/>
        </w:rPr>
        <w:t xml:space="preserve"> zakotvuje možnost pověřených členů vlády účastnit se zasedání rady, a naopak právo guvernéra a pověřených viceguvernérů být přítomni na jednání vlády. V obou případech je těmto osobám dán poradní hlas, členové vlády navíc mohou radě předkládat návrhy k projednání.</w:t>
      </w:r>
      <w:r w:rsidR="0026053F" w:rsidRPr="001E7829">
        <w:rPr>
          <w:rStyle w:val="Znakapoznpodarou"/>
          <w:rFonts w:cs="Times New Roman"/>
        </w:rPr>
        <w:footnoteReference w:id="86"/>
      </w:r>
    </w:p>
    <w:p w:rsidR="0026053F" w:rsidRPr="001E7829" w:rsidRDefault="0026053F" w:rsidP="009B16C6">
      <w:pPr>
        <w:pStyle w:val="Druh"/>
        <w:rPr>
          <w:rFonts w:cs="Times New Roman"/>
        </w:rPr>
      </w:pPr>
      <w:r w:rsidRPr="001E7829">
        <w:rPr>
          <w:rFonts w:cs="Times New Roman"/>
        </w:rPr>
        <w:t>Posledním aspektem nezávislosti centrální banky je finanční nezávislost.</w:t>
      </w:r>
      <w:r w:rsidR="00BE5C5D" w:rsidRPr="001E7829">
        <w:rPr>
          <w:rFonts w:cs="Times New Roman"/>
        </w:rPr>
        <w:t xml:space="preserve"> Ta spočívá především v zákazu centrální bance přímo financovat státní rozpočet, resp. veřejný sektor pomocí úvěrů, přímého odkupu státních dluhopisů, či jiným způsobem. Tím by došlo k monetizaci státního dluhu s vážnými důsledky pro cenovou stabilitu.</w:t>
      </w:r>
      <w:r w:rsidR="00BE5C5D" w:rsidRPr="001E7829">
        <w:rPr>
          <w:rStyle w:val="Znakapoznpodarou"/>
          <w:rFonts w:cs="Times New Roman"/>
        </w:rPr>
        <w:footnoteReference w:id="87"/>
      </w:r>
      <w:r w:rsidR="00D17BC0" w:rsidRPr="001E7829">
        <w:rPr>
          <w:rFonts w:cs="Times New Roman"/>
        </w:rPr>
        <w:t xml:space="preserve"> </w:t>
      </w:r>
      <w:r w:rsidR="001C4B3A" w:rsidRPr="001E7829">
        <w:rPr>
          <w:rFonts w:cs="Times New Roman"/>
        </w:rPr>
        <w:t>O finanční samostatnosti konkrétní centrální banky může mnohé napovědět právní úprava a praxe jejího hospodaření. O tomto tématu však bude pojednáno v následující podkapitole, proto se zde omezím na konstatování, že jeho regulace v </w:t>
      </w:r>
      <w:r w:rsidR="00941A00" w:rsidRPr="001E7829">
        <w:rPr>
          <w:rFonts w:cs="Times New Roman"/>
        </w:rPr>
        <w:t>ZČNB</w:t>
      </w:r>
      <w:r w:rsidR="001C4B3A" w:rsidRPr="001E7829">
        <w:rPr>
          <w:rFonts w:cs="Times New Roman"/>
        </w:rPr>
        <w:t xml:space="preserve"> splňuje požadavky na nezávislost Banky.</w:t>
      </w:r>
    </w:p>
    <w:p w:rsidR="001C4B3A" w:rsidRPr="001E7829" w:rsidRDefault="001F4A3D" w:rsidP="009B16C6">
      <w:pPr>
        <w:pStyle w:val="Druh"/>
        <w:rPr>
          <w:rFonts w:cs="Times New Roman"/>
        </w:rPr>
      </w:pPr>
      <w:r w:rsidRPr="001E7829">
        <w:rPr>
          <w:rFonts w:cs="Times New Roman"/>
        </w:rPr>
        <w:t>ČNB je většinou označována za</w:t>
      </w:r>
      <w:r w:rsidR="001C4B3A" w:rsidRPr="001E7829">
        <w:rPr>
          <w:rFonts w:cs="Times New Roman"/>
        </w:rPr>
        <w:t xml:space="preserve"> centrální banku s vysokým stupněm samostatnosti, a to již od počátku </w:t>
      </w:r>
      <w:r w:rsidR="000B4E22" w:rsidRPr="001E7829">
        <w:rPr>
          <w:rFonts w:cs="Times New Roman"/>
        </w:rPr>
        <w:t>své existence</w:t>
      </w:r>
      <w:r w:rsidR="001C4B3A" w:rsidRPr="001E7829">
        <w:rPr>
          <w:rFonts w:cs="Times New Roman"/>
        </w:rPr>
        <w:t xml:space="preserve">. Ke krátkodobému omezení nezávislosti došlo novelou </w:t>
      </w:r>
      <w:r w:rsidR="00941A00" w:rsidRPr="001E7829">
        <w:rPr>
          <w:rFonts w:cs="Times New Roman"/>
        </w:rPr>
        <w:t>ZČNB</w:t>
      </w:r>
      <w:r w:rsidR="001C4B3A" w:rsidRPr="001E7829">
        <w:rPr>
          <w:rFonts w:cs="Times New Roman"/>
        </w:rPr>
        <w:t xml:space="preserve"> č. 442/2000 Sb. z roku 2000</w:t>
      </w:r>
      <w:r w:rsidR="001E0548" w:rsidRPr="001E7829">
        <w:rPr>
          <w:rFonts w:cs="Times New Roman"/>
        </w:rPr>
        <w:t>, která obsahovala zásahy do autonomie ČNB v oblasti určování inflačních cílů a kurzového režimu (ve prospěch vlády), a také v obl</w:t>
      </w:r>
      <w:r w:rsidR="003103BF" w:rsidRPr="001E7829">
        <w:rPr>
          <w:rFonts w:cs="Times New Roman"/>
        </w:rPr>
        <w:t>asti rozpočtu ČNB (ve prospěch P</w:t>
      </w:r>
      <w:r w:rsidR="001E0548" w:rsidRPr="001E7829">
        <w:rPr>
          <w:rFonts w:cs="Times New Roman"/>
        </w:rPr>
        <w:t xml:space="preserve">oslanecké sněmovny). Součástí novely byla také úprava mechanismu jmenování členů bankovní rady, které mělo být nově prováděno na základě návrhu vlády. Změny však byly kritizovány jak odbornou veřejností, tak mezinárodními organizacemi, včetně Evropské komise, nebo ECB. Ústavní soud nakonec změny pro </w:t>
      </w:r>
      <w:r w:rsidR="001E0548" w:rsidRPr="001E7829">
        <w:rPr>
          <w:rFonts w:cs="Times New Roman"/>
        </w:rPr>
        <w:lastRenderedPageBreak/>
        <w:t xml:space="preserve">protiústavnost zrušil s účinností k 3. srpnu 2001 a další novela vrátila </w:t>
      </w:r>
      <w:r w:rsidR="00941A00" w:rsidRPr="001E7829">
        <w:rPr>
          <w:rFonts w:cs="Times New Roman"/>
        </w:rPr>
        <w:t>ZČNB</w:t>
      </w:r>
      <w:r w:rsidR="00E7638C" w:rsidRPr="001E7829">
        <w:rPr>
          <w:rFonts w:cs="Times New Roman"/>
        </w:rPr>
        <w:t xml:space="preserve"> ve vztahu k nezávislosti ČNB</w:t>
      </w:r>
      <w:r w:rsidR="001E0548" w:rsidRPr="001E7829">
        <w:rPr>
          <w:rFonts w:cs="Times New Roman"/>
        </w:rPr>
        <w:t xml:space="preserve"> do stavu před novelou z roku 2000.</w:t>
      </w:r>
      <w:r w:rsidR="001E0548" w:rsidRPr="001E7829">
        <w:rPr>
          <w:rStyle w:val="Znakapoznpodarou"/>
          <w:rFonts w:cs="Times New Roman"/>
        </w:rPr>
        <w:footnoteReference w:id="88"/>
      </w:r>
    </w:p>
    <w:p w:rsidR="00FA7FA7" w:rsidRPr="001E7829" w:rsidRDefault="001F4A3D" w:rsidP="009B16C6">
      <w:pPr>
        <w:pStyle w:val="Druh"/>
        <w:rPr>
          <w:rFonts w:cs="Times New Roman"/>
        </w:rPr>
      </w:pPr>
      <w:r w:rsidRPr="001E7829">
        <w:rPr>
          <w:rFonts w:cs="Times New Roman"/>
        </w:rPr>
        <w:t>Navzdory vysokému hodnocení nezávislosti centrální banky v</w:t>
      </w:r>
      <w:r w:rsidR="00D17BC0" w:rsidRPr="001E7829">
        <w:rPr>
          <w:rFonts w:cs="Times New Roman"/>
        </w:rPr>
        <w:t> </w:t>
      </w:r>
      <w:r w:rsidRPr="001E7829">
        <w:rPr>
          <w:rFonts w:cs="Times New Roman"/>
        </w:rPr>
        <w:t>ČR</w:t>
      </w:r>
      <w:r w:rsidR="00D17BC0" w:rsidRPr="001E7829">
        <w:rPr>
          <w:rFonts w:cs="Times New Roman"/>
        </w:rPr>
        <w:t xml:space="preserve"> </w:t>
      </w:r>
      <w:r w:rsidR="00412CA1" w:rsidRPr="001E7829">
        <w:rPr>
          <w:rFonts w:cs="Times New Roman"/>
        </w:rPr>
        <w:t>míří na českou právní úpravu pravidelně kritika ze strany E</w:t>
      </w:r>
      <w:r w:rsidR="00941A00" w:rsidRPr="001E7829">
        <w:rPr>
          <w:rFonts w:cs="Times New Roman"/>
        </w:rPr>
        <w:t xml:space="preserve">CB </w:t>
      </w:r>
      <w:r w:rsidR="00412CA1" w:rsidRPr="001E7829">
        <w:rPr>
          <w:rFonts w:cs="Times New Roman"/>
        </w:rPr>
        <w:t>v rámci jejích konvergenčních zpráv. Výtky se týkají do určité míry právě nezávislosti, kde ECB doporučuje například zakotvit právo členů bankovní rady na přezkum v případě jejich odvolání, a to s výjimkou guvernéra, jehož právo vyplývá přímo z</w:t>
      </w:r>
      <w:r w:rsidR="00B921F2" w:rsidRPr="001E7829">
        <w:rPr>
          <w:rFonts w:cs="Times New Roman"/>
        </w:rPr>
        <w:t> </w:t>
      </w:r>
      <w:r w:rsidR="00412CA1" w:rsidRPr="001E7829">
        <w:rPr>
          <w:rFonts w:cs="Times New Roman"/>
        </w:rPr>
        <w:t>unijní</w:t>
      </w:r>
      <w:r w:rsidR="00B921F2" w:rsidRPr="001E7829">
        <w:rPr>
          <w:rFonts w:cs="Times New Roman"/>
        </w:rPr>
        <w:t xml:space="preserve"> legislativy</w:t>
      </w:r>
      <w:r w:rsidR="00412CA1" w:rsidRPr="001E7829">
        <w:rPr>
          <w:rFonts w:cs="Times New Roman"/>
        </w:rPr>
        <w:t>. Takové právo je sice vyvoditelné z</w:t>
      </w:r>
      <w:r w:rsidR="00796B16" w:rsidRPr="001E7829">
        <w:rPr>
          <w:rFonts w:cs="Times New Roman"/>
        </w:rPr>
        <w:t> procesních norem jiných předpisů, přesto ECB v zájmu právní jistoty doporučuje jej v </w:t>
      </w:r>
      <w:r w:rsidR="00941A00" w:rsidRPr="001E7829">
        <w:rPr>
          <w:rFonts w:cs="Times New Roman"/>
        </w:rPr>
        <w:t>ZČNB</w:t>
      </w:r>
      <w:r w:rsidR="00796B16" w:rsidRPr="001E7829">
        <w:rPr>
          <w:rFonts w:cs="Times New Roman"/>
        </w:rPr>
        <w:t xml:space="preserve"> zmínit výslovně.</w:t>
      </w:r>
      <w:r w:rsidR="00796B16" w:rsidRPr="001E7829">
        <w:rPr>
          <w:rStyle w:val="Znakapoznpodarou"/>
          <w:rFonts w:cs="Times New Roman"/>
        </w:rPr>
        <w:footnoteReference w:id="89"/>
      </w:r>
      <w:r w:rsidR="00796B16" w:rsidRPr="001E7829">
        <w:rPr>
          <w:rFonts w:cs="Times New Roman"/>
        </w:rPr>
        <w:t xml:space="preserve"> Další kritika se týká kupříkladu mlčenlivosti zaměstnanců Banky, zákazu měnového financování nebo právní integrace do </w:t>
      </w:r>
      <w:proofErr w:type="spellStart"/>
      <w:r w:rsidR="00796B16" w:rsidRPr="001E7829">
        <w:rPr>
          <w:rFonts w:cs="Times New Roman"/>
        </w:rPr>
        <w:t>Eurosystému</w:t>
      </w:r>
      <w:proofErr w:type="spellEnd"/>
      <w:r w:rsidR="00796B16" w:rsidRPr="001E7829">
        <w:rPr>
          <w:rFonts w:cs="Times New Roman"/>
        </w:rPr>
        <w:t>.</w:t>
      </w:r>
      <w:r w:rsidR="00796B16" w:rsidRPr="001E7829">
        <w:rPr>
          <w:rStyle w:val="Znakapoznpodarou"/>
          <w:rFonts w:cs="Times New Roman"/>
        </w:rPr>
        <w:footnoteReference w:id="90"/>
      </w:r>
      <w:r w:rsidR="00796B16" w:rsidRPr="001E7829">
        <w:rPr>
          <w:rFonts w:cs="Times New Roman"/>
        </w:rPr>
        <w:t xml:space="preserve"> Mnohé z těchto oblastí se již podařilo novelami </w:t>
      </w:r>
      <w:r w:rsidR="00941A00" w:rsidRPr="001E7829">
        <w:rPr>
          <w:rFonts w:cs="Times New Roman"/>
        </w:rPr>
        <w:t>ZČNB</w:t>
      </w:r>
      <w:r w:rsidR="00796B16" w:rsidRPr="001E7829">
        <w:rPr>
          <w:rFonts w:cs="Times New Roman"/>
        </w:rPr>
        <w:t xml:space="preserve"> uvést do souladu s požadavky ECB, ostatní nedostatky budou muset být odstraněny před vstupem České republiky do </w:t>
      </w:r>
      <w:r w:rsidR="00F93281" w:rsidRPr="001E7829">
        <w:rPr>
          <w:rFonts w:cs="Times New Roman"/>
        </w:rPr>
        <w:t>eurozóny</w:t>
      </w:r>
      <w:r w:rsidR="00796B16" w:rsidRPr="001E7829">
        <w:rPr>
          <w:rFonts w:cs="Times New Roman"/>
        </w:rPr>
        <w:t>.</w:t>
      </w:r>
    </w:p>
    <w:p w:rsidR="001F4A3D" w:rsidRPr="001E7829" w:rsidRDefault="001F4A3D" w:rsidP="009B16C6">
      <w:pPr>
        <w:pStyle w:val="Druh"/>
        <w:rPr>
          <w:rFonts w:cs="Times New Roman"/>
        </w:rPr>
      </w:pPr>
      <w:r w:rsidRPr="001E7829">
        <w:rPr>
          <w:rFonts w:cs="Times New Roman"/>
        </w:rPr>
        <w:t>Otázkou samozřejmě zůstává</w:t>
      </w:r>
      <w:r w:rsidR="00571334" w:rsidRPr="001E7829">
        <w:rPr>
          <w:rFonts w:cs="Times New Roman"/>
        </w:rPr>
        <w:t>,</w:t>
      </w:r>
      <w:r w:rsidRPr="001E7829">
        <w:rPr>
          <w:rFonts w:cs="Times New Roman"/>
        </w:rPr>
        <w:t xml:space="preserve"> nakolik je</w:t>
      </w:r>
      <w:r w:rsidR="00192B0B" w:rsidRPr="001E7829">
        <w:rPr>
          <w:rFonts w:cs="Times New Roman"/>
        </w:rPr>
        <w:t xml:space="preserve"> i</w:t>
      </w:r>
      <w:r w:rsidRPr="001E7829">
        <w:rPr>
          <w:rFonts w:cs="Times New Roman"/>
        </w:rPr>
        <w:t xml:space="preserve"> kvalitní právní úprava způsobilá zajistit vysokou úroveň nezávislosti také v praxi.</w:t>
      </w:r>
      <w:r w:rsidR="00192B0B" w:rsidRPr="001E7829">
        <w:rPr>
          <w:rFonts w:cs="Times New Roman"/>
        </w:rPr>
        <w:t xml:space="preserve"> Rizikem pro nezávislost se mohou stát především kritika či výroky ohledně rozhodování centrální banky obecně, a</w:t>
      </w:r>
      <w:r w:rsidR="00B2597F" w:rsidRPr="001E7829">
        <w:rPr>
          <w:rFonts w:cs="Times New Roman"/>
        </w:rPr>
        <w:t xml:space="preserve"> to zejména ze strany politických</w:t>
      </w:r>
      <w:r w:rsidR="00192B0B" w:rsidRPr="001E7829">
        <w:rPr>
          <w:rFonts w:cs="Times New Roman"/>
        </w:rPr>
        <w:t xml:space="preserve"> představitelů. Příkladem lze uvést kritiku měnových intervencí ze strany prezidenta republiky Miloše Zemana spojenou s veřejně deklarovanými po</w:t>
      </w:r>
      <w:r w:rsidR="00B2597F" w:rsidRPr="001E7829">
        <w:rPr>
          <w:rFonts w:cs="Times New Roman"/>
        </w:rPr>
        <w:t>žadavky</w:t>
      </w:r>
      <w:r w:rsidR="00192B0B" w:rsidRPr="001E7829">
        <w:rPr>
          <w:rFonts w:cs="Times New Roman"/>
        </w:rPr>
        <w:t xml:space="preserve"> na</w:t>
      </w:r>
      <w:r w:rsidR="008B6958" w:rsidRPr="001E7829">
        <w:rPr>
          <w:rFonts w:cs="Times New Roman"/>
        </w:rPr>
        <w:t xml:space="preserve"> </w:t>
      </w:r>
      <w:proofErr w:type="gramStart"/>
      <w:r w:rsidR="00441084" w:rsidRPr="001E7829">
        <w:rPr>
          <w:rFonts w:cs="Times New Roman"/>
        </w:rPr>
        <w:t>jím</w:t>
      </w:r>
      <w:proofErr w:type="gramEnd"/>
      <w:r w:rsidR="00192B0B" w:rsidRPr="001E7829">
        <w:rPr>
          <w:rFonts w:cs="Times New Roman"/>
        </w:rPr>
        <w:t xml:space="preserve"> v budoucnu jmenované členy bankovní rady.</w:t>
      </w:r>
      <w:r w:rsidR="00B2597F" w:rsidRPr="001E7829">
        <w:rPr>
          <w:rStyle w:val="Znakapoznpodarou"/>
          <w:rFonts w:cs="Times New Roman"/>
        </w:rPr>
        <w:footnoteReference w:id="91"/>
      </w:r>
      <w:r w:rsidR="00571334" w:rsidRPr="001E7829">
        <w:rPr>
          <w:rFonts w:cs="Times New Roman"/>
        </w:rPr>
        <w:t xml:space="preserve"> </w:t>
      </w:r>
      <w:r w:rsidR="008569E0" w:rsidRPr="001E7829">
        <w:rPr>
          <w:rFonts w:cs="Times New Roman"/>
        </w:rPr>
        <w:t>V této souvislosti je</w:t>
      </w:r>
      <w:r w:rsidR="00B2597F" w:rsidRPr="001E7829">
        <w:rPr>
          <w:rFonts w:cs="Times New Roman"/>
        </w:rPr>
        <w:t xml:space="preserve"> tedy zároveň</w:t>
      </w:r>
      <w:r w:rsidR="008569E0" w:rsidRPr="001E7829">
        <w:rPr>
          <w:rFonts w:cs="Times New Roman"/>
        </w:rPr>
        <w:t xml:space="preserve"> na zvážení, zda je model jmenování členů bankovní rady hlavou státu tím nejvhodnějším, či dokonce zda existuje takový, který by osobní nezávislost skutečně zaručil.</w:t>
      </w:r>
    </w:p>
    <w:p w:rsidR="00947B60" w:rsidRPr="001E7829" w:rsidRDefault="00947B60" w:rsidP="00947B60">
      <w:pPr>
        <w:pStyle w:val="221"/>
        <w:rPr>
          <w:rFonts w:cs="Times New Roman"/>
        </w:rPr>
      </w:pPr>
      <w:bookmarkStart w:id="42" w:name="_Toc444083233"/>
      <w:bookmarkStart w:id="43" w:name="_Toc444516062"/>
      <w:bookmarkStart w:id="44" w:name="_Toc446604206"/>
      <w:r w:rsidRPr="001E7829">
        <w:rPr>
          <w:rFonts w:cs="Times New Roman"/>
        </w:rPr>
        <w:lastRenderedPageBreak/>
        <w:t>Hospodaření</w:t>
      </w:r>
      <w:bookmarkEnd w:id="42"/>
      <w:bookmarkEnd w:id="43"/>
      <w:bookmarkEnd w:id="44"/>
    </w:p>
    <w:p w:rsidR="000B4E22" w:rsidRPr="001E7829" w:rsidRDefault="0005033A" w:rsidP="00B40EB7">
      <w:pPr>
        <w:pStyle w:val="Prvn"/>
        <w:rPr>
          <w:rFonts w:cs="Times New Roman"/>
        </w:rPr>
      </w:pPr>
      <w:r w:rsidRPr="001E7829">
        <w:rPr>
          <w:rFonts w:cs="Times New Roman"/>
        </w:rPr>
        <w:t xml:space="preserve">Problematikou hospodaření ČNB se zabývá část třináctá </w:t>
      </w:r>
      <w:r w:rsidR="00941A00" w:rsidRPr="001E7829">
        <w:rPr>
          <w:rFonts w:cs="Times New Roman"/>
        </w:rPr>
        <w:t>ZČNB</w:t>
      </w:r>
      <w:r w:rsidRPr="001E7829">
        <w:rPr>
          <w:rFonts w:cs="Times New Roman"/>
        </w:rPr>
        <w:t xml:space="preserve">. ČNB hospodaří podle vlastního rozpočtu, který schvaluje bankovní rada. Rozpočet musí být podle </w:t>
      </w:r>
      <w:r w:rsidR="00941A00" w:rsidRPr="001E7829">
        <w:rPr>
          <w:rFonts w:cs="Times New Roman"/>
        </w:rPr>
        <w:t>ZČNB</w:t>
      </w:r>
      <w:r w:rsidRPr="001E7829">
        <w:rPr>
          <w:rFonts w:cs="Times New Roman"/>
        </w:rPr>
        <w:t xml:space="preserve"> členěn tak aby z něj byly zřejmé výdaje na pořízení majetku a na provoz Banky</w:t>
      </w:r>
      <w:r w:rsidR="003164C7" w:rsidRPr="001E7829">
        <w:rPr>
          <w:rFonts w:cs="Times New Roman"/>
        </w:rPr>
        <w:t>,</w:t>
      </w:r>
      <w:r w:rsidRPr="001E7829">
        <w:rPr>
          <w:rStyle w:val="Znakapoznpodarou"/>
          <w:rFonts w:cs="Times New Roman"/>
        </w:rPr>
        <w:footnoteReference w:id="92"/>
      </w:r>
      <w:r w:rsidRPr="001E7829">
        <w:rPr>
          <w:rFonts w:cs="Times New Roman"/>
        </w:rPr>
        <w:t xml:space="preserve"> neboť ty přezkoumává Nejvyšší kontrolní úřad.</w:t>
      </w:r>
      <w:r w:rsidRPr="001E7829">
        <w:rPr>
          <w:rStyle w:val="Znakapoznpodarou"/>
          <w:rFonts w:cs="Times New Roman"/>
        </w:rPr>
        <w:footnoteReference w:id="93"/>
      </w:r>
      <w:r w:rsidRPr="001E7829">
        <w:rPr>
          <w:rFonts w:cs="Times New Roman"/>
        </w:rPr>
        <w:t xml:space="preserve"> Vlastní rozpočet je pro ČNB jednou ze záruk finanční nezávislosti na vládě a parlamentu</w:t>
      </w:r>
      <w:r w:rsidR="008D69DD" w:rsidRPr="001E7829">
        <w:rPr>
          <w:rFonts w:cs="Times New Roman"/>
        </w:rPr>
        <w:t>. V případě jeho sestavování nebo schvalování těmito orgány by totiž mohlo docházet k nepřímému ovlivňování činnosti Banky prostřednictvím určování platů členů bankovní rady, pravidel pro rozdělování zisku apod.</w:t>
      </w:r>
      <w:r w:rsidR="008D69DD" w:rsidRPr="001E7829">
        <w:rPr>
          <w:rStyle w:val="Znakapoznpodarou"/>
          <w:rFonts w:cs="Times New Roman"/>
        </w:rPr>
        <w:footnoteReference w:id="94"/>
      </w:r>
    </w:p>
    <w:p w:rsidR="008D69DD" w:rsidRPr="001E7829" w:rsidRDefault="008D69DD" w:rsidP="008D69DD">
      <w:pPr>
        <w:pStyle w:val="Druh"/>
        <w:rPr>
          <w:rFonts w:cs="Times New Roman"/>
        </w:rPr>
      </w:pPr>
      <w:r w:rsidRPr="001E7829">
        <w:rPr>
          <w:rFonts w:cs="Times New Roman"/>
        </w:rPr>
        <w:t>Roční zpráv</w:t>
      </w:r>
      <w:r w:rsidR="003103BF" w:rsidRPr="001E7829">
        <w:rPr>
          <w:rFonts w:cs="Times New Roman"/>
        </w:rPr>
        <w:t xml:space="preserve">u o výsledku svého hospodaření </w:t>
      </w:r>
      <w:r w:rsidRPr="001E7829">
        <w:rPr>
          <w:rFonts w:cs="Times New Roman"/>
        </w:rPr>
        <w:t>předkládá ČNB k projednání Poslanecké sněmovně a rovněž ji uveřejňuje způsobem umožňujícím dálkový přístup. Výnosy používá Banka k úhradě nákladů na svou činnost a z případného zisku doplňuje rezervní fond a další fondy tvořené ze zisku.</w:t>
      </w:r>
      <w:r w:rsidRPr="001E7829">
        <w:rPr>
          <w:rStyle w:val="Znakapoznpodarou"/>
          <w:rFonts w:cs="Times New Roman"/>
        </w:rPr>
        <w:footnoteReference w:id="95"/>
      </w:r>
      <w:r w:rsidR="00571334" w:rsidRPr="001E7829">
        <w:rPr>
          <w:rFonts w:cs="Times New Roman"/>
        </w:rPr>
        <w:t xml:space="preserve"> </w:t>
      </w:r>
      <w:r w:rsidR="00E047E5" w:rsidRPr="001E7829">
        <w:rPr>
          <w:rFonts w:cs="Times New Roman"/>
        </w:rPr>
        <w:t>Z ročních zpráv, které ČNB na svých internetových stránkách zveřejňuje od roku 1999, vyplývá, že problémy s hospodařením měla Banka především mezi lety 2000 a 2007. V současné době je již její hospodářský výsledek většinou kladný.</w:t>
      </w:r>
      <w:r w:rsidR="003103BF" w:rsidRPr="001E7829">
        <w:rPr>
          <w:rStyle w:val="Znakapoznpodarou"/>
          <w:rFonts w:cs="Times New Roman"/>
        </w:rPr>
        <w:footnoteReference w:id="96"/>
      </w:r>
      <w:r w:rsidR="00E047E5" w:rsidRPr="001E7829">
        <w:rPr>
          <w:rFonts w:cs="Times New Roman"/>
        </w:rPr>
        <w:t xml:space="preserve"> Předběžný hospodářský výsledek za rok 2015 ukazuje, že minulý rok uzavřela Banka s mírnou ztrátou.</w:t>
      </w:r>
      <w:r w:rsidR="00E047E5" w:rsidRPr="001E7829">
        <w:rPr>
          <w:rStyle w:val="Znakapoznpodarou"/>
          <w:rFonts w:cs="Times New Roman"/>
        </w:rPr>
        <w:footnoteReference w:id="97"/>
      </w:r>
    </w:p>
    <w:p w:rsidR="008910F0" w:rsidRPr="001E7829" w:rsidRDefault="008910F0" w:rsidP="009C173B">
      <w:pPr>
        <w:pStyle w:val="21"/>
        <w:rPr>
          <w:rFonts w:cs="Times New Roman"/>
        </w:rPr>
      </w:pPr>
      <w:bookmarkStart w:id="45" w:name="_Toc444083234"/>
      <w:bookmarkStart w:id="46" w:name="_Toc444516063"/>
      <w:bookmarkStart w:id="47" w:name="_Toc446604207"/>
      <w:r w:rsidRPr="001E7829">
        <w:rPr>
          <w:rFonts w:cs="Times New Roman"/>
        </w:rPr>
        <w:t>Změny v souvislosti se vstupem ČR</w:t>
      </w:r>
      <w:r w:rsidR="00A4684C" w:rsidRPr="001E7829">
        <w:rPr>
          <w:rFonts w:cs="Times New Roman"/>
        </w:rPr>
        <w:t xml:space="preserve"> do EU a</w:t>
      </w:r>
      <w:r w:rsidR="002D519B" w:rsidRPr="001E7829">
        <w:rPr>
          <w:rFonts w:cs="Times New Roman"/>
        </w:rPr>
        <w:t xml:space="preserve"> do eurozóny</w:t>
      </w:r>
      <w:bookmarkEnd w:id="45"/>
      <w:bookmarkEnd w:id="46"/>
      <w:bookmarkEnd w:id="47"/>
    </w:p>
    <w:p w:rsidR="003B2633" w:rsidRPr="001E7829" w:rsidRDefault="00EF6C1E" w:rsidP="00B40EB7">
      <w:pPr>
        <w:pStyle w:val="Prvn"/>
        <w:rPr>
          <w:rFonts w:cs="Times New Roman"/>
        </w:rPr>
      </w:pPr>
      <w:r w:rsidRPr="001E7829">
        <w:rPr>
          <w:rFonts w:cs="Times New Roman"/>
        </w:rPr>
        <w:t xml:space="preserve">Pro právní postavení ČNB je v současné době nesmírně důležitá mezinárodní spolupráce Banky při výkonu jejích činností, a také zapojení do mezinárodních struktur. Nejvýznamnější dosavadní změnou byl v tomto ohledu vstup ČR do EU, který s sebou přinesl nutnost příslušných legislativních úprav, které umožnily </w:t>
      </w:r>
      <w:r w:rsidRPr="001E7829">
        <w:rPr>
          <w:rFonts w:cs="Times New Roman"/>
        </w:rPr>
        <w:lastRenderedPageBreak/>
        <w:t>Bance působit v evropském kontextu a současně uvedly právní předpisy týkající se ČNB a jejího působení do souladu s právem unie.</w:t>
      </w:r>
    </w:p>
    <w:p w:rsidR="00EF6C1E" w:rsidRPr="001E7829" w:rsidRDefault="00F93281" w:rsidP="00EF6C1E">
      <w:pPr>
        <w:pStyle w:val="Druh"/>
        <w:rPr>
          <w:rFonts w:cs="Times New Roman"/>
        </w:rPr>
      </w:pPr>
      <w:r w:rsidRPr="001E7829">
        <w:rPr>
          <w:rFonts w:cs="Times New Roman"/>
        </w:rPr>
        <w:t xml:space="preserve">Zásadní roli hrála v období před vstupem do EU již zmíněná novela </w:t>
      </w:r>
      <w:r w:rsidR="00941A00" w:rsidRPr="001E7829">
        <w:rPr>
          <w:rFonts w:cs="Times New Roman"/>
        </w:rPr>
        <w:t>ZČNB</w:t>
      </w:r>
      <w:r w:rsidRPr="001E7829">
        <w:rPr>
          <w:rFonts w:cs="Times New Roman"/>
        </w:rPr>
        <w:t xml:space="preserve"> č. 442/2000 Sb.,</w:t>
      </w:r>
      <w:r w:rsidR="00A671DA" w:rsidRPr="001E7829">
        <w:rPr>
          <w:rFonts w:cs="Times New Roman"/>
        </w:rPr>
        <w:t xml:space="preserve"> která</w:t>
      </w:r>
      <w:r w:rsidR="00571334" w:rsidRPr="001E7829">
        <w:rPr>
          <w:rFonts w:cs="Times New Roman"/>
        </w:rPr>
        <w:t xml:space="preserve"> </w:t>
      </w:r>
      <w:r w:rsidR="003C0C55" w:rsidRPr="001E7829">
        <w:rPr>
          <w:rFonts w:cs="Times New Roman"/>
        </w:rPr>
        <w:t xml:space="preserve">mj. přinesla ustanovení § 2 odst. 3, které zmiňuje spolupráci Banky s ústředními bankami jiných zemí, mezinárodními finančními organizacemi a dalšími institucemi. Znamenala také změnu hlavního cíle Banky, a to ze zabezpečování stability české měny na zabezpečování cenové stability. Tento přechod byl plně v souladu s požadavky primárního práva EU, Ústavní soud však </w:t>
      </w:r>
      <w:r w:rsidR="00C05C13" w:rsidRPr="001E7829">
        <w:rPr>
          <w:rFonts w:cs="Times New Roman"/>
        </w:rPr>
        <w:t>na základě</w:t>
      </w:r>
      <w:r w:rsidR="003C0C55" w:rsidRPr="001E7829">
        <w:rPr>
          <w:rFonts w:cs="Times New Roman"/>
        </w:rPr>
        <w:t xml:space="preserve"> návrhu prezidenta republiky ustanovení zrušil spolu se změnami omezujícími nezávislost</w:t>
      </w:r>
      <w:r w:rsidR="00A671DA" w:rsidRPr="001E7829">
        <w:rPr>
          <w:rFonts w:cs="Times New Roman"/>
        </w:rPr>
        <w:t xml:space="preserve"> Banky</w:t>
      </w:r>
      <w:r w:rsidR="00C05C13" w:rsidRPr="001E7829">
        <w:rPr>
          <w:rFonts w:cs="Times New Roman"/>
        </w:rPr>
        <w:t xml:space="preserve"> (nález č. 278/2001 Sb. ze dne 20. června 2001)</w:t>
      </w:r>
      <w:r w:rsidR="003C0C55" w:rsidRPr="001E7829">
        <w:rPr>
          <w:rFonts w:cs="Times New Roman"/>
        </w:rPr>
        <w:t>. Problémem byl rozpor novely se zněním</w:t>
      </w:r>
      <w:r w:rsidR="00A671DA" w:rsidRPr="001E7829">
        <w:rPr>
          <w:rFonts w:cs="Times New Roman"/>
        </w:rPr>
        <w:t xml:space="preserve"> čl. 98</w:t>
      </w:r>
      <w:r w:rsidR="003C0C55" w:rsidRPr="001E7829">
        <w:rPr>
          <w:rFonts w:cs="Times New Roman"/>
        </w:rPr>
        <w:t xml:space="preserve"> Ústavy, ve které</w:t>
      </w:r>
      <w:r w:rsidR="00A671DA" w:rsidRPr="001E7829">
        <w:rPr>
          <w:rFonts w:cs="Times New Roman"/>
        </w:rPr>
        <w:t>m</w:t>
      </w:r>
      <w:r w:rsidR="003C0C55" w:rsidRPr="001E7829">
        <w:rPr>
          <w:rFonts w:cs="Times New Roman"/>
        </w:rPr>
        <w:t xml:space="preserve"> byl cíl nadále uveden v původní podobě. </w:t>
      </w:r>
      <w:r w:rsidR="00A671DA" w:rsidRPr="001E7829">
        <w:rPr>
          <w:rFonts w:cs="Times New Roman"/>
        </w:rPr>
        <w:t xml:space="preserve">Ke změně cíle tedy došlo až po novelizaci Ústavy novelou č. 448/2001 Sb. a následnou změnou </w:t>
      </w:r>
      <w:r w:rsidR="00941A00" w:rsidRPr="001E7829">
        <w:rPr>
          <w:rFonts w:cs="Times New Roman"/>
        </w:rPr>
        <w:t>ZČNB</w:t>
      </w:r>
      <w:r w:rsidR="00A671DA" w:rsidRPr="001E7829">
        <w:rPr>
          <w:rFonts w:cs="Times New Roman"/>
        </w:rPr>
        <w:t xml:space="preserve"> novelou č. 127/2002 Sb. s účinností od 1. května 2002.</w:t>
      </w:r>
      <w:r w:rsidR="00A671DA" w:rsidRPr="001E7829">
        <w:rPr>
          <w:rStyle w:val="Znakapoznpodarou"/>
          <w:rFonts w:cs="Times New Roman"/>
        </w:rPr>
        <w:footnoteReference w:id="98"/>
      </w:r>
    </w:p>
    <w:p w:rsidR="00A671DA" w:rsidRPr="001E7829" w:rsidRDefault="00A671DA" w:rsidP="00EF6C1E">
      <w:pPr>
        <w:pStyle w:val="Druh"/>
        <w:rPr>
          <w:rFonts w:cs="Times New Roman"/>
        </w:rPr>
      </w:pPr>
      <w:r w:rsidRPr="001E7829">
        <w:rPr>
          <w:rFonts w:cs="Times New Roman"/>
        </w:rPr>
        <w:t xml:space="preserve">Patrně nejvýznamnější novelou </w:t>
      </w:r>
      <w:r w:rsidR="00941A00" w:rsidRPr="001E7829">
        <w:rPr>
          <w:rFonts w:cs="Times New Roman"/>
        </w:rPr>
        <w:t>ZČNB</w:t>
      </w:r>
      <w:r w:rsidR="0058080F" w:rsidRPr="001E7829">
        <w:rPr>
          <w:rFonts w:cs="Times New Roman"/>
        </w:rPr>
        <w:t xml:space="preserve"> je zákon č. 227/2013 Sb. Tímto předpisem došlo mj. k výslovnému zařazení ČNB do ESCB v rámci českého práva, s odkazem na úkoly, které z tohoto postavení pro Banku plynou ze SFEU a Protokolu o </w:t>
      </w:r>
      <w:r w:rsidR="003103BF" w:rsidRPr="001E7829">
        <w:rPr>
          <w:rFonts w:cs="Times New Roman"/>
        </w:rPr>
        <w:t>Statutu</w:t>
      </w:r>
      <w:r w:rsidR="0058080F" w:rsidRPr="001E7829">
        <w:rPr>
          <w:rFonts w:cs="Times New Roman"/>
        </w:rPr>
        <w:t>.</w:t>
      </w:r>
      <w:r w:rsidR="0058080F" w:rsidRPr="001E7829">
        <w:rPr>
          <w:rStyle w:val="Znakapoznpodarou"/>
          <w:rFonts w:cs="Times New Roman"/>
        </w:rPr>
        <w:footnoteReference w:id="99"/>
      </w:r>
      <w:r w:rsidR="0058080F" w:rsidRPr="001E7829">
        <w:rPr>
          <w:rFonts w:cs="Times New Roman"/>
        </w:rPr>
        <w:t xml:space="preserve"> Paragraf 9 </w:t>
      </w:r>
      <w:r w:rsidR="00CB5DC8" w:rsidRPr="001E7829">
        <w:rPr>
          <w:rFonts w:cs="Times New Roman"/>
        </w:rPr>
        <w:t xml:space="preserve">týkající se institucionální nezávislosti byl doplněn o zákaz přijímat a vyžadovat pokyny od unijních orgánů a vlád členských států </w:t>
      </w:r>
      <w:r w:rsidR="003103BF" w:rsidRPr="001E7829">
        <w:rPr>
          <w:rFonts w:cs="Times New Roman"/>
        </w:rPr>
        <w:t>EU</w:t>
      </w:r>
      <w:r w:rsidR="00CB5DC8" w:rsidRPr="001E7829">
        <w:rPr>
          <w:rFonts w:cs="Times New Roman"/>
        </w:rPr>
        <w:t>.</w:t>
      </w:r>
      <w:r w:rsidR="00CB5DC8" w:rsidRPr="001E7829">
        <w:rPr>
          <w:rStyle w:val="Znakapoznpodarou"/>
          <w:rFonts w:cs="Times New Roman"/>
        </w:rPr>
        <w:footnoteReference w:id="100"/>
      </w:r>
      <w:r w:rsidR="00CB5DC8" w:rsidRPr="001E7829">
        <w:rPr>
          <w:rFonts w:cs="Times New Roman"/>
        </w:rPr>
        <w:t xml:space="preserve"> Novinkou byl rovněž § 34a o zákazu měnového financování, který prováděl článek 123 SFEU.</w:t>
      </w:r>
      <w:r w:rsidR="00CB5DC8" w:rsidRPr="001E7829">
        <w:rPr>
          <w:rStyle w:val="Znakapoznpodarou"/>
          <w:rFonts w:cs="Times New Roman"/>
        </w:rPr>
        <w:footnoteReference w:id="101"/>
      </w:r>
      <w:r w:rsidR="003C1FF6" w:rsidRPr="001E7829">
        <w:rPr>
          <w:rFonts w:cs="Times New Roman"/>
        </w:rPr>
        <w:t xml:space="preserve"> Z dalších dílčích změn s mezinárodním dosahem lze jmenovat např. informační povinnost ČNB vůči Evropské radě o významných opatřeních k omezení rizik potenciálně ohrožujících stabilitu finančního systému v ČR.</w:t>
      </w:r>
      <w:r w:rsidR="003C1FF6" w:rsidRPr="001E7829">
        <w:rPr>
          <w:rStyle w:val="Znakapoznpodarou"/>
          <w:rFonts w:cs="Times New Roman"/>
        </w:rPr>
        <w:footnoteReference w:id="102"/>
      </w:r>
      <w:r w:rsidR="003C1FF6" w:rsidRPr="001E7829">
        <w:rPr>
          <w:rFonts w:cs="Times New Roman"/>
        </w:rPr>
        <w:t xml:space="preserve"> Výčet ustano</w:t>
      </w:r>
      <w:r w:rsidR="003164C7" w:rsidRPr="001E7829">
        <w:rPr>
          <w:rFonts w:cs="Times New Roman"/>
        </w:rPr>
        <w:t>vení této a dalších novel, která</w:t>
      </w:r>
      <w:r w:rsidR="003C1FF6" w:rsidRPr="001E7829">
        <w:rPr>
          <w:rFonts w:cs="Times New Roman"/>
        </w:rPr>
        <w:t xml:space="preserve"> byla schválena s cílem harmonizovat </w:t>
      </w:r>
      <w:r w:rsidR="00941A00" w:rsidRPr="001E7829">
        <w:rPr>
          <w:rFonts w:cs="Times New Roman"/>
        </w:rPr>
        <w:t>ZČNB</w:t>
      </w:r>
      <w:r w:rsidR="003C1FF6" w:rsidRPr="001E7829">
        <w:rPr>
          <w:rFonts w:cs="Times New Roman"/>
        </w:rPr>
        <w:t xml:space="preserve"> s evropskými předpisy a také v reakci na připomínky ECB a Evropské komise v rámci konvergenčních zpráv, by však čítal desítky norem.</w:t>
      </w:r>
    </w:p>
    <w:p w:rsidR="00C950A8" w:rsidRPr="001E7829" w:rsidRDefault="003F58BD" w:rsidP="00EF6C1E">
      <w:pPr>
        <w:pStyle w:val="Druh"/>
        <w:rPr>
          <w:rFonts w:cs="Times New Roman"/>
        </w:rPr>
      </w:pPr>
      <w:r w:rsidRPr="001E7829">
        <w:rPr>
          <w:rFonts w:cs="Times New Roman"/>
        </w:rPr>
        <w:lastRenderedPageBreak/>
        <w:t xml:space="preserve">V souvislosti se vstupem do eurozóny čeká Českou republiku zásadní přelom v provádění hospodářské politiky. Země přijde o nezávislou měnovou politiku, která přejde z ČNB do rukou ECB. Státní orgány tak budou mít pro základní směrování českého hospodářství k dispozici již pouze fiskální politiku, která ale pravděpodobně v zájmu bezproblémového fungování politiky měnové unie ustoupí do pozadí, či bude postupně také delegována na orgány </w:t>
      </w:r>
      <w:r w:rsidR="00780BBA" w:rsidRPr="001E7829">
        <w:rPr>
          <w:rFonts w:cs="Times New Roman"/>
        </w:rPr>
        <w:t>EU</w:t>
      </w:r>
      <w:r w:rsidRPr="001E7829">
        <w:rPr>
          <w:rFonts w:cs="Times New Roman"/>
        </w:rPr>
        <w:t>.</w:t>
      </w:r>
      <w:r w:rsidR="00751472" w:rsidRPr="001E7829">
        <w:rPr>
          <w:rStyle w:val="Znakapoznpodarou"/>
          <w:rFonts w:cs="Times New Roman"/>
        </w:rPr>
        <w:footnoteReference w:id="103"/>
      </w:r>
      <w:r w:rsidR="00751472" w:rsidRPr="001E7829">
        <w:rPr>
          <w:rFonts w:cs="Times New Roman"/>
        </w:rPr>
        <w:t xml:space="preserve"> Současně se ČNB plnohodnotně zařadí do ESCB a guvernér se stane členem řídící rady ECB, která</w:t>
      </w:r>
      <w:r w:rsidR="00780BBA" w:rsidRPr="001E7829">
        <w:rPr>
          <w:rFonts w:cs="Times New Roman"/>
        </w:rPr>
        <w:t xml:space="preserve"> je</w:t>
      </w:r>
      <w:r w:rsidR="00751472" w:rsidRPr="001E7829">
        <w:rPr>
          <w:rFonts w:cs="Times New Roman"/>
        </w:rPr>
        <w:t xml:space="preserve"> jejím nejvyšším rozhodovacím orgánem. V otázkách souvisejících s měnovou politikou se bude Banka podílet na provádění některých nástrojů ECB, např. operací na volném trhu nebo měnových intervencí. Některé další funkce ČNB se přizpůsobí novému stavu. Příkladem lze uvést, že Banka se stane emisní institucí eura pro ČR. Jiné funkce, jako například bankovní dohled, by měly být nadá</w:t>
      </w:r>
      <w:r w:rsidR="00EA08D8" w:rsidRPr="001E7829">
        <w:rPr>
          <w:rFonts w:cs="Times New Roman"/>
        </w:rPr>
        <w:t>le vykonávány bez výraznějších rozdílů oproti současnosti</w:t>
      </w:r>
      <w:r w:rsidR="00751472" w:rsidRPr="001E7829">
        <w:rPr>
          <w:rFonts w:cs="Times New Roman"/>
        </w:rPr>
        <w:t>.</w:t>
      </w:r>
      <w:r w:rsidR="00751472" w:rsidRPr="001E7829">
        <w:rPr>
          <w:rStyle w:val="Znakapoznpodarou"/>
          <w:rFonts w:cs="Times New Roman"/>
        </w:rPr>
        <w:footnoteReference w:id="104"/>
      </w:r>
    </w:p>
    <w:p w:rsidR="00780BBA" w:rsidRPr="001E7829" w:rsidRDefault="00780BBA" w:rsidP="00EF6C1E">
      <w:pPr>
        <w:pStyle w:val="Druh"/>
        <w:rPr>
          <w:rFonts w:cs="Times New Roman"/>
        </w:rPr>
      </w:pPr>
      <w:r w:rsidRPr="001E7829">
        <w:rPr>
          <w:rFonts w:cs="Times New Roman"/>
        </w:rPr>
        <w:t>Takto zásadní změna ve fungování Banky si</w:t>
      </w:r>
      <w:r w:rsidR="00CD4A56" w:rsidRPr="001E7829">
        <w:rPr>
          <w:rFonts w:cs="Times New Roman"/>
        </w:rPr>
        <w:t xml:space="preserve"> vyžádá</w:t>
      </w:r>
      <w:r w:rsidR="00571334" w:rsidRPr="001E7829">
        <w:rPr>
          <w:rFonts w:cs="Times New Roman"/>
        </w:rPr>
        <w:t xml:space="preserve"> </w:t>
      </w:r>
      <w:r w:rsidR="00CD4A56" w:rsidRPr="001E7829">
        <w:rPr>
          <w:rFonts w:cs="Times New Roman"/>
        </w:rPr>
        <w:t xml:space="preserve">nový </w:t>
      </w:r>
      <w:r w:rsidR="00941A00" w:rsidRPr="001E7829">
        <w:rPr>
          <w:rFonts w:cs="Times New Roman"/>
        </w:rPr>
        <w:t>zákon o České národní bance</w:t>
      </w:r>
      <w:r w:rsidRPr="001E7829">
        <w:rPr>
          <w:rFonts w:cs="Times New Roman"/>
        </w:rPr>
        <w:t>.</w:t>
      </w:r>
      <w:r w:rsidR="00571334" w:rsidRPr="001E7829">
        <w:rPr>
          <w:rFonts w:cs="Times New Roman"/>
        </w:rPr>
        <w:t xml:space="preserve"> </w:t>
      </w:r>
      <w:r w:rsidR="00CD4A56" w:rsidRPr="001E7829">
        <w:rPr>
          <w:rFonts w:cs="Times New Roman"/>
        </w:rPr>
        <w:t>K prvnímu pokusu o jeho přijetí došlo již v roce 2009, kdy vláda předložila Poslanecké sněmovně svůj návrh. Sněmovna jej schválila a po vrácení Senátem s pozměňovacími návrhy setrvala na jeho původním znění. V květnu roku 2010 byl návrh předložen k podpisu prezidentu Václavu Klausovi</w:t>
      </w:r>
      <w:r w:rsidR="003164C7" w:rsidRPr="001E7829">
        <w:rPr>
          <w:rFonts w:cs="Times New Roman"/>
        </w:rPr>
        <w:t>,</w:t>
      </w:r>
      <w:r w:rsidR="00EA08D8" w:rsidRPr="001E7829">
        <w:rPr>
          <w:rStyle w:val="Znakapoznpodarou"/>
          <w:rFonts w:cs="Times New Roman"/>
        </w:rPr>
        <w:footnoteReference w:id="105"/>
      </w:r>
      <w:r w:rsidR="00CD4A56" w:rsidRPr="001E7829">
        <w:rPr>
          <w:rFonts w:cs="Times New Roman"/>
        </w:rPr>
        <w:t xml:space="preserve"> ten jej však nepodepsal s odůvodněním, že datum přijetí eura je dosud velmi nejisté a </w:t>
      </w:r>
      <w:proofErr w:type="spellStart"/>
      <w:r w:rsidR="00CD4A56" w:rsidRPr="001E7829">
        <w:rPr>
          <w:rFonts w:cs="Times New Roman"/>
        </w:rPr>
        <w:t>legisvaka</w:t>
      </w:r>
      <w:r w:rsidR="005275CE" w:rsidRPr="001E7829">
        <w:rPr>
          <w:rFonts w:cs="Times New Roman"/>
        </w:rPr>
        <w:t>n</w:t>
      </w:r>
      <w:r w:rsidR="00CD4A56" w:rsidRPr="001E7829">
        <w:rPr>
          <w:rFonts w:cs="Times New Roman"/>
        </w:rPr>
        <w:t>ční</w:t>
      </w:r>
      <w:proofErr w:type="spellEnd"/>
      <w:r w:rsidR="00CD4A56" w:rsidRPr="001E7829">
        <w:rPr>
          <w:rFonts w:cs="Times New Roman"/>
        </w:rPr>
        <w:t xml:space="preserve"> lhůta je tak vázána na podmínku, která nemusí nastat vůbec, anebo může nastat za odlišných okolností, které by odůvodnily změnu pohledu na podobu zákona.</w:t>
      </w:r>
      <w:r w:rsidR="00EA08D8" w:rsidRPr="001E7829">
        <w:rPr>
          <w:rStyle w:val="Znakapoznpodarou"/>
          <w:rFonts w:cs="Times New Roman"/>
        </w:rPr>
        <w:footnoteReference w:id="106"/>
      </w:r>
      <w:r w:rsidR="00571334" w:rsidRPr="001E7829">
        <w:rPr>
          <w:rFonts w:cs="Times New Roman"/>
        </w:rPr>
        <w:t xml:space="preserve"> </w:t>
      </w:r>
      <w:r w:rsidR="005275CE" w:rsidRPr="001E7829">
        <w:rPr>
          <w:rFonts w:cs="Times New Roman"/>
        </w:rPr>
        <w:t xml:space="preserve">Snahy o přijetí nového </w:t>
      </w:r>
      <w:r w:rsidR="00941A00" w:rsidRPr="001E7829">
        <w:rPr>
          <w:rFonts w:cs="Times New Roman"/>
        </w:rPr>
        <w:t>zákona</w:t>
      </w:r>
      <w:r w:rsidR="005275CE" w:rsidRPr="001E7829">
        <w:rPr>
          <w:rFonts w:cs="Times New Roman"/>
        </w:rPr>
        <w:t xml:space="preserve"> tímto momentem, alespoň prozatím, ustaly.</w:t>
      </w:r>
    </w:p>
    <w:p w:rsidR="00944CBA" w:rsidRPr="001E7829" w:rsidRDefault="00944CBA" w:rsidP="00944CBA">
      <w:pPr>
        <w:pStyle w:val="21"/>
        <w:rPr>
          <w:rFonts w:cs="Times New Roman"/>
        </w:rPr>
      </w:pPr>
      <w:bookmarkStart w:id="48" w:name="_Toc444083235"/>
      <w:bookmarkStart w:id="49" w:name="_Toc444516064"/>
      <w:bookmarkStart w:id="50" w:name="_Toc446604208"/>
      <w:r w:rsidRPr="001E7829">
        <w:rPr>
          <w:rFonts w:cs="Times New Roman"/>
        </w:rPr>
        <w:lastRenderedPageBreak/>
        <w:t>Hodnocení právní úpravy</w:t>
      </w:r>
      <w:bookmarkEnd w:id="48"/>
      <w:bookmarkEnd w:id="49"/>
      <w:bookmarkEnd w:id="50"/>
    </w:p>
    <w:p w:rsidR="00644FEE" w:rsidRPr="001E7829" w:rsidRDefault="00FF0D4E" w:rsidP="00B40EB7">
      <w:pPr>
        <w:pStyle w:val="Prvn"/>
        <w:rPr>
          <w:rFonts w:cs="Times New Roman"/>
        </w:rPr>
      </w:pPr>
      <w:r w:rsidRPr="001E7829">
        <w:rPr>
          <w:rFonts w:cs="Times New Roman"/>
        </w:rPr>
        <w:t xml:space="preserve">Přes kritiku institucí EU ohledně některých ustanovení </w:t>
      </w:r>
      <w:r w:rsidR="00941A00" w:rsidRPr="001E7829">
        <w:rPr>
          <w:rFonts w:cs="Times New Roman"/>
        </w:rPr>
        <w:t>ZČNB</w:t>
      </w:r>
      <w:r w:rsidRPr="001E7829">
        <w:rPr>
          <w:rFonts w:cs="Times New Roman"/>
        </w:rPr>
        <w:t xml:space="preserve"> poskyt</w:t>
      </w:r>
      <w:r w:rsidR="001C4344" w:rsidRPr="001E7829">
        <w:rPr>
          <w:rFonts w:cs="Times New Roman"/>
        </w:rPr>
        <w:t>uje dle mého názoru česká legislativa ČNB vysoký</w:t>
      </w:r>
      <w:r w:rsidRPr="001E7829">
        <w:rPr>
          <w:rFonts w:cs="Times New Roman"/>
        </w:rPr>
        <w:t xml:space="preserve"> stupeň nezávislosti v provádění měnové politiky. V některých případech byla dokonce v zájmu posílení nezávislosti vložena do </w:t>
      </w:r>
      <w:r w:rsidR="00941A00" w:rsidRPr="001E7829">
        <w:rPr>
          <w:rFonts w:cs="Times New Roman"/>
        </w:rPr>
        <w:t>ZČNB</w:t>
      </w:r>
      <w:r w:rsidRPr="001E7829">
        <w:rPr>
          <w:rFonts w:cs="Times New Roman"/>
        </w:rPr>
        <w:t xml:space="preserve"> ustanovení pocházející z primárního evropského práva, která vzhledem k přímému účinku tohoto druhu norem na subjekty uvnitř jednotlivých států</w:t>
      </w:r>
      <w:r w:rsidR="00E242A4" w:rsidRPr="001E7829">
        <w:rPr>
          <w:rFonts w:cs="Times New Roman"/>
        </w:rPr>
        <w:t xml:space="preserve"> vnitrostátní provedení nevyžaduj</w:t>
      </w:r>
      <w:r w:rsidR="00543116" w:rsidRPr="001E7829">
        <w:rPr>
          <w:rFonts w:cs="Times New Roman"/>
        </w:rPr>
        <w:t>í. Konkrétně se jedná např. o § </w:t>
      </w:r>
      <w:r w:rsidR="00E242A4" w:rsidRPr="001E7829">
        <w:rPr>
          <w:rFonts w:cs="Times New Roman"/>
        </w:rPr>
        <w:t>9 odst. 1, který je adaptací článku 130 SFEU.</w:t>
      </w:r>
      <w:r w:rsidR="00E242A4" w:rsidRPr="001E7829">
        <w:rPr>
          <w:rStyle w:val="Znakapoznpodarou"/>
          <w:rFonts w:cs="Times New Roman"/>
        </w:rPr>
        <w:footnoteReference w:id="107"/>
      </w:r>
      <w:r w:rsidR="00571334" w:rsidRPr="001E7829">
        <w:rPr>
          <w:rFonts w:cs="Times New Roman"/>
        </w:rPr>
        <w:t xml:space="preserve"> </w:t>
      </w:r>
      <w:r w:rsidR="00E242A4" w:rsidRPr="001E7829">
        <w:rPr>
          <w:rFonts w:cs="Times New Roman"/>
        </w:rPr>
        <w:t>Pozitivní je rovněž ukotvení nezávislosti ČNB jak na zákonné, tak na ústavní úrovni</w:t>
      </w:r>
      <w:r w:rsidR="009F38C2" w:rsidRPr="001E7829">
        <w:rPr>
          <w:rFonts w:cs="Times New Roman"/>
        </w:rPr>
        <w:t>. Význam samostatnosti centrální banky vyjádřil ve své rozhodovací činnosti také Ústavní soud, když zdůraznil, že postavení ČNB má svůj původ v teorii dělby moci a poukázal na historickou zkušenost oslabování demokracie v důsledku měnových manipulací ze strany vlády.</w:t>
      </w:r>
      <w:r w:rsidR="009F38C2" w:rsidRPr="001E7829">
        <w:rPr>
          <w:rStyle w:val="Znakapoznpodarou"/>
          <w:rFonts w:cs="Times New Roman"/>
        </w:rPr>
        <w:footnoteReference w:id="108"/>
      </w:r>
    </w:p>
    <w:p w:rsidR="002D519B" w:rsidRPr="001E7829" w:rsidRDefault="00644FEE" w:rsidP="00644FEE">
      <w:pPr>
        <w:pStyle w:val="Druh"/>
        <w:rPr>
          <w:rFonts w:cs="Times New Roman"/>
        </w:rPr>
      </w:pPr>
      <w:r w:rsidRPr="001E7829">
        <w:rPr>
          <w:rFonts w:cs="Times New Roman"/>
        </w:rPr>
        <w:t>Záruky nezávislosti v české úpravě přitom nejsou na úkor transparentnosti</w:t>
      </w:r>
      <w:r w:rsidR="008D0302" w:rsidRPr="001E7829">
        <w:rPr>
          <w:rFonts w:cs="Times New Roman"/>
        </w:rPr>
        <w:t>, která výraznou měrou přispívá k efektivitě měnové politiky</w:t>
      </w:r>
      <w:r w:rsidRPr="001E7829">
        <w:rPr>
          <w:rFonts w:cs="Times New Roman"/>
        </w:rPr>
        <w:t xml:space="preserve">. </w:t>
      </w:r>
      <w:r w:rsidR="008D0302" w:rsidRPr="001E7829">
        <w:rPr>
          <w:rFonts w:cs="Times New Roman"/>
        </w:rPr>
        <w:t xml:space="preserve">Tato oblast prošla od počátku existence Banky výrazným vývojem směrem k otevřenosti a efektivní komunikaci jejích rozhodnutí, a v roce 2015 byla ČNB dokonce za své úsilí oceněna </w:t>
      </w:r>
      <w:r w:rsidR="008D0302" w:rsidRPr="001E7829">
        <w:rPr>
          <w:rFonts w:cs="Times New Roman"/>
          <w:lang w:val="en-US"/>
        </w:rPr>
        <w:t>Central</w:t>
      </w:r>
      <w:r w:rsidR="00571334" w:rsidRPr="001E7829">
        <w:rPr>
          <w:rFonts w:cs="Times New Roman"/>
          <w:lang w:val="en-US"/>
        </w:rPr>
        <w:t xml:space="preserve"> </w:t>
      </w:r>
      <w:r w:rsidR="008D0302" w:rsidRPr="001E7829">
        <w:rPr>
          <w:rFonts w:cs="Times New Roman"/>
          <w:lang w:val="en-US"/>
        </w:rPr>
        <w:t>Banking</w:t>
      </w:r>
      <w:r w:rsidR="00571334" w:rsidRPr="001E7829">
        <w:rPr>
          <w:rFonts w:cs="Times New Roman"/>
          <w:lang w:val="en-US"/>
        </w:rPr>
        <w:t xml:space="preserve"> </w:t>
      </w:r>
      <w:r w:rsidR="008D0302" w:rsidRPr="001E7829">
        <w:rPr>
          <w:rFonts w:cs="Times New Roman"/>
          <w:lang w:val="en-US"/>
        </w:rPr>
        <w:t>Transparency</w:t>
      </w:r>
      <w:r w:rsidR="00571334" w:rsidRPr="001E7829">
        <w:rPr>
          <w:rFonts w:cs="Times New Roman"/>
          <w:lang w:val="en-US"/>
        </w:rPr>
        <w:t xml:space="preserve"> </w:t>
      </w:r>
      <w:r w:rsidR="008D0302" w:rsidRPr="001E7829">
        <w:rPr>
          <w:rFonts w:cs="Times New Roman"/>
          <w:lang w:val="en-US"/>
        </w:rPr>
        <w:t>Award</w:t>
      </w:r>
      <w:r w:rsidR="008D0302" w:rsidRPr="001E7829">
        <w:rPr>
          <w:rFonts w:cs="Times New Roman"/>
        </w:rPr>
        <w:t>.</w:t>
      </w:r>
      <w:r w:rsidR="008D0302" w:rsidRPr="001E7829">
        <w:rPr>
          <w:rStyle w:val="Znakapoznpodarou"/>
          <w:rFonts w:cs="Times New Roman"/>
        </w:rPr>
        <w:footnoteReference w:id="109"/>
      </w:r>
      <w:r w:rsidR="008D0302" w:rsidRPr="001E7829">
        <w:rPr>
          <w:rFonts w:cs="Times New Roman"/>
        </w:rPr>
        <w:t xml:space="preserve"> Výrazně pozitivně lze vnímat </w:t>
      </w:r>
      <w:r w:rsidR="00543116" w:rsidRPr="001E7829">
        <w:rPr>
          <w:rFonts w:cs="Times New Roman"/>
        </w:rPr>
        <w:t>zejména proměnu Zpráv o inflaci</w:t>
      </w:r>
      <w:r w:rsidR="00616B86" w:rsidRPr="001E7829">
        <w:rPr>
          <w:rFonts w:cs="Times New Roman"/>
        </w:rPr>
        <w:t xml:space="preserve"> a dalších publ</w:t>
      </w:r>
      <w:r w:rsidR="00543116" w:rsidRPr="001E7829">
        <w:rPr>
          <w:rFonts w:cs="Times New Roman"/>
        </w:rPr>
        <w:t>ikací pravidelně vydávaných ČNB</w:t>
      </w:r>
      <w:r w:rsidR="00616B86" w:rsidRPr="001E7829">
        <w:rPr>
          <w:rFonts w:cs="Times New Roman"/>
        </w:rPr>
        <w:t xml:space="preserve"> směrem k v</w:t>
      </w:r>
      <w:r w:rsidR="00543116" w:rsidRPr="001E7829">
        <w:rPr>
          <w:rFonts w:cs="Times New Roman"/>
        </w:rPr>
        <w:t>ě</w:t>
      </w:r>
      <w:r w:rsidR="00616B86" w:rsidRPr="001E7829">
        <w:rPr>
          <w:rFonts w:cs="Times New Roman"/>
        </w:rPr>
        <w:t>tší srozumitelnosti pro veřejnost. Zvýšení transparentnosti souviselo rovněž do určité míry s přechodem k režimu cílování inflace, a tudíž k veřejnému vyhlašování inflačních cílů. Dále lze uvést např. zavedení jmenovitého hlasování členů bankovní rady</w:t>
      </w:r>
      <w:r w:rsidR="00616B86" w:rsidRPr="001E7829">
        <w:rPr>
          <w:rStyle w:val="Znakapoznpodarou"/>
          <w:rFonts w:cs="Times New Roman"/>
        </w:rPr>
        <w:footnoteReference w:id="110"/>
      </w:r>
      <w:r w:rsidR="00616B86" w:rsidRPr="001E7829">
        <w:rPr>
          <w:rFonts w:cs="Times New Roman"/>
        </w:rPr>
        <w:t xml:space="preserve"> nebo snahy Banky o prezentaci měnově-politických rozhodnutí prostřednictvím přednášek, sociálních sítí, blogů a dalšími prostředky.</w:t>
      </w:r>
      <w:r w:rsidR="00616B86" w:rsidRPr="001E7829">
        <w:rPr>
          <w:rStyle w:val="Znakapoznpodarou"/>
          <w:rFonts w:cs="Times New Roman"/>
        </w:rPr>
        <w:footnoteReference w:id="111"/>
      </w:r>
    </w:p>
    <w:p w:rsidR="00AD382B" w:rsidRPr="001E7829" w:rsidRDefault="00616B86" w:rsidP="00644FEE">
      <w:pPr>
        <w:pStyle w:val="Druh"/>
        <w:rPr>
          <w:rFonts w:cs="Times New Roman"/>
        </w:rPr>
      </w:pPr>
      <w:r w:rsidRPr="001E7829">
        <w:rPr>
          <w:rFonts w:cs="Times New Roman"/>
        </w:rPr>
        <w:lastRenderedPageBreak/>
        <w:t>Určité nedostatky spatřuji v</w:t>
      </w:r>
      <w:r w:rsidR="008A6840" w:rsidRPr="001E7829">
        <w:rPr>
          <w:rFonts w:cs="Times New Roman"/>
        </w:rPr>
        <w:t> tom, že v </w:t>
      </w:r>
      <w:r w:rsidR="00941A00" w:rsidRPr="001E7829">
        <w:rPr>
          <w:rFonts w:cs="Times New Roman"/>
        </w:rPr>
        <w:t>ZČNB</w:t>
      </w:r>
      <w:r w:rsidR="008A6840" w:rsidRPr="001E7829">
        <w:rPr>
          <w:rFonts w:cs="Times New Roman"/>
        </w:rPr>
        <w:t xml:space="preserve"> chybí ustanovení</w:t>
      </w:r>
      <w:r w:rsidRPr="001E7829">
        <w:rPr>
          <w:rFonts w:cs="Times New Roman"/>
        </w:rPr>
        <w:t xml:space="preserve"> o odpovědnosti</w:t>
      </w:r>
      <w:r w:rsidR="008A6840" w:rsidRPr="001E7829">
        <w:rPr>
          <w:rFonts w:cs="Times New Roman"/>
        </w:rPr>
        <w:t xml:space="preserve"> a možnosti kárného postihu členů bankovní rady. Jak bylo uvedeno výše, centrální banka musí při provádění svých politik respektovat určitá pravidla</w:t>
      </w:r>
      <w:r w:rsidR="00AB2965" w:rsidRPr="001E7829">
        <w:rPr>
          <w:rFonts w:cs="Times New Roman"/>
        </w:rPr>
        <w:t xml:space="preserve">. Z jejich porušení by měla plynout odpovědnost v takovém rozsahu, aby zajistila </w:t>
      </w:r>
      <w:proofErr w:type="spellStart"/>
      <w:r w:rsidR="00AB2965" w:rsidRPr="001E7829">
        <w:rPr>
          <w:rFonts w:cs="Times New Roman"/>
        </w:rPr>
        <w:t>vykazatelnost</w:t>
      </w:r>
      <w:proofErr w:type="spellEnd"/>
      <w:r w:rsidR="00AB2965" w:rsidRPr="001E7829">
        <w:rPr>
          <w:rFonts w:cs="Times New Roman"/>
        </w:rPr>
        <w:t xml:space="preserve"> členů bankovní rady vůči společnosti, zároveň však nesmí dojít k ohrožení nezávislosti.</w:t>
      </w:r>
      <w:r w:rsidR="008A6840" w:rsidRPr="001E7829">
        <w:rPr>
          <w:rFonts w:cs="Times New Roman"/>
        </w:rPr>
        <w:t xml:space="preserve"> Z ustanovení </w:t>
      </w:r>
      <w:r w:rsidR="00941A00" w:rsidRPr="001E7829">
        <w:rPr>
          <w:rFonts w:cs="Times New Roman"/>
        </w:rPr>
        <w:t>ZČNB</w:t>
      </w:r>
      <w:r w:rsidR="008A6840" w:rsidRPr="001E7829">
        <w:rPr>
          <w:rFonts w:cs="Times New Roman"/>
        </w:rPr>
        <w:t xml:space="preserve"> je </w:t>
      </w:r>
      <w:r w:rsidR="00AB2965" w:rsidRPr="001E7829">
        <w:rPr>
          <w:rFonts w:cs="Times New Roman"/>
        </w:rPr>
        <w:t>pro tento účel</w:t>
      </w:r>
      <w:r w:rsidR="008A6840" w:rsidRPr="001E7829">
        <w:rPr>
          <w:rFonts w:cs="Times New Roman"/>
        </w:rPr>
        <w:t xml:space="preserve"> možné využít § 6 odst. 10, který mimo jiné hovoří o možnosti odvolání člena bankovní rady v případě, že se dopustí vážného pochybení. Vzhledem k použití obecného pojmu </w:t>
      </w:r>
      <w:r w:rsidR="008A6840" w:rsidRPr="001E7829">
        <w:rPr>
          <w:rFonts w:cs="Times New Roman"/>
          <w:i/>
        </w:rPr>
        <w:t>vážné pochybení</w:t>
      </w:r>
      <w:r w:rsidR="008A6840" w:rsidRPr="001E7829">
        <w:rPr>
          <w:rFonts w:cs="Times New Roman"/>
        </w:rPr>
        <w:t xml:space="preserve"> ale není podle mého názoru zcela jednoznačné, kdy je možné k tomuto řešení přistoupit</w:t>
      </w:r>
      <w:r w:rsidR="001C4344" w:rsidRPr="001E7829">
        <w:rPr>
          <w:rFonts w:cs="Times New Roman"/>
        </w:rPr>
        <w:t xml:space="preserve"> a nelze tedy vyloučit ani arbitrární odvolání členů bankovní rady s negativními důsledky pro nezávislost</w:t>
      </w:r>
      <w:r w:rsidR="008A6840" w:rsidRPr="001E7829">
        <w:rPr>
          <w:rFonts w:cs="Times New Roman"/>
        </w:rPr>
        <w:t xml:space="preserve">. </w:t>
      </w:r>
      <w:r w:rsidR="00025D0A" w:rsidRPr="001E7829">
        <w:rPr>
          <w:rFonts w:cs="Times New Roman"/>
        </w:rPr>
        <w:t>Cest</w:t>
      </w:r>
      <w:r w:rsidR="00AB2965" w:rsidRPr="001E7829">
        <w:rPr>
          <w:rFonts w:cs="Times New Roman"/>
        </w:rPr>
        <w:t>o</w:t>
      </w:r>
      <w:r w:rsidR="00025D0A" w:rsidRPr="001E7829">
        <w:rPr>
          <w:rFonts w:cs="Times New Roman"/>
        </w:rPr>
        <w:t xml:space="preserve">u k lepší interpretaci obsahu ustanovení by bylo doplnit je o demonstrativní výčet takovýchto pochybení. V opačném případě bude muset být obsah naplněn zřejmě až případnými opravnými prostředky proti </w:t>
      </w:r>
      <w:r w:rsidR="00F76AE3" w:rsidRPr="001E7829">
        <w:rPr>
          <w:rFonts w:cs="Times New Roman"/>
        </w:rPr>
        <w:t>odvoláním členů bankovní rady</w:t>
      </w:r>
      <w:r w:rsidR="00025D0A" w:rsidRPr="001E7829">
        <w:rPr>
          <w:rFonts w:cs="Times New Roman"/>
        </w:rPr>
        <w:t>. Další možností individuálního postihu je pak trestněprávní rovina.</w:t>
      </w:r>
      <w:r w:rsidR="00025D0A" w:rsidRPr="001E7829">
        <w:rPr>
          <w:rStyle w:val="Znakapoznpodarou"/>
          <w:rFonts w:cs="Times New Roman"/>
        </w:rPr>
        <w:footnoteReference w:id="112"/>
      </w:r>
      <w:r w:rsidR="00571334" w:rsidRPr="001E7829">
        <w:rPr>
          <w:rFonts w:cs="Times New Roman"/>
        </w:rPr>
        <w:t xml:space="preserve"> </w:t>
      </w:r>
      <w:r w:rsidR="00D97CC9" w:rsidRPr="001E7829">
        <w:rPr>
          <w:rFonts w:cs="Times New Roman"/>
        </w:rPr>
        <w:t xml:space="preserve">V praxi si lze představit např. odpovědnost za trestný čin zneužití pravomoci úřední osoby podle § 329 </w:t>
      </w:r>
      <w:r w:rsidR="00AD382B" w:rsidRPr="001E7829">
        <w:rPr>
          <w:rFonts w:cs="Times New Roman"/>
        </w:rPr>
        <w:t>zákona č. 40/2009 Sb., trestní zákoník, ve znění pozdějších předpisů.</w:t>
      </w:r>
    </w:p>
    <w:p w:rsidR="00AD382B" w:rsidRPr="001E7829" w:rsidRDefault="00AD382B" w:rsidP="00644FEE">
      <w:pPr>
        <w:pStyle w:val="Druh"/>
        <w:rPr>
          <w:rFonts w:cs="Times New Roman"/>
        </w:rPr>
      </w:pPr>
      <w:r w:rsidRPr="001E7829">
        <w:rPr>
          <w:rFonts w:cs="Times New Roman"/>
        </w:rPr>
        <w:t>Úpravu samotné monetární politiky a jejích nástrojů považuji za spíše strohou, dotýkající se pouze nejobecnější roviny problematiky. Takové pojetí však ponechává větší prostor normotvorné činnosti samotné centrální banky, což umožňuje větší flexibilitu, která je důležitá zejména pro konkrétní podobu jednotlivých nástrojů.</w:t>
      </w:r>
      <w:r w:rsidR="0043399C" w:rsidRPr="001E7829">
        <w:rPr>
          <w:rFonts w:cs="Times New Roman"/>
        </w:rPr>
        <w:t xml:space="preserve"> </w:t>
      </w:r>
      <w:r w:rsidRPr="001E7829">
        <w:rPr>
          <w:rFonts w:cs="Times New Roman"/>
        </w:rPr>
        <w:t>Zde tedy zásadní problém nespatřuji.</w:t>
      </w:r>
    </w:p>
    <w:p w:rsidR="00616B86" w:rsidRPr="001E7829" w:rsidRDefault="00AD382B" w:rsidP="00644FEE">
      <w:pPr>
        <w:pStyle w:val="Druh"/>
        <w:rPr>
          <w:rFonts w:cs="Times New Roman"/>
        </w:rPr>
      </w:pPr>
      <w:r w:rsidRPr="001E7829">
        <w:rPr>
          <w:rFonts w:cs="Times New Roman"/>
        </w:rPr>
        <w:t xml:space="preserve">V souhrnu hodnotím českou úpravu jako dostatečně kvalitní, aby poskytovala základ pro efektivní monetární politiku centrální banky. Přitom </w:t>
      </w:r>
      <w:r w:rsidR="00697C80" w:rsidRPr="001E7829">
        <w:rPr>
          <w:rFonts w:cs="Times New Roman"/>
        </w:rPr>
        <w:t>tato kvalita v průběhu času rostla, a to především díky nutnosti adaptace na standardy požadované právem EU. Zlepšovala se rovněž praxe ČNB v některých konkrétních otázkách souvisejících s měnovou politikou – zejména v oblasti komunikace a transparentnosti.</w:t>
      </w:r>
      <w:r w:rsidR="001C4344" w:rsidRPr="001E7829">
        <w:rPr>
          <w:rFonts w:cs="Times New Roman"/>
        </w:rPr>
        <w:t xml:space="preserve"> Aby však mohla být měnová politika skutečně nezávislá, a tudíž i efektivní, je nezbytné vyvarovat se politického tlaku na </w:t>
      </w:r>
      <w:r w:rsidR="001C4344" w:rsidRPr="001E7829">
        <w:rPr>
          <w:rFonts w:cs="Times New Roman"/>
        </w:rPr>
        <w:lastRenderedPageBreak/>
        <w:t xml:space="preserve">rozhodování a dalších faktických zásahů do samostatnosti ČNB. Pro ústavně zaručenou svobodu slova není samozřejmě možné ani žádoucí </w:t>
      </w:r>
      <w:r w:rsidR="00543116" w:rsidRPr="001E7829">
        <w:rPr>
          <w:rFonts w:cs="Times New Roman"/>
        </w:rPr>
        <w:t xml:space="preserve">kritiku centrální banky </w:t>
      </w:r>
      <w:r w:rsidR="00543116" w:rsidRPr="001E7829">
        <w:rPr>
          <w:rFonts w:cs="Times New Roman"/>
          <w:i/>
        </w:rPr>
        <w:t>a priori</w:t>
      </w:r>
      <w:r w:rsidR="00543116" w:rsidRPr="001E7829">
        <w:rPr>
          <w:rFonts w:cs="Times New Roman"/>
        </w:rPr>
        <w:t xml:space="preserve"> vyloučit, každé takové ohrožení nezávislosti tedy bude muset být posuzováno samostatně a v rámci svého kontextu. Cestu k nápravě pak vidím spíše v rámci odborného diskursu, než ve změně právní úpravy.</w:t>
      </w:r>
    </w:p>
    <w:p w:rsidR="00A47C67" w:rsidRPr="001E7829" w:rsidRDefault="00A47C67" w:rsidP="00A47C67">
      <w:pPr>
        <w:pStyle w:val="1"/>
        <w:rPr>
          <w:rFonts w:cs="Times New Roman"/>
        </w:rPr>
      </w:pPr>
      <w:bookmarkStart w:id="51" w:name="_Toc444516065"/>
      <w:bookmarkStart w:id="52" w:name="_Toc446604209"/>
      <w:r w:rsidRPr="001E7829">
        <w:rPr>
          <w:rFonts w:cs="Times New Roman"/>
        </w:rPr>
        <w:lastRenderedPageBreak/>
        <w:t>Monetární politika ČNB</w:t>
      </w:r>
      <w:r w:rsidR="00150EEB" w:rsidRPr="001E7829">
        <w:rPr>
          <w:rFonts w:cs="Times New Roman"/>
        </w:rPr>
        <w:t xml:space="preserve"> v</w:t>
      </w:r>
      <w:r w:rsidRPr="001E7829">
        <w:rPr>
          <w:rFonts w:cs="Times New Roman"/>
        </w:rPr>
        <w:t xml:space="preserve"> praxi</w:t>
      </w:r>
      <w:bookmarkEnd w:id="51"/>
      <w:bookmarkEnd w:id="52"/>
    </w:p>
    <w:p w:rsidR="00B60C4F" w:rsidRPr="001E7829" w:rsidRDefault="00B60C4F" w:rsidP="00B60C4F">
      <w:pPr>
        <w:pStyle w:val="31"/>
        <w:rPr>
          <w:rFonts w:cs="Times New Roman"/>
        </w:rPr>
      </w:pPr>
      <w:bookmarkStart w:id="53" w:name="_Toc444516066"/>
      <w:bookmarkStart w:id="54" w:name="_Toc446604210"/>
      <w:r w:rsidRPr="001E7829">
        <w:rPr>
          <w:rFonts w:cs="Times New Roman"/>
        </w:rPr>
        <w:t>Vývoj monetární politiky ČNB</w:t>
      </w:r>
      <w:bookmarkEnd w:id="53"/>
      <w:bookmarkEnd w:id="54"/>
    </w:p>
    <w:p w:rsidR="00B60C4F" w:rsidRPr="001E7829" w:rsidRDefault="00B60C4F" w:rsidP="00B40EB7">
      <w:pPr>
        <w:pStyle w:val="Prvn"/>
        <w:rPr>
          <w:rFonts w:cs="Times New Roman"/>
        </w:rPr>
      </w:pPr>
      <w:r w:rsidRPr="001E7829">
        <w:rPr>
          <w:rFonts w:cs="Times New Roman"/>
        </w:rPr>
        <w:t xml:space="preserve">V této části práce </w:t>
      </w:r>
      <w:r w:rsidR="005170B2" w:rsidRPr="001E7829">
        <w:rPr>
          <w:rFonts w:cs="Times New Roman"/>
        </w:rPr>
        <w:t>se zaměřuji</w:t>
      </w:r>
      <w:r w:rsidRPr="001E7829">
        <w:rPr>
          <w:rFonts w:cs="Times New Roman"/>
        </w:rPr>
        <w:t xml:space="preserve"> na konkrétní podobu monetární politiky ČNB od jejích počátk</w:t>
      </w:r>
      <w:r w:rsidR="00CA779C" w:rsidRPr="001E7829">
        <w:rPr>
          <w:rFonts w:cs="Times New Roman"/>
        </w:rPr>
        <w:t>ů</w:t>
      </w:r>
      <w:r w:rsidRPr="001E7829">
        <w:rPr>
          <w:rFonts w:cs="Times New Roman"/>
        </w:rPr>
        <w:t xml:space="preserve"> až po současnost</w:t>
      </w:r>
      <w:r w:rsidR="00CA779C" w:rsidRPr="001E7829">
        <w:rPr>
          <w:rFonts w:cs="Times New Roman"/>
        </w:rPr>
        <w:t>. Pro přehlednost člením celé více než dvacetileté období od vzniku ČNB do tří dílčích subkapitol odpovídajících nejvýznamnějším etapám vývoje monetární politiky v</w:t>
      </w:r>
      <w:r w:rsidR="0043399C" w:rsidRPr="001E7829">
        <w:rPr>
          <w:rFonts w:cs="Times New Roman"/>
        </w:rPr>
        <w:t> </w:t>
      </w:r>
      <w:r w:rsidR="00CA779C" w:rsidRPr="001E7829">
        <w:rPr>
          <w:rFonts w:cs="Times New Roman"/>
        </w:rPr>
        <w:t>ČR</w:t>
      </w:r>
      <w:r w:rsidR="0043399C" w:rsidRPr="001E7829">
        <w:rPr>
          <w:rFonts w:cs="Times New Roman"/>
        </w:rPr>
        <w:t xml:space="preserve"> </w:t>
      </w:r>
      <w:r w:rsidR="00CA779C" w:rsidRPr="001E7829">
        <w:rPr>
          <w:rFonts w:cs="Times New Roman"/>
        </w:rPr>
        <w:t>– etapě cílování peněžní zásoby, etapě cílování čisté inflace a konečně etapě cílování celkové inflace.</w:t>
      </w:r>
    </w:p>
    <w:p w:rsidR="00CA779C" w:rsidRPr="001E7829" w:rsidRDefault="00CA779C" w:rsidP="00BD1081">
      <w:pPr>
        <w:pStyle w:val="411"/>
        <w:rPr>
          <w:rFonts w:cs="Times New Roman"/>
        </w:rPr>
      </w:pPr>
      <w:bookmarkStart w:id="55" w:name="_Toc444083236"/>
      <w:bookmarkStart w:id="56" w:name="_Toc444516067"/>
      <w:bookmarkStart w:id="57" w:name="_Toc446604211"/>
      <w:r w:rsidRPr="001E7829">
        <w:rPr>
          <w:rFonts w:cs="Times New Roman"/>
        </w:rPr>
        <w:t>Etapa cílování peněžní zásoby</w:t>
      </w:r>
      <w:r w:rsidR="002166E4" w:rsidRPr="001E7829">
        <w:rPr>
          <w:rFonts w:cs="Times New Roman"/>
        </w:rPr>
        <w:t xml:space="preserve"> (1993 – 1997)</w:t>
      </w:r>
      <w:bookmarkEnd w:id="55"/>
      <w:bookmarkEnd w:id="56"/>
      <w:bookmarkEnd w:id="57"/>
    </w:p>
    <w:p w:rsidR="00CA779C" w:rsidRPr="001E7829" w:rsidRDefault="00F97909" w:rsidP="00B40EB7">
      <w:pPr>
        <w:pStyle w:val="Prvn"/>
        <w:rPr>
          <w:rFonts w:cs="Times New Roman"/>
        </w:rPr>
      </w:pPr>
      <w:r w:rsidRPr="001E7829">
        <w:rPr>
          <w:rFonts w:cs="Times New Roman"/>
        </w:rPr>
        <w:t>N</w:t>
      </w:r>
      <w:r w:rsidR="00201631" w:rsidRPr="001E7829">
        <w:rPr>
          <w:rFonts w:cs="Times New Roman"/>
        </w:rPr>
        <w:t>a kroky ČNB na poli monetární politiky v několika prvních letech po jejím vzniku v roce 1993 nemůže být nahlíženo bez nastínění ekonomického, politického a společenského kontextu, který byl dědictvím let těsně následujících změně politického režimu a ekonomického systému v ČR. Tento exkurz je tedy nutno zahájit již před samotným vznikem ČNB.</w:t>
      </w:r>
    </w:p>
    <w:p w:rsidR="0002071D" w:rsidRPr="001E7829" w:rsidRDefault="00280C82" w:rsidP="000756F7">
      <w:pPr>
        <w:pStyle w:val="Druh"/>
        <w:rPr>
          <w:rFonts w:cs="Times New Roman"/>
        </w:rPr>
      </w:pPr>
      <w:r w:rsidRPr="001E7829">
        <w:rPr>
          <w:rFonts w:cs="Times New Roman"/>
        </w:rPr>
        <w:t xml:space="preserve">Předchůdcem ČNB v roli centrální banky byla </w:t>
      </w:r>
      <w:r w:rsidR="00941A00" w:rsidRPr="001E7829">
        <w:rPr>
          <w:rFonts w:cs="Times New Roman"/>
        </w:rPr>
        <w:t>SBČS</w:t>
      </w:r>
      <w:r w:rsidR="006263BD" w:rsidRPr="001E7829">
        <w:rPr>
          <w:rFonts w:cs="Times New Roman"/>
        </w:rPr>
        <w:t>, zřízená zákonem č. 130/1989 Sb., o Státní bance československé</w:t>
      </w:r>
      <w:r w:rsidR="00C65571" w:rsidRPr="001E7829">
        <w:rPr>
          <w:rFonts w:cs="Times New Roman"/>
        </w:rPr>
        <w:t>.</w:t>
      </w:r>
      <w:r w:rsidR="006263BD" w:rsidRPr="001E7829">
        <w:rPr>
          <w:rStyle w:val="Znakapoznpodarou"/>
          <w:rFonts w:cs="Times New Roman"/>
        </w:rPr>
        <w:footnoteReference w:id="113"/>
      </w:r>
      <w:r w:rsidRPr="001E7829">
        <w:rPr>
          <w:rFonts w:cs="Times New Roman"/>
        </w:rPr>
        <w:t xml:space="preserve"> Ta se během své existence v období federa</w:t>
      </w:r>
      <w:r w:rsidR="007A08FD" w:rsidRPr="001E7829">
        <w:rPr>
          <w:rFonts w:cs="Times New Roman"/>
        </w:rPr>
        <w:t>ce mezi lety 1989 a 1992 musela</w:t>
      </w:r>
      <w:r w:rsidRPr="001E7829">
        <w:rPr>
          <w:rFonts w:cs="Times New Roman"/>
        </w:rPr>
        <w:t xml:space="preserve"> vypořádat zejména </w:t>
      </w:r>
      <w:r w:rsidR="007A08FD" w:rsidRPr="001E7829">
        <w:rPr>
          <w:rFonts w:cs="Times New Roman"/>
        </w:rPr>
        <w:t>s prováděním strukturálních změn v ekonomice, které se po změně o</w:t>
      </w:r>
      <w:r w:rsidR="005170B2" w:rsidRPr="001E7829">
        <w:rPr>
          <w:rFonts w:cs="Times New Roman"/>
        </w:rPr>
        <w:t>rientace zahraničního obchodu</w:t>
      </w:r>
      <w:r w:rsidR="007A08FD" w:rsidRPr="001E7829">
        <w:rPr>
          <w:rFonts w:cs="Times New Roman"/>
        </w:rPr>
        <w:t xml:space="preserve"> ze států rozpadající se Rady vzájemné ho</w:t>
      </w:r>
      <w:r w:rsidR="00F97909" w:rsidRPr="001E7829">
        <w:rPr>
          <w:rFonts w:cs="Times New Roman"/>
        </w:rPr>
        <w:t>spodářské pomoci na vyspělé země</w:t>
      </w:r>
      <w:r w:rsidR="007A08FD" w:rsidRPr="001E7829">
        <w:rPr>
          <w:rFonts w:cs="Times New Roman"/>
        </w:rPr>
        <w:t xml:space="preserve"> západního světa ukázaly jako nezbytné. Počátky tohoto procesu však byly pro česko</w:t>
      </w:r>
      <w:r w:rsidR="005170B2" w:rsidRPr="001E7829">
        <w:rPr>
          <w:rFonts w:cs="Times New Roman"/>
        </w:rPr>
        <w:t>slovenskou</w:t>
      </w:r>
      <w:r w:rsidR="007A08FD" w:rsidRPr="001E7829">
        <w:rPr>
          <w:rFonts w:cs="Times New Roman"/>
        </w:rPr>
        <w:t xml:space="preserve"> ekono</w:t>
      </w:r>
      <w:r w:rsidR="00F97909" w:rsidRPr="001E7829">
        <w:rPr>
          <w:rFonts w:cs="Times New Roman"/>
        </w:rPr>
        <w:t>miku velice bolestivé. Mezi</w:t>
      </w:r>
      <w:r w:rsidR="007A08FD" w:rsidRPr="001E7829">
        <w:rPr>
          <w:rFonts w:cs="Times New Roman"/>
        </w:rPr>
        <w:t xml:space="preserve"> </w:t>
      </w:r>
      <w:r w:rsidR="00F97909" w:rsidRPr="001E7829">
        <w:rPr>
          <w:rFonts w:cs="Times New Roman"/>
        </w:rPr>
        <w:t>uvedenými lety</w:t>
      </w:r>
      <w:r w:rsidR="007A08FD" w:rsidRPr="001E7829">
        <w:rPr>
          <w:rFonts w:cs="Times New Roman"/>
        </w:rPr>
        <w:t xml:space="preserve"> byl zaznamenán pokles HDP o 13 % a řada společností a podnikatelů se dostala do výrazných potíží.</w:t>
      </w:r>
    </w:p>
    <w:p w:rsidR="00201631" w:rsidRPr="001E7829" w:rsidRDefault="00465319" w:rsidP="000756F7">
      <w:pPr>
        <w:pStyle w:val="Druh"/>
        <w:rPr>
          <w:rFonts w:cs="Times New Roman"/>
        </w:rPr>
      </w:pPr>
      <w:r w:rsidRPr="001E7829">
        <w:rPr>
          <w:rFonts w:cs="Times New Roman"/>
        </w:rPr>
        <w:t>Dále bylo nutno zajistit reformu ekonomiky v souvislosti s přechodem k tržnímu hospodářství. Toho mělo být docíleno liberalizací zahraničního obchodu</w:t>
      </w:r>
      <w:r w:rsidR="006263BD" w:rsidRPr="001E7829">
        <w:rPr>
          <w:rFonts w:cs="Times New Roman"/>
        </w:rPr>
        <w:t xml:space="preserve"> a cen</w:t>
      </w:r>
      <w:r w:rsidRPr="001E7829">
        <w:rPr>
          <w:rFonts w:cs="Times New Roman"/>
        </w:rPr>
        <w:t>, velmi rozsáhlou privatizací a také přísně restriktivní</w:t>
      </w:r>
      <w:r w:rsidR="006263BD" w:rsidRPr="001E7829">
        <w:rPr>
          <w:rFonts w:cs="Times New Roman"/>
        </w:rPr>
        <w:t xml:space="preserve"> stabilizační</w:t>
      </w:r>
      <w:r w:rsidRPr="001E7829">
        <w:rPr>
          <w:rFonts w:cs="Times New Roman"/>
        </w:rPr>
        <w:t xml:space="preserve"> </w:t>
      </w:r>
      <w:r w:rsidRPr="001E7829">
        <w:rPr>
          <w:rFonts w:cs="Times New Roman"/>
        </w:rPr>
        <w:lastRenderedPageBreak/>
        <w:t>monetární politikou SBČS, která měla zabránit reálně hrozícímu vzniku inflační spirály</w:t>
      </w:r>
      <w:r w:rsidR="006263BD" w:rsidRPr="001E7829">
        <w:rPr>
          <w:rFonts w:cs="Times New Roman"/>
        </w:rPr>
        <w:t xml:space="preserve"> (v roce 1991 došlo v důsledku cenové liberalizace k růstu spotřebitelských cen o 57</w:t>
      </w:r>
      <w:r w:rsidR="0052715A" w:rsidRPr="001E7829">
        <w:rPr>
          <w:rFonts w:cs="Times New Roman"/>
        </w:rPr>
        <w:t xml:space="preserve"> </w:t>
      </w:r>
      <w:r w:rsidR="006263BD" w:rsidRPr="001E7829">
        <w:rPr>
          <w:rFonts w:cs="Times New Roman"/>
        </w:rPr>
        <w:t>%)</w:t>
      </w:r>
      <w:r w:rsidRPr="001E7829">
        <w:rPr>
          <w:rFonts w:cs="Times New Roman"/>
        </w:rPr>
        <w:t>.</w:t>
      </w:r>
      <w:r w:rsidRPr="001E7829">
        <w:rPr>
          <w:rStyle w:val="Znakapoznpodarou"/>
          <w:rFonts w:cs="Times New Roman"/>
        </w:rPr>
        <w:footnoteReference w:id="114"/>
      </w:r>
      <w:r w:rsidR="0002071D" w:rsidRPr="001E7829">
        <w:rPr>
          <w:rFonts w:cs="Times New Roman"/>
        </w:rPr>
        <w:t xml:space="preserve"> Pro korunu byl</w:t>
      </w:r>
      <w:r w:rsidR="00965A2A" w:rsidRPr="001E7829">
        <w:rPr>
          <w:rFonts w:cs="Times New Roman"/>
        </w:rPr>
        <w:t xml:space="preserve"> po její výrazné devalvaci</w:t>
      </w:r>
      <w:r w:rsidR="0002071D" w:rsidRPr="001E7829">
        <w:rPr>
          <w:rFonts w:cs="Times New Roman"/>
        </w:rPr>
        <w:t xml:space="preserve"> zvolen režim fixního kurzu vázaného na měnový koš tvořený německou markou, americkým dolarem, rakouským šilinkem, švýcarským frankem a britskou librou, která byla později nahrazena francouzským frankem. </w:t>
      </w:r>
      <w:r w:rsidR="00965A2A" w:rsidRPr="001E7829">
        <w:rPr>
          <w:rFonts w:cs="Times New Roman"/>
        </w:rPr>
        <w:t>V roce 1991</w:t>
      </w:r>
      <w:r w:rsidR="0002071D" w:rsidRPr="001E7829">
        <w:rPr>
          <w:rFonts w:cs="Times New Roman"/>
        </w:rPr>
        <w:t xml:space="preserve"> bylo stanoveno fluktuační pásmo k tomuto koši v rozsahu ± 0,5 %.</w:t>
      </w:r>
      <w:r w:rsidR="0002071D" w:rsidRPr="001E7829">
        <w:rPr>
          <w:rStyle w:val="Znakapoznpodarou"/>
          <w:rFonts w:cs="Times New Roman"/>
        </w:rPr>
        <w:footnoteReference w:id="115"/>
      </w:r>
      <w:r w:rsidR="009C0EF7" w:rsidRPr="001E7829">
        <w:rPr>
          <w:rFonts w:cs="Times New Roman"/>
        </w:rPr>
        <w:t xml:space="preserve"> SBČS v tomto období využívala zejména diskontní</w:t>
      </w:r>
      <w:r w:rsidR="00DE2283" w:rsidRPr="001E7829">
        <w:rPr>
          <w:rFonts w:cs="Times New Roman"/>
        </w:rPr>
        <w:t>ch sazeb</w:t>
      </w:r>
      <w:r w:rsidR="009C0EF7" w:rsidRPr="001E7829">
        <w:rPr>
          <w:rFonts w:cs="Times New Roman"/>
        </w:rPr>
        <w:t xml:space="preserve"> a povinných minimálních rezerv, jejichž hodnoty byly v souladu s restriktivním zaměřením monetární politiky nastaveny relativně vysoko, a také limitace rozsahu poskytovaných úvěrů.</w:t>
      </w:r>
      <w:r w:rsidR="009C0EF7" w:rsidRPr="001E7829">
        <w:rPr>
          <w:rStyle w:val="Znakapoznpodarou"/>
          <w:rFonts w:cs="Times New Roman"/>
        </w:rPr>
        <w:footnoteReference w:id="116"/>
      </w:r>
    </w:p>
    <w:p w:rsidR="002B5207" w:rsidRPr="001E7829" w:rsidRDefault="00B96BCC" w:rsidP="000756F7">
      <w:pPr>
        <w:pStyle w:val="Druh"/>
        <w:rPr>
          <w:rFonts w:cs="Times New Roman"/>
        </w:rPr>
      </w:pPr>
      <w:r w:rsidRPr="001E7829">
        <w:rPr>
          <w:rFonts w:cs="Times New Roman"/>
        </w:rPr>
        <w:t>První léta transformace lze hodnotit relativně pozitivně, neboť ve srovnání s jinými zeměmi čelícími stejnému procesu vykazovala česk</w:t>
      </w:r>
      <w:r w:rsidR="005170B2" w:rsidRPr="001E7829">
        <w:rPr>
          <w:rFonts w:cs="Times New Roman"/>
        </w:rPr>
        <w:t>oslovenská</w:t>
      </w:r>
      <w:r w:rsidRPr="001E7829">
        <w:rPr>
          <w:rFonts w:cs="Times New Roman"/>
        </w:rPr>
        <w:t xml:space="preserve"> ekonomika nejlepší výsledky téměř u všech ukazatelů, jako jsou změna HDP, míra inflace a míra nezaměstnanosti. Přesto nestála ČNB po převzetí role centrální banky před jednoduchým úkolem. </w:t>
      </w:r>
      <w:r w:rsidR="00F97909" w:rsidRPr="001E7829">
        <w:rPr>
          <w:rFonts w:cs="Times New Roman"/>
        </w:rPr>
        <w:t xml:space="preserve">Příčinou byly </w:t>
      </w:r>
      <w:r w:rsidR="00E82AA5" w:rsidRPr="001E7829">
        <w:rPr>
          <w:rFonts w:cs="Times New Roman"/>
        </w:rPr>
        <w:t xml:space="preserve">některé negativní tendence v ekonomice, které započaly během fungování SBČS a poté pokračovaly také po vzniku ČNB. Zřejmě nejvýznamnější z nich byla určitá nedisciplinovanost komerčních bank při poskytování úvěrů, umožněná nedostatečnou regulací v této oblasti. </w:t>
      </w:r>
      <w:r w:rsidR="00602AC4" w:rsidRPr="001E7829">
        <w:rPr>
          <w:rFonts w:cs="Times New Roman"/>
        </w:rPr>
        <w:t>Velmi benevo</w:t>
      </w:r>
      <w:r w:rsidR="002F5DB9" w:rsidRPr="001E7829">
        <w:rPr>
          <w:rFonts w:cs="Times New Roman"/>
        </w:rPr>
        <w:t>lentní podmínky pro získání úvěrů, mj. v souvislosti s privatizací, vedly k vysoké míře jejich nedobytnosti. To později přineslo bankovnímu sektoru nemalé problémy.</w:t>
      </w:r>
      <w:r w:rsidR="002F5DB9" w:rsidRPr="001E7829">
        <w:rPr>
          <w:rStyle w:val="Znakapoznpodarou"/>
          <w:rFonts w:cs="Times New Roman"/>
        </w:rPr>
        <w:footnoteReference w:id="117"/>
      </w:r>
    </w:p>
    <w:p w:rsidR="00B96BCC" w:rsidRPr="001E7829" w:rsidRDefault="002B5207" w:rsidP="000756F7">
      <w:pPr>
        <w:pStyle w:val="Druh"/>
        <w:rPr>
          <w:rFonts w:cs="Times New Roman"/>
        </w:rPr>
      </w:pPr>
      <w:r w:rsidRPr="001E7829">
        <w:rPr>
          <w:rFonts w:cs="Times New Roman"/>
        </w:rPr>
        <w:t>K 1. lednu 1993 zanikla Česká a</w:t>
      </w:r>
      <w:r w:rsidR="00214FBC" w:rsidRPr="001E7829">
        <w:rPr>
          <w:rFonts w:cs="Times New Roman"/>
        </w:rPr>
        <w:t xml:space="preserve"> Slovenská Federativní Republika</w:t>
      </w:r>
      <w:r w:rsidR="00E631D3" w:rsidRPr="001E7829">
        <w:rPr>
          <w:rFonts w:cs="Times New Roman"/>
        </w:rPr>
        <w:t xml:space="preserve"> (dále také „ČSFR“)</w:t>
      </w:r>
      <w:r w:rsidRPr="001E7829">
        <w:rPr>
          <w:rFonts w:cs="Times New Roman"/>
        </w:rPr>
        <w:t xml:space="preserve"> a s ní také všechny její instituce. Roli SBČS jako centrální banky převzala nově vzniklá ČNB</w:t>
      </w:r>
      <w:r w:rsidR="00C53C50" w:rsidRPr="001E7829">
        <w:rPr>
          <w:rFonts w:cs="Times New Roman"/>
        </w:rPr>
        <w:t>.</w:t>
      </w:r>
      <w:r w:rsidR="0043399C" w:rsidRPr="001E7829">
        <w:rPr>
          <w:rFonts w:cs="Times New Roman"/>
        </w:rPr>
        <w:t xml:space="preserve"> </w:t>
      </w:r>
      <w:r w:rsidR="00E631D3" w:rsidRPr="001E7829">
        <w:rPr>
          <w:rFonts w:cs="Times New Roman"/>
        </w:rPr>
        <w:t>ZČNB</w:t>
      </w:r>
      <w:r w:rsidR="00214FBC" w:rsidRPr="001E7829">
        <w:rPr>
          <w:rFonts w:cs="Times New Roman"/>
        </w:rPr>
        <w:t xml:space="preserve"> jako její hlavní úlohu stanovil péči o </w:t>
      </w:r>
      <w:r w:rsidR="00C53C50" w:rsidRPr="001E7829">
        <w:rPr>
          <w:rFonts w:cs="Times New Roman"/>
        </w:rPr>
        <w:t>vnitřní a vnější stabilitu české měny, tedy snahu o dosažení stabilní nízké inflace za současného udržování stabilního kurzu měny</w:t>
      </w:r>
      <w:r w:rsidR="00214FBC" w:rsidRPr="001E7829">
        <w:rPr>
          <w:rFonts w:cs="Times New Roman"/>
        </w:rPr>
        <w:t>.</w:t>
      </w:r>
      <w:r w:rsidR="00C53C50" w:rsidRPr="001E7829">
        <w:rPr>
          <w:rStyle w:val="Znakapoznpodarou"/>
          <w:rFonts w:cs="Times New Roman"/>
        </w:rPr>
        <w:footnoteReference w:id="118"/>
      </w:r>
      <w:r w:rsidR="0043399C" w:rsidRPr="001E7829">
        <w:rPr>
          <w:rFonts w:cs="Times New Roman"/>
        </w:rPr>
        <w:t xml:space="preserve"> </w:t>
      </w:r>
      <w:r w:rsidR="00C53C50" w:rsidRPr="001E7829">
        <w:rPr>
          <w:rFonts w:cs="Times New Roman"/>
        </w:rPr>
        <w:t>Samozřejmě</w:t>
      </w:r>
      <w:r w:rsidR="00214FBC" w:rsidRPr="001E7829">
        <w:rPr>
          <w:rFonts w:cs="Times New Roman"/>
        </w:rPr>
        <w:t xml:space="preserve"> bylo</w:t>
      </w:r>
      <w:r w:rsidR="00C53C50" w:rsidRPr="001E7829">
        <w:rPr>
          <w:rFonts w:cs="Times New Roman"/>
        </w:rPr>
        <w:t xml:space="preserve"> nejprve</w:t>
      </w:r>
      <w:r w:rsidR="00214FBC" w:rsidRPr="001E7829">
        <w:rPr>
          <w:rFonts w:cs="Times New Roman"/>
        </w:rPr>
        <w:t xml:space="preserve"> </w:t>
      </w:r>
      <w:r w:rsidR="00214FBC" w:rsidRPr="001E7829">
        <w:rPr>
          <w:rFonts w:cs="Times New Roman"/>
        </w:rPr>
        <w:lastRenderedPageBreak/>
        <w:t>nezbytné provést měnovou odluku, a to pokud možno co nejrychleji, neboť po rozdělení ČSFR a vzniku následnických republik začalo docházet k odlivu zahraničního kapitálu, který hrozil dovést obě země</w:t>
      </w:r>
      <w:r w:rsidR="0043399C" w:rsidRPr="001E7829">
        <w:rPr>
          <w:rFonts w:cs="Times New Roman"/>
        </w:rPr>
        <w:t xml:space="preserve"> </w:t>
      </w:r>
      <w:r w:rsidR="00214FBC" w:rsidRPr="001E7829">
        <w:rPr>
          <w:rFonts w:cs="Times New Roman"/>
        </w:rPr>
        <w:t>do platební krize. Proto byl zákon o oddělení měny (zákon č. 60/1993 Sb.)</w:t>
      </w:r>
      <w:r w:rsidR="0043399C" w:rsidRPr="001E7829">
        <w:rPr>
          <w:rFonts w:cs="Times New Roman"/>
        </w:rPr>
        <w:t xml:space="preserve"> </w:t>
      </w:r>
      <w:r w:rsidR="001074D3" w:rsidRPr="001E7829">
        <w:rPr>
          <w:rFonts w:cs="Times New Roman"/>
        </w:rPr>
        <w:t>schválen již 2. února a nabyl účinnosti 8. února</w:t>
      </w:r>
      <w:r w:rsidR="00F97909" w:rsidRPr="001E7829">
        <w:rPr>
          <w:rFonts w:cs="Times New Roman"/>
        </w:rPr>
        <w:t xml:space="preserve"> 1993</w:t>
      </w:r>
      <w:r w:rsidR="001074D3" w:rsidRPr="001E7829">
        <w:rPr>
          <w:rFonts w:cs="Times New Roman"/>
        </w:rPr>
        <w:t>.</w:t>
      </w:r>
      <w:r w:rsidR="001074D3" w:rsidRPr="001E7829">
        <w:rPr>
          <w:rStyle w:val="Znakapoznpodarou"/>
          <w:rFonts w:cs="Times New Roman"/>
        </w:rPr>
        <w:footnoteReference w:id="119"/>
      </w:r>
    </w:p>
    <w:p w:rsidR="00BD511F" w:rsidRPr="001E7829" w:rsidRDefault="002166E4" w:rsidP="000756F7">
      <w:pPr>
        <w:pStyle w:val="Druh"/>
        <w:rPr>
          <w:rFonts w:cs="Times New Roman"/>
        </w:rPr>
      </w:pPr>
      <w:r w:rsidRPr="001E7829">
        <w:rPr>
          <w:rFonts w:cs="Times New Roman"/>
        </w:rPr>
        <w:t>Měnová politika ČNB byla definována dvěma základními strategiemi. První z nich byl fixní měnový kurz využívaný již SBČS. Téměř po celé toto období zůstalo zachováno také původní fluktuační pásmo s rozsahem ± 0,5 %</w:t>
      </w:r>
      <w:r w:rsidR="00EC485E" w:rsidRPr="001E7829">
        <w:rPr>
          <w:rFonts w:cs="Times New Roman"/>
        </w:rPr>
        <w:t>, měnový koš se však později zúžil na německou marku a americký dolar</w:t>
      </w:r>
      <w:r w:rsidRPr="001E7829">
        <w:rPr>
          <w:rFonts w:cs="Times New Roman"/>
        </w:rPr>
        <w:t xml:space="preserve">. Fixní kurz se </w:t>
      </w:r>
      <w:r w:rsidR="006C4D44" w:rsidRPr="001E7829">
        <w:rPr>
          <w:rFonts w:cs="Times New Roman"/>
        </w:rPr>
        <w:t>ukázal být pro dobu pokračující transformace v</w:t>
      </w:r>
      <w:r w:rsidR="00F97909" w:rsidRPr="001E7829">
        <w:rPr>
          <w:rFonts w:cs="Times New Roman"/>
        </w:rPr>
        <w:t>elice</w:t>
      </w:r>
      <w:r w:rsidR="006C4D44" w:rsidRPr="001E7829">
        <w:rPr>
          <w:rFonts w:cs="Times New Roman"/>
        </w:rPr>
        <w:t xml:space="preserve"> vhodný, neboť zpočátku nedocházelo k výrazným tlakům na </w:t>
      </w:r>
      <w:proofErr w:type="spellStart"/>
      <w:r w:rsidR="006C4D44" w:rsidRPr="001E7829">
        <w:rPr>
          <w:rFonts w:cs="Times New Roman"/>
        </w:rPr>
        <w:t>apreciaci</w:t>
      </w:r>
      <w:proofErr w:type="spellEnd"/>
      <w:r w:rsidR="006C4D44" w:rsidRPr="001E7829">
        <w:rPr>
          <w:rFonts w:cs="Times New Roman"/>
        </w:rPr>
        <w:t xml:space="preserve"> ani depreciaci a ČNB tak mohla orientovat svou monetární politiku na druhou strategii – cílování vývoje peněžní zásoby. </w:t>
      </w:r>
      <w:r w:rsidR="00EC485E" w:rsidRPr="001E7829">
        <w:rPr>
          <w:rFonts w:cs="Times New Roman"/>
        </w:rPr>
        <w:t>Důvodem bylo omezení liberalizace pohybu zahraničního kapitálu, a také předchozí devalvace, která dala českým firmám dostatečný prostor</w:t>
      </w:r>
      <w:r w:rsidR="0043399C" w:rsidRPr="001E7829">
        <w:rPr>
          <w:rFonts w:cs="Times New Roman"/>
        </w:rPr>
        <w:t xml:space="preserve"> </w:t>
      </w:r>
      <w:r w:rsidR="00DE2283" w:rsidRPr="001E7829">
        <w:rPr>
          <w:rFonts w:cs="Times New Roman"/>
        </w:rPr>
        <w:t>k</w:t>
      </w:r>
      <w:r w:rsidR="00EC485E" w:rsidRPr="001E7829">
        <w:rPr>
          <w:rFonts w:cs="Times New Roman"/>
        </w:rPr>
        <w:t xml:space="preserve"> adaptaci na nové podmínky. Fixní kurz tak mohl plnit své pozitivní funkce, zejména pak import zahraniční cenové stability do české ekonomiky.</w:t>
      </w:r>
      <w:r w:rsidR="00EC485E" w:rsidRPr="001E7829">
        <w:rPr>
          <w:rStyle w:val="Znakapoznpodarou"/>
          <w:rFonts w:cs="Times New Roman"/>
        </w:rPr>
        <w:footnoteReference w:id="120"/>
      </w:r>
    </w:p>
    <w:p w:rsidR="00BF5947" w:rsidRPr="001E7829" w:rsidRDefault="00BF5947" w:rsidP="000756F7">
      <w:pPr>
        <w:pStyle w:val="Druh"/>
        <w:rPr>
          <w:rFonts w:cs="Times New Roman"/>
        </w:rPr>
      </w:pPr>
      <w:r w:rsidRPr="001E7829">
        <w:rPr>
          <w:rFonts w:cs="Times New Roman"/>
        </w:rPr>
        <w:t xml:space="preserve">Druhou strategií bylo již zmíněné cílování peněžní zásoby. To bylo zvoleno na základě pozitivního příkladu německé Bundesbank, tedy respektované měnové instituce. Zprostředkujícím kritériem cílování se stala peněžní zásoba, zatímco jako operativní kritéria sloužily jednotlivé složky měnové báze – rezervy, oběživa a poukázky ČNB držené komerčními bankami, které byly od roku 1995 nahrazeny bankovními rezervami. </w:t>
      </w:r>
      <w:r w:rsidR="00755B94" w:rsidRPr="001E7829">
        <w:rPr>
          <w:rFonts w:cs="Times New Roman"/>
        </w:rPr>
        <w:t>Úlohou centrální</w:t>
      </w:r>
      <w:r w:rsidR="009E67DA" w:rsidRPr="001E7829">
        <w:rPr>
          <w:rFonts w:cs="Times New Roman"/>
        </w:rPr>
        <w:t xml:space="preserve"> banky</w:t>
      </w:r>
      <w:r w:rsidR="00755B94" w:rsidRPr="001E7829">
        <w:rPr>
          <w:rFonts w:cs="Times New Roman"/>
        </w:rPr>
        <w:t xml:space="preserve"> zde bylo sledovat množství peněz v oběhu a na jeho základě predikovat budoucí vývoj, na který banka mohla reagovat dalšími měnově</w:t>
      </w:r>
      <w:r w:rsidR="003F24AF" w:rsidRPr="001E7829">
        <w:rPr>
          <w:rFonts w:cs="Times New Roman"/>
        </w:rPr>
        <w:t>-</w:t>
      </w:r>
      <w:r w:rsidR="00755B94" w:rsidRPr="001E7829">
        <w:rPr>
          <w:rFonts w:cs="Times New Roman"/>
        </w:rPr>
        <w:t>politickými nástroji.</w:t>
      </w:r>
      <w:r w:rsidR="00755B94" w:rsidRPr="001E7829">
        <w:rPr>
          <w:rStyle w:val="Znakapoznpodarou"/>
          <w:rFonts w:cs="Times New Roman"/>
        </w:rPr>
        <w:footnoteReference w:id="121"/>
      </w:r>
      <w:r w:rsidR="00453A0B" w:rsidRPr="001E7829">
        <w:rPr>
          <w:rFonts w:cs="Times New Roman"/>
        </w:rPr>
        <w:t xml:space="preserve"> Nutno však poznamenat, že </w:t>
      </w:r>
      <w:r w:rsidR="00C07F7F" w:rsidRPr="001E7829">
        <w:rPr>
          <w:rFonts w:cs="Times New Roman"/>
        </w:rPr>
        <w:t xml:space="preserve">stabilita měnového kurzu byla jako cíl v politice ČNB růstu </w:t>
      </w:r>
      <w:r w:rsidR="00C07F7F" w:rsidRPr="001E7829">
        <w:rPr>
          <w:rFonts w:cs="Times New Roman"/>
        </w:rPr>
        <w:lastRenderedPageBreak/>
        <w:t>peněžní zásoby nadřazena, a proto se v praxi nezřídka stávalo, že tento druhý cíl se naplnit nepodařilo.</w:t>
      </w:r>
      <w:r w:rsidR="00C07F7F" w:rsidRPr="001E7829">
        <w:rPr>
          <w:rStyle w:val="Znakapoznpodarou"/>
          <w:rFonts w:cs="Times New Roman"/>
        </w:rPr>
        <w:footnoteReference w:id="122"/>
      </w:r>
    </w:p>
    <w:p w:rsidR="00755B94" w:rsidRPr="001E7829" w:rsidRDefault="009E67DA" w:rsidP="000756F7">
      <w:pPr>
        <w:pStyle w:val="Druh"/>
        <w:rPr>
          <w:rFonts w:cs="Times New Roman"/>
        </w:rPr>
      </w:pPr>
      <w:r w:rsidRPr="001E7829">
        <w:rPr>
          <w:rFonts w:cs="Times New Roman"/>
        </w:rPr>
        <w:t xml:space="preserve">ČNB převzala českou ekonomiku v době stagnace na úrovni propadu souvisejícího s transformací, a proto </w:t>
      </w:r>
      <w:r w:rsidR="00DC6BC5" w:rsidRPr="001E7829">
        <w:rPr>
          <w:rFonts w:cs="Times New Roman"/>
        </w:rPr>
        <w:t xml:space="preserve">zahájila svou monetární </w:t>
      </w:r>
      <w:r w:rsidR="00A40812" w:rsidRPr="001E7829">
        <w:rPr>
          <w:rFonts w:cs="Times New Roman"/>
        </w:rPr>
        <w:t>politiku</w:t>
      </w:r>
      <w:r w:rsidR="00DC6BC5" w:rsidRPr="001E7829">
        <w:rPr>
          <w:rFonts w:cs="Times New Roman"/>
        </w:rPr>
        <w:t xml:space="preserve"> expanzí v podobě snížení </w:t>
      </w:r>
      <w:r w:rsidR="00F419B8" w:rsidRPr="001E7829">
        <w:rPr>
          <w:rFonts w:cs="Times New Roman"/>
        </w:rPr>
        <w:t>úrokových sazeb a povinných minimálních rezerv</w:t>
      </w:r>
      <w:r w:rsidR="00110A2D" w:rsidRPr="001E7829">
        <w:rPr>
          <w:rFonts w:cs="Times New Roman"/>
        </w:rPr>
        <w:t>. Hned v roce 1994 však začala ekonomika znovu růst, a tak ČNB</w:t>
      </w:r>
      <w:r w:rsidR="0043399C" w:rsidRPr="001E7829">
        <w:rPr>
          <w:rFonts w:cs="Times New Roman"/>
        </w:rPr>
        <w:t xml:space="preserve"> </w:t>
      </w:r>
      <w:r w:rsidR="00110A2D" w:rsidRPr="001E7829">
        <w:rPr>
          <w:rFonts w:cs="Times New Roman"/>
        </w:rPr>
        <w:t xml:space="preserve">reagovala </w:t>
      </w:r>
      <w:r w:rsidR="00F419B8" w:rsidRPr="001E7829">
        <w:rPr>
          <w:rFonts w:cs="Times New Roman"/>
        </w:rPr>
        <w:t>opětovným zvýšením sazeb těchto nástrojů. Až do konce sledovaného období pak byla monetární politika restriktivní</w:t>
      </w:r>
      <w:r w:rsidR="00046AE6" w:rsidRPr="001E7829">
        <w:rPr>
          <w:rFonts w:cs="Times New Roman"/>
        </w:rPr>
        <w:t>.</w:t>
      </w:r>
      <w:r w:rsidR="00655897" w:rsidRPr="001E7829">
        <w:rPr>
          <w:rStyle w:val="Znakapoznpodarou"/>
          <w:rFonts w:cs="Times New Roman"/>
        </w:rPr>
        <w:footnoteReference w:id="123"/>
      </w:r>
    </w:p>
    <w:p w:rsidR="008D61C3" w:rsidRPr="001E7829" w:rsidRDefault="00F419B8" w:rsidP="000756F7">
      <w:pPr>
        <w:pStyle w:val="Druh"/>
        <w:rPr>
          <w:rFonts w:cs="Times New Roman"/>
        </w:rPr>
      </w:pPr>
      <w:r w:rsidRPr="001E7829">
        <w:rPr>
          <w:rFonts w:cs="Times New Roman"/>
        </w:rPr>
        <w:t>I přes pozitivní trend hospodářského vývoje se však začala ekonomika dostávat do problémů</w:t>
      </w:r>
      <w:r w:rsidR="004B42BC" w:rsidRPr="001E7829">
        <w:rPr>
          <w:rFonts w:cs="Times New Roman"/>
        </w:rPr>
        <w:t>. Důvodem byla prohlubující se vnitřní a vnější nerovnováha. První z nich byla způsobena nesouladem mezi tempem růstu celkové domácí poptávky a nabídky v podobě reálného HDP. Již od počátku sledovaného období rostla domácí poptávka, tažená především konečnou spotřebou domácností a investicemi, mnohem výrazněji než nabídka. V letech 1994-96 činil tento rozdíl dokonce mezi dvěma až čtyřmi procentními body a v absolutním vyjádření se převis poptávky v tomto období navýšil zhruba o 36</w:t>
      </w:r>
      <w:r w:rsidR="00E631D3" w:rsidRPr="001E7829">
        <w:rPr>
          <w:rFonts w:cs="Times New Roman"/>
        </w:rPr>
        <w:t> </w:t>
      </w:r>
      <w:r w:rsidR="004B42BC" w:rsidRPr="001E7829">
        <w:rPr>
          <w:rFonts w:cs="Times New Roman"/>
        </w:rPr>
        <w:t>miliard korun</w:t>
      </w:r>
      <w:r w:rsidR="00AF25CE" w:rsidRPr="001E7829">
        <w:rPr>
          <w:rFonts w:cs="Times New Roman"/>
        </w:rPr>
        <w:t>.</w:t>
      </w:r>
      <w:r w:rsidR="0043399C" w:rsidRPr="001E7829">
        <w:rPr>
          <w:rFonts w:cs="Times New Roman"/>
        </w:rPr>
        <w:t xml:space="preserve"> </w:t>
      </w:r>
      <w:r w:rsidR="00AF25CE" w:rsidRPr="001E7829">
        <w:rPr>
          <w:rFonts w:cs="Times New Roman"/>
        </w:rPr>
        <w:t>Za rostoucí vnější nerovnováhou pak stál zvyšující se schodek běžného účtu platební bilance. V důsledku toho se do ČR začalo dostávat značné množství zahraničního kapitálu, zejména pak krátkodobého, kterým se měl schodek financovat.</w:t>
      </w:r>
      <w:r w:rsidR="00192B5E" w:rsidRPr="001E7829">
        <w:rPr>
          <w:rFonts w:cs="Times New Roman"/>
        </w:rPr>
        <w:t xml:space="preserve"> Tomuto přílivu napomohla liberalizace transakcí na kapitálovém účtu platební bilance související s očekávaným vstupem České republiky do OECD. </w:t>
      </w:r>
      <w:r w:rsidR="007363AA" w:rsidRPr="001E7829">
        <w:rPr>
          <w:rFonts w:cs="Times New Roman"/>
        </w:rPr>
        <w:t>Z</w:t>
      </w:r>
      <w:r w:rsidR="00192B5E" w:rsidRPr="001E7829">
        <w:rPr>
          <w:rFonts w:cs="Times New Roman"/>
        </w:rPr>
        <w:t>ahraniční investoři</w:t>
      </w:r>
      <w:r w:rsidR="007363AA" w:rsidRPr="001E7829">
        <w:rPr>
          <w:rFonts w:cs="Times New Roman"/>
        </w:rPr>
        <w:t xml:space="preserve"> tak mohli</w:t>
      </w:r>
      <w:r w:rsidR="00192B5E" w:rsidRPr="001E7829">
        <w:rPr>
          <w:rFonts w:cs="Times New Roman"/>
        </w:rPr>
        <w:t xml:space="preserve"> využít pozitivní úrokový diferenciál, který spolu s nízkým kurzovým rizikem plynoucím z fixního kurzu učinil z</w:t>
      </w:r>
      <w:r w:rsidR="007363AA" w:rsidRPr="001E7829">
        <w:rPr>
          <w:rFonts w:cs="Times New Roman"/>
        </w:rPr>
        <w:t> </w:t>
      </w:r>
      <w:r w:rsidR="00192B5E" w:rsidRPr="001E7829">
        <w:rPr>
          <w:rFonts w:cs="Times New Roman"/>
        </w:rPr>
        <w:t>ČR</w:t>
      </w:r>
      <w:r w:rsidR="007363AA" w:rsidRPr="001E7829">
        <w:rPr>
          <w:rFonts w:cs="Times New Roman"/>
        </w:rPr>
        <w:t xml:space="preserve"> investičně velice lákavou destinaci.</w:t>
      </w:r>
      <w:r w:rsidR="008D61C3" w:rsidRPr="001E7829">
        <w:rPr>
          <w:rStyle w:val="Znakapoznpodarou"/>
          <w:rFonts w:cs="Times New Roman"/>
        </w:rPr>
        <w:footnoteReference w:id="124"/>
      </w:r>
      <w:r w:rsidR="008D61C3" w:rsidRPr="001E7829">
        <w:rPr>
          <w:rFonts w:cs="Times New Roman"/>
        </w:rPr>
        <w:t xml:space="preserve"> ČNB se pokusila situaci řešit rozšířením fluktuačního pásma kurzu české koruny na ± 7,5 %, což mělo zvýšit </w:t>
      </w:r>
      <w:r w:rsidR="008D61C3" w:rsidRPr="001E7829">
        <w:rPr>
          <w:rFonts w:cs="Times New Roman"/>
        </w:rPr>
        <w:lastRenderedPageBreak/>
        <w:t>kurzové riziko.</w:t>
      </w:r>
      <w:r w:rsidR="008D61C3" w:rsidRPr="001E7829">
        <w:rPr>
          <w:rStyle w:val="Znakapoznpodarou"/>
          <w:rFonts w:cs="Times New Roman"/>
        </w:rPr>
        <w:footnoteReference w:id="125"/>
      </w:r>
      <w:r w:rsidR="0043399C" w:rsidRPr="001E7829">
        <w:rPr>
          <w:rFonts w:cs="Times New Roman"/>
        </w:rPr>
        <w:t xml:space="preserve"> </w:t>
      </w:r>
      <w:r w:rsidR="008D61C3" w:rsidRPr="001E7829">
        <w:rPr>
          <w:rFonts w:cs="Times New Roman"/>
        </w:rPr>
        <w:t>Účinnost tohoto kroku však byla diskutabilní, jak bude rozebráno později.</w:t>
      </w:r>
    </w:p>
    <w:p w:rsidR="00F419B8" w:rsidRPr="001E7829" w:rsidRDefault="00AF25CE" w:rsidP="000756F7">
      <w:pPr>
        <w:pStyle w:val="Druh"/>
        <w:rPr>
          <w:rFonts w:cs="Times New Roman"/>
        </w:rPr>
      </w:pPr>
      <w:r w:rsidRPr="001E7829">
        <w:rPr>
          <w:rFonts w:cs="Times New Roman"/>
        </w:rPr>
        <w:t xml:space="preserve">Za příčinu problémů vnitřní i vnější nerovnováhy označuje literatura vývoj v oblasti mezd, které </w:t>
      </w:r>
      <w:r w:rsidR="00E07CD0" w:rsidRPr="001E7829">
        <w:rPr>
          <w:rFonts w:cs="Times New Roman"/>
        </w:rPr>
        <w:t>rostly mnohem rychlejším tempem než produktivita práce. Na počátku transformace sice mzdy dramaticky poklesly, snížily se však také objem produkce a produktivita, a proto zde nebyl prostor pro tak výrazný předstih růstu mezd, jaký byl v této době zaznamenán (v roce 1996 až 7 procentních bodů). Rostoucí mzdy pak přímo stimulovaly poptávku domácností, včetně poptávky po importu spotřebního zboží, což vedlo ke zvyšování schodku běžného účtu platební bilance. Neúměrná výše mezd tedy výrazně přispívala k růstu vnitřní i vnější nerovnováhy, způsobila pokles konkurenceschopnosti společností a podnikatelů a</w:t>
      </w:r>
      <w:r w:rsidR="007660E3" w:rsidRPr="001E7829">
        <w:rPr>
          <w:rFonts w:cs="Times New Roman"/>
        </w:rPr>
        <w:t xml:space="preserve"> rovněž</w:t>
      </w:r>
      <w:r w:rsidR="00E07CD0" w:rsidRPr="001E7829">
        <w:rPr>
          <w:rFonts w:cs="Times New Roman"/>
        </w:rPr>
        <w:t xml:space="preserve"> negativně ovliv</w:t>
      </w:r>
      <w:r w:rsidR="007660E3" w:rsidRPr="001E7829">
        <w:rPr>
          <w:rFonts w:cs="Times New Roman"/>
        </w:rPr>
        <w:t>ňovala</w:t>
      </w:r>
      <w:r w:rsidR="00574270" w:rsidRPr="001E7829">
        <w:rPr>
          <w:rFonts w:cs="Times New Roman"/>
        </w:rPr>
        <w:t xml:space="preserve"> vývoz a růst HDP.</w:t>
      </w:r>
      <w:r w:rsidR="00574270" w:rsidRPr="001E7829">
        <w:rPr>
          <w:rStyle w:val="Znakapoznpodarou"/>
          <w:rFonts w:cs="Times New Roman"/>
        </w:rPr>
        <w:footnoteReference w:id="126"/>
      </w:r>
    </w:p>
    <w:p w:rsidR="00BC25C2" w:rsidRPr="001E7829" w:rsidRDefault="004C3AA4" w:rsidP="000756F7">
      <w:pPr>
        <w:pStyle w:val="Druh"/>
        <w:rPr>
          <w:rFonts w:cs="Times New Roman"/>
        </w:rPr>
      </w:pPr>
      <w:r w:rsidRPr="001E7829">
        <w:rPr>
          <w:rFonts w:cs="Times New Roman"/>
        </w:rPr>
        <w:t xml:space="preserve">Současně se objevily také první problémy v nastavení monetární politiky ČNB. Ukázalo se, že peněžní zásoba není jako zprostředkující cíl v podmínkách stále ještě nestabilní české ekonomiky zcela vhodná, neboť dosud nebyly vytvořeny pevné vazby mezi inflací a </w:t>
      </w:r>
      <w:proofErr w:type="spellStart"/>
      <w:r w:rsidRPr="001E7829">
        <w:rPr>
          <w:rFonts w:cs="Times New Roman"/>
        </w:rPr>
        <w:t>cílovaným</w:t>
      </w:r>
      <w:proofErr w:type="spellEnd"/>
      <w:r w:rsidRPr="001E7829">
        <w:rPr>
          <w:rFonts w:cs="Times New Roman"/>
        </w:rPr>
        <w:t xml:space="preserve"> peněžním agregátem. Rovněž se ukázalo, že politika snažící se o dosažení dvou cílů – udržení fixního kurzu a přiměřeného růstu peněžní zásoby – je z dlouhodobého hlediska pro ČNB neudržitelná. </w:t>
      </w:r>
    </w:p>
    <w:p w:rsidR="007363AA" w:rsidRPr="001E7829" w:rsidRDefault="007363AA" w:rsidP="000756F7">
      <w:pPr>
        <w:pStyle w:val="Druh"/>
        <w:rPr>
          <w:rFonts w:cs="Times New Roman"/>
        </w:rPr>
      </w:pPr>
      <w:r w:rsidRPr="001E7829">
        <w:rPr>
          <w:rFonts w:cs="Times New Roman"/>
        </w:rPr>
        <w:t>Nepříznivý vývoj vyvrcholil v roce 1997, kdy vzrůstající negativní saldo běžného účtu</w:t>
      </w:r>
      <w:r w:rsidR="00E57DF0" w:rsidRPr="001E7829">
        <w:rPr>
          <w:rFonts w:cs="Times New Roman"/>
        </w:rPr>
        <w:t xml:space="preserve"> ve spojení s poklesem přílivu zahraničních investic, oslabením exportu a zpomalením růstu HDP</w:t>
      </w:r>
      <w:r w:rsidRPr="001E7829">
        <w:rPr>
          <w:rFonts w:cs="Times New Roman"/>
        </w:rPr>
        <w:t xml:space="preserve"> zapříčinilo spekulativní útoky na českou korunu v podobě rozsáhlého výprodej</w:t>
      </w:r>
      <w:r w:rsidR="0042557E" w:rsidRPr="001E7829">
        <w:rPr>
          <w:rFonts w:cs="Times New Roman"/>
        </w:rPr>
        <w:t>e korunových aktiv a nákupu devi</w:t>
      </w:r>
      <w:r w:rsidRPr="001E7829">
        <w:rPr>
          <w:rFonts w:cs="Times New Roman"/>
        </w:rPr>
        <w:t>z. V květnu tak došlo k dramatickému propadu kurzu až o 15 % oproti jeho úrovni před měnovým otřesem</w:t>
      </w:r>
      <w:r w:rsidR="009C444F" w:rsidRPr="001E7829">
        <w:rPr>
          <w:rFonts w:cs="Times New Roman"/>
        </w:rPr>
        <w:t>.</w:t>
      </w:r>
      <w:r w:rsidR="009C444F" w:rsidRPr="001E7829">
        <w:rPr>
          <w:rStyle w:val="Znakapoznpodarou"/>
          <w:rFonts w:cs="Times New Roman"/>
        </w:rPr>
        <w:footnoteReference w:id="127"/>
      </w:r>
      <w:r w:rsidR="009C444F" w:rsidRPr="001E7829">
        <w:rPr>
          <w:rFonts w:cs="Times New Roman"/>
        </w:rPr>
        <w:t xml:space="preserve"> ČNB na krizi reagovala výrazným zvýšením úrokových sazeb (1T </w:t>
      </w:r>
      <w:proofErr w:type="spellStart"/>
      <w:r w:rsidR="009C444F" w:rsidRPr="001E7829">
        <w:rPr>
          <w:rFonts w:cs="Times New Roman"/>
        </w:rPr>
        <w:t>repo</w:t>
      </w:r>
      <w:proofErr w:type="spellEnd"/>
      <w:r w:rsidR="009C444F" w:rsidRPr="001E7829">
        <w:rPr>
          <w:rFonts w:cs="Times New Roman"/>
        </w:rPr>
        <w:t xml:space="preserve"> sazby až na 75 %</w:t>
      </w:r>
      <w:r w:rsidR="009C444F" w:rsidRPr="001E7829">
        <w:rPr>
          <w:rStyle w:val="Znakapoznpodarou"/>
          <w:rFonts w:cs="Times New Roman"/>
        </w:rPr>
        <w:footnoteReference w:id="128"/>
      </w:r>
      <w:r w:rsidR="009C444F" w:rsidRPr="001E7829">
        <w:rPr>
          <w:rFonts w:cs="Times New Roman"/>
        </w:rPr>
        <w:t>, lombardní sazby až na 50 %</w:t>
      </w:r>
      <w:r w:rsidR="009C444F" w:rsidRPr="001E7829">
        <w:rPr>
          <w:rStyle w:val="Znakapoznpodarou"/>
          <w:rFonts w:cs="Times New Roman"/>
        </w:rPr>
        <w:footnoteReference w:id="129"/>
      </w:r>
      <w:r w:rsidR="009C444F" w:rsidRPr="001E7829">
        <w:rPr>
          <w:rFonts w:cs="Times New Roman"/>
        </w:rPr>
        <w:t>), dev</w:t>
      </w:r>
      <w:r w:rsidR="0042557E" w:rsidRPr="001E7829">
        <w:rPr>
          <w:rFonts w:cs="Times New Roman"/>
        </w:rPr>
        <w:t>i</w:t>
      </w:r>
      <w:r w:rsidR="009C444F" w:rsidRPr="001E7829">
        <w:rPr>
          <w:rFonts w:cs="Times New Roman"/>
        </w:rPr>
        <w:t>zovými intervencemi, zpřísněním podmínek pro přístup k úvěrům a dalšími</w:t>
      </w:r>
      <w:r w:rsidR="000D0ED4" w:rsidRPr="001E7829">
        <w:rPr>
          <w:rFonts w:cs="Times New Roman"/>
        </w:rPr>
        <w:t>,</w:t>
      </w:r>
      <w:r w:rsidR="009C444F" w:rsidRPr="001E7829">
        <w:rPr>
          <w:rFonts w:cs="Times New Roman"/>
        </w:rPr>
        <w:t xml:space="preserve"> zejména </w:t>
      </w:r>
      <w:r w:rsidR="009C444F" w:rsidRPr="001E7829">
        <w:rPr>
          <w:rFonts w:cs="Times New Roman"/>
        </w:rPr>
        <w:lastRenderedPageBreak/>
        <w:t xml:space="preserve">administrativními opatřeními s účelem ochrany kurzu. </w:t>
      </w:r>
      <w:r w:rsidR="00453A0B" w:rsidRPr="001E7829">
        <w:rPr>
          <w:rFonts w:cs="Times New Roman"/>
        </w:rPr>
        <w:t>Přes všechny tyto snahy byla Č</w:t>
      </w:r>
      <w:r w:rsidR="0042557E" w:rsidRPr="001E7829">
        <w:rPr>
          <w:rFonts w:cs="Times New Roman"/>
        </w:rPr>
        <w:t>NB nucena v důsledku úbytku devi</w:t>
      </w:r>
      <w:r w:rsidR="00453A0B" w:rsidRPr="001E7829">
        <w:rPr>
          <w:rFonts w:cs="Times New Roman"/>
        </w:rPr>
        <w:t xml:space="preserve">zových rezerv na konci května upustit od fixního kurzu, který </w:t>
      </w:r>
      <w:r w:rsidR="006E04C6" w:rsidRPr="001E7829">
        <w:rPr>
          <w:rFonts w:cs="Times New Roman"/>
        </w:rPr>
        <w:t xml:space="preserve">byl nahrazen řízeným </w:t>
      </w:r>
      <w:proofErr w:type="spellStart"/>
      <w:r w:rsidR="006E04C6" w:rsidRPr="001E7829">
        <w:rPr>
          <w:rFonts w:cs="Times New Roman"/>
        </w:rPr>
        <w:t>floatingem</w:t>
      </w:r>
      <w:proofErr w:type="spellEnd"/>
      <w:r w:rsidR="006E04C6" w:rsidRPr="001E7829">
        <w:rPr>
          <w:rFonts w:cs="Times New Roman"/>
        </w:rPr>
        <w:t>, a zároveň bylo upuštěno od cíle v podobě růstu peněžní zásoby. Ja</w:t>
      </w:r>
      <w:r w:rsidR="000D0ED4" w:rsidRPr="001E7829">
        <w:rPr>
          <w:rFonts w:cs="Times New Roman"/>
        </w:rPr>
        <w:t>ko nový rámec monetární politiky</w:t>
      </w:r>
      <w:r w:rsidR="006E04C6" w:rsidRPr="001E7829">
        <w:rPr>
          <w:rFonts w:cs="Times New Roman"/>
        </w:rPr>
        <w:t xml:space="preserve"> bylo nakonec zvoleno cílování inflace. To se mezi dalšími alternativami, mj. přijetím jiné měny, či prováděním monetární politiky bez explicitního rámce, jevilo jako nejméně problematická volba, a to přesto, že schopnost centrální banky</w:t>
      </w:r>
      <w:r w:rsidR="00BA16DA" w:rsidRPr="001E7829">
        <w:rPr>
          <w:rFonts w:cs="Times New Roman"/>
        </w:rPr>
        <w:t xml:space="preserve"> predikovat vývoj inflace je v malé otevřené ekonomice</w:t>
      </w:r>
      <w:r w:rsidR="00990BE1" w:rsidRPr="001E7829">
        <w:rPr>
          <w:rFonts w:cs="Times New Roman"/>
        </w:rPr>
        <w:t>,</w:t>
      </w:r>
      <w:r w:rsidR="00BA16DA" w:rsidRPr="001E7829">
        <w:rPr>
          <w:rFonts w:cs="Times New Roman"/>
        </w:rPr>
        <w:t xml:space="preserve"> jako je česká</w:t>
      </w:r>
      <w:r w:rsidR="00990BE1" w:rsidRPr="001E7829">
        <w:rPr>
          <w:rFonts w:cs="Times New Roman"/>
        </w:rPr>
        <w:t>,</w:t>
      </w:r>
      <w:r w:rsidR="00BA16DA" w:rsidRPr="001E7829">
        <w:rPr>
          <w:rFonts w:cs="Times New Roman"/>
        </w:rPr>
        <w:t xml:space="preserve"> velice omezená. Ani cílování inflace tedy nebylo přijat</w:t>
      </w:r>
      <w:r w:rsidR="00990BE1" w:rsidRPr="001E7829">
        <w:rPr>
          <w:rFonts w:cs="Times New Roman"/>
        </w:rPr>
        <w:t>o</w:t>
      </w:r>
      <w:r w:rsidR="00BA16DA" w:rsidRPr="001E7829">
        <w:rPr>
          <w:rFonts w:cs="Times New Roman"/>
        </w:rPr>
        <w:t xml:space="preserve"> za zcela ideálních podmínek.</w:t>
      </w:r>
      <w:r w:rsidR="00BA16DA" w:rsidRPr="001E7829">
        <w:rPr>
          <w:rStyle w:val="Znakapoznpodarou"/>
          <w:rFonts w:cs="Times New Roman"/>
        </w:rPr>
        <w:footnoteReference w:id="130"/>
      </w:r>
    </w:p>
    <w:p w:rsidR="00990BE1" w:rsidRPr="001E7829" w:rsidRDefault="00990BE1" w:rsidP="00BD1081">
      <w:pPr>
        <w:pStyle w:val="411"/>
        <w:rPr>
          <w:rFonts w:cs="Times New Roman"/>
        </w:rPr>
      </w:pPr>
      <w:bookmarkStart w:id="58" w:name="_Toc444083237"/>
      <w:bookmarkStart w:id="59" w:name="_Toc444516068"/>
      <w:bookmarkStart w:id="60" w:name="_Toc446604212"/>
      <w:r w:rsidRPr="001E7829">
        <w:rPr>
          <w:rFonts w:cs="Times New Roman"/>
        </w:rPr>
        <w:t>Etapa cílování čisté inflace (1998 – 2000)</w:t>
      </w:r>
      <w:bookmarkEnd w:id="58"/>
      <w:bookmarkEnd w:id="59"/>
      <w:bookmarkEnd w:id="60"/>
    </w:p>
    <w:p w:rsidR="00990BE1" w:rsidRPr="001E7829" w:rsidRDefault="00C57033" w:rsidP="00B40EB7">
      <w:pPr>
        <w:pStyle w:val="Prvn"/>
        <w:rPr>
          <w:rFonts w:cs="Times New Roman"/>
        </w:rPr>
      </w:pPr>
      <w:r w:rsidRPr="001E7829">
        <w:rPr>
          <w:rFonts w:cs="Times New Roman"/>
        </w:rPr>
        <w:t xml:space="preserve">V prvních letech po změně rámce monetární politiky se ČNB zaměřovala na cílování tzv. čisté inflace. Tu bychom mohli označit za podmnožinu celkové inflace očištěnou o administrativní opatření v podobě regulovaných cen a dopadů změn nepřímých daní. Jelikož v této době </w:t>
      </w:r>
      <w:r w:rsidR="00ED18DA" w:rsidRPr="001E7829">
        <w:rPr>
          <w:rFonts w:cs="Times New Roman"/>
        </w:rPr>
        <w:t>nebylo pro ČNB snadné</w:t>
      </w:r>
      <w:r w:rsidRPr="001E7829">
        <w:rPr>
          <w:rFonts w:cs="Times New Roman"/>
        </w:rPr>
        <w:t xml:space="preserve"> předvídat, jakým způsobem budou tato opatření uplatňována (především jak rychle a v jakém rozsahu budou prosazovány cenové deregulace), jevilo se s ohledem na nízký vliv monetární politiky na tuto část spotřebního koše cílování </w:t>
      </w:r>
      <w:r w:rsidR="008D2AD7" w:rsidRPr="001E7829">
        <w:rPr>
          <w:rFonts w:cs="Times New Roman"/>
        </w:rPr>
        <w:t>čisté inflace jako praktičtější než cílování inflace celkové.</w:t>
      </w:r>
      <w:r w:rsidR="008D2AD7" w:rsidRPr="001E7829">
        <w:rPr>
          <w:rStyle w:val="Znakapoznpodarou"/>
          <w:rFonts w:cs="Times New Roman"/>
        </w:rPr>
        <w:footnoteReference w:id="131"/>
      </w:r>
    </w:p>
    <w:p w:rsidR="00515A22" w:rsidRPr="001E7829" w:rsidRDefault="008D2AD7" w:rsidP="000756F7">
      <w:pPr>
        <w:pStyle w:val="Druh"/>
        <w:rPr>
          <w:rFonts w:cs="Times New Roman"/>
        </w:rPr>
      </w:pPr>
      <w:r w:rsidRPr="001E7829">
        <w:rPr>
          <w:rFonts w:cs="Times New Roman"/>
        </w:rPr>
        <w:t>Zároveň došlo ke změně transmisního mechanismu, kdy operativním kritériem se stala krátkodobá úroková míra, zatímco od zprostředkujícího kritéria měnového agregátu M2 bylo upuštěno.</w:t>
      </w:r>
      <w:r w:rsidRPr="001E7829">
        <w:rPr>
          <w:rStyle w:val="Znakapoznpodarou"/>
          <w:rFonts w:cs="Times New Roman"/>
        </w:rPr>
        <w:footnoteReference w:id="132"/>
      </w:r>
      <w:r w:rsidR="00BB1AEB" w:rsidRPr="001E7829">
        <w:rPr>
          <w:rFonts w:cs="Times New Roman"/>
        </w:rPr>
        <w:t xml:space="preserve"> Pro rok 1998 bylo určeno cílové pásmo inflace v rozsahu 6 % ± 0,5 procentního bodu a současně byl stanoven střednědobý cíl pro rok 2000 v podobě in</w:t>
      </w:r>
      <w:r w:rsidR="00E631D3" w:rsidRPr="001E7829">
        <w:rPr>
          <w:rFonts w:cs="Times New Roman"/>
        </w:rPr>
        <w:t>tervalu 4,5 % ± 1 procentní bod.</w:t>
      </w:r>
      <w:r w:rsidR="00ED18DA" w:rsidRPr="001E7829">
        <w:rPr>
          <w:rFonts w:cs="Times New Roman"/>
        </w:rPr>
        <w:t xml:space="preserve"> </w:t>
      </w:r>
      <w:r w:rsidR="00E631D3" w:rsidRPr="001E7829">
        <w:rPr>
          <w:rFonts w:cs="Times New Roman"/>
        </w:rPr>
        <w:t>B</w:t>
      </w:r>
      <w:r w:rsidR="00BB1AEB" w:rsidRPr="001E7829">
        <w:rPr>
          <w:rFonts w:cs="Times New Roman"/>
        </w:rPr>
        <w:t>yla zde tedy snaha ČNB o mírnou dezinflaci.</w:t>
      </w:r>
      <w:r w:rsidR="00BB1AEB" w:rsidRPr="001E7829">
        <w:rPr>
          <w:rStyle w:val="Znakapoznpodarou"/>
          <w:rFonts w:cs="Times New Roman"/>
        </w:rPr>
        <w:footnoteReference w:id="133"/>
      </w:r>
      <w:r w:rsidR="00BB1AEB" w:rsidRPr="001E7829">
        <w:rPr>
          <w:rFonts w:cs="Times New Roman"/>
        </w:rPr>
        <w:t xml:space="preserve"> Vlivem různých faktorů, o kterých budu detailněji hovořit v kapitole věnované analýze účinnosti monetární politiky ČNB</w:t>
      </w:r>
      <w:r w:rsidR="00515A22" w:rsidRPr="001E7829">
        <w:rPr>
          <w:rFonts w:cs="Times New Roman"/>
        </w:rPr>
        <w:t xml:space="preserve">, se však tyto cílové hodnoty ukázaly jako příliš vysoké a skutečná dezinflace </w:t>
      </w:r>
      <w:r w:rsidR="00515A22" w:rsidRPr="001E7829">
        <w:rPr>
          <w:rFonts w:cs="Times New Roman"/>
        </w:rPr>
        <w:lastRenderedPageBreak/>
        <w:t>byla po celé období mnohem rychlejší a hodnoty čisté inflace nižší než centrální banka očekávala.</w:t>
      </w:r>
      <w:r w:rsidR="00515A22" w:rsidRPr="001E7829">
        <w:rPr>
          <w:rStyle w:val="Znakapoznpodarou"/>
          <w:rFonts w:cs="Times New Roman"/>
        </w:rPr>
        <w:footnoteReference w:id="134"/>
      </w:r>
    </w:p>
    <w:p w:rsidR="006263BD" w:rsidRPr="001E7829" w:rsidRDefault="00515A22" w:rsidP="000756F7">
      <w:pPr>
        <w:pStyle w:val="Druh"/>
        <w:rPr>
          <w:rFonts w:cs="Times New Roman"/>
        </w:rPr>
      </w:pPr>
      <w:r w:rsidRPr="001E7829">
        <w:rPr>
          <w:rFonts w:cs="Times New Roman"/>
        </w:rPr>
        <w:t>Během krátkého období cílování čisté inflace byla monetární politika ČNB převážně expanzivní, kdy docházelo ke kontinuálnímu poklesu všech úrokových sazeb i sazby povinných minimálních rezerv.</w:t>
      </w:r>
      <w:r w:rsidR="00005E49" w:rsidRPr="001E7829">
        <w:rPr>
          <w:rStyle w:val="Znakapoznpodarou"/>
          <w:rFonts w:cs="Times New Roman"/>
        </w:rPr>
        <w:footnoteReference w:id="135"/>
      </w:r>
      <w:r w:rsidRPr="001E7829">
        <w:rPr>
          <w:rFonts w:cs="Times New Roman"/>
        </w:rPr>
        <w:t xml:space="preserve">  I v důsledku toho byl v těchto letech zaznamenán hospodářský růst</w:t>
      </w:r>
      <w:r w:rsidR="00005E49" w:rsidRPr="001E7829">
        <w:rPr>
          <w:rFonts w:cs="Times New Roman"/>
        </w:rPr>
        <w:t>. Současně ale přišla depreciace koruny, na kterou ČNB v roce 2000 reagovala dev</w:t>
      </w:r>
      <w:r w:rsidR="0042557E" w:rsidRPr="001E7829">
        <w:rPr>
          <w:rFonts w:cs="Times New Roman"/>
        </w:rPr>
        <w:t>i</w:t>
      </w:r>
      <w:r w:rsidR="00005E49" w:rsidRPr="001E7829">
        <w:rPr>
          <w:rFonts w:cs="Times New Roman"/>
        </w:rPr>
        <w:t>zovými intervencemi, kterými nastartovala trend zhodnocování měny.</w:t>
      </w:r>
      <w:r w:rsidR="00005E49" w:rsidRPr="001E7829">
        <w:rPr>
          <w:rStyle w:val="Znakapoznpodarou"/>
          <w:rFonts w:cs="Times New Roman"/>
        </w:rPr>
        <w:footnoteReference w:id="136"/>
      </w:r>
    </w:p>
    <w:p w:rsidR="00005E49" w:rsidRPr="001E7829" w:rsidRDefault="00005E49" w:rsidP="00BD1081">
      <w:pPr>
        <w:pStyle w:val="411"/>
        <w:rPr>
          <w:rFonts w:cs="Times New Roman"/>
        </w:rPr>
      </w:pPr>
      <w:bookmarkStart w:id="61" w:name="_Toc444083238"/>
      <w:bookmarkStart w:id="62" w:name="_Toc444516069"/>
      <w:bookmarkStart w:id="63" w:name="_Toc446604213"/>
      <w:r w:rsidRPr="001E7829">
        <w:rPr>
          <w:rFonts w:cs="Times New Roman"/>
        </w:rPr>
        <w:t>Etapa cílování celkové inflace (2001 – současnost)</w:t>
      </w:r>
      <w:bookmarkEnd w:id="61"/>
      <w:bookmarkEnd w:id="62"/>
      <w:bookmarkEnd w:id="63"/>
    </w:p>
    <w:p w:rsidR="00F87BD5" w:rsidRPr="001E7829" w:rsidRDefault="00254D62" w:rsidP="00B40EB7">
      <w:pPr>
        <w:pStyle w:val="Prvn"/>
        <w:rPr>
          <w:rFonts w:cs="Times New Roman"/>
        </w:rPr>
      </w:pPr>
      <w:r w:rsidRPr="001E7829">
        <w:rPr>
          <w:rFonts w:cs="Times New Roman"/>
        </w:rPr>
        <w:t>V dubnu 2001 rozhodla ČNB o upuštění od cílování čisté inflace a přechodu k cílování inflace celkové.</w:t>
      </w:r>
      <w:r w:rsidR="00FC5F81" w:rsidRPr="001E7829">
        <w:rPr>
          <w:rFonts w:cs="Times New Roman"/>
        </w:rPr>
        <w:t xml:space="preserve"> Důvodem tohoto kroku byla jednak snaha o zvýšení tra</w:t>
      </w:r>
      <w:r w:rsidR="00ED18DA" w:rsidRPr="001E7829">
        <w:rPr>
          <w:rFonts w:cs="Times New Roman"/>
        </w:rPr>
        <w:t>nsparentnosti prognóz ČNB, které</w:t>
      </w:r>
      <w:r w:rsidR="00FC5F81" w:rsidRPr="001E7829">
        <w:rPr>
          <w:rFonts w:cs="Times New Roman"/>
        </w:rPr>
        <w:t xml:space="preserve"> by umožnil</w:t>
      </w:r>
      <w:r w:rsidR="00ED18DA" w:rsidRPr="001E7829">
        <w:rPr>
          <w:rFonts w:cs="Times New Roman"/>
        </w:rPr>
        <w:t>o</w:t>
      </w:r>
      <w:r w:rsidR="00FC5F81" w:rsidRPr="001E7829">
        <w:rPr>
          <w:rFonts w:cs="Times New Roman"/>
        </w:rPr>
        <w:t xml:space="preserve"> bance efektivněji využít inflační očekávání subjektů ku prospěchu své monetární politiky, a také negativní zkušenosti s cílováním čisté inflace. Ta zachycovala změnu na asi 82 % spotřebního koše</w:t>
      </w:r>
      <w:r w:rsidR="00991C12" w:rsidRPr="001E7829">
        <w:rPr>
          <w:rFonts w:cs="Times New Roman"/>
        </w:rPr>
        <w:t>,</w:t>
      </w:r>
      <w:r w:rsidR="00FC5F81" w:rsidRPr="001E7829">
        <w:rPr>
          <w:rStyle w:val="Znakapoznpodarou"/>
          <w:rFonts w:cs="Times New Roman"/>
        </w:rPr>
        <w:footnoteReference w:id="137"/>
      </w:r>
      <w:r w:rsidR="00FC5F81" w:rsidRPr="001E7829">
        <w:rPr>
          <w:rFonts w:cs="Times New Roman"/>
        </w:rPr>
        <w:t xml:space="preserve"> jelikož ale byly inflační cíle pravidelně „</w:t>
      </w:r>
      <w:proofErr w:type="spellStart"/>
      <w:r w:rsidR="00FC5F81" w:rsidRPr="001E7829">
        <w:rPr>
          <w:rFonts w:cs="Times New Roman"/>
        </w:rPr>
        <w:t>podstřelovány</w:t>
      </w:r>
      <w:proofErr w:type="spellEnd"/>
      <w:r w:rsidR="00FC5F81" w:rsidRPr="001E7829">
        <w:rPr>
          <w:rFonts w:cs="Times New Roman"/>
        </w:rPr>
        <w:t>“, ukázalo se, že celková inflace je pro cílování vhodnější.</w:t>
      </w:r>
      <w:r w:rsidR="00FC5F81" w:rsidRPr="001E7829">
        <w:rPr>
          <w:rStyle w:val="Znakapoznpodarou"/>
          <w:rFonts w:cs="Times New Roman"/>
        </w:rPr>
        <w:footnoteReference w:id="138"/>
      </w:r>
    </w:p>
    <w:p w:rsidR="00F87BD5" w:rsidRPr="001E7829" w:rsidRDefault="00F87BD5" w:rsidP="000756F7">
      <w:pPr>
        <w:pStyle w:val="Druh"/>
        <w:rPr>
          <w:rFonts w:cs="Times New Roman"/>
        </w:rPr>
      </w:pPr>
      <w:r w:rsidRPr="001E7829">
        <w:rPr>
          <w:rFonts w:cs="Times New Roman"/>
        </w:rPr>
        <w:t>Zároveň byl také přijat první inflační cíl, a to v podobě lineárně klesajícího pásma začínající v lednu 2002 na 3 – 5 % a kon</w:t>
      </w:r>
      <w:r w:rsidR="004E7289" w:rsidRPr="001E7829">
        <w:rPr>
          <w:rFonts w:cs="Times New Roman"/>
        </w:rPr>
        <w:t>čícíh</w:t>
      </w:r>
      <w:r w:rsidR="00ED18DA" w:rsidRPr="001E7829">
        <w:rPr>
          <w:rFonts w:cs="Times New Roman"/>
        </w:rPr>
        <w:t>o v prosinci 2005 na 2 – </w:t>
      </w:r>
      <w:r w:rsidR="004E7289" w:rsidRPr="001E7829">
        <w:rPr>
          <w:rFonts w:cs="Times New Roman"/>
        </w:rPr>
        <w:t>4 </w:t>
      </w:r>
      <w:r w:rsidRPr="001E7829">
        <w:rPr>
          <w:rFonts w:cs="Times New Roman"/>
        </w:rPr>
        <w:t>%.</w:t>
      </w:r>
      <w:r w:rsidR="00220CF2" w:rsidRPr="001E7829">
        <w:rPr>
          <w:rStyle w:val="Znakapoznpodarou"/>
          <w:rFonts w:cs="Times New Roman"/>
        </w:rPr>
        <w:footnoteReference w:id="139"/>
      </w:r>
      <w:r w:rsidR="00220CF2" w:rsidRPr="001E7829">
        <w:rPr>
          <w:rFonts w:cs="Times New Roman"/>
        </w:rPr>
        <w:t xml:space="preserve"> V březnu 2004 byl pak definován nový cíl platný od roku 2006 v podobě pásma 3 % ± 1 %</w:t>
      </w:r>
      <w:r w:rsidR="00220CF2" w:rsidRPr="001E7829">
        <w:rPr>
          <w:rStyle w:val="Znakapoznpodarou"/>
          <w:rFonts w:cs="Times New Roman"/>
        </w:rPr>
        <w:footnoteReference w:id="140"/>
      </w:r>
      <w:r w:rsidR="000D0ED4" w:rsidRPr="001E7829">
        <w:rPr>
          <w:rFonts w:cs="Times New Roman"/>
        </w:rPr>
        <w:t xml:space="preserve"> </w:t>
      </w:r>
      <w:r w:rsidR="004A5560" w:rsidRPr="001E7829">
        <w:rPr>
          <w:rFonts w:cs="Times New Roman"/>
        </w:rPr>
        <w:t>a v březnu 2007 pak cíl platný od roku 2010, kde</w:t>
      </w:r>
      <w:r w:rsidR="00C4761B" w:rsidRPr="001E7829">
        <w:rPr>
          <w:rFonts w:cs="Times New Roman"/>
        </w:rPr>
        <w:t xml:space="preserve"> cílové</w:t>
      </w:r>
      <w:r w:rsidR="004A5560" w:rsidRPr="001E7829">
        <w:rPr>
          <w:rFonts w:cs="Times New Roman"/>
        </w:rPr>
        <w:t xml:space="preserve"> pásmo kleslo na 2 % ± 1 %.</w:t>
      </w:r>
      <w:r w:rsidR="004A5560" w:rsidRPr="001E7829">
        <w:rPr>
          <w:rStyle w:val="Znakapoznpodarou"/>
          <w:rFonts w:cs="Times New Roman"/>
        </w:rPr>
        <w:footnoteReference w:id="141"/>
      </w:r>
    </w:p>
    <w:p w:rsidR="00134D7F" w:rsidRPr="001E7829" w:rsidRDefault="00134D7F" w:rsidP="000756F7">
      <w:pPr>
        <w:pStyle w:val="Druh"/>
        <w:rPr>
          <w:rFonts w:cs="Times New Roman"/>
        </w:rPr>
      </w:pPr>
      <w:r w:rsidRPr="001E7829">
        <w:rPr>
          <w:rFonts w:cs="Times New Roman"/>
        </w:rPr>
        <w:lastRenderedPageBreak/>
        <w:t>ČNB zahájila etapu cílování celkové inflace monetární expanzí, kterou udržovala až do roku 2006 (s výjimkou roku 2004, kdy úrokové sazby naopak mírně rostly).</w:t>
      </w:r>
      <w:r w:rsidR="0020514B" w:rsidRPr="001E7829">
        <w:rPr>
          <w:rFonts w:cs="Times New Roman"/>
        </w:rPr>
        <w:t xml:space="preserve"> Důvodem bylo pokračující zhodnocování kurzu koruny vyvolané nárůste</w:t>
      </w:r>
      <w:r w:rsidR="00ED18DA" w:rsidRPr="001E7829">
        <w:rPr>
          <w:rFonts w:cs="Times New Roman"/>
        </w:rPr>
        <w:t>m přílivu zahraničního kapitálu</w:t>
      </w:r>
      <w:r w:rsidR="0020514B" w:rsidRPr="001E7829">
        <w:rPr>
          <w:rFonts w:cs="Times New Roman"/>
        </w:rPr>
        <w:t xml:space="preserve"> a s ním související dezinflační tlaky, které rovněž přinutily ČNB intervenovat na dev</w:t>
      </w:r>
      <w:r w:rsidR="00765A28" w:rsidRPr="001E7829">
        <w:rPr>
          <w:rFonts w:cs="Times New Roman"/>
        </w:rPr>
        <w:t>i</w:t>
      </w:r>
      <w:r w:rsidR="0020514B" w:rsidRPr="001E7829">
        <w:rPr>
          <w:rFonts w:cs="Times New Roman"/>
        </w:rPr>
        <w:t>zovém trhu.</w:t>
      </w:r>
      <w:r w:rsidRPr="001E7829">
        <w:rPr>
          <w:rFonts w:cs="Times New Roman"/>
        </w:rPr>
        <w:t xml:space="preserve"> V únoru 2001 bylo rozhodnutím bankovní rady stanoveno, že diskontní sazba a lombardní sazba budou do budoucna odvozovány od hodnoty 2T </w:t>
      </w:r>
      <w:proofErr w:type="spellStart"/>
      <w:r w:rsidR="004E7289" w:rsidRPr="001E7829">
        <w:rPr>
          <w:rFonts w:cs="Times New Roman"/>
        </w:rPr>
        <w:t>repo</w:t>
      </w:r>
      <w:proofErr w:type="spellEnd"/>
      <w:r w:rsidRPr="001E7829">
        <w:rPr>
          <w:rFonts w:cs="Times New Roman"/>
        </w:rPr>
        <w:t xml:space="preserve"> sazby, a to tak,</w:t>
      </w:r>
      <w:r w:rsidR="00874033" w:rsidRPr="001E7829">
        <w:rPr>
          <w:rFonts w:cs="Times New Roman"/>
        </w:rPr>
        <w:t xml:space="preserve"> že</w:t>
      </w:r>
      <w:r w:rsidRPr="001E7829">
        <w:rPr>
          <w:rFonts w:cs="Times New Roman"/>
        </w:rPr>
        <w:t xml:space="preserve"> diskontní sazba bude o 1 procentní bod nižší a lombardní sazba o 1 procentní bod vyšší než 2T </w:t>
      </w:r>
      <w:proofErr w:type="spellStart"/>
      <w:r w:rsidRPr="001E7829">
        <w:rPr>
          <w:rFonts w:cs="Times New Roman"/>
        </w:rPr>
        <w:t>repo</w:t>
      </w:r>
      <w:proofErr w:type="spellEnd"/>
      <w:r w:rsidRPr="001E7829">
        <w:rPr>
          <w:rFonts w:cs="Times New Roman"/>
        </w:rPr>
        <w:t xml:space="preserve"> sazba.</w:t>
      </w:r>
    </w:p>
    <w:p w:rsidR="0020514B" w:rsidRPr="001E7829" w:rsidRDefault="0020514B" w:rsidP="000756F7">
      <w:pPr>
        <w:pStyle w:val="Druh"/>
        <w:rPr>
          <w:rFonts w:cs="Times New Roman"/>
        </w:rPr>
      </w:pPr>
      <w:r w:rsidRPr="001E7829">
        <w:rPr>
          <w:rFonts w:cs="Times New Roman"/>
        </w:rPr>
        <w:t xml:space="preserve">První léta tohoto období </w:t>
      </w:r>
      <w:r w:rsidR="00F322DE" w:rsidRPr="001E7829">
        <w:rPr>
          <w:rFonts w:cs="Times New Roman"/>
        </w:rPr>
        <w:t>byla ovlivněna očekávaným vstupem České republiky do</w:t>
      </w:r>
      <w:r w:rsidR="00017B46" w:rsidRPr="001E7829">
        <w:rPr>
          <w:rFonts w:cs="Times New Roman"/>
        </w:rPr>
        <w:t xml:space="preserve"> Evropské unie a</w:t>
      </w:r>
      <w:r w:rsidR="00874033" w:rsidRPr="001E7829">
        <w:rPr>
          <w:rFonts w:cs="Times New Roman"/>
        </w:rPr>
        <w:t xml:space="preserve"> e</w:t>
      </w:r>
      <w:r w:rsidR="00F322DE" w:rsidRPr="001E7829">
        <w:rPr>
          <w:rFonts w:cs="Times New Roman"/>
        </w:rPr>
        <w:t xml:space="preserve">urozóny. </w:t>
      </w:r>
      <w:r w:rsidR="00017B46" w:rsidRPr="001E7829">
        <w:rPr>
          <w:rFonts w:cs="Times New Roman"/>
        </w:rPr>
        <w:t xml:space="preserve">Byly vytvořeny koncepční dokumenty </w:t>
      </w:r>
      <w:r w:rsidR="00017B46" w:rsidRPr="001E7829">
        <w:rPr>
          <w:rFonts w:cs="Times New Roman"/>
          <w:i/>
        </w:rPr>
        <w:t>Česká republika a euro – návrh strategie přistoupení</w:t>
      </w:r>
      <w:r w:rsidR="00017B46" w:rsidRPr="001E7829">
        <w:rPr>
          <w:rFonts w:cs="Times New Roman"/>
        </w:rPr>
        <w:t xml:space="preserve"> a </w:t>
      </w:r>
      <w:r w:rsidR="00017B46" w:rsidRPr="001E7829">
        <w:rPr>
          <w:rFonts w:cs="Times New Roman"/>
          <w:i/>
        </w:rPr>
        <w:t>Strategie přistoupení České republiky k eurozóně</w:t>
      </w:r>
      <w:r w:rsidR="00017B46" w:rsidRPr="001E7829">
        <w:rPr>
          <w:rFonts w:cs="Times New Roman"/>
        </w:rPr>
        <w:t>, které v základních obrysech řešily proces přistoupení, identifikovaly z něj plynoucí pozitivní důsledky a výhody, ale i rizika, kterým ČR v souvislosti se vstupem měla čelit.</w:t>
      </w:r>
    </w:p>
    <w:p w:rsidR="00F165D3" w:rsidRPr="001E7829" w:rsidRDefault="00CA19FE" w:rsidP="000756F7">
      <w:pPr>
        <w:pStyle w:val="Druh"/>
        <w:rPr>
          <w:rFonts w:cs="Times New Roman"/>
        </w:rPr>
      </w:pPr>
      <w:r w:rsidRPr="001E7829">
        <w:rPr>
          <w:rFonts w:cs="Times New Roman"/>
        </w:rPr>
        <w:t xml:space="preserve">Výkon české ekonomiky zpočátku </w:t>
      </w:r>
      <w:r w:rsidR="0003333D" w:rsidRPr="001E7829">
        <w:rPr>
          <w:rFonts w:cs="Times New Roman"/>
        </w:rPr>
        <w:t>procházel útlumem v důsledku zmrazení úvěrové aktivity navazu</w:t>
      </w:r>
      <w:r w:rsidR="00046AE6" w:rsidRPr="001E7829">
        <w:rPr>
          <w:rFonts w:cs="Times New Roman"/>
        </w:rPr>
        <w:t>jícího na krizi úvěrových portfo</w:t>
      </w:r>
      <w:r w:rsidR="0003333D" w:rsidRPr="001E7829">
        <w:rPr>
          <w:rFonts w:cs="Times New Roman"/>
        </w:rPr>
        <w:t>lií největších českých bank.</w:t>
      </w:r>
      <w:r w:rsidR="00893410" w:rsidRPr="001E7829">
        <w:rPr>
          <w:rStyle w:val="Znakapoznpodarou"/>
          <w:rFonts w:cs="Times New Roman"/>
        </w:rPr>
        <w:footnoteReference w:id="142"/>
      </w:r>
      <w:r w:rsidRPr="001E7829">
        <w:rPr>
          <w:rFonts w:cs="Times New Roman"/>
        </w:rPr>
        <w:t xml:space="preserve"> Situace se zlepšila v roce 2004, kdy se začalo tempo růstu HDP opět zvyšovat, a v okamžiku vstupu ČR do EU vykazovala ekonomika v tomto ohledu ve srovnání s ostatními přistupujícími státy nadprůměrné hodnoty. Nicméně od roku 2007 se začal trend znovu obracet</w:t>
      </w:r>
      <w:r w:rsidR="000D1E97" w:rsidRPr="001E7829">
        <w:rPr>
          <w:rFonts w:cs="Times New Roman"/>
        </w:rPr>
        <w:t>, a to v důsledku přicházející světové finanční</w:t>
      </w:r>
      <w:r w:rsidR="002F5C6B" w:rsidRPr="001E7829">
        <w:rPr>
          <w:rFonts w:cs="Times New Roman"/>
        </w:rPr>
        <w:t xml:space="preserve"> a hospodářské</w:t>
      </w:r>
      <w:r w:rsidR="000D1E97" w:rsidRPr="001E7829">
        <w:rPr>
          <w:rFonts w:cs="Times New Roman"/>
        </w:rPr>
        <w:t xml:space="preserve"> krize</w:t>
      </w:r>
      <w:r w:rsidR="00893410" w:rsidRPr="001E7829">
        <w:rPr>
          <w:rFonts w:cs="Times New Roman"/>
        </w:rPr>
        <w:t>, která byla do ČR importována zejména poklesem zahraniční poptávky</w:t>
      </w:r>
      <w:r w:rsidR="00F165D3" w:rsidRPr="001E7829">
        <w:rPr>
          <w:rFonts w:cs="Times New Roman"/>
        </w:rPr>
        <w:t xml:space="preserve"> a tedy objemů zahraničního obchodu</w:t>
      </w:r>
      <w:r w:rsidR="000D1E97" w:rsidRPr="001E7829">
        <w:rPr>
          <w:rFonts w:cs="Times New Roman"/>
        </w:rPr>
        <w:t xml:space="preserve">. </w:t>
      </w:r>
      <w:r w:rsidR="00F165D3" w:rsidRPr="001E7829">
        <w:rPr>
          <w:rFonts w:cs="Times New Roman"/>
        </w:rPr>
        <w:t xml:space="preserve">Krize na </w:t>
      </w:r>
      <w:r w:rsidR="000D1E97" w:rsidRPr="001E7829">
        <w:rPr>
          <w:rFonts w:cs="Times New Roman"/>
        </w:rPr>
        <w:t>tuzemskou ekonomiku naplno dolehla v roce 2009, kdy dokonce poprvé od roku 1998 došlo k zá</w:t>
      </w:r>
      <w:r w:rsidR="00692AE4" w:rsidRPr="001E7829">
        <w:rPr>
          <w:rFonts w:cs="Times New Roman"/>
        </w:rPr>
        <w:t>porné meziroční změně HDP (-</w:t>
      </w:r>
      <w:r w:rsidR="00893410" w:rsidRPr="001E7829">
        <w:rPr>
          <w:rFonts w:cs="Times New Roman"/>
        </w:rPr>
        <w:t xml:space="preserve">4,1 %). Ta sice přibližně odpovídala hospodářskému poklesu ve zbytku EU, nicméně po předchozím </w:t>
      </w:r>
      <w:r w:rsidR="00893410" w:rsidRPr="001E7829">
        <w:rPr>
          <w:rFonts w:cs="Times New Roman"/>
        </w:rPr>
        <w:lastRenderedPageBreak/>
        <w:t>výrazném růstu padala česká ekonomika z vyšší předchozí dynamiky než většina ostatních zemí. Dopady krize zde tedy byly tvrdší.</w:t>
      </w:r>
      <w:r w:rsidR="00F165D3" w:rsidRPr="001E7829">
        <w:rPr>
          <w:rStyle w:val="Znakapoznpodarou"/>
          <w:rFonts w:cs="Times New Roman"/>
        </w:rPr>
        <w:footnoteReference w:id="143"/>
      </w:r>
    </w:p>
    <w:p w:rsidR="00107DBA" w:rsidRPr="001E7829" w:rsidRDefault="00F165D3" w:rsidP="000756F7">
      <w:pPr>
        <w:pStyle w:val="Druh"/>
        <w:rPr>
          <w:rFonts w:cs="Times New Roman"/>
        </w:rPr>
      </w:pPr>
      <w:r w:rsidRPr="001E7829">
        <w:rPr>
          <w:rFonts w:cs="Times New Roman"/>
        </w:rPr>
        <w:t xml:space="preserve">ČNB na krizi reagovala výraznou monetární expanzí ve snaze </w:t>
      </w:r>
      <w:r w:rsidR="00066DB8" w:rsidRPr="001E7829">
        <w:rPr>
          <w:rFonts w:cs="Times New Roman"/>
        </w:rPr>
        <w:t>potlačit panující deflaci, zlevnit peníze, a tím povzbudit agregátní poptávku.</w:t>
      </w:r>
      <w:r w:rsidR="00066DB8" w:rsidRPr="001E7829">
        <w:rPr>
          <w:rStyle w:val="Znakapoznpodarou"/>
          <w:rFonts w:cs="Times New Roman"/>
        </w:rPr>
        <w:footnoteReference w:id="144"/>
      </w:r>
      <w:r w:rsidR="00991C12" w:rsidRPr="001E7829">
        <w:rPr>
          <w:rFonts w:cs="Times New Roman"/>
        </w:rPr>
        <w:t xml:space="preserve"> V roce 2009 tak 2T </w:t>
      </w:r>
      <w:proofErr w:type="spellStart"/>
      <w:r w:rsidR="00991C12" w:rsidRPr="001E7829">
        <w:rPr>
          <w:rFonts w:cs="Times New Roman"/>
        </w:rPr>
        <w:t>repo</w:t>
      </w:r>
      <w:proofErr w:type="spellEnd"/>
      <w:r w:rsidR="00991C12" w:rsidRPr="001E7829">
        <w:rPr>
          <w:rFonts w:cs="Times New Roman"/>
        </w:rPr>
        <w:t xml:space="preserve"> sazba klesla až k jednomu procentu</w:t>
      </w:r>
      <w:r w:rsidR="00066DB8" w:rsidRPr="001E7829">
        <w:rPr>
          <w:rFonts w:cs="Times New Roman"/>
        </w:rPr>
        <w:t xml:space="preserve"> a v roce 2010 dokonce na 0,75 % procenta.</w:t>
      </w:r>
      <w:r w:rsidR="006A28BB" w:rsidRPr="001E7829">
        <w:rPr>
          <w:rFonts w:cs="Times New Roman"/>
        </w:rPr>
        <w:t xml:space="preserve"> </w:t>
      </w:r>
      <w:r w:rsidR="00107DBA" w:rsidRPr="001E7829">
        <w:rPr>
          <w:rFonts w:cs="Times New Roman"/>
        </w:rPr>
        <w:t>V roce 2010 se začala ekonomika povzbuzená další monetární expanzí pomalu zotavovat, tento pozitivní vývoj však netrval dlouho, neboť světová finanční a hospodářská krize byla pozvol</w:t>
      </w:r>
      <w:r w:rsidR="00874033" w:rsidRPr="001E7829">
        <w:rPr>
          <w:rFonts w:cs="Times New Roman"/>
        </w:rPr>
        <w:t>na vystřídána dluhovou krizí v e</w:t>
      </w:r>
      <w:r w:rsidR="00107DBA" w:rsidRPr="001E7829">
        <w:rPr>
          <w:rFonts w:cs="Times New Roman"/>
        </w:rPr>
        <w:t>urozóně, kdy do problémů se dostalo především Řecko, Irsko a státy jižní Evropy. V důsledku nepříznivého zahraniční</w:t>
      </w:r>
      <w:r w:rsidR="00F76AE3" w:rsidRPr="001E7829">
        <w:rPr>
          <w:rFonts w:cs="Times New Roman"/>
        </w:rPr>
        <w:t>ho</w:t>
      </w:r>
      <w:r w:rsidR="00107DBA" w:rsidRPr="001E7829">
        <w:rPr>
          <w:rFonts w:cs="Times New Roman"/>
        </w:rPr>
        <w:t xml:space="preserve"> vývoje a nutnosti konsolidace domácích veřejných rozpočtů se dostal výkon české ekonomiky znovu do útlumu a ČNB tak byla nucena klíčové úrokové sazby dále snižovat</w:t>
      </w:r>
      <w:r w:rsidR="006A0F1D" w:rsidRPr="001E7829">
        <w:rPr>
          <w:rFonts w:cs="Times New Roman"/>
        </w:rPr>
        <w:t xml:space="preserve">, a to až na úroveň technického minima 2T </w:t>
      </w:r>
      <w:proofErr w:type="spellStart"/>
      <w:r w:rsidR="006A0F1D" w:rsidRPr="001E7829">
        <w:rPr>
          <w:rFonts w:cs="Times New Roman"/>
        </w:rPr>
        <w:t>repo</w:t>
      </w:r>
      <w:proofErr w:type="spellEnd"/>
      <w:r w:rsidR="006A0F1D" w:rsidRPr="001E7829">
        <w:rPr>
          <w:rFonts w:cs="Times New Roman"/>
        </w:rPr>
        <w:t xml:space="preserve"> sazby v hodnotě 0,05 %, na které sazba poklesla ke konci roku 2012. </w:t>
      </w:r>
      <w:r w:rsidR="0083683F" w:rsidRPr="001E7829">
        <w:rPr>
          <w:rFonts w:cs="Times New Roman"/>
        </w:rPr>
        <w:t xml:space="preserve">Za neustávajícího rizika deflace tak </w:t>
      </w:r>
      <w:r w:rsidR="006A28BB" w:rsidRPr="001E7829">
        <w:rPr>
          <w:rFonts w:cs="Times New Roman"/>
        </w:rPr>
        <w:t>B</w:t>
      </w:r>
      <w:r w:rsidR="006A0F1D" w:rsidRPr="001E7829">
        <w:rPr>
          <w:rFonts w:cs="Times New Roman"/>
        </w:rPr>
        <w:t>anka ztratila možnost k další stimulaci ekonomiky využívat diskontní nástroje a začala se proto zaměřovat na měnový kurz.</w:t>
      </w:r>
      <w:r w:rsidR="0083683F" w:rsidRPr="001E7829">
        <w:rPr>
          <w:rStyle w:val="Znakapoznpodarou"/>
          <w:rFonts w:cs="Times New Roman"/>
        </w:rPr>
        <w:footnoteReference w:id="145"/>
      </w:r>
      <w:r w:rsidR="006A0F1D" w:rsidRPr="001E7829">
        <w:rPr>
          <w:rFonts w:cs="Times New Roman"/>
        </w:rPr>
        <w:t xml:space="preserve"> V listopadu 2013 přijala ČNB závazek udržovat kurz poblíž hladiny 27</w:t>
      </w:r>
      <w:r w:rsidR="004F3912" w:rsidRPr="001E7829">
        <w:rPr>
          <w:rFonts w:cs="Times New Roman"/>
        </w:rPr>
        <w:t> </w:t>
      </w:r>
      <w:r w:rsidR="006A0F1D" w:rsidRPr="001E7829">
        <w:rPr>
          <w:rFonts w:cs="Times New Roman"/>
        </w:rPr>
        <w:t>CZK/EUR, což prakticky znamená, že s pomocí dev</w:t>
      </w:r>
      <w:r w:rsidR="00765A28" w:rsidRPr="001E7829">
        <w:rPr>
          <w:rFonts w:cs="Times New Roman"/>
        </w:rPr>
        <w:t>i</w:t>
      </w:r>
      <w:r w:rsidR="006A0F1D" w:rsidRPr="001E7829">
        <w:rPr>
          <w:rFonts w:cs="Times New Roman"/>
        </w:rPr>
        <w:t xml:space="preserve">zových intervencí zamezí </w:t>
      </w:r>
      <w:r w:rsidR="0083683F" w:rsidRPr="001E7829">
        <w:rPr>
          <w:rFonts w:cs="Times New Roman"/>
        </w:rPr>
        <w:t>posilování kurzu koruny ve všech případech, kdy</w:t>
      </w:r>
      <w:r w:rsidR="00874033" w:rsidRPr="001E7829">
        <w:rPr>
          <w:rFonts w:cs="Times New Roman"/>
        </w:rPr>
        <w:t xml:space="preserve"> je</w:t>
      </w:r>
      <w:r w:rsidR="0083683F" w:rsidRPr="001E7829">
        <w:rPr>
          <w:rFonts w:cs="Times New Roman"/>
        </w:rPr>
        <w:t xml:space="preserve"> možné jej interpretovat jako opuštění této úrovně. Při oslabování naopak neintervenuje, ale ponechává kurz volnému vývoji </w:t>
      </w:r>
      <w:r w:rsidR="00765A28" w:rsidRPr="001E7829">
        <w:rPr>
          <w:rFonts w:cs="Times New Roman"/>
        </w:rPr>
        <w:t>podle nabídky a poptávky na devi</w:t>
      </w:r>
      <w:r w:rsidR="0083683F" w:rsidRPr="001E7829">
        <w:rPr>
          <w:rFonts w:cs="Times New Roman"/>
        </w:rPr>
        <w:t>zovém trhu.</w:t>
      </w:r>
      <w:r w:rsidR="00E8234E" w:rsidRPr="001E7829">
        <w:rPr>
          <w:rStyle w:val="Znakapoznpodarou"/>
          <w:rFonts w:cs="Times New Roman"/>
        </w:rPr>
        <w:footnoteReference w:id="146"/>
      </w:r>
    </w:p>
    <w:p w:rsidR="00E8234E" w:rsidRPr="001E7829" w:rsidRDefault="00E8234E" w:rsidP="000756F7">
      <w:pPr>
        <w:pStyle w:val="Druh"/>
        <w:rPr>
          <w:rFonts w:cs="Times New Roman"/>
        </w:rPr>
      </w:pPr>
      <w:r w:rsidRPr="001E7829">
        <w:rPr>
          <w:rFonts w:cs="Times New Roman"/>
        </w:rPr>
        <w:t>V roce 2014 bylo již riziko deflace zažehnáno a došlo také ke zrychlení ekonomického růstu. ČNB nicméně obnovila kurzový závazek v dosavadní výši, neboť hodnoty inflace byly z důvodu útlum</w:t>
      </w:r>
      <w:r w:rsidR="00F76AE3" w:rsidRPr="001E7829">
        <w:rPr>
          <w:rFonts w:cs="Times New Roman"/>
        </w:rPr>
        <w:t>u</w:t>
      </w:r>
      <w:r w:rsidRPr="001E7829">
        <w:rPr>
          <w:rFonts w:cs="Times New Roman"/>
        </w:rPr>
        <w:t xml:space="preserve"> zahranič</w:t>
      </w:r>
      <w:r w:rsidR="00991C12" w:rsidRPr="001E7829">
        <w:rPr>
          <w:rFonts w:cs="Times New Roman"/>
        </w:rPr>
        <w:t xml:space="preserve">ního cenového vývoje, </w:t>
      </w:r>
      <w:r w:rsidRPr="001E7829">
        <w:rPr>
          <w:rFonts w:cs="Times New Roman"/>
        </w:rPr>
        <w:t xml:space="preserve">především cen ropy, stále na příliš nízké úrovni. Zároveň deklarovala, že je připravena závazek posunout na úroveň ještě slabšího kurzu, pokud by se měly deflační tlaky obnovit. Stejně učinila i </w:t>
      </w:r>
      <w:r w:rsidR="00991C12" w:rsidRPr="001E7829">
        <w:rPr>
          <w:rFonts w:cs="Times New Roman"/>
        </w:rPr>
        <w:t>na začátku roku 2016</w:t>
      </w:r>
      <w:r w:rsidR="002E751A" w:rsidRPr="001E7829">
        <w:rPr>
          <w:rFonts w:cs="Times New Roman"/>
        </w:rPr>
        <w:t xml:space="preserve"> a současně znovu </w:t>
      </w:r>
      <w:r w:rsidR="002E751A" w:rsidRPr="001E7829">
        <w:rPr>
          <w:rFonts w:cs="Times New Roman"/>
        </w:rPr>
        <w:lastRenderedPageBreak/>
        <w:t>rozhodla o ponechání úrokových sazeb na stávající úrovni</w:t>
      </w:r>
      <w:r w:rsidR="00AD5160" w:rsidRPr="001E7829">
        <w:rPr>
          <w:rFonts w:cs="Times New Roman"/>
        </w:rPr>
        <w:t xml:space="preserve"> s tím, že používání měnového kurzu pro účely monetární expanze nebude ukončeno dříve než v roce 2017</w:t>
      </w:r>
      <w:r w:rsidR="002E751A" w:rsidRPr="001E7829">
        <w:rPr>
          <w:rFonts w:cs="Times New Roman"/>
        </w:rPr>
        <w:t>.</w:t>
      </w:r>
      <w:r w:rsidR="00675AE3" w:rsidRPr="001E7829">
        <w:rPr>
          <w:rStyle w:val="Znakapoznpodarou"/>
          <w:rFonts w:cs="Times New Roman"/>
        </w:rPr>
        <w:footnoteReference w:id="147"/>
      </w:r>
    </w:p>
    <w:p w:rsidR="00147DD8" w:rsidRPr="001E7829" w:rsidRDefault="00071429" w:rsidP="00147DD8">
      <w:pPr>
        <w:pStyle w:val="31"/>
        <w:rPr>
          <w:rFonts w:cs="Times New Roman"/>
        </w:rPr>
      </w:pPr>
      <w:bookmarkStart w:id="64" w:name="_Toc444516070"/>
      <w:bookmarkStart w:id="65" w:name="_Toc446604214"/>
      <w:r w:rsidRPr="001E7829">
        <w:rPr>
          <w:rFonts w:cs="Times New Roman"/>
        </w:rPr>
        <w:t>Nástroje využívané ČNB a jejich vývoj</w:t>
      </w:r>
      <w:bookmarkEnd w:id="64"/>
      <w:bookmarkEnd w:id="65"/>
    </w:p>
    <w:p w:rsidR="00DC4E02" w:rsidRPr="001E7829" w:rsidRDefault="00DC4E02" w:rsidP="00B40EB7">
      <w:pPr>
        <w:pStyle w:val="Prvn"/>
        <w:rPr>
          <w:rFonts w:cs="Times New Roman"/>
        </w:rPr>
      </w:pPr>
      <w:r w:rsidRPr="001E7829">
        <w:rPr>
          <w:rFonts w:cs="Times New Roman"/>
        </w:rPr>
        <w:t>Nejdůležitějším měnově-politickým nástroj</w:t>
      </w:r>
      <w:r w:rsidR="004E31C3" w:rsidRPr="001E7829">
        <w:rPr>
          <w:rFonts w:cs="Times New Roman"/>
        </w:rPr>
        <w:t>em</w:t>
      </w:r>
      <w:r w:rsidRPr="001E7829">
        <w:rPr>
          <w:rFonts w:cs="Times New Roman"/>
        </w:rPr>
        <w:t xml:space="preserve"> ČNB se postupně staly operace na volném trhu a s nimi související </w:t>
      </w:r>
      <w:proofErr w:type="spellStart"/>
      <w:r w:rsidRPr="001E7829">
        <w:rPr>
          <w:rFonts w:cs="Times New Roman"/>
        </w:rPr>
        <w:t>repo</w:t>
      </w:r>
      <w:proofErr w:type="spellEnd"/>
      <w:r w:rsidRPr="001E7829">
        <w:rPr>
          <w:rFonts w:cs="Times New Roman"/>
        </w:rPr>
        <w:t xml:space="preserve"> sazba.</w:t>
      </w:r>
      <w:r w:rsidR="00A04A95" w:rsidRPr="001E7829">
        <w:rPr>
          <w:rStyle w:val="Znakapoznpodarou"/>
          <w:rFonts w:cs="Times New Roman"/>
        </w:rPr>
        <w:footnoteReference w:id="148"/>
      </w:r>
      <w:r w:rsidRPr="001E7829">
        <w:rPr>
          <w:rFonts w:cs="Times New Roman"/>
        </w:rPr>
        <w:t xml:space="preserve"> Operace lze v pojetí ČNB rozdělit na tzv. hlavní měnový nástroj, doplňkový měnový nástroj a nástroje jemného ladění. Hlavním nástrojem jsou </w:t>
      </w:r>
      <w:proofErr w:type="spellStart"/>
      <w:r w:rsidRPr="001E7829">
        <w:rPr>
          <w:rFonts w:cs="Times New Roman"/>
        </w:rPr>
        <w:t>repo</w:t>
      </w:r>
      <w:proofErr w:type="spellEnd"/>
      <w:r w:rsidRPr="001E7829">
        <w:rPr>
          <w:rFonts w:cs="Times New Roman"/>
        </w:rPr>
        <w:t xml:space="preserve"> tendry s dobou trvání 14 dní. Dvoutýdenní </w:t>
      </w:r>
      <w:proofErr w:type="spellStart"/>
      <w:r w:rsidRPr="001E7829">
        <w:rPr>
          <w:rFonts w:cs="Times New Roman"/>
        </w:rPr>
        <w:t>repo</w:t>
      </w:r>
      <w:proofErr w:type="spellEnd"/>
      <w:r w:rsidRPr="001E7829">
        <w:rPr>
          <w:rFonts w:cs="Times New Roman"/>
        </w:rPr>
        <w:t xml:space="preserve"> sazba je základní sazbou v české ekonomice, kterou vyhlašuje bankovní rada jako maximální sazbu, za kterou komerčním bankám půjčí vlastní cenné papíry. Od ní se odvíjí výše diskontní a lombardní sazby způsobem, který byl uveden výše. </w:t>
      </w:r>
      <w:r w:rsidR="00396010" w:rsidRPr="001E7829">
        <w:rPr>
          <w:rFonts w:cs="Times New Roman"/>
        </w:rPr>
        <w:t xml:space="preserve">Doplňkový nástroj má formu tříměsíčního </w:t>
      </w:r>
      <w:proofErr w:type="spellStart"/>
      <w:r w:rsidR="00396010" w:rsidRPr="001E7829">
        <w:rPr>
          <w:rFonts w:cs="Times New Roman"/>
        </w:rPr>
        <w:t>repo</w:t>
      </w:r>
      <w:proofErr w:type="spellEnd"/>
      <w:r w:rsidR="00396010" w:rsidRPr="001E7829">
        <w:rPr>
          <w:rFonts w:cs="Times New Roman"/>
        </w:rPr>
        <w:t xml:space="preserve"> tendru, pro který ČNB využívá aktuální úrokovou sazbu peněžního trhu. V současné době je však tato varianta operací na volném trhu neaktivní, poslední tendr tohoto druhu totiž Banka vypsala v roce 2001. Nástroje jemného ladění používá Banka v individuálních případech, zejména při ohrožení likvidity trhu a stability úrokových sazeb. Z jejich povahy tedy plyne, že k nim ČNB přistupuje spíše výjimečně.</w:t>
      </w:r>
      <w:r w:rsidR="00A04A95" w:rsidRPr="001E7829">
        <w:rPr>
          <w:rStyle w:val="Znakapoznpodarou"/>
          <w:rFonts w:cs="Times New Roman"/>
        </w:rPr>
        <w:footnoteReference w:id="149"/>
      </w:r>
    </w:p>
    <w:p w:rsidR="00147DD8" w:rsidRPr="001E7829" w:rsidRDefault="00DC4E02" w:rsidP="00DC4E02">
      <w:pPr>
        <w:pStyle w:val="Druh"/>
        <w:rPr>
          <w:rFonts w:cs="Times New Roman"/>
        </w:rPr>
      </w:pPr>
      <w:r w:rsidRPr="001E7829">
        <w:rPr>
          <w:rFonts w:cs="Times New Roman"/>
        </w:rPr>
        <w:t>Diskontní nástroje ve formě úvěrů nejsou v České republice příliš významným nástrojem, neboť komerční banky drží poměrně vysoké rezervy.</w:t>
      </w:r>
      <w:r w:rsidR="00A04A95" w:rsidRPr="001E7829">
        <w:rPr>
          <w:rStyle w:val="Znakapoznpodarou"/>
          <w:rFonts w:cs="Times New Roman"/>
        </w:rPr>
        <w:footnoteReference w:id="150"/>
      </w:r>
      <w:r w:rsidR="004E31C3" w:rsidRPr="001E7829">
        <w:rPr>
          <w:rFonts w:cs="Times New Roman"/>
        </w:rPr>
        <w:t xml:space="preserve"> </w:t>
      </w:r>
      <w:r w:rsidR="00C00781" w:rsidRPr="001E7829">
        <w:rPr>
          <w:rFonts w:cs="Times New Roman"/>
        </w:rPr>
        <w:t xml:space="preserve">V praxi ČNB spadají tyto nástroje pod tzv. automatické </w:t>
      </w:r>
      <w:proofErr w:type="spellStart"/>
      <w:r w:rsidR="00C00781" w:rsidRPr="001E7829">
        <w:rPr>
          <w:rFonts w:cs="Times New Roman"/>
        </w:rPr>
        <w:t>facility</w:t>
      </w:r>
      <w:proofErr w:type="spellEnd"/>
      <w:r w:rsidR="00C00781" w:rsidRPr="001E7829">
        <w:rPr>
          <w:rFonts w:cs="Times New Roman"/>
        </w:rPr>
        <w:t xml:space="preserve">, které mají podobu buď depozitní </w:t>
      </w:r>
      <w:proofErr w:type="spellStart"/>
      <w:r w:rsidR="00C00781" w:rsidRPr="001E7829">
        <w:rPr>
          <w:rFonts w:cs="Times New Roman"/>
        </w:rPr>
        <w:t>facility</w:t>
      </w:r>
      <w:proofErr w:type="spellEnd"/>
      <w:r w:rsidR="00C00781" w:rsidRPr="001E7829">
        <w:rPr>
          <w:rFonts w:cs="Times New Roman"/>
        </w:rPr>
        <w:t xml:space="preserve">, při nichž ukládají banky u ČNB přes noc svou přebytečnou likviditu, anebo marginální zápůjční </w:t>
      </w:r>
      <w:proofErr w:type="spellStart"/>
      <w:r w:rsidR="00C00781" w:rsidRPr="001E7829">
        <w:rPr>
          <w:rFonts w:cs="Times New Roman"/>
        </w:rPr>
        <w:t>facility</w:t>
      </w:r>
      <w:proofErr w:type="spellEnd"/>
      <w:r w:rsidR="00C00781" w:rsidRPr="001E7829">
        <w:rPr>
          <w:rFonts w:cs="Times New Roman"/>
        </w:rPr>
        <w:t xml:space="preserve">, která naopak bankám umožňuje si přes noc zapůjčit likviditu formou </w:t>
      </w:r>
      <w:proofErr w:type="spellStart"/>
      <w:r w:rsidR="00C00781" w:rsidRPr="001E7829">
        <w:rPr>
          <w:rFonts w:cs="Times New Roman"/>
        </w:rPr>
        <w:t>repo</w:t>
      </w:r>
      <w:proofErr w:type="spellEnd"/>
      <w:r w:rsidR="00C00781" w:rsidRPr="001E7829">
        <w:rPr>
          <w:rFonts w:cs="Times New Roman"/>
        </w:rPr>
        <w:t xml:space="preserve"> operace (z důvodu přebytku likvidity mezi bankami na českém trhu je však využívána zřídka). Depozitní </w:t>
      </w:r>
      <w:proofErr w:type="spellStart"/>
      <w:r w:rsidR="00C00781" w:rsidRPr="001E7829">
        <w:rPr>
          <w:rFonts w:cs="Times New Roman"/>
        </w:rPr>
        <w:t>facilita</w:t>
      </w:r>
      <w:proofErr w:type="spellEnd"/>
      <w:r w:rsidR="00C00781" w:rsidRPr="001E7829">
        <w:rPr>
          <w:rFonts w:cs="Times New Roman"/>
        </w:rPr>
        <w:t xml:space="preserve"> je úročena diskontní sazbou, marginální zápůjční </w:t>
      </w:r>
      <w:proofErr w:type="spellStart"/>
      <w:r w:rsidR="00C00781" w:rsidRPr="001E7829">
        <w:rPr>
          <w:rFonts w:cs="Times New Roman"/>
        </w:rPr>
        <w:t>facilita</w:t>
      </w:r>
      <w:proofErr w:type="spellEnd"/>
      <w:r w:rsidR="00C00781" w:rsidRPr="001E7829">
        <w:rPr>
          <w:rFonts w:cs="Times New Roman"/>
        </w:rPr>
        <w:t xml:space="preserve"> lombardní </w:t>
      </w:r>
      <w:r w:rsidR="00C00781" w:rsidRPr="001E7829">
        <w:rPr>
          <w:rFonts w:cs="Times New Roman"/>
        </w:rPr>
        <w:lastRenderedPageBreak/>
        <w:t>sazbou.</w:t>
      </w:r>
      <w:r w:rsidR="005958BA" w:rsidRPr="001E7829">
        <w:rPr>
          <w:rFonts w:cs="Times New Roman"/>
        </w:rPr>
        <w:t xml:space="preserve"> </w:t>
      </w:r>
      <w:r w:rsidR="00C00781" w:rsidRPr="001E7829">
        <w:rPr>
          <w:rFonts w:cs="Times New Roman"/>
        </w:rPr>
        <w:t xml:space="preserve">V roce 2008 začala Banka využívat také tzv. mimořádné </w:t>
      </w:r>
      <w:proofErr w:type="spellStart"/>
      <w:r w:rsidR="00C00781" w:rsidRPr="001E7829">
        <w:rPr>
          <w:rFonts w:cs="Times New Roman"/>
        </w:rPr>
        <w:t>facility</w:t>
      </w:r>
      <w:proofErr w:type="spellEnd"/>
      <w:r w:rsidR="00C00781" w:rsidRPr="001E7829">
        <w:rPr>
          <w:rFonts w:cs="Times New Roman"/>
        </w:rPr>
        <w:t>, kterými se snaží podpořit trh se státními dluhopisy.</w:t>
      </w:r>
      <w:r w:rsidR="00A04A95" w:rsidRPr="001E7829">
        <w:rPr>
          <w:rStyle w:val="Znakapoznpodarou"/>
          <w:rFonts w:cs="Times New Roman"/>
        </w:rPr>
        <w:footnoteReference w:id="151"/>
      </w:r>
    </w:p>
    <w:p w:rsidR="00E9199D" w:rsidRPr="001E7829" w:rsidRDefault="009B018D" w:rsidP="00DC4E02">
      <w:pPr>
        <w:pStyle w:val="Druh"/>
        <w:rPr>
          <w:rFonts w:cs="Times New Roman"/>
        </w:rPr>
      </w:pPr>
      <w:r w:rsidRPr="001E7829">
        <w:rPr>
          <w:rFonts w:cs="Times New Roman"/>
        </w:rPr>
        <w:t>Kurzové intervence byly důležitým nástrojem v režimu fixního kurzu, který vyžadoval, aby jich ČNB využívala k udržení kurzu ve stanoveném pásmu.</w:t>
      </w:r>
      <w:r w:rsidR="00A04A95" w:rsidRPr="001E7829">
        <w:rPr>
          <w:rStyle w:val="Znakapoznpodarou"/>
          <w:rFonts w:cs="Times New Roman"/>
        </w:rPr>
        <w:footnoteReference w:id="152"/>
      </w:r>
      <w:r w:rsidR="00074540" w:rsidRPr="001E7829">
        <w:rPr>
          <w:rFonts w:cs="Times New Roman"/>
        </w:rPr>
        <w:t xml:space="preserve"> V této souvislosti lze zmínit tzv. sterilizační operace, které se neřadí mezi tradičně uváděné nástroje měnové politiky, jde však o opatření, která byla Bankou poměrně hojně používána v období, kdy se do české ekonomiky dostávalo velké množství zahraničního kapitálu. ČNB se snažila situaci čelit pomocí výkupu dev</w:t>
      </w:r>
      <w:r w:rsidR="00765A28" w:rsidRPr="001E7829">
        <w:rPr>
          <w:rFonts w:cs="Times New Roman"/>
        </w:rPr>
        <w:t>i</w:t>
      </w:r>
      <w:r w:rsidR="00074540" w:rsidRPr="001E7829">
        <w:rPr>
          <w:rFonts w:cs="Times New Roman"/>
        </w:rPr>
        <w:t>z od komerčních bank a peníze v české měně, které tím uvedla do oběhu, následně sterilizovala. Prakticky to znamenalo snahu o stažení vzniklé přebytečné likvidity</w:t>
      </w:r>
      <w:r w:rsidR="00B85601" w:rsidRPr="001E7829">
        <w:rPr>
          <w:rFonts w:cs="Times New Roman"/>
        </w:rPr>
        <w:t xml:space="preserve"> vydáváním a prodejem státních pokladničních poukázek.</w:t>
      </w:r>
      <w:r w:rsidR="004E31C3" w:rsidRPr="001E7829">
        <w:rPr>
          <w:rFonts w:cs="Times New Roman"/>
        </w:rPr>
        <w:t xml:space="preserve"> </w:t>
      </w:r>
      <w:r w:rsidR="00B85601" w:rsidRPr="001E7829">
        <w:rPr>
          <w:rFonts w:cs="Times New Roman"/>
        </w:rPr>
        <w:t>Provádění těchto operací však bylo pro Banku nákladné a v konečném důsledku přílivu zahraničního kapitálu nezabránilo.</w:t>
      </w:r>
      <w:r w:rsidR="00A04A95" w:rsidRPr="001E7829">
        <w:rPr>
          <w:rStyle w:val="Znakapoznpodarou"/>
          <w:rFonts w:cs="Times New Roman"/>
        </w:rPr>
        <w:footnoteReference w:id="153"/>
      </w:r>
    </w:p>
    <w:p w:rsidR="009B018D" w:rsidRPr="001E7829" w:rsidRDefault="009B018D" w:rsidP="00DC4E02">
      <w:pPr>
        <w:pStyle w:val="Druh"/>
        <w:rPr>
          <w:rFonts w:cs="Times New Roman"/>
        </w:rPr>
      </w:pPr>
      <w:r w:rsidRPr="001E7829">
        <w:rPr>
          <w:rFonts w:cs="Times New Roman"/>
        </w:rPr>
        <w:t xml:space="preserve">Po přechodu na řízený </w:t>
      </w:r>
      <w:proofErr w:type="spellStart"/>
      <w:r w:rsidRPr="001E7829">
        <w:rPr>
          <w:rFonts w:cs="Times New Roman"/>
        </w:rPr>
        <w:t>floating</w:t>
      </w:r>
      <w:proofErr w:type="spellEnd"/>
      <w:r w:rsidRPr="001E7829">
        <w:rPr>
          <w:rFonts w:cs="Times New Roman"/>
        </w:rPr>
        <w:t xml:space="preserve"> se význam intervencí snížil, avšak v současné době, kdy se Banka rozhodla a</w:t>
      </w:r>
      <w:r w:rsidR="00B84B97" w:rsidRPr="001E7829">
        <w:rPr>
          <w:rFonts w:cs="Times New Roman"/>
        </w:rPr>
        <w:t>ktivně využívat kurz jako měnově-politický</w:t>
      </w:r>
      <w:r w:rsidRPr="001E7829">
        <w:rPr>
          <w:rFonts w:cs="Times New Roman"/>
        </w:rPr>
        <w:t xml:space="preserve"> nástroj, opět nabývají na důležitosti. V případě vstupu ČR do kurzového </w:t>
      </w:r>
      <w:r w:rsidR="00B84B97" w:rsidRPr="001E7829">
        <w:rPr>
          <w:rFonts w:cs="Times New Roman"/>
        </w:rPr>
        <w:t>mechanismu</w:t>
      </w:r>
      <w:r w:rsidRPr="001E7829">
        <w:rPr>
          <w:rFonts w:cs="Times New Roman"/>
        </w:rPr>
        <w:t xml:space="preserve"> ERM II, který je jednou z podmínek přijetí eura jako národní měny, by musela být koruna nejméně po dva roky fixována vůči euru s fluktuačním pásmem ± 15</w:t>
      </w:r>
      <w:r w:rsidR="0052715A" w:rsidRPr="001E7829">
        <w:rPr>
          <w:rFonts w:cs="Times New Roman"/>
        </w:rPr>
        <w:t xml:space="preserve"> </w:t>
      </w:r>
      <w:r w:rsidRPr="001E7829">
        <w:rPr>
          <w:rFonts w:cs="Times New Roman"/>
        </w:rPr>
        <w:t>%. Intervence by se tak znovu staly jedním z klíčových nástrojů.</w:t>
      </w:r>
      <w:r w:rsidR="00A04A95" w:rsidRPr="001E7829">
        <w:rPr>
          <w:rStyle w:val="Znakapoznpodarou"/>
          <w:rFonts w:cs="Times New Roman"/>
        </w:rPr>
        <w:footnoteReference w:id="154"/>
      </w:r>
    </w:p>
    <w:p w:rsidR="00C00781" w:rsidRPr="001E7829" w:rsidRDefault="009B018D" w:rsidP="00DC4E02">
      <w:pPr>
        <w:pStyle w:val="Druh"/>
        <w:rPr>
          <w:rFonts w:cs="Times New Roman"/>
        </w:rPr>
      </w:pPr>
      <w:r w:rsidRPr="001E7829">
        <w:rPr>
          <w:rFonts w:cs="Times New Roman"/>
        </w:rPr>
        <w:t xml:space="preserve">Povinné minimální rezervy </w:t>
      </w:r>
      <w:r w:rsidR="00FB46F3" w:rsidRPr="001E7829">
        <w:rPr>
          <w:rFonts w:cs="Times New Roman"/>
        </w:rPr>
        <w:t>hrály poměrně výraznou roli během měnové odluky. V současné době již ČNB změnu jejich výše jako nástroje nevyužívá (k poslední úpravě došlo v roce 1999).</w:t>
      </w:r>
      <w:r w:rsidR="001C0AB3" w:rsidRPr="001E7829">
        <w:rPr>
          <w:rFonts w:cs="Times New Roman"/>
        </w:rPr>
        <w:t xml:space="preserve"> Rovněž přímé nástroje jsou v praxi využívány </w:t>
      </w:r>
      <w:r w:rsidR="00F76AE3" w:rsidRPr="001E7829">
        <w:rPr>
          <w:rFonts w:cs="Times New Roman"/>
        </w:rPr>
        <w:t>spíše výjimečně</w:t>
      </w:r>
      <w:r w:rsidR="001C0AB3" w:rsidRPr="001E7829">
        <w:rPr>
          <w:rFonts w:cs="Times New Roman"/>
        </w:rPr>
        <w:t xml:space="preserve"> a dá se říci, že jejich ambicí je spíše zajistit určitou kvalitu bankovního sektoru.</w:t>
      </w:r>
      <w:r w:rsidR="00A04A95" w:rsidRPr="001E7829">
        <w:rPr>
          <w:rStyle w:val="Znakapoznpodarou"/>
          <w:rFonts w:cs="Times New Roman"/>
        </w:rPr>
        <w:footnoteReference w:id="155"/>
      </w:r>
    </w:p>
    <w:p w:rsidR="00BD1081" w:rsidRPr="001E7829" w:rsidRDefault="00BD1081" w:rsidP="0062089E">
      <w:pPr>
        <w:pStyle w:val="31"/>
        <w:rPr>
          <w:rFonts w:cs="Times New Roman"/>
        </w:rPr>
      </w:pPr>
      <w:bookmarkStart w:id="66" w:name="_Toc444516071"/>
      <w:bookmarkStart w:id="67" w:name="_Toc446604215"/>
      <w:r w:rsidRPr="001E7829">
        <w:rPr>
          <w:rFonts w:cs="Times New Roman"/>
        </w:rPr>
        <w:lastRenderedPageBreak/>
        <w:t>Analýza účinnosti monetární politiky ČNB</w:t>
      </w:r>
      <w:bookmarkEnd w:id="66"/>
      <w:bookmarkEnd w:id="67"/>
    </w:p>
    <w:p w:rsidR="00BD1081" w:rsidRPr="001E7829" w:rsidRDefault="00BD1081" w:rsidP="00BD1081">
      <w:pPr>
        <w:pStyle w:val="431"/>
        <w:rPr>
          <w:rFonts w:cs="Times New Roman"/>
        </w:rPr>
      </w:pPr>
      <w:bookmarkStart w:id="68" w:name="_Toc444083239"/>
      <w:bookmarkStart w:id="69" w:name="_Toc444516072"/>
      <w:bookmarkStart w:id="70" w:name="_Toc446604216"/>
      <w:r w:rsidRPr="001E7829">
        <w:rPr>
          <w:rFonts w:cs="Times New Roman"/>
        </w:rPr>
        <w:t>Naplňování hlavního cíle ČNB</w:t>
      </w:r>
      <w:bookmarkEnd w:id="68"/>
      <w:bookmarkEnd w:id="69"/>
      <w:bookmarkEnd w:id="70"/>
    </w:p>
    <w:p w:rsidR="00A07B74" w:rsidRPr="001E7829" w:rsidRDefault="003D65A9" w:rsidP="00B40EB7">
      <w:pPr>
        <w:pStyle w:val="Prvn"/>
        <w:rPr>
          <w:rFonts w:cs="Times New Roman"/>
        </w:rPr>
      </w:pPr>
      <w:r w:rsidRPr="001E7829">
        <w:rPr>
          <w:rFonts w:cs="Times New Roman"/>
        </w:rPr>
        <w:t>Hlavní cíl ČNB je v současné době Ústavou</w:t>
      </w:r>
      <w:r w:rsidR="002602D8" w:rsidRPr="001E7829">
        <w:rPr>
          <w:rFonts w:cs="Times New Roman"/>
        </w:rPr>
        <w:t xml:space="preserve"> a </w:t>
      </w:r>
      <w:r w:rsidR="002D71FA" w:rsidRPr="001E7829">
        <w:rPr>
          <w:rFonts w:cs="Times New Roman"/>
        </w:rPr>
        <w:t>ZČNB</w:t>
      </w:r>
      <w:r w:rsidRPr="001E7829">
        <w:rPr>
          <w:rFonts w:cs="Times New Roman"/>
        </w:rPr>
        <w:t xml:space="preserve"> definován jako péče o cenovou stabilitu. Podle právní úpravy by pak monetární politika měla směřovat právě k naplňování tohoto cíle, a teprve jsou-li další cíle v souladu s hlavním, může banka usilovat i o jejich naplnění.</w:t>
      </w:r>
      <w:r w:rsidRPr="001E7829">
        <w:rPr>
          <w:rStyle w:val="Znakapoznpodarou"/>
          <w:rFonts w:cs="Times New Roman"/>
        </w:rPr>
        <w:footnoteReference w:id="156"/>
      </w:r>
      <w:r w:rsidRPr="001E7829">
        <w:rPr>
          <w:rFonts w:cs="Times New Roman"/>
        </w:rPr>
        <w:t xml:space="preserve"> V této části práce se zaměřím na analýzu toho, zda byl</w:t>
      </w:r>
      <w:r w:rsidR="00A07B74" w:rsidRPr="001E7829">
        <w:rPr>
          <w:rFonts w:cs="Times New Roman"/>
        </w:rPr>
        <w:t>o</w:t>
      </w:r>
      <w:r w:rsidRPr="001E7829">
        <w:rPr>
          <w:rFonts w:cs="Times New Roman"/>
        </w:rPr>
        <w:t xml:space="preserve"> hlavní</w:t>
      </w:r>
      <w:r w:rsidR="00A07B74" w:rsidRPr="001E7829">
        <w:rPr>
          <w:rFonts w:cs="Times New Roman"/>
        </w:rPr>
        <w:t>ho</w:t>
      </w:r>
      <w:r w:rsidRPr="001E7829">
        <w:rPr>
          <w:rFonts w:cs="Times New Roman"/>
        </w:rPr>
        <w:t xml:space="preserve"> cíl</w:t>
      </w:r>
      <w:r w:rsidR="00A07B74" w:rsidRPr="001E7829">
        <w:rPr>
          <w:rFonts w:cs="Times New Roman"/>
        </w:rPr>
        <w:t>e</w:t>
      </w:r>
      <w:r w:rsidRPr="001E7829">
        <w:rPr>
          <w:rFonts w:cs="Times New Roman"/>
        </w:rPr>
        <w:t xml:space="preserve"> ČNB během její existence</w:t>
      </w:r>
      <w:r w:rsidR="00A07B74" w:rsidRPr="001E7829">
        <w:rPr>
          <w:rFonts w:cs="Times New Roman"/>
        </w:rPr>
        <w:t xml:space="preserve"> skutečně</w:t>
      </w:r>
      <w:r w:rsidR="004E31C3" w:rsidRPr="001E7829">
        <w:rPr>
          <w:rFonts w:cs="Times New Roman"/>
        </w:rPr>
        <w:t xml:space="preserve"> </w:t>
      </w:r>
      <w:r w:rsidR="00A07B74" w:rsidRPr="001E7829">
        <w:rPr>
          <w:rFonts w:cs="Times New Roman"/>
        </w:rPr>
        <w:t>dosahováno</w:t>
      </w:r>
      <w:r w:rsidRPr="001E7829">
        <w:rPr>
          <w:rFonts w:cs="Times New Roman"/>
        </w:rPr>
        <w:t xml:space="preserve">, jaké kroky a opatření </w:t>
      </w:r>
      <w:r w:rsidR="00A07B74" w:rsidRPr="001E7829">
        <w:rPr>
          <w:rFonts w:cs="Times New Roman"/>
        </w:rPr>
        <w:t xml:space="preserve">učinila </w:t>
      </w:r>
      <w:r w:rsidR="002D71FA" w:rsidRPr="001E7829">
        <w:rPr>
          <w:rFonts w:cs="Times New Roman"/>
        </w:rPr>
        <w:t>B</w:t>
      </w:r>
      <w:r w:rsidR="00A07B74" w:rsidRPr="001E7829">
        <w:rPr>
          <w:rFonts w:cs="Times New Roman"/>
        </w:rPr>
        <w:t>anka v případech, kdy cíl plněn nebyl či jeho neplnění hrozilo, a zda tyto měly zamýšlený efekt.</w:t>
      </w:r>
    </w:p>
    <w:p w:rsidR="00F1224F" w:rsidRPr="001E7829" w:rsidRDefault="00F1224F" w:rsidP="000756F7">
      <w:pPr>
        <w:pStyle w:val="Druh"/>
        <w:rPr>
          <w:rFonts w:cs="Times New Roman"/>
        </w:rPr>
      </w:pPr>
      <w:r w:rsidRPr="001E7829">
        <w:rPr>
          <w:rFonts w:cs="Times New Roman"/>
        </w:rPr>
        <w:t>Jelikož cenová stabilita nachází své praktické vyjádření v ukazateli míry inflace, vycházím z analýzy právě jeho hodnot</w:t>
      </w:r>
      <w:r w:rsidR="0018356C" w:rsidRPr="001E7829">
        <w:rPr>
          <w:rFonts w:cs="Times New Roman"/>
        </w:rPr>
        <w:t xml:space="preserve"> vůči vyhlášeným inflačním cílům ČNB</w:t>
      </w:r>
      <w:r w:rsidRPr="001E7829">
        <w:rPr>
          <w:rFonts w:cs="Times New Roman"/>
        </w:rPr>
        <w:t>.</w:t>
      </w:r>
      <w:r w:rsidR="00B84B97" w:rsidRPr="001E7829">
        <w:rPr>
          <w:rFonts w:cs="Times New Roman"/>
        </w:rPr>
        <w:t xml:space="preserve"> Charakter monetární politiky pak určuji zejména na základě změn v nastavení úrokových sazeb diskontních nástrojů.</w:t>
      </w:r>
      <w:r w:rsidRPr="001E7829">
        <w:rPr>
          <w:rFonts w:cs="Times New Roman"/>
        </w:rPr>
        <w:t xml:space="preserve"> Až do 1. 1. 2002 však byl hlavní cíl definován odlišně – jako péče o stabilitu české měny</w:t>
      </w:r>
      <w:r w:rsidR="00A42129" w:rsidRPr="001E7829">
        <w:rPr>
          <w:rStyle w:val="Znakapoznpodarou"/>
          <w:rFonts w:cs="Times New Roman"/>
        </w:rPr>
        <w:footnoteReference w:id="157"/>
      </w:r>
      <w:r w:rsidRPr="001E7829">
        <w:rPr>
          <w:rFonts w:cs="Times New Roman"/>
        </w:rPr>
        <w:t xml:space="preserve"> zahrnující jak vnitřní stabilitu v podobě stability cenové, tak vnější stabilitu vyjádřenou jako stabilita měnového kurzu vůči jiným měnám. </w:t>
      </w:r>
      <w:r w:rsidR="00A42129" w:rsidRPr="001E7829">
        <w:rPr>
          <w:rFonts w:cs="Times New Roman"/>
        </w:rPr>
        <w:t xml:space="preserve">Z tohoto důvodu rozšiřuji analýzu až do uvedeného data o </w:t>
      </w:r>
      <w:r w:rsidR="002D71FA" w:rsidRPr="001E7829">
        <w:rPr>
          <w:rFonts w:cs="Times New Roman"/>
        </w:rPr>
        <w:t>vývoj kurzu české koruny.</w:t>
      </w:r>
    </w:p>
    <w:p w:rsidR="00C70954" w:rsidRPr="001E7829" w:rsidRDefault="00AC4712" w:rsidP="000756F7">
      <w:pPr>
        <w:pStyle w:val="Druh"/>
        <w:rPr>
          <w:rFonts w:cs="Times New Roman"/>
        </w:rPr>
      </w:pPr>
      <w:r w:rsidRPr="001E7829">
        <w:rPr>
          <w:rFonts w:cs="Times New Roman"/>
        </w:rPr>
        <w:t xml:space="preserve">Jak již bylo řečeno v kapitole popisující vývoj </w:t>
      </w:r>
      <w:r w:rsidR="002D71FA" w:rsidRPr="001E7829">
        <w:rPr>
          <w:rFonts w:cs="Times New Roman"/>
        </w:rPr>
        <w:t>monetární politiky v ČR</w:t>
      </w:r>
      <w:r w:rsidRPr="001E7829">
        <w:rPr>
          <w:rFonts w:cs="Times New Roman"/>
        </w:rPr>
        <w:t xml:space="preserve"> a jak lze vidět v</w:t>
      </w:r>
      <w:r w:rsidR="002D71FA" w:rsidRPr="001E7829">
        <w:rPr>
          <w:rFonts w:cs="Times New Roman"/>
        </w:rPr>
        <w:t> grafu, který je součástí přílohy č. 2 této práce</w:t>
      </w:r>
      <w:r w:rsidRPr="001E7829">
        <w:rPr>
          <w:rFonts w:cs="Times New Roman"/>
        </w:rPr>
        <w:t xml:space="preserve">, v počátečních letech po vzniku samostatné české měny nebyly výrazné problémy s udržováním jejího stabilního kurzu vůči měnovému koši, ke kterému byla fixována. Nebyly zde výrazné </w:t>
      </w:r>
      <w:proofErr w:type="spellStart"/>
      <w:r w:rsidRPr="001E7829">
        <w:rPr>
          <w:rFonts w:cs="Times New Roman"/>
        </w:rPr>
        <w:t>d</w:t>
      </w:r>
      <w:r w:rsidR="00387CC4" w:rsidRPr="001E7829">
        <w:rPr>
          <w:rFonts w:cs="Times New Roman"/>
        </w:rPr>
        <w:t>epreciační</w:t>
      </w:r>
      <w:proofErr w:type="spellEnd"/>
      <w:r w:rsidR="00387CC4" w:rsidRPr="001E7829">
        <w:rPr>
          <w:rFonts w:cs="Times New Roman"/>
        </w:rPr>
        <w:t xml:space="preserve"> ani </w:t>
      </w:r>
      <w:proofErr w:type="spellStart"/>
      <w:r w:rsidR="00387CC4" w:rsidRPr="001E7829">
        <w:rPr>
          <w:rFonts w:cs="Times New Roman"/>
        </w:rPr>
        <w:t>apreciační</w:t>
      </w:r>
      <w:proofErr w:type="spellEnd"/>
      <w:r w:rsidR="00387CC4" w:rsidRPr="001E7829">
        <w:rPr>
          <w:rFonts w:cs="Times New Roman"/>
        </w:rPr>
        <w:t xml:space="preserve"> tlaky,</w:t>
      </w:r>
      <w:r w:rsidRPr="001E7829">
        <w:rPr>
          <w:rFonts w:cs="Times New Roman"/>
        </w:rPr>
        <w:t xml:space="preserve"> a tak byl kurz koruny stabilní, aniž by vyžadoval významných zásahů ze strany ČNB. První takový zásah přišel až v únoru roku 1996, kdy se ČNB rozhodla rozšířit fluktuační pásmo na ±</w:t>
      </w:r>
      <w:r w:rsidR="00BB15FB" w:rsidRPr="001E7829">
        <w:rPr>
          <w:rFonts w:cs="Times New Roman"/>
        </w:rPr>
        <w:t xml:space="preserve"> 7,5</w:t>
      </w:r>
      <w:r w:rsidR="0052715A" w:rsidRPr="001E7829">
        <w:rPr>
          <w:rFonts w:cs="Times New Roman"/>
        </w:rPr>
        <w:t xml:space="preserve"> </w:t>
      </w:r>
      <w:r w:rsidR="00BB15FB" w:rsidRPr="001E7829">
        <w:rPr>
          <w:rFonts w:cs="Times New Roman"/>
        </w:rPr>
        <w:t xml:space="preserve">% v reakci na příliv spekulativních investic ze zahraničí. </w:t>
      </w:r>
      <w:r w:rsidR="0010502C" w:rsidRPr="001E7829">
        <w:rPr>
          <w:rFonts w:cs="Times New Roman"/>
        </w:rPr>
        <w:t>Přínos tohoto opatření vidím zejména v tom, že přineslo ČNB větší autonomii v provádění monetární politiky, která byla během období s úzkým fluktuačním pásmem ± 0,5</w:t>
      </w:r>
      <w:r w:rsidR="0052715A" w:rsidRPr="001E7829">
        <w:rPr>
          <w:rFonts w:cs="Times New Roman"/>
        </w:rPr>
        <w:t xml:space="preserve"> </w:t>
      </w:r>
      <w:r w:rsidR="0010502C" w:rsidRPr="001E7829">
        <w:rPr>
          <w:rFonts w:cs="Times New Roman"/>
        </w:rPr>
        <w:t xml:space="preserve">% značně </w:t>
      </w:r>
      <w:r w:rsidR="0010502C" w:rsidRPr="001E7829">
        <w:rPr>
          <w:rFonts w:cs="Times New Roman"/>
        </w:rPr>
        <w:lastRenderedPageBreak/>
        <w:t>omezena.</w:t>
      </w:r>
      <w:r w:rsidR="0010502C" w:rsidRPr="001E7829">
        <w:rPr>
          <w:rStyle w:val="Znakapoznpodarou"/>
          <w:rFonts w:cs="Times New Roman"/>
        </w:rPr>
        <w:footnoteReference w:id="158"/>
      </w:r>
      <w:r w:rsidR="0010502C" w:rsidRPr="001E7829">
        <w:rPr>
          <w:rFonts w:cs="Times New Roman"/>
        </w:rPr>
        <w:t xml:space="preserve"> Jeho vliv na zamýšlený cíl – omezení přílivu zahraničního spekulativního kapitálu – však již nebyl tak jednoznačný. </w:t>
      </w:r>
      <w:r w:rsidR="0028143A" w:rsidRPr="001E7829">
        <w:rPr>
          <w:rFonts w:cs="Times New Roman"/>
        </w:rPr>
        <w:t>Dočasně sice došlo k jeho zpomalení, ve druhé polovině roku 1996 se ale negativní trend z období před tímto krokem částečně obnovil a přiliv zahraničního kapitálu se opět zvýšil.</w:t>
      </w:r>
      <w:r w:rsidR="0028143A" w:rsidRPr="001E7829">
        <w:rPr>
          <w:rStyle w:val="Znakapoznpodarou"/>
          <w:rFonts w:cs="Times New Roman"/>
        </w:rPr>
        <w:footnoteReference w:id="159"/>
      </w:r>
      <w:r w:rsidR="0028143A" w:rsidRPr="001E7829">
        <w:rPr>
          <w:rFonts w:cs="Times New Roman"/>
        </w:rPr>
        <w:t xml:space="preserve"> I dočasný pokles však stačil k</w:t>
      </w:r>
      <w:r w:rsidR="00B84B97" w:rsidRPr="001E7829">
        <w:rPr>
          <w:rFonts w:cs="Times New Roman"/>
        </w:rPr>
        <w:t> tomu, aby se zastavil růst dev</w:t>
      </w:r>
      <w:r w:rsidR="00765A28" w:rsidRPr="001E7829">
        <w:rPr>
          <w:rFonts w:cs="Times New Roman"/>
        </w:rPr>
        <w:t>i</w:t>
      </w:r>
      <w:r w:rsidR="0028143A" w:rsidRPr="001E7829">
        <w:rPr>
          <w:rFonts w:cs="Times New Roman"/>
        </w:rPr>
        <w:t xml:space="preserve">zových rezerv ČNB a zpomalil růst množství peněz v ekonomice. Tím se vytvořil schodek běžného účtu platební bilance, který nedlouho poté přispěl k měnové krizi a úplnému </w:t>
      </w:r>
      <w:r w:rsidR="00F76AE3" w:rsidRPr="001E7829">
        <w:rPr>
          <w:rFonts w:cs="Times New Roman"/>
        </w:rPr>
        <w:t>o</w:t>
      </w:r>
      <w:r w:rsidR="0028143A" w:rsidRPr="001E7829">
        <w:rPr>
          <w:rFonts w:cs="Times New Roman"/>
        </w:rPr>
        <w:t>puštění režimu fixního kurzu.</w:t>
      </w:r>
      <w:r w:rsidR="0071147B" w:rsidRPr="001E7829">
        <w:rPr>
          <w:rStyle w:val="Znakapoznpodarou"/>
          <w:rFonts w:cs="Times New Roman"/>
        </w:rPr>
        <w:footnoteReference w:id="160"/>
      </w:r>
    </w:p>
    <w:p w:rsidR="003247A7" w:rsidRPr="001E7829" w:rsidRDefault="00C70954" w:rsidP="000756F7">
      <w:pPr>
        <w:pStyle w:val="Druh"/>
        <w:rPr>
          <w:rFonts w:cs="Times New Roman"/>
        </w:rPr>
      </w:pPr>
      <w:r w:rsidRPr="001E7829">
        <w:rPr>
          <w:rFonts w:cs="Times New Roman"/>
        </w:rPr>
        <w:t>Poměrně negativně jsou mezi</w:t>
      </w:r>
      <w:r w:rsidR="00487E29" w:rsidRPr="001E7829">
        <w:rPr>
          <w:rFonts w:cs="Times New Roman"/>
        </w:rPr>
        <w:t xml:space="preserve"> některými</w:t>
      </w:r>
      <w:r w:rsidR="00B84B97" w:rsidRPr="001E7829">
        <w:rPr>
          <w:rFonts w:cs="Times New Roman"/>
        </w:rPr>
        <w:t xml:space="preserve"> odborníky vnímány rovněž dev</w:t>
      </w:r>
      <w:r w:rsidR="00765A28" w:rsidRPr="001E7829">
        <w:rPr>
          <w:rFonts w:cs="Times New Roman"/>
        </w:rPr>
        <w:t>i</w:t>
      </w:r>
      <w:r w:rsidRPr="001E7829">
        <w:rPr>
          <w:rFonts w:cs="Times New Roman"/>
        </w:rPr>
        <w:t>zové intervence, které ČNB prováděla od zavedení rozšířeného fluktuačního pásma až do vypuknutí měnové krize v květnu 1997.</w:t>
      </w:r>
      <w:r w:rsidR="00487E29" w:rsidRPr="001E7829">
        <w:rPr>
          <w:rFonts w:cs="Times New Roman"/>
        </w:rPr>
        <w:t xml:space="preserve"> Zejména ke konci tohoto období začal kurz koruny depreciovat, na což reagovala ČNB prodejem více než dvou miliard dolarů a stáhla tak z oběhu enormní množství českých korun. Nepodařilo se jí však zabránit vychýlení kurzu mimo fluktuační pásmo a navíc stát přišel až o pětinu devizových rezerv a 13</w:t>
      </w:r>
      <w:r w:rsidR="00387CC4" w:rsidRPr="001E7829">
        <w:rPr>
          <w:rFonts w:cs="Times New Roman"/>
        </w:rPr>
        <w:t xml:space="preserve"> </w:t>
      </w:r>
      <w:r w:rsidR="00487E29" w:rsidRPr="001E7829">
        <w:rPr>
          <w:rFonts w:cs="Times New Roman"/>
        </w:rPr>
        <w:t xml:space="preserve">% peněžní zásoby. To se promítlo do hospodářského poklesu. Podle některých názorů tak </w:t>
      </w:r>
      <w:r w:rsidR="0010584A" w:rsidRPr="001E7829">
        <w:rPr>
          <w:rFonts w:cs="Times New Roman"/>
        </w:rPr>
        <w:t>byla opatření ČNB neadekvátní a její činnost se dokonce stala jednou z hlavních příčin měnové krize</w:t>
      </w:r>
      <w:r w:rsidR="00487E29" w:rsidRPr="001E7829">
        <w:rPr>
          <w:rFonts w:cs="Times New Roman"/>
        </w:rPr>
        <w:t>.</w:t>
      </w:r>
      <w:r w:rsidR="00487E29" w:rsidRPr="001E7829">
        <w:rPr>
          <w:rStyle w:val="Znakapoznpodarou"/>
          <w:rFonts w:cs="Times New Roman"/>
        </w:rPr>
        <w:footnoteReference w:id="161"/>
      </w:r>
      <w:r w:rsidR="004E31C3" w:rsidRPr="001E7829">
        <w:rPr>
          <w:rFonts w:cs="Times New Roman"/>
        </w:rPr>
        <w:t xml:space="preserve"> </w:t>
      </w:r>
      <w:r w:rsidR="0010584A" w:rsidRPr="001E7829">
        <w:rPr>
          <w:rFonts w:cs="Times New Roman"/>
        </w:rPr>
        <w:t>Naproti tomu zaznívají hlasy, že samotnou měnovou krizi již</w:t>
      </w:r>
      <w:r w:rsidR="00E951C9" w:rsidRPr="001E7829">
        <w:rPr>
          <w:rFonts w:cs="Times New Roman"/>
        </w:rPr>
        <w:t xml:space="preserve"> státní orgány v čele s ČNB zvládly úspěšně v porovnání s jinými zeměmi, které prošly podobnou zkušeností. Kurz se </w:t>
      </w:r>
      <w:r w:rsidR="00F76AE3" w:rsidRPr="001E7829">
        <w:rPr>
          <w:rFonts w:cs="Times New Roman"/>
        </w:rPr>
        <w:t>ustálil</w:t>
      </w:r>
      <w:r w:rsidR="00E951C9" w:rsidRPr="001E7829">
        <w:rPr>
          <w:rFonts w:cs="Times New Roman"/>
        </w:rPr>
        <w:t xml:space="preserve"> okolo hladiny poblíž 10</w:t>
      </w:r>
      <w:r w:rsidR="00C06EA7" w:rsidRPr="001E7829">
        <w:rPr>
          <w:rFonts w:cs="Times New Roman"/>
        </w:rPr>
        <w:t xml:space="preserve"> </w:t>
      </w:r>
      <w:r w:rsidR="00E951C9" w:rsidRPr="001E7829">
        <w:rPr>
          <w:rFonts w:cs="Times New Roman"/>
        </w:rPr>
        <w:t>% pod původní centrální paritou, což se podle mého názoru dá skutečně považovat za úspěch.</w:t>
      </w:r>
      <w:r w:rsidR="00E951C9" w:rsidRPr="001E7829">
        <w:rPr>
          <w:rStyle w:val="Znakapoznpodarou"/>
          <w:rFonts w:cs="Times New Roman"/>
        </w:rPr>
        <w:footnoteReference w:id="162"/>
      </w:r>
      <w:r w:rsidR="004E31C3" w:rsidRPr="001E7829">
        <w:rPr>
          <w:rFonts w:cs="Times New Roman"/>
        </w:rPr>
        <w:t xml:space="preserve"> </w:t>
      </w:r>
      <w:r w:rsidR="00133F3D" w:rsidRPr="001E7829">
        <w:rPr>
          <w:rFonts w:cs="Times New Roman"/>
        </w:rPr>
        <w:t>Samotný přechod</w:t>
      </w:r>
      <w:r w:rsidR="00E951C9" w:rsidRPr="001E7829">
        <w:rPr>
          <w:rFonts w:cs="Times New Roman"/>
        </w:rPr>
        <w:t xml:space="preserve"> od fixního kurzu k řízenému </w:t>
      </w:r>
      <w:proofErr w:type="spellStart"/>
      <w:r w:rsidR="00E951C9" w:rsidRPr="001E7829">
        <w:rPr>
          <w:rFonts w:cs="Times New Roman"/>
        </w:rPr>
        <w:t>floatingu</w:t>
      </w:r>
      <w:proofErr w:type="spellEnd"/>
      <w:r w:rsidR="00E951C9" w:rsidRPr="001E7829">
        <w:rPr>
          <w:rFonts w:cs="Times New Roman"/>
        </w:rPr>
        <w:t xml:space="preserve"> je považován za pozitivní důsledek krize</w:t>
      </w:r>
      <w:r w:rsidR="00133F3D" w:rsidRPr="001E7829">
        <w:rPr>
          <w:rFonts w:cs="Times New Roman"/>
        </w:rPr>
        <w:t>, jelikož se tím monetární politika odpoutala od závislosti na vývoji devizového trhu.</w:t>
      </w:r>
      <w:r w:rsidR="00133F3D" w:rsidRPr="001E7829">
        <w:rPr>
          <w:rStyle w:val="Znakapoznpodarou"/>
          <w:rFonts w:cs="Times New Roman"/>
        </w:rPr>
        <w:footnoteReference w:id="163"/>
      </w:r>
    </w:p>
    <w:p w:rsidR="00133F3D" w:rsidRPr="001E7829" w:rsidRDefault="00084866" w:rsidP="000756F7">
      <w:pPr>
        <w:pStyle w:val="Druh"/>
        <w:rPr>
          <w:rFonts w:cs="Times New Roman"/>
        </w:rPr>
      </w:pPr>
      <w:r w:rsidRPr="001E7829">
        <w:rPr>
          <w:rFonts w:cs="Times New Roman"/>
        </w:rPr>
        <w:lastRenderedPageBreak/>
        <w:t>Celkově hodnotím vývoj kurzu v období, kdy byla vnější stabilita součástí hlavního cíle ČNB, jako spíše nestabilní. Je sice pravda, že se měnovou krizi podařilo zvládnout relativně úspěšně, při pohledu na graf vývoje kurzu je ale vidět, že po rozšíření fluktuačního pásma začala mít ČNB s řízením kurzu problémy. Po přechodu k</w:t>
      </w:r>
      <w:r w:rsidR="00465EEF" w:rsidRPr="001E7829">
        <w:rPr>
          <w:rFonts w:cs="Times New Roman"/>
        </w:rPr>
        <w:t> </w:t>
      </w:r>
      <w:proofErr w:type="spellStart"/>
      <w:r w:rsidR="00465EEF" w:rsidRPr="001E7829">
        <w:rPr>
          <w:rFonts w:cs="Times New Roman"/>
        </w:rPr>
        <w:t>floatingu</w:t>
      </w:r>
      <w:proofErr w:type="spellEnd"/>
      <w:r w:rsidR="00465EEF" w:rsidRPr="001E7829">
        <w:rPr>
          <w:rFonts w:cs="Times New Roman"/>
        </w:rPr>
        <w:t xml:space="preserve"> a</w:t>
      </w:r>
      <w:r w:rsidRPr="001E7829">
        <w:rPr>
          <w:rFonts w:cs="Times New Roman"/>
        </w:rPr>
        <w:t xml:space="preserve"> cílování inflace v roce 1998 kurz poměrně rychle </w:t>
      </w:r>
      <w:proofErr w:type="spellStart"/>
      <w:r w:rsidRPr="001E7829">
        <w:rPr>
          <w:rFonts w:cs="Times New Roman"/>
        </w:rPr>
        <w:t>aprecioval</w:t>
      </w:r>
      <w:proofErr w:type="spellEnd"/>
      <w:r w:rsidRPr="001E7829">
        <w:rPr>
          <w:rFonts w:cs="Times New Roman"/>
        </w:rPr>
        <w:t xml:space="preserve"> k úrovni původní centrální parity měnového koše fixního kurzu, následně se </w:t>
      </w:r>
      <w:r w:rsidR="008124A7" w:rsidRPr="001E7829">
        <w:rPr>
          <w:rFonts w:cs="Times New Roman"/>
        </w:rPr>
        <w:t xml:space="preserve">však do začátku roku 1999 opět </w:t>
      </w:r>
      <w:r w:rsidR="00A93E70" w:rsidRPr="001E7829">
        <w:rPr>
          <w:rFonts w:cs="Times New Roman"/>
        </w:rPr>
        <w:t>výrazně</w:t>
      </w:r>
      <w:r w:rsidRPr="001E7829">
        <w:rPr>
          <w:rFonts w:cs="Times New Roman"/>
        </w:rPr>
        <w:t xml:space="preserve"> propadl</w:t>
      </w:r>
      <w:r w:rsidR="008124A7" w:rsidRPr="001E7829">
        <w:rPr>
          <w:rFonts w:cs="Times New Roman"/>
        </w:rPr>
        <w:t>. Během roku 2001 a první poloviny roku 2002 kurz opět velmi výrazně posiloval, od začátku do konce tohoto časového úseku z přibližně 35 CZK/EUR na asi 29 CZK/EUR. Z výročních zpráv ČNB je navíc patrné, že kurz se často choval jinak</w:t>
      </w:r>
      <w:r w:rsidR="00C66342" w:rsidRPr="001E7829">
        <w:rPr>
          <w:rFonts w:cs="Times New Roman"/>
        </w:rPr>
        <w:t>, než</w:t>
      </w:r>
      <w:r w:rsidR="00DC777F" w:rsidRPr="001E7829">
        <w:rPr>
          <w:rFonts w:cs="Times New Roman"/>
        </w:rPr>
        <w:t xml:space="preserve"> B</w:t>
      </w:r>
      <w:r w:rsidR="008124A7" w:rsidRPr="001E7829">
        <w:rPr>
          <w:rFonts w:cs="Times New Roman"/>
        </w:rPr>
        <w:t>anka očekávala, nezřídka se d</w:t>
      </w:r>
      <w:r w:rsidR="00C66342" w:rsidRPr="001E7829">
        <w:rPr>
          <w:rFonts w:cs="Times New Roman"/>
        </w:rPr>
        <w:t xml:space="preserve">okonce vyvíjel zcela opačně oproti prognóze. Takto nepříznivý a neočekávaný kurzový vývoj měl pak negativní dopady na inflaci a další makroekonomické veličiny. ČNB se snažila proti těmto výkyvům bojovat pomocí devizových intervencí, často však neúspěšně. Zajímavým nástrojem v boji proti posilování kurzu v letech 2001 a 2002 byla dohoda ČNB a vlády s názvem </w:t>
      </w:r>
      <w:r w:rsidR="00C66342" w:rsidRPr="001E7829">
        <w:rPr>
          <w:rFonts w:cs="Times New Roman"/>
          <w:i/>
        </w:rPr>
        <w:t>Strategie řešení kurzových dopadů přílivu kapitálu z privatizace státního majetku a dalších devizových příjmů státu</w:t>
      </w:r>
      <w:r w:rsidR="00C66342" w:rsidRPr="001E7829">
        <w:rPr>
          <w:rFonts w:cs="Times New Roman"/>
        </w:rPr>
        <w:t xml:space="preserve"> z 16. 1. 2002. Tento dokument </w:t>
      </w:r>
      <w:r w:rsidR="006E6253" w:rsidRPr="001E7829">
        <w:rPr>
          <w:rFonts w:cs="Times New Roman"/>
        </w:rPr>
        <w:t>měl přinést řadu opatření s cílem minimalizovat vliv státu na kurzový vývoj, mj. vložení</w:t>
      </w:r>
      <w:r w:rsidR="004F51F5" w:rsidRPr="001E7829">
        <w:rPr>
          <w:rFonts w:cs="Times New Roman"/>
        </w:rPr>
        <w:t>m</w:t>
      </w:r>
      <w:r w:rsidR="006E6253" w:rsidRPr="001E7829">
        <w:rPr>
          <w:rFonts w:cs="Times New Roman"/>
        </w:rPr>
        <w:t xml:space="preserve"> devizových příjmů státu přímo do rezerv ČNB. Ani jeho přijetím však nedošlo k zastavení posilování kurzu. Vývoj</w:t>
      </w:r>
      <w:r w:rsidR="00046AE6" w:rsidRPr="001E7829">
        <w:rPr>
          <w:rFonts w:cs="Times New Roman"/>
        </w:rPr>
        <w:t xml:space="preserve"> bankovní</w:t>
      </w:r>
      <w:r w:rsidR="006E6253" w:rsidRPr="001E7829">
        <w:rPr>
          <w:rFonts w:cs="Times New Roman"/>
        </w:rPr>
        <w:t xml:space="preserve"> rada ČNB zvrátila až poté, co započala s prováděním skrytých intervencí. Následně se kurz ustálil okolo 30 až 31 CZK/EUR.</w:t>
      </w:r>
      <w:r w:rsidR="00830234" w:rsidRPr="001E7829">
        <w:rPr>
          <w:rStyle w:val="Znakapoznpodarou"/>
          <w:rFonts w:cs="Times New Roman"/>
        </w:rPr>
        <w:footnoteReference w:id="164"/>
      </w:r>
      <w:r w:rsidR="00465EEF" w:rsidRPr="001E7829">
        <w:rPr>
          <w:rFonts w:cs="Times New Roman"/>
        </w:rPr>
        <w:t xml:space="preserve"> Neúspěchy české centrální banky v udržování vnější stability podle mého názoru podporují mínění některých ekonomů, že stabilita kurzu je jako primární cíl centrální banky velmi problematická a lze jí dosáhnout pouze za cenu nestability některých dalších makroekonomických veličin.</w:t>
      </w:r>
      <w:r w:rsidR="00465EEF" w:rsidRPr="001E7829">
        <w:rPr>
          <w:rStyle w:val="Znakapoznpodarou"/>
          <w:rFonts w:cs="Times New Roman"/>
        </w:rPr>
        <w:footnoteReference w:id="165"/>
      </w:r>
    </w:p>
    <w:p w:rsidR="00D15054" w:rsidRPr="001E7829" w:rsidRDefault="00F03B50" w:rsidP="000756F7">
      <w:pPr>
        <w:pStyle w:val="Druh"/>
        <w:rPr>
          <w:rFonts w:cs="Times New Roman"/>
        </w:rPr>
      </w:pPr>
      <w:r w:rsidRPr="001E7829">
        <w:rPr>
          <w:rFonts w:cs="Times New Roman"/>
        </w:rPr>
        <w:t>Jak jsem již předestřel, míru inflace představující vnitřní stabilitu měny v rámci původního hlavní</w:t>
      </w:r>
      <w:r w:rsidR="002F7125" w:rsidRPr="001E7829">
        <w:rPr>
          <w:rFonts w:cs="Times New Roman"/>
        </w:rPr>
        <w:t>ho</w:t>
      </w:r>
      <w:r w:rsidRPr="001E7829">
        <w:rPr>
          <w:rFonts w:cs="Times New Roman"/>
        </w:rPr>
        <w:t xml:space="preserve"> cíle ČNB a cenovou stabilitu v cíli novém, budu hodnotit vzhledem k vyhlášeným inflačním cílům ČNB. </w:t>
      </w:r>
      <w:r w:rsidR="00C74E96" w:rsidRPr="001E7829">
        <w:rPr>
          <w:rFonts w:cs="Times New Roman"/>
        </w:rPr>
        <w:t xml:space="preserve">Jsou totiž vyjádřením představ banky o ideální inflaci v české ekonomice, tedy </w:t>
      </w:r>
      <w:r w:rsidR="00C74E96" w:rsidRPr="001E7829">
        <w:rPr>
          <w:rFonts w:cs="Times New Roman"/>
          <w:i/>
        </w:rPr>
        <w:t>de facto</w:t>
      </w:r>
      <w:r w:rsidR="00C74E96" w:rsidRPr="001E7829">
        <w:rPr>
          <w:rFonts w:cs="Times New Roman"/>
        </w:rPr>
        <w:t xml:space="preserve"> o podobě </w:t>
      </w:r>
      <w:r w:rsidR="00C74E96" w:rsidRPr="001E7829">
        <w:rPr>
          <w:rFonts w:cs="Times New Roman"/>
        </w:rPr>
        <w:lastRenderedPageBreak/>
        <w:t>cenové stability v praxi. Při jejich formulaci je zohledňováno velké množství domácích i zahraničních faktorů, měly by tedy být přizpůsobeny specifickým podmínkám ekonomiky v daném čase.</w:t>
      </w:r>
      <w:r w:rsidR="00E577D5" w:rsidRPr="001E7829">
        <w:rPr>
          <w:rStyle w:val="Znakapoznpodarou"/>
          <w:rFonts w:cs="Times New Roman"/>
        </w:rPr>
        <w:footnoteReference w:id="166"/>
      </w:r>
    </w:p>
    <w:p w:rsidR="00663A50" w:rsidRPr="001E7829" w:rsidRDefault="00917C45" w:rsidP="000756F7">
      <w:pPr>
        <w:pStyle w:val="Druh"/>
        <w:rPr>
          <w:rFonts w:cs="Times New Roman"/>
        </w:rPr>
      </w:pPr>
      <w:r w:rsidRPr="001E7829">
        <w:rPr>
          <w:rFonts w:cs="Times New Roman"/>
        </w:rPr>
        <w:t>Tímto způsobem je však možné analýzu provést</w:t>
      </w:r>
      <w:r w:rsidR="00CA7DA4" w:rsidRPr="001E7829">
        <w:rPr>
          <w:rFonts w:cs="Times New Roman"/>
        </w:rPr>
        <w:t xml:space="preserve"> až od okamžiku, kdy začala ČNB používat režim cílování inflace. V předchozím období, tedy mezi lety 1993 a 1997, stála ČNB před nelehkým úkolem zvládnout inflaci v prostředí transformující se ekonomiky, kde množství faktorů působilo silné inflační tlaky. </w:t>
      </w:r>
      <w:r w:rsidR="00BF00AE" w:rsidRPr="001E7829">
        <w:rPr>
          <w:rFonts w:cs="Times New Roman"/>
        </w:rPr>
        <w:t>Nejvýznamněji se v tomto ohledu projevoval zejména silný hospodářský růst spojený s nadměrnou domácí poptávkou, deregulace domácích cen a vzestup světových cen surovin, a také rostoucí mzdové požadavky.</w:t>
      </w:r>
      <w:r w:rsidRPr="001E7829">
        <w:rPr>
          <w:rStyle w:val="Znakapoznpodarou"/>
          <w:rFonts w:cs="Times New Roman"/>
        </w:rPr>
        <w:footnoteReference w:id="167"/>
      </w:r>
      <w:r w:rsidR="00DC777F" w:rsidRPr="001E7829">
        <w:rPr>
          <w:rFonts w:cs="Times New Roman"/>
        </w:rPr>
        <w:t xml:space="preserve"> Z grafů vývoje míry inflace, které jsou součástí přílohy č. 1,</w:t>
      </w:r>
      <w:r w:rsidRPr="001E7829">
        <w:rPr>
          <w:rFonts w:cs="Times New Roman"/>
        </w:rPr>
        <w:t xml:space="preserve"> vidíme, že inflace se v tomto období pohybo</w:t>
      </w:r>
      <w:r w:rsidR="004E7289" w:rsidRPr="001E7829">
        <w:rPr>
          <w:rFonts w:cs="Times New Roman"/>
        </w:rPr>
        <w:t xml:space="preserve">vala přibližně v rozmezí 6 – 11 </w:t>
      </w:r>
      <w:r w:rsidRPr="001E7829">
        <w:rPr>
          <w:rFonts w:cs="Times New Roman"/>
        </w:rPr>
        <w:t>% a její pokles byl relativně pozvolný. S přihlédnutím k vysoké míře inflace, kterou ČNB „zdědila“ z předchozího období a stále ještě poměrně nestabilní ekonomice se tedy dá říci, že c</w:t>
      </w:r>
      <w:r w:rsidR="00663A50" w:rsidRPr="001E7829">
        <w:rPr>
          <w:rFonts w:cs="Times New Roman"/>
        </w:rPr>
        <w:t>íl cenové stability byl naplňován relativně úspěšně.</w:t>
      </w:r>
    </w:p>
    <w:p w:rsidR="00917C45" w:rsidRPr="001E7829" w:rsidRDefault="00663A50" w:rsidP="000756F7">
      <w:pPr>
        <w:pStyle w:val="Druh"/>
        <w:rPr>
          <w:rFonts w:cs="Times New Roman"/>
        </w:rPr>
      </w:pPr>
      <w:r w:rsidRPr="001E7829">
        <w:rPr>
          <w:rFonts w:cs="Times New Roman"/>
        </w:rPr>
        <w:t xml:space="preserve">Naproti tomu se také ukázalo, že za daných podmínek a nastavení rámce měnové politiky byla ČNB ve svých možnostech </w:t>
      </w:r>
      <w:r w:rsidR="00DC777F" w:rsidRPr="001E7829">
        <w:rPr>
          <w:rFonts w:cs="Times New Roman"/>
        </w:rPr>
        <w:t>velice</w:t>
      </w:r>
      <w:r w:rsidRPr="001E7829">
        <w:rPr>
          <w:rFonts w:cs="Times New Roman"/>
        </w:rPr>
        <w:t xml:space="preserve"> omezená, stejně jako při ovlivňování měnového kurzu. Před rozšířením fluktuačního pásma nemohla efektivně kontrolovat růst peněžní zásoby, který ve značné míře závisel na vývoji platební bilance. </w:t>
      </w:r>
      <w:r w:rsidR="00DC777F" w:rsidRPr="001E7829">
        <w:rPr>
          <w:rFonts w:cs="Times New Roman"/>
        </w:rPr>
        <w:t>Stejně tak použité monetárně-</w:t>
      </w:r>
      <w:r w:rsidR="005315AA" w:rsidRPr="001E7829">
        <w:rPr>
          <w:rFonts w:cs="Times New Roman"/>
        </w:rPr>
        <w:t>politické nástroje nebyly</w:t>
      </w:r>
      <w:r w:rsidR="00852DE2" w:rsidRPr="001E7829">
        <w:rPr>
          <w:rFonts w:cs="Times New Roman"/>
        </w:rPr>
        <w:t xml:space="preserve"> vždy</w:t>
      </w:r>
      <w:r w:rsidR="005315AA" w:rsidRPr="001E7829">
        <w:rPr>
          <w:rFonts w:cs="Times New Roman"/>
        </w:rPr>
        <w:t xml:space="preserve"> tak ef</w:t>
      </w:r>
      <w:r w:rsidR="00DC777F" w:rsidRPr="001E7829">
        <w:rPr>
          <w:rFonts w:cs="Times New Roman"/>
        </w:rPr>
        <w:t>ektivní, jak by bylo žádoucí. Měnová</w:t>
      </w:r>
      <w:r w:rsidR="005315AA" w:rsidRPr="001E7829">
        <w:rPr>
          <w:rFonts w:cs="Times New Roman"/>
        </w:rPr>
        <w:t xml:space="preserve"> politika byla po celé období restriktivní, když všechny úrokové sazby s výjimkou diskontní se pohybovaly nad hranicí 10</w:t>
      </w:r>
      <w:r w:rsidR="004E7289" w:rsidRPr="001E7829">
        <w:rPr>
          <w:rFonts w:cs="Times New Roman"/>
        </w:rPr>
        <w:t> </w:t>
      </w:r>
      <w:r w:rsidR="005315AA" w:rsidRPr="001E7829">
        <w:rPr>
          <w:rFonts w:cs="Times New Roman"/>
        </w:rPr>
        <w:t>%.</w:t>
      </w:r>
      <w:r w:rsidR="00DC777F" w:rsidRPr="001E7829">
        <w:rPr>
          <w:rStyle w:val="Znakapoznpodarou"/>
          <w:rFonts w:cs="Times New Roman"/>
        </w:rPr>
        <w:footnoteReference w:id="168"/>
      </w:r>
      <w:r w:rsidR="004E31C3" w:rsidRPr="001E7829">
        <w:rPr>
          <w:rFonts w:cs="Times New Roman"/>
        </w:rPr>
        <w:t xml:space="preserve"> </w:t>
      </w:r>
      <w:r w:rsidR="00852DE2" w:rsidRPr="001E7829">
        <w:rPr>
          <w:rFonts w:cs="Times New Roman"/>
        </w:rPr>
        <w:t>Ve druhé polovině roku 1994 ČNB politiku dále zpřísňovala s cílem zpomalit rychlý růst peněžní zásoby vyvolaný přílivem zahraničního kapitálu.</w:t>
      </w:r>
      <w:r w:rsidR="004E31C3" w:rsidRPr="001E7829">
        <w:rPr>
          <w:rFonts w:cs="Times New Roman"/>
        </w:rPr>
        <w:t xml:space="preserve"> </w:t>
      </w:r>
      <w:r w:rsidR="00852DE2" w:rsidRPr="001E7829">
        <w:rPr>
          <w:rFonts w:cs="Times New Roman"/>
        </w:rPr>
        <w:t>V následujícím roce však oba ukazatele rostly ještě vyšším tempem než v předch</w:t>
      </w:r>
      <w:r w:rsidR="00C06EA7" w:rsidRPr="001E7829">
        <w:rPr>
          <w:rFonts w:cs="Times New Roman"/>
        </w:rPr>
        <w:t>ozím období. Stejně tak účinky</w:t>
      </w:r>
      <w:r w:rsidR="00852DE2" w:rsidRPr="001E7829">
        <w:rPr>
          <w:rFonts w:cs="Times New Roman"/>
        </w:rPr>
        <w:t xml:space="preserve"> </w:t>
      </w:r>
      <w:r w:rsidR="00C06EA7" w:rsidRPr="001E7829">
        <w:rPr>
          <w:rFonts w:cs="Times New Roman"/>
        </w:rPr>
        <w:t>zvýšení sazeb v roce 1996 nebyly ihned patrné</w:t>
      </w:r>
      <w:r w:rsidR="00852DE2" w:rsidRPr="001E7829">
        <w:rPr>
          <w:rFonts w:cs="Times New Roman"/>
        </w:rPr>
        <w:t xml:space="preserve">. </w:t>
      </w:r>
      <w:r w:rsidR="003B4513" w:rsidRPr="001E7829">
        <w:rPr>
          <w:rFonts w:cs="Times New Roman"/>
        </w:rPr>
        <w:t xml:space="preserve">Rostoucí sazby ČNB se totiž nepromítly očekávaným způsobem do růstu </w:t>
      </w:r>
      <w:r w:rsidR="003B4513" w:rsidRPr="001E7829">
        <w:rPr>
          <w:rFonts w:cs="Times New Roman"/>
        </w:rPr>
        <w:lastRenderedPageBreak/>
        <w:t>úrokových sazeb úvěrů obchodních bank, když jejich výraznější změna byla zaznamenána až ve druhém čtvrtletí 1997, tedy těsně před měnovou krizí.</w:t>
      </w:r>
      <w:r w:rsidR="003B4513" w:rsidRPr="001E7829">
        <w:rPr>
          <w:rStyle w:val="Znakapoznpodarou"/>
          <w:rFonts w:cs="Times New Roman"/>
        </w:rPr>
        <w:footnoteReference w:id="169"/>
      </w:r>
      <w:r w:rsidR="004E31C3" w:rsidRPr="001E7829">
        <w:rPr>
          <w:rFonts w:cs="Times New Roman"/>
        </w:rPr>
        <w:t xml:space="preserve"> </w:t>
      </w:r>
      <w:r w:rsidR="00E4601C" w:rsidRPr="001E7829">
        <w:rPr>
          <w:rFonts w:cs="Times New Roman"/>
        </w:rPr>
        <w:t xml:space="preserve">Jako </w:t>
      </w:r>
      <w:r w:rsidR="00652889" w:rsidRPr="001E7829">
        <w:rPr>
          <w:rFonts w:cs="Times New Roman"/>
        </w:rPr>
        <w:t>zdroj těchto potíží je vnímáno nastavení rámce měnové politiky. Při liberalizaci pohybu kapitálu v zemi, jejíž měna se řídí fixním kurzem, je totiž vedlejším efektem ztráta autonomie měnové politiky. Za těchto podmínek se nemůže centrální banka rozhodovat zcela podle domácích ekonomických potřeb, ale musí brát ohled na vnější omezení. Důsledkem je pak restriktivnější monetární politika, než by bylo pro ekonomiku vhodné</w:t>
      </w:r>
      <w:r w:rsidR="00E4601C" w:rsidRPr="001E7829">
        <w:rPr>
          <w:rFonts w:cs="Times New Roman"/>
        </w:rPr>
        <w:t xml:space="preserve">. </w:t>
      </w:r>
      <w:r w:rsidR="00D01623" w:rsidRPr="001E7829">
        <w:rPr>
          <w:rFonts w:cs="Times New Roman"/>
        </w:rPr>
        <w:t>V Česku se</w:t>
      </w:r>
      <w:r w:rsidR="00E4601C" w:rsidRPr="001E7829">
        <w:rPr>
          <w:rFonts w:cs="Times New Roman"/>
        </w:rPr>
        <w:t xml:space="preserve"> toto v praxi </w:t>
      </w:r>
      <w:r w:rsidR="00D01623" w:rsidRPr="001E7829">
        <w:rPr>
          <w:rFonts w:cs="Times New Roman"/>
        </w:rPr>
        <w:t>potvrdilo</w:t>
      </w:r>
      <w:r w:rsidR="00E4601C" w:rsidRPr="001E7829">
        <w:rPr>
          <w:rFonts w:cs="Times New Roman"/>
        </w:rPr>
        <w:t xml:space="preserve"> v letech 1996 a 1997, kdy zpomalování tempa hospodářského růstu ukazovalo na potřebu uvolnit měnovou politiku</w:t>
      </w:r>
      <w:r w:rsidR="00C06EA7" w:rsidRPr="001E7829">
        <w:rPr>
          <w:rFonts w:cs="Times New Roman"/>
        </w:rPr>
        <w:t>,</w:t>
      </w:r>
      <w:r w:rsidR="00D01623" w:rsidRPr="001E7829">
        <w:rPr>
          <w:rStyle w:val="Znakapoznpodarou"/>
          <w:rFonts w:cs="Times New Roman"/>
        </w:rPr>
        <w:footnoteReference w:id="170"/>
      </w:r>
      <w:r w:rsidR="00E4601C" w:rsidRPr="001E7829">
        <w:rPr>
          <w:rFonts w:cs="Times New Roman"/>
        </w:rPr>
        <w:t xml:space="preserve"> ČNB se ovšem soustředila na tlumení nadměrné poptávky a obranu kurzu</w:t>
      </w:r>
      <w:r w:rsidR="00D01623" w:rsidRPr="001E7829">
        <w:rPr>
          <w:rFonts w:cs="Times New Roman"/>
        </w:rPr>
        <w:t xml:space="preserve"> koruny</w:t>
      </w:r>
      <w:r w:rsidR="00E4601C" w:rsidRPr="001E7829">
        <w:rPr>
          <w:rFonts w:cs="Times New Roman"/>
        </w:rPr>
        <w:t xml:space="preserve">, </w:t>
      </w:r>
      <w:r w:rsidR="00D01623" w:rsidRPr="001E7829">
        <w:rPr>
          <w:rFonts w:cs="Times New Roman"/>
        </w:rPr>
        <w:t xml:space="preserve">a </w:t>
      </w:r>
      <w:r w:rsidR="00E4601C" w:rsidRPr="001E7829">
        <w:rPr>
          <w:rFonts w:cs="Times New Roman"/>
        </w:rPr>
        <w:t xml:space="preserve">tak </w:t>
      </w:r>
      <w:r w:rsidR="00D01623" w:rsidRPr="001E7829">
        <w:rPr>
          <w:rFonts w:cs="Times New Roman"/>
        </w:rPr>
        <w:t>k uvolnění restrikce nepřistoupila.</w:t>
      </w:r>
      <w:r w:rsidR="00D01623" w:rsidRPr="001E7829">
        <w:rPr>
          <w:rStyle w:val="Znakapoznpodarou"/>
          <w:rFonts w:cs="Times New Roman"/>
        </w:rPr>
        <w:footnoteReference w:id="171"/>
      </w:r>
      <w:r w:rsidR="00D01623" w:rsidRPr="001E7829">
        <w:rPr>
          <w:rFonts w:cs="Times New Roman"/>
        </w:rPr>
        <w:t xml:space="preserve"> Řešením by tedy pravděpodobně bylo dřívější opuštění režimu fixního kurzu</w:t>
      </w:r>
      <w:r w:rsidR="007A43C8" w:rsidRPr="001E7829">
        <w:rPr>
          <w:rFonts w:cs="Times New Roman"/>
        </w:rPr>
        <w:t>, případně i režimu cílování peněžní zásoby</w:t>
      </w:r>
      <w:r w:rsidR="00D01623" w:rsidRPr="001E7829">
        <w:rPr>
          <w:rFonts w:cs="Times New Roman"/>
        </w:rPr>
        <w:t>.</w:t>
      </w:r>
    </w:p>
    <w:p w:rsidR="00493AE2" w:rsidRPr="001E7829" w:rsidRDefault="00DB1F29" w:rsidP="000756F7">
      <w:pPr>
        <w:pStyle w:val="Druh"/>
        <w:rPr>
          <w:rFonts w:cs="Times New Roman"/>
        </w:rPr>
      </w:pPr>
      <w:r w:rsidRPr="001E7829">
        <w:rPr>
          <w:rFonts w:cs="Times New Roman"/>
        </w:rPr>
        <w:t xml:space="preserve">Nyní se však již přesuňme do období cílování inflace, kdy hlavní cíl ČNB dostal konkrétní v absolutních číslech vyjádřenou podobu. </w:t>
      </w:r>
      <w:r w:rsidR="00493AE2" w:rsidRPr="001E7829">
        <w:rPr>
          <w:rFonts w:cs="Times New Roman"/>
        </w:rPr>
        <w:t xml:space="preserve">Už </w:t>
      </w:r>
      <w:r w:rsidR="003F5FD8" w:rsidRPr="001E7829">
        <w:rPr>
          <w:rFonts w:cs="Times New Roman"/>
        </w:rPr>
        <w:t>při prvním pohledu na graf</w:t>
      </w:r>
      <w:r w:rsidR="00DC777F" w:rsidRPr="001E7829">
        <w:rPr>
          <w:rFonts w:cs="Times New Roman"/>
        </w:rPr>
        <w:t>y</w:t>
      </w:r>
      <w:r w:rsidR="003F5FD8" w:rsidRPr="001E7829">
        <w:rPr>
          <w:rFonts w:cs="Times New Roman"/>
        </w:rPr>
        <w:t xml:space="preserve"> je zřejmé, že realita se od inflačních cílů velmi často lišila, a to nezřídka dosti podstatně. </w:t>
      </w:r>
    </w:p>
    <w:p w:rsidR="00B127B0" w:rsidRPr="001E7829" w:rsidRDefault="005C215B" w:rsidP="000756F7">
      <w:pPr>
        <w:pStyle w:val="Druh"/>
        <w:rPr>
          <w:rFonts w:cs="Times New Roman"/>
        </w:rPr>
      </w:pPr>
      <w:r w:rsidRPr="001E7829">
        <w:rPr>
          <w:rFonts w:cs="Times New Roman"/>
        </w:rPr>
        <w:t xml:space="preserve">Na konci roku byla inflace v mezích stanovených cílů pouze v letech 2001, 2004, 2005, 2008, 2010 a 2012. </w:t>
      </w:r>
      <w:r w:rsidR="008B0D2E" w:rsidRPr="001E7829">
        <w:rPr>
          <w:rFonts w:cs="Times New Roman"/>
        </w:rPr>
        <w:t>V roce 2008 se navíc</w:t>
      </w:r>
      <w:r w:rsidR="001B6604" w:rsidRPr="001E7829">
        <w:rPr>
          <w:rFonts w:cs="Times New Roman"/>
        </w:rPr>
        <w:t xml:space="preserve"> </w:t>
      </w:r>
      <w:r w:rsidR="008B0D2E" w:rsidRPr="001E7829">
        <w:rPr>
          <w:rFonts w:cs="Times New Roman"/>
        </w:rPr>
        <w:t>do cíle dostala až těsně před konce</w:t>
      </w:r>
      <w:r w:rsidR="008810AA" w:rsidRPr="001E7829">
        <w:rPr>
          <w:rFonts w:cs="Times New Roman"/>
        </w:rPr>
        <w:t>m</w:t>
      </w:r>
      <w:r w:rsidR="008B0D2E" w:rsidRPr="001E7829">
        <w:rPr>
          <w:rFonts w:cs="Times New Roman"/>
        </w:rPr>
        <w:t xml:space="preserve"> roku, v jeho </w:t>
      </w:r>
      <w:r w:rsidR="00A35F50" w:rsidRPr="001E7829">
        <w:rPr>
          <w:rFonts w:cs="Times New Roman"/>
        </w:rPr>
        <w:t>průběhu dosahovala hodnot, které</w:t>
      </w:r>
      <w:r w:rsidR="008B0D2E" w:rsidRPr="001E7829">
        <w:rPr>
          <w:rFonts w:cs="Times New Roman"/>
        </w:rPr>
        <w:t xml:space="preserve"> cíl výrazně překračovaly.</w:t>
      </w:r>
      <w:r w:rsidR="001B6604" w:rsidRPr="001E7829">
        <w:rPr>
          <w:rFonts w:cs="Times New Roman"/>
        </w:rPr>
        <w:t xml:space="preserve"> </w:t>
      </w:r>
      <w:r w:rsidR="00733B2E" w:rsidRPr="001E7829">
        <w:rPr>
          <w:rFonts w:cs="Times New Roman"/>
        </w:rPr>
        <w:t>Dá se tedy říci, že od okamžiku přechodu k cílování inflace se tato veličina po většinu času pohybovala mimo vytyčené cíle a vychylovala se od nich oběma směry. Příčiny těchto neúspěchů jsem na předchozích stránkách již částečně identifikoval</w:t>
      </w:r>
      <w:r w:rsidR="00423187" w:rsidRPr="001E7829">
        <w:rPr>
          <w:rFonts w:cs="Times New Roman"/>
        </w:rPr>
        <w:t>. Mezi nejvýznamnější faktory, které ovlivňovaly inflaci a se kterými se ČNB musela vypořádat, patřily zejména dynamika domácího hospodářského růstu, kurzový vývoj, poptávka a mzdy, či zahraniční faktory jako vývoj cen ropy, potravin a další</w:t>
      </w:r>
      <w:r w:rsidR="00CB62BA" w:rsidRPr="001E7829">
        <w:rPr>
          <w:rFonts w:cs="Times New Roman"/>
        </w:rPr>
        <w:t>ch komodit</w:t>
      </w:r>
      <w:r w:rsidR="00423187" w:rsidRPr="001E7829">
        <w:rPr>
          <w:rFonts w:cs="Times New Roman"/>
        </w:rPr>
        <w:t xml:space="preserve">. Důležitou roli sehrála také administrativní opatření vlád, především úpravy sazeb </w:t>
      </w:r>
      <w:r w:rsidR="008810AA" w:rsidRPr="001E7829">
        <w:rPr>
          <w:rFonts w:cs="Times New Roman"/>
        </w:rPr>
        <w:t>nepřímých daní</w:t>
      </w:r>
      <w:r w:rsidR="00423187" w:rsidRPr="001E7829">
        <w:rPr>
          <w:rFonts w:cs="Times New Roman"/>
        </w:rPr>
        <w:t xml:space="preserve"> a cenová deregulace.</w:t>
      </w:r>
      <w:r w:rsidR="00CB62BA" w:rsidRPr="001E7829">
        <w:rPr>
          <w:rFonts w:cs="Times New Roman"/>
        </w:rPr>
        <w:t xml:space="preserve"> </w:t>
      </w:r>
      <w:r w:rsidR="00CB62BA" w:rsidRPr="001E7829">
        <w:rPr>
          <w:rFonts w:cs="Times New Roman"/>
        </w:rPr>
        <w:lastRenderedPageBreak/>
        <w:t>Ekonometrické analýzy přitom naznačují, že pravděpodobně nejvýraznějším faktorem byl kurz koruny</w:t>
      </w:r>
      <w:r w:rsidR="003A3EEE" w:rsidRPr="001E7829">
        <w:rPr>
          <w:rFonts w:cs="Times New Roman"/>
        </w:rPr>
        <w:t>.</w:t>
      </w:r>
      <w:r w:rsidR="00A93F26" w:rsidRPr="001E7829">
        <w:rPr>
          <w:rStyle w:val="Znakapoznpodarou"/>
          <w:rFonts w:cs="Times New Roman"/>
        </w:rPr>
        <w:footnoteReference w:id="172"/>
      </w:r>
      <w:r w:rsidR="001B6604" w:rsidRPr="001E7829">
        <w:rPr>
          <w:rFonts w:cs="Times New Roman"/>
        </w:rPr>
        <w:t xml:space="preserve"> </w:t>
      </w:r>
      <w:r w:rsidR="00A93F26" w:rsidRPr="001E7829">
        <w:rPr>
          <w:rFonts w:cs="Times New Roman"/>
        </w:rPr>
        <w:t>Ta se negativně projevovala zejména v obdobích, kdy měla silnou tendenci k </w:t>
      </w:r>
      <w:proofErr w:type="spellStart"/>
      <w:r w:rsidR="00A93F26" w:rsidRPr="001E7829">
        <w:rPr>
          <w:rFonts w:cs="Times New Roman"/>
        </w:rPr>
        <w:t>apreciaci</w:t>
      </w:r>
      <w:proofErr w:type="spellEnd"/>
      <w:r w:rsidR="00A93F26" w:rsidRPr="001E7829">
        <w:rPr>
          <w:rFonts w:cs="Times New Roman"/>
        </w:rPr>
        <w:t xml:space="preserve"> a působila protiinflačně.</w:t>
      </w:r>
    </w:p>
    <w:p w:rsidR="00CA7DA4" w:rsidRPr="001E7829" w:rsidRDefault="00B127B0" w:rsidP="000756F7">
      <w:pPr>
        <w:pStyle w:val="Druh"/>
        <w:rPr>
          <w:rFonts w:cs="Times New Roman"/>
        </w:rPr>
      </w:pPr>
      <w:r w:rsidRPr="001E7829">
        <w:rPr>
          <w:rFonts w:cs="Times New Roman"/>
        </w:rPr>
        <w:t>Z v</w:t>
      </w:r>
      <w:r w:rsidR="00DC777F" w:rsidRPr="001E7829">
        <w:rPr>
          <w:rFonts w:cs="Times New Roman"/>
        </w:rPr>
        <w:t>ýročních zpráv ČNB vyplývá, že B</w:t>
      </w:r>
      <w:r w:rsidRPr="001E7829">
        <w:rPr>
          <w:rFonts w:cs="Times New Roman"/>
        </w:rPr>
        <w:t>anka nebyla schopná tyto faktory úspěšně předvídat a častokrát se při retrospektivním hodnocení své monetární polit</w:t>
      </w:r>
      <w:r w:rsidR="001B6604" w:rsidRPr="001E7829">
        <w:rPr>
          <w:rFonts w:cs="Times New Roman"/>
        </w:rPr>
        <w:t>ik</w:t>
      </w:r>
      <w:r w:rsidRPr="001E7829">
        <w:rPr>
          <w:rFonts w:cs="Times New Roman"/>
        </w:rPr>
        <w:t xml:space="preserve">y odvolává na nejistotu, se kterou byla spojena prognóza, na jejímž základě byla politika nastavena. </w:t>
      </w:r>
      <w:r w:rsidR="007B2AE8" w:rsidRPr="001E7829">
        <w:rPr>
          <w:rFonts w:cs="Times New Roman"/>
        </w:rPr>
        <w:t xml:space="preserve">Problém spočívá ve zpoždění transmise, skrze kterou změna nastavení měnově-politických nástrojů přinese požadovaný efekt na ekonomické veličiny. ČNB odhaduje, že </w:t>
      </w:r>
      <w:r w:rsidR="00A1791B" w:rsidRPr="001E7829">
        <w:rPr>
          <w:rFonts w:cs="Times New Roman"/>
        </w:rPr>
        <w:t>nejvyšší efekt přináší její opatření až</w:t>
      </w:r>
      <w:r w:rsidR="001B6604" w:rsidRPr="001E7829">
        <w:rPr>
          <w:rFonts w:cs="Times New Roman"/>
        </w:rPr>
        <w:t xml:space="preserve"> </w:t>
      </w:r>
      <w:r w:rsidR="00A1791B" w:rsidRPr="001E7829">
        <w:rPr>
          <w:rFonts w:cs="Times New Roman"/>
        </w:rPr>
        <w:t>po čtyřech až šesti čtvrtletích, podoba monetární politiky by tedy měla odpovídat potřebám ekonomiky, které budou existovat až o rok a půl později.</w:t>
      </w:r>
      <w:r w:rsidR="00A1791B" w:rsidRPr="001E7829">
        <w:rPr>
          <w:rStyle w:val="Znakapoznpodarou"/>
          <w:rFonts w:cs="Times New Roman"/>
        </w:rPr>
        <w:footnoteReference w:id="173"/>
      </w:r>
      <w:r w:rsidR="00A1791B" w:rsidRPr="001E7829">
        <w:rPr>
          <w:rFonts w:cs="Times New Roman"/>
        </w:rPr>
        <w:t xml:space="preserve"> To se často ukazovalo jako veliký problém, když byla ČNB opakovaně nucena připustit, že pokud by její prognózy více odpovídaly následnému skutečnému vývoji, </w:t>
      </w:r>
      <w:r w:rsidR="00B66F57" w:rsidRPr="001E7829">
        <w:rPr>
          <w:rFonts w:cs="Times New Roman"/>
        </w:rPr>
        <w:t>byla by monetární politika pravděpodobně nastavena jinak.</w:t>
      </w:r>
      <w:r w:rsidR="00215EF3" w:rsidRPr="001E7829">
        <w:rPr>
          <w:rFonts w:cs="Times New Roman"/>
        </w:rPr>
        <w:t xml:space="preserve"> Jako příklad lze uvést rok 2003, ve kterém očekáváním ČNB neodpovídaly především nastavení fiskální politiky, dynamika růstu regulovaných cen či klesající ceny zemědělských produktů. Monetární politika se tak ukázala jako příliš restriktivní</w:t>
      </w:r>
      <w:r w:rsidR="003A3EEE" w:rsidRPr="001E7829">
        <w:rPr>
          <w:rFonts w:cs="Times New Roman"/>
        </w:rPr>
        <w:t>.</w:t>
      </w:r>
      <w:r w:rsidR="00215EF3" w:rsidRPr="001E7829">
        <w:rPr>
          <w:rStyle w:val="Znakapoznpodarou"/>
          <w:rFonts w:cs="Times New Roman"/>
        </w:rPr>
        <w:footnoteReference w:id="174"/>
      </w:r>
    </w:p>
    <w:p w:rsidR="00215EF3" w:rsidRPr="001E7829" w:rsidRDefault="005A427F" w:rsidP="000756F7">
      <w:pPr>
        <w:pStyle w:val="Druh"/>
        <w:rPr>
          <w:rFonts w:cs="Times New Roman"/>
        </w:rPr>
      </w:pPr>
      <w:r w:rsidRPr="001E7829">
        <w:rPr>
          <w:rFonts w:cs="Times New Roman"/>
        </w:rPr>
        <w:t>Kateřina Šmídková uvádí, že statisticky se skutečná inflace od cílů nejvíce odchylovala v počáteční etapě po přechodu k jejímu cílování.</w:t>
      </w:r>
      <w:r w:rsidR="001B6604" w:rsidRPr="001E7829">
        <w:rPr>
          <w:rFonts w:cs="Times New Roman"/>
        </w:rPr>
        <w:t xml:space="preserve"> </w:t>
      </w:r>
      <w:r w:rsidRPr="001E7829">
        <w:rPr>
          <w:rFonts w:cs="Times New Roman"/>
        </w:rPr>
        <w:t>Jako hlavní příčiny</w:t>
      </w:r>
      <w:r w:rsidR="001B6604" w:rsidRPr="001E7829">
        <w:rPr>
          <w:rFonts w:cs="Times New Roman"/>
        </w:rPr>
        <w:t xml:space="preserve"> </w:t>
      </w:r>
      <w:r w:rsidRPr="001E7829">
        <w:rPr>
          <w:rFonts w:cs="Times New Roman"/>
        </w:rPr>
        <w:t>pak zmiňuje v podstatě výše uvedené, tedy globální protiinflační šoky</w:t>
      </w:r>
      <w:r w:rsidR="00764C51" w:rsidRPr="001E7829">
        <w:rPr>
          <w:rFonts w:cs="Times New Roman"/>
        </w:rPr>
        <w:t xml:space="preserve"> (a také řadu</w:t>
      </w:r>
      <w:r w:rsidR="00FE07D2" w:rsidRPr="001E7829">
        <w:rPr>
          <w:rFonts w:cs="Times New Roman"/>
        </w:rPr>
        <w:t xml:space="preserve"> domácích)</w:t>
      </w:r>
      <w:r w:rsidRPr="001E7829">
        <w:rPr>
          <w:rFonts w:cs="Times New Roman"/>
        </w:rPr>
        <w:t xml:space="preserve"> ve spojení s rigiditou prognostického systému, který reagoval na změny okolností příliš pomalu, nebo nesprávně očekával brzký návrat inflačních faktorů zpět k původně prognózovaným hodnotám. Třetím důvodem neúspěchů pak byla politika tzv. oportunistické dezinflace</w:t>
      </w:r>
      <w:r w:rsidR="007D6E5A" w:rsidRPr="001E7829">
        <w:rPr>
          <w:rFonts w:cs="Times New Roman"/>
        </w:rPr>
        <w:t xml:space="preserve">, která byla založena na názoru, že </w:t>
      </w:r>
      <w:r w:rsidR="007D6E5A" w:rsidRPr="001E7829">
        <w:rPr>
          <w:rFonts w:cs="Times New Roman"/>
        </w:rPr>
        <w:lastRenderedPageBreak/>
        <w:t>dočasný pokles inflace pod krátkodobý cíl z důvodů globálních inflačních šoků přinese snadnější dosažení cíle střednědobého</w:t>
      </w:r>
      <w:r w:rsidR="003A3EEE" w:rsidRPr="001E7829">
        <w:rPr>
          <w:rFonts w:cs="Times New Roman"/>
        </w:rPr>
        <w:t>.</w:t>
      </w:r>
      <w:r w:rsidR="007D6E5A" w:rsidRPr="001E7829">
        <w:rPr>
          <w:rStyle w:val="Znakapoznpodarou"/>
          <w:rFonts w:cs="Times New Roman"/>
        </w:rPr>
        <w:footnoteReference w:id="175"/>
      </w:r>
    </w:p>
    <w:p w:rsidR="00764C51" w:rsidRPr="001E7829" w:rsidRDefault="00764C51" w:rsidP="000756F7">
      <w:pPr>
        <w:pStyle w:val="Druh"/>
        <w:rPr>
          <w:rFonts w:cs="Times New Roman"/>
        </w:rPr>
      </w:pPr>
      <w:r w:rsidRPr="001E7829">
        <w:rPr>
          <w:rFonts w:cs="Times New Roman"/>
        </w:rPr>
        <w:t>Určitou roli mohl v prvních letech cílování inflace sehrát rovněž samotný rozhodovací proces o úrokových sazbách ČNB. Ten se postupem času zdokonaloval, a tak se jeho negativní vliv na monetární politiku v pozdějších letech již vylučuje</w:t>
      </w:r>
      <w:r w:rsidR="004620FE" w:rsidRPr="001E7829">
        <w:rPr>
          <w:rFonts w:cs="Times New Roman"/>
        </w:rPr>
        <w:t xml:space="preserve"> a naopak se předpokládá, že spíše korigoval nepříznivé působení ostatních faktorů</w:t>
      </w:r>
      <w:r w:rsidRPr="001E7829">
        <w:rPr>
          <w:rFonts w:cs="Times New Roman"/>
        </w:rPr>
        <w:t>. Rozdílná je situace u prognostického systému</w:t>
      </w:r>
      <w:r w:rsidR="004620FE" w:rsidRPr="001E7829">
        <w:rPr>
          <w:rFonts w:cs="Times New Roman"/>
        </w:rPr>
        <w:t>.</w:t>
      </w:r>
      <w:r w:rsidR="001B6604" w:rsidRPr="001E7829">
        <w:rPr>
          <w:rFonts w:cs="Times New Roman"/>
        </w:rPr>
        <w:t xml:space="preserve"> </w:t>
      </w:r>
      <w:r w:rsidR="004620FE" w:rsidRPr="001E7829">
        <w:rPr>
          <w:rFonts w:cs="Times New Roman"/>
        </w:rPr>
        <w:t>Ten</w:t>
      </w:r>
      <w:r w:rsidRPr="001E7829">
        <w:rPr>
          <w:rFonts w:cs="Times New Roman"/>
        </w:rPr>
        <w:t xml:space="preserve"> sice rovněž prošel vývojem a ve fázi tzv. pokročilého cílování mezi lety 2002 a 2004 </w:t>
      </w:r>
      <w:r w:rsidR="004620FE" w:rsidRPr="001E7829">
        <w:rPr>
          <w:rFonts w:cs="Times New Roman"/>
        </w:rPr>
        <w:t xml:space="preserve">byl dokonce zaveden systém nový, založený na modelu QPM, problémy však přetrvávají v podstatě až do současnosti a nezřídka to byly právě prognózy, které stály za minutím cíle. Je ovšem nutné uvést, že se stejnými obtížemi se potýkaly i mnohé z dalších zemí </w:t>
      </w:r>
      <w:proofErr w:type="spellStart"/>
      <w:r w:rsidR="004620FE" w:rsidRPr="001E7829">
        <w:rPr>
          <w:rFonts w:cs="Times New Roman"/>
        </w:rPr>
        <w:t>cílujících</w:t>
      </w:r>
      <w:proofErr w:type="spellEnd"/>
      <w:r w:rsidR="004620FE" w:rsidRPr="001E7829">
        <w:rPr>
          <w:rFonts w:cs="Times New Roman"/>
        </w:rPr>
        <w:t xml:space="preserve"> inflaci</w:t>
      </w:r>
      <w:r w:rsidR="003A3EEE" w:rsidRPr="001E7829">
        <w:rPr>
          <w:rFonts w:cs="Times New Roman"/>
        </w:rPr>
        <w:t>.</w:t>
      </w:r>
      <w:r w:rsidR="003A3EEE" w:rsidRPr="001E7829">
        <w:rPr>
          <w:rStyle w:val="Znakapoznpodarou"/>
          <w:rFonts w:cs="Times New Roman"/>
        </w:rPr>
        <w:footnoteReference w:id="176"/>
      </w:r>
    </w:p>
    <w:p w:rsidR="00011306" w:rsidRPr="001E7829" w:rsidRDefault="00011306" w:rsidP="000756F7">
      <w:pPr>
        <w:pStyle w:val="Druh"/>
        <w:rPr>
          <w:rFonts w:cs="Times New Roman"/>
        </w:rPr>
      </w:pPr>
      <w:r w:rsidRPr="001E7829">
        <w:rPr>
          <w:rFonts w:cs="Times New Roman"/>
        </w:rPr>
        <w:t xml:space="preserve">Problém ČNB s prognózováním je podle mého názoru z velké části zapříčiněn faktem, že Česká republika </w:t>
      </w:r>
      <w:r w:rsidR="00B32B06" w:rsidRPr="001E7829">
        <w:rPr>
          <w:rFonts w:cs="Times New Roman"/>
        </w:rPr>
        <w:t>se řadí mezi</w:t>
      </w:r>
      <w:r w:rsidRPr="001E7829">
        <w:rPr>
          <w:rFonts w:cs="Times New Roman"/>
        </w:rPr>
        <w:t xml:space="preserve"> tzv. malé otevřené ekonomiky, které jsou vysoce závislé na zahrani</w:t>
      </w:r>
      <w:r w:rsidR="00B32B06" w:rsidRPr="001E7829">
        <w:rPr>
          <w:rFonts w:cs="Times New Roman"/>
        </w:rPr>
        <w:t xml:space="preserve">čním vývoji a náchylné vůči šokům přicházejícím z vnějšího prostředí. Například změny cen dováženého zboží v takových ekonomikách výrazně a poměrně rychle skrze úroveň měnového kurzu ovlivňují inflaci. Centrální banky tyto změny většinou </w:t>
      </w:r>
      <w:r w:rsidR="00FE7BF5" w:rsidRPr="001E7829">
        <w:rPr>
          <w:rFonts w:cs="Times New Roman"/>
        </w:rPr>
        <w:t>nemohou žádným způsobem</w:t>
      </w:r>
      <w:r w:rsidR="00C06EA7" w:rsidRPr="001E7829">
        <w:rPr>
          <w:rFonts w:cs="Times New Roman"/>
        </w:rPr>
        <w:t xml:space="preserve"> ovlivnit</w:t>
      </w:r>
      <w:r w:rsidR="00B32B06" w:rsidRPr="001E7829">
        <w:rPr>
          <w:rFonts w:cs="Times New Roman"/>
        </w:rPr>
        <w:t xml:space="preserve"> a jejich možnost je předvídat je pouze omezená. Vezmeme-li dále v potaz zpoždění monetární transmise, stojí centrální banky těchto ekonomik před velice obtížným úkolem.</w:t>
      </w:r>
      <w:r w:rsidR="00FE7BF5" w:rsidRPr="001E7829">
        <w:rPr>
          <w:rStyle w:val="Znakapoznpodarou"/>
          <w:rFonts w:cs="Times New Roman"/>
        </w:rPr>
        <w:footnoteReference w:id="177"/>
      </w:r>
      <w:r w:rsidR="001B6604" w:rsidRPr="001E7829">
        <w:rPr>
          <w:rFonts w:cs="Times New Roman"/>
        </w:rPr>
        <w:t xml:space="preserve"> </w:t>
      </w:r>
      <w:r w:rsidR="009C64B6" w:rsidRPr="001E7829">
        <w:rPr>
          <w:rFonts w:cs="Times New Roman"/>
        </w:rPr>
        <w:t xml:space="preserve">Prostor ke zlepšení však spatřuji v otázce komunikace mezi vládami a ČNB ohledně plánovaných opatření fiskální politiky, resp. ve zlepšení reakcí ČNB na ně. Výroční zprávy ČNB velice často uvádějí mezi příčinami netrefení cíle dopady změn daňových sazeb (zejména DPH) a cenovou deregulaci, která probíhala jiným tempem, než centrální banka očekávala, případně se její dopad lišil od prognóz. </w:t>
      </w:r>
      <w:r w:rsidR="00913CE0" w:rsidRPr="001E7829">
        <w:rPr>
          <w:rFonts w:cs="Times New Roman"/>
        </w:rPr>
        <w:t xml:space="preserve">ČNB pak tyto faktory většinou zařadila pod </w:t>
      </w:r>
      <w:r w:rsidR="003229C3" w:rsidRPr="001E7829">
        <w:rPr>
          <w:rFonts w:cs="Times New Roman"/>
        </w:rPr>
        <w:t xml:space="preserve">tzv. </w:t>
      </w:r>
      <w:r w:rsidR="00913CE0" w:rsidRPr="001E7829">
        <w:rPr>
          <w:rFonts w:cs="Times New Roman"/>
        </w:rPr>
        <w:t>výjimky z plnění inflačních cílů,</w:t>
      </w:r>
      <w:r w:rsidR="003229C3" w:rsidRPr="001E7829">
        <w:rPr>
          <w:rFonts w:cs="Times New Roman"/>
        </w:rPr>
        <w:t xml:space="preserve"> tedy situace, za nichž na </w:t>
      </w:r>
      <w:r w:rsidR="003229C3" w:rsidRPr="001E7829">
        <w:rPr>
          <w:rFonts w:cs="Times New Roman"/>
        </w:rPr>
        <w:lastRenderedPageBreak/>
        <w:t>inflační vývoj nereaguje změnou nastavení nástrojů.</w:t>
      </w:r>
      <w:r w:rsidR="009F6A8D" w:rsidRPr="001E7829">
        <w:rPr>
          <w:rFonts w:cs="Times New Roman"/>
        </w:rPr>
        <w:t xml:space="preserve"> </w:t>
      </w:r>
      <w:r w:rsidR="003229C3" w:rsidRPr="001E7829">
        <w:rPr>
          <w:rFonts w:cs="Times New Roman"/>
        </w:rPr>
        <w:t>To</w:t>
      </w:r>
      <w:r w:rsidR="00913CE0" w:rsidRPr="001E7829">
        <w:rPr>
          <w:rFonts w:cs="Times New Roman"/>
        </w:rPr>
        <w:t xml:space="preserve"> je v souladu s její vlastní komunikací své monetární politiky vůči veřejnosti.</w:t>
      </w:r>
      <w:r w:rsidR="00821EBF" w:rsidRPr="001E7829">
        <w:rPr>
          <w:rStyle w:val="Znakapoznpodarou"/>
          <w:rFonts w:cs="Times New Roman"/>
        </w:rPr>
        <w:footnoteReference w:id="178"/>
      </w:r>
      <w:r w:rsidR="00913CE0" w:rsidRPr="001E7829">
        <w:rPr>
          <w:rFonts w:cs="Times New Roman"/>
        </w:rPr>
        <w:t xml:space="preserve"> Mám ale za to, že lepší spolupráce by pomohla vliv těchto změn omezit a by</w:t>
      </w:r>
      <w:r w:rsidR="00E648F4" w:rsidRPr="001E7829">
        <w:rPr>
          <w:rFonts w:cs="Times New Roman"/>
        </w:rPr>
        <w:t>la tak v zájmu cenové stability</w:t>
      </w:r>
      <w:r w:rsidR="00913CE0" w:rsidRPr="001E7829">
        <w:rPr>
          <w:rFonts w:cs="Times New Roman"/>
        </w:rPr>
        <w:t xml:space="preserve"> a tím i kredibility monetární politiky.</w:t>
      </w:r>
    </w:p>
    <w:p w:rsidR="001E6B88" w:rsidRPr="001E7829" w:rsidRDefault="0034443C" w:rsidP="000756F7">
      <w:pPr>
        <w:pStyle w:val="Druh"/>
        <w:rPr>
          <w:rFonts w:cs="Times New Roman"/>
        </w:rPr>
      </w:pPr>
      <w:r w:rsidRPr="001E7829">
        <w:rPr>
          <w:rFonts w:cs="Times New Roman"/>
        </w:rPr>
        <w:t xml:space="preserve">Rozhodování bankovní rady ČNB ohledně nastavení nástrojů hodnotím jako poměrně flexibilní. Prognózy budoucího vývoje byly často upravovány několikrát ročně (tedy v rámci čtvrtletně vydávaných </w:t>
      </w:r>
      <w:r w:rsidRPr="001E7829">
        <w:rPr>
          <w:rFonts w:cs="Times New Roman"/>
          <w:i/>
        </w:rPr>
        <w:t>Zpráv o inflaci</w:t>
      </w:r>
      <w:r w:rsidRPr="001E7829">
        <w:rPr>
          <w:rFonts w:cs="Times New Roman"/>
        </w:rPr>
        <w:t>), na což</w:t>
      </w:r>
      <w:r w:rsidR="003229C3" w:rsidRPr="001E7829">
        <w:rPr>
          <w:rFonts w:cs="Times New Roman"/>
        </w:rPr>
        <w:t xml:space="preserve"> bankovní</w:t>
      </w:r>
      <w:r w:rsidRPr="001E7829">
        <w:rPr>
          <w:rFonts w:cs="Times New Roman"/>
        </w:rPr>
        <w:t xml:space="preserve"> rada většinou reagovala úpravou sazeb diskontních nástrojů, popřípadě povinných minimálních rezerv. </w:t>
      </w:r>
      <w:r w:rsidR="001E6B88" w:rsidRPr="001E7829">
        <w:rPr>
          <w:rFonts w:cs="Times New Roman"/>
        </w:rPr>
        <w:t xml:space="preserve">Výjimkou byly výše zmíněné situace, kdy byly výkyvy inflace mimo cíl označeny za důsledek dočasného působení faktorů, na něž byl uplatněn institut výjimek. </w:t>
      </w:r>
    </w:p>
    <w:p w:rsidR="003A3EEE" w:rsidRPr="001E7829" w:rsidRDefault="001E6B88" w:rsidP="000756F7">
      <w:pPr>
        <w:pStyle w:val="Druh"/>
        <w:rPr>
          <w:rFonts w:cs="Times New Roman"/>
        </w:rPr>
      </w:pPr>
      <w:r w:rsidRPr="001E7829">
        <w:rPr>
          <w:rFonts w:cs="Times New Roman"/>
        </w:rPr>
        <w:t>Téměř po celou</w:t>
      </w:r>
      <w:r w:rsidR="00F61F36" w:rsidRPr="001E7829">
        <w:rPr>
          <w:rFonts w:cs="Times New Roman"/>
        </w:rPr>
        <w:t xml:space="preserve"> dobu</w:t>
      </w:r>
      <w:r w:rsidRPr="001E7829">
        <w:rPr>
          <w:rFonts w:cs="Times New Roman"/>
        </w:rPr>
        <w:t xml:space="preserve"> zde byla spíše tendence k „</w:t>
      </w:r>
      <w:proofErr w:type="spellStart"/>
      <w:r w:rsidRPr="001E7829">
        <w:rPr>
          <w:rFonts w:cs="Times New Roman"/>
        </w:rPr>
        <w:t>podstřelování</w:t>
      </w:r>
      <w:proofErr w:type="spellEnd"/>
      <w:r w:rsidRPr="001E7829">
        <w:rPr>
          <w:rFonts w:cs="Times New Roman"/>
        </w:rPr>
        <w:t xml:space="preserve">“ cílů, tedy ke stavu, kdy skutečná inflace byla nižší než byl stanoven cíl. Tomu odpovídá fakt, že až na několik výjimek, kdy byly úrokové sazby bankovní radou zvýšeny, byla monetární politika po celou dobu cílování inflace expanzivní a měla tedy působit mj. ke zvýšení inflace a zároveň podporovat dynamiku hospodářského růstu. </w:t>
      </w:r>
      <w:r w:rsidR="00D35E73" w:rsidRPr="001E7829">
        <w:rPr>
          <w:rFonts w:cs="Times New Roman"/>
        </w:rPr>
        <w:t>Zmíněnými výjimkami byly roky 2</w:t>
      </w:r>
      <w:r w:rsidR="0052715A" w:rsidRPr="001E7829">
        <w:rPr>
          <w:rFonts w:cs="Times New Roman"/>
        </w:rPr>
        <w:t>001 a 2004 až 2007, ve kterých R</w:t>
      </w:r>
      <w:r w:rsidR="00D35E73" w:rsidRPr="001E7829">
        <w:rPr>
          <w:rFonts w:cs="Times New Roman"/>
        </w:rPr>
        <w:t>ada na základě vyhodnocení prognóz usoudila na existenci inflačních rizik na horizontu monetární politiky a sazby zvýšila. Naplnila se však pouze prognóza pro rok 2007, kdy se inflace</w:t>
      </w:r>
      <w:r w:rsidR="00EE0F81" w:rsidRPr="001E7829">
        <w:rPr>
          <w:rFonts w:cs="Times New Roman"/>
        </w:rPr>
        <w:t xml:space="preserve"> vlivem cen potravin, deregulace cen a úprav nepřímých daní</w:t>
      </w:r>
      <w:r w:rsidR="00D35E73" w:rsidRPr="001E7829">
        <w:rPr>
          <w:rFonts w:cs="Times New Roman"/>
        </w:rPr>
        <w:t xml:space="preserve"> dočasně výrazně vychýlila nad cíl a následně začala klesat</w:t>
      </w:r>
      <w:r w:rsidR="00EE0F81" w:rsidRPr="001E7829">
        <w:rPr>
          <w:rFonts w:cs="Times New Roman"/>
        </w:rPr>
        <w:t xml:space="preserve"> zpět k normálu. V ostatních letech tedy chyby prognóz přinesly monetární restrikci, která nebyla na místě.</w:t>
      </w:r>
    </w:p>
    <w:p w:rsidR="009E2603" w:rsidRPr="001E7829" w:rsidRDefault="009E2603" w:rsidP="000756F7">
      <w:pPr>
        <w:pStyle w:val="Druh"/>
        <w:rPr>
          <w:rFonts w:cs="Times New Roman"/>
        </w:rPr>
      </w:pPr>
      <w:r w:rsidRPr="001E7829">
        <w:rPr>
          <w:rFonts w:cs="Times New Roman"/>
        </w:rPr>
        <w:t>Z výše uvedeného je zřejmé</w:t>
      </w:r>
      <w:r w:rsidR="006730AF" w:rsidRPr="001E7829">
        <w:rPr>
          <w:rFonts w:cs="Times New Roman"/>
        </w:rPr>
        <w:t>, že při</w:t>
      </w:r>
      <w:r w:rsidR="004230C9" w:rsidRPr="001E7829">
        <w:rPr>
          <w:rFonts w:cs="Times New Roman"/>
        </w:rPr>
        <w:t xml:space="preserve"> pravidelném</w:t>
      </w:r>
      <w:r w:rsidR="006730AF" w:rsidRPr="001E7829">
        <w:rPr>
          <w:rFonts w:cs="Times New Roman"/>
        </w:rPr>
        <w:t xml:space="preserve"> silném působení exogenních faktorů na českou ekonomiku neměla ČNB cenovou stabilitu příliš pevně </w:t>
      </w:r>
      <w:r w:rsidR="009F6A8D" w:rsidRPr="001E7829">
        <w:rPr>
          <w:rFonts w:cs="Times New Roman"/>
        </w:rPr>
        <w:t xml:space="preserve">v </w:t>
      </w:r>
      <w:r w:rsidR="006730AF" w:rsidRPr="001E7829">
        <w:rPr>
          <w:rFonts w:cs="Times New Roman"/>
        </w:rPr>
        <w:t xml:space="preserve">rukou. Pozitivní vliv jednotlivých úprav úrokových sazeb a dalších nástrojů na cenovou stabilitu tak není při pohledu na graf vývoje inflace příliš patrný. Bezesporu však </w:t>
      </w:r>
      <w:r w:rsidR="004230C9" w:rsidRPr="001E7829">
        <w:rPr>
          <w:rFonts w:cs="Times New Roman"/>
        </w:rPr>
        <w:t xml:space="preserve">menší či větší měrou přispívaly k příznivému vývoji </w:t>
      </w:r>
      <w:r w:rsidR="004230C9" w:rsidRPr="001E7829">
        <w:rPr>
          <w:rFonts w:cs="Times New Roman"/>
        </w:rPr>
        <w:lastRenderedPageBreak/>
        <w:t>některých dílčích ekonomických ukazatelů, například hospodářského růstu. O tom však bude podrobněji řeč až v následující podkapitole.</w:t>
      </w:r>
    </w:p>
    <w:p w:rsidR="004230C9" w:rsidRPr="001E7829" w:rsidRDefault="00D629E5" w:rsidP="000756F7">
      <w:pPr>
        <w:pStyle w:val="Druh"/>
        <w:rPr>
          <w:rFonts w:cs="Times New Roman"/>
        </w:rPr>
      </w:pPr>
      <w:r w:rsidRPr="001E7829">
        <w:rPr>
          <w:rFonts w:cs="Times New Roman"/>
        </w:rPr>
        <w:t>Jako úspěšné lze podle mého názoru hodnotit kurzové intervence, které začala ČNB provádět v roce 2013 poté, co snížila zejména v důsledku probíhající finanční a hospodářské krize úrokové sazby na technické minimum a ztratila tak možnost je nadále využívat k dalšímu stupňování monetární expanze. Paradoxně se rozhodnutí započít s intervencemi stalo zř</w:t>
      </w:r>
      <w:r w:rsidR="00EF37A7" w:rsidRPr="001E7829">
        <w:rPr>
          <w:rFonts w:cs="Times New Roman"/>
        </w:rPr>
        <w:t xml:space="preserve">ejmě nejkontroverznějším </w:t>
      </w:r>
      <w:r w:rsidRPr="001E7829">
        <w:rPr>
          <w:rFonts w:cs="Times New Roman"/>
        </w:rPr>
        <w:t xml:space="preserve">měnově-politickým krokem ČNB během celé její existence, který rozdělil </w:t>
      </w:r>
      <w:r w:rsidR="00EF37A7" w:rsidRPr="001E7829">
        <w:rPr>
          <w:rFonts w:cs="Times New Roman"/>
        </w:rPr>
        <w:t>odborníky i veřejnost na jejich zastánce a tvrdé odpůrce.</w:t>
      </w:r>
      <w:r w:rsidR="009C55AD" w:rsidRPr="001E7829">
        <w:rPr>
          <w:rFonts w:cs="Times New Roman"/>
        </w:rPr>
        <w:t xml:space="preserve"> První skupina je brání jako jedinou možnou obranu české ekonomiky před rizikem deflace, které v posledních letech hrozilo. Druhá skupina je naopak odsuzuje jako nepřirozenou machinaci s kurzem, </w:t>
      </w:r>
      <w:r w:rsidR="00787BC0" w:rsidRPr="001E7829">
        <w:rPr>
          <w:rFonts w:cs="Times New Roman"/>
        </w:rPr>
        <w:t>která je nákladná a přinese veřejnosti vyšší inflaci a tedy vyšší ceny.</w:t>
      </w:r>
      <w:r w:rsidR="00E80E64" w:rsidRPr="001E7829">
        <w:rPr>
          <w:rStyle w:val="Znakapoznpodarou"/>
          <w:rFonts w:cs="Times New Roman"/>
        </w:rPr>
        <w:footnoteReference w:id="179"/>
      </w:r>
      <w:r w:rsidR="00787BC0" w:rsidRPr="001E7829">
        <w:rPr>
          <w:rFonts w:cs="Times New Roman"/>
        </w:rPr>
        <w:t xml:space="preserve"> Přestože s sebou intervence bezesporu určité náklady přinášejí, zůstává faktem, že v současné době se již podařilo deflační riziko pravděpodobně zažehnat a ekonomiku povzbudit k poměrně silnému růstu. Navíc příznivý vývoj českého hospodářství v posledních dvou letech byl důsledkem rostoucí domácí poptávky</w:t>
      </w:r>
      <w:r w:rsidR="00C3776E" w:rsidRPr="001E7829">
        <w:rPr>
          <w:rFonts w:cs="Times New Roman"/>
        </w:rPr>
        <w:t>,</w:t>
      </w:r>
      <w:r w:rsidR="00E80E64" w:rsidRPr="001E7829">
        <w:rPr>
          <w:rStyle w:val="Znakapoznpodarou"/>
          <w:rFonts w:cs="Times New Roman"/>
        </w:rPr>
        <w:footnoteReference w:id="180"/>
      </w:r>
      <w:r w:rsidR="00787BC0" w:rsidRPr="001E7829">
        <w:rPr>
          <w:rFonts w:cs="Times New Roman"/>
        </w:rPr>
        <w:t xml:space="preserve"> která během krize naopak představovala faktor, který ekonomiku táhl směrem do deflace a</w:t>
      </w:r>
      <w:r w:rsidR="00F61F36" w:rsidRPr="001E7829">
        <w:rPr>
          <w:rFonts w:cs="Times New Roman"/>
        </w:rPr>
        <w:t xml:space="preserve"> k</w:t>
      </w:r>
      <w:r w:rsidR="009F6A8D" w:rsidRPr="001E7829">
        <w:rPr>
          <w:rFonts w:cs="Times New Roman"/>
        </w:rPr>
        <w:t xml:space="preserve"> </w:t>
      </w:r>
      <w:r w:rsidR="006A4127" w:rsidRPr="001E7829">
        <w:rPr>
          <w:rFonts w:cs="Times New Roman"/>
        </w:rPr>
        <w:t>hospodářskému poklesu.</w:t>
      </w:r>
      <w:r w:rsidR="00E80E64" w:rsidRPr="001E7829">
        <w:rPr>
          <w:rStyle w:val="Znakapoznpodarou"/>
          <w:rFonts w:cs="Times New Roman"/>
        </w:rPr>
        <w:footnoteReference w:id="181"/>
      </w:r>
      <w:r w:rsidR="006A4127" w:rsidRPr="001E7829">
        <w:rPr>
          <w:rFonts w:cs="Times New Roman"/>
        </w:rPr>
        <w:t xml:space="preserve"> Intervence tedy přinesly požadovaný efekt, otázkou však zůstává, ve kterém okamžiku bude vhodné je ukončit. Zkušenosti ze zahraničí, například ze Švýcarska</w:t>
      </w:r>
      <w:r w:rsidR="00293DD9" w:rsidRPr="001E7829">
        <w:rPr>
          <w:rFonts w:cs="Times New Roman"/>
        </w:rPr>
        <w:t>,</w:t>
      </w:r>
      <w:r w:rsidR="006A4127" w:rsidRPr="001E7829">
        <w:rPr>
          <w:rFonts w:cs="Times New Roman"/>
        </w:rPr>
        <w:t xml:space="preserve"> totiž ukazují, že příliš dlouhé provádění intervencí může vyvolat problémy s přechodem zpět k tradičnímu </w:t>
      </w:r>
      <w:proofErr w:type="spellStart"/>
      <w:r w:rsidR="006A4127" w:rsidRPr="001E7829">
        <w:rPr>
          <w:rFonts w:cs="Times New Roman"/>
        </w:rPr>
        <w:t>floatingu</w:t>
      </w:r>
      <w:proofErr w:type="spellEnd"/>
      <w:r w:rsidR="006A4127" w:rsidRPr="001E7829">
        <w:rPr>
          <w:rFonts w:cs="Times New Roman"/>
        </w:rPr>
        <w:t xml:space="preserve">. </w:t>
      </w:r>
      <w:r w:rsidR="00C3776E" w:rsidRPr="001E7829">
        <w:rPr>
          <w:rFonts w:cs="Times New Roman"/>
        </w:rPr>
        <w:t>Již jsem uvedl, že Rada neočekává ukončení intervencí dříve než v roce 2017.</w:t>
      </w:r>
      <w:r w:rsidR="006A4127" w:rsidRPr="001E7829">
        <w:rPr>
          <w:rFonts w:cs="Times New Roman"/>
        </w:rPr>
        <w:t xml:space="preserve"> Existují však </w:t>
      </w:r>
      <w:r w:rsidR="00C3776E" w:rsidRPr="001E7829">
        <w:rPr>
          <w:rFonts w:cs="Times New Roman"/>
        </w:rPr>
        <w:t xml:space="preserve">také </w:t>
      </w:r>
      <w:r w:rsidR="006A4127" w:rsidRPr="001E7829">
        <w:rPr>
          <w:rFonts w:cs="Times New Roman"/>
        </w:rPr>
        <w:t>faktory mimo stav domácí ekonomiky, které musí ČNB brát v potaz. Tím nejdůležitějším je patrně měnová politika Evropské centrální banky, která v současné době snižuje své úroko</w:t>
      </w:r>
      <w:r w:rsidR="00C3776E" w:rsidRPr="001E7829">
        <w:rPr>
          <w:rFonts w:cs="Times New Roman"/>
        </w:rPr>
        <w:t>vé sazby ještě hlouběji než ČNB</w:t>
      </w:r>
      <w:r w:rsidR="00F61F36" w:rsidRPr="001E7829">
        <w:rPr>
          <w:rFonts w:cs="Times New Roman"/>
        </w:rPr>
        <w:t xml:space="preserve"> a upuštění od kurzového závazku</w:t>
      </w:r>
      <w:r w:rsidR="006A4127" w:rsidRPr="001E7829">
        <w:rPr>
          <w:rFonts w:cs="Times New Roman"/>
        </w:rPr>
        <w:t xml:space="preserve"> za této s</w:t>
      </w:r>
      <w:r w:rsidR="00F61F36" w:rsidRPr="001E7829">
        <w:rPr>
          <w:rFonts w:cs="Times New Roman"/>
        </w:rPr>
        <w:t>ituace by mohlo znamenat výrazné</w:t>
      </w:r>
      <w:r w:rsidR="006A4127" w:rsidRPr="001E7829">
        <w:rPr>
          <w:rFonts w:cs="Times New Roman"/>
        </w:rPr>
        <w:t xml:space="preserve"> skokové posílení koruny, které by mohlo čes</w:t>
      </w:r>
      <w:r w:rsidR="0052715A" w:rsidRPr="001E7829">
        <w:rPr>
          <w:rFonts w:cs="Times New Roman"/>
        </w:rPr>
        <w:t xml:space="preserve">ké hospodářství </w:t>
      </w:r>
      <w:r w:rsidR="0052715A" w:rsidRPr="001E7829">
        <w:rPr>
          <w:rFonts w:cs="Times New Roman"/>
        </w:rPr>
        <w:lastRenderedPageBreak/>
        <w:t>poškodit. Proto</w:t>
      </w:r>
      <w:r w:rsidR="006A4127" w:rsidRPr="001E7829">
        <w:rPr>
          <w:rFonts w:cs="Times New Roman"/>
        </w:rPr>
        <w:t xml:space="preserve"> </w:t>
      </w:r>
      <w:r w:rsidR="00F61F36" w:rsidRPr="001E7829">
        <w:rPr>
          <w:rFonts w:cs="Times New Roman"/>
        </w:rPr>
        <w:t>mají-li</w:t>
      </w:r>
      <w:r w:rsidR="006A4127" w:rsidRPr="001E7829">
        <w:rPr>
          <w:rFonts w:cs="Times New Roman"/>
        </w:rPr>
        <w:t xml:space="preserve"> být intervence při zpětném pohledu hodnoceny kladně</w:t>
      </w:r>
      <w:r w:rsidR="003D05AE" w:rsidRPr="001E7829">
        <w:rPr>
          <w:rFonts w:cs="Times New Roman"/>
        </w:rPr>
        <w:t>,</w:t>
      </w:r>
      <w:r w:rsidR="006A4127" w:rsidRPr="001E7829">
        <w:rPr>
          <w:rFonts w:cs="Times New Roman"/>
        </w:rPr>
        <w:t xml:space="preserve"> je nezbytné, aby ČNB určila vhodný okamžik a provedla hladký přechod zpět k běžnému režimu monetární politiky.</w:t>
      </w:r>
      <w:r w:rsidR="00320944" w:rsidRPr="001E7829">
        <w:rPr>
          <w:rStyle w:val="Znakapoznpodarou"/>
          <w:rFonts w:cs="Times New Roman"/>
        </w:rPr>
        <w:footnoteReference w:id="182"/>
      </w:r>
    </w:p>
    <w:p w:rsidR="00081A17" w:rsidRPr="001E7829" w:rsidRDefault="00081A17" w:rsidP="000756F7">
      <w:pPr>
        <w:pStyle w:val="Druh"/>
        <w:rPr>
          <w:rFonts w:cs="Times New Roman"/>
        </w:rPr>
      </w:pPr>
      <w:r w:rsidRPr="001E7829">
        <w:rPr>
          <w:rFonts w:cs="Times New Roman"/>
        </w:rPr>
        <w:t xml:space="preserve">Závěrem krátce ke srovnání se zahraniční centrální bankou. NBS používala explicitní inflační cílování (s vyhlášenými cíli) pouze mezi lety 2005 a 2008. </w:t>
      </w:r>
      <w:r w:rsidR="00D15352" w:rsidRPr="001E7829">
        <w:rPr>
          <w:rFonts w:cs="Times New Roman"/>
        </w:rPr>
        <w:t>Na rok 2005 byl vyhlášen cíl v pásmu 3,5</w:t>
      </w:r>
      <w:r w:rsidR="0052715A" w:rsidRPr="001E7829">
        <w:rPr>
          <w:rFonts w:cs="Times New Roman"/>
        </w:rPr>
        <w:t xml:space="preserve"> % ± 0,5 </w:t>
      </w:r>
      <w:proofErr w:type="spellStart"/>
      <w:proofErr w:type="gramStart"/>
      <w:r w:rsidR="0052715A" w:rsidRPr="001E7829">
        <w:rPr>
          <w:rFonts w:cs="Times New Roman"/>
        </w:rPr>
        <w:t>p.b</w:t>
      </w:r>
      <w:proofErr w:type="spellEnd"/>
      <w:r w:rsidR="0052715A" w:rsidRPr="001E7829">
        <w:rPr>
          <w:rFonts w:cs="Times New Roman"/>
        </w:rPr>
        <w:t>.</w:t>
      </w:r>
      <w:r w:rsidR="00095082" w:rsidRPr="001E7829">
        <w:rPr>
          <w:rFonts w:cs="Times New Roman"/>
        </w:rPr>
        <w:t>,</w:t>
      </w:r>
      <w:r w:rsidR="00D15352" w:rsidRPr="001E7829">
        <w:rPr>
          <w:rFonts w:cs="Times New Roman"/>
        </w:rPr>
        <w:t xml:space="preserve"> a ten</w:t>
      </w:r>
      <w:proofErr w:type="gramEnd"/>
      <w:r w:rsidR="00D15352" w:rsidRPr="001E7829">
        <w:rPr>
          <w:rFonts w:cs="Times New Roman"/>
        </w:rPr>
        <w:t xml:space="preserve"> také zůstal jediným, který se NBS podařilo splnit. Ostatní cíle v hodnotě pod 2,5</w:t>
      </w:r>
      <w:r w:rsidR="0052715A" w:rsidRPr="001E7829">
        <w:rPr>
          <w:rFonts w:cs="Times New Roman"/>
        </w:rPr>
        <w:t xml:space="preserve"> </w:t>
      </w:r>
      <w:r w:rsidR="00D15352" w:rsidRPr="001E7829">
        <w:rPr>
          <w:rFonts w:cs="Times New Roman"/>
        </w:rPr>
        <w:t>% v prosinci 2006 a pod 2</w:t>
      </w:r>
      <w:r w:rsidR="0052715A" w:rsidRPr="001E7829">
        <w:rPr>
          <w:rFonts w:cs="Times New Roman"/>
        </w:rPr>
        <w:t xml:space="preserve"> </w:t>
      </w:r>
      <w:r w:rsidR="00D15352" w:rsidRPr="001E7829">
        <w:rPr>
          <w:rFonts w:cs="Times New Roman"/>
        </w:rPr>
        <w:t>% v prosinci 2007 a 2008 byly poměrně výrazně nižší než skutečná míra inflace v těchto měsících.</w:t>
      </w:r>
      <w:r w:rsidR="00D15352" w:rsidRPr="001E7829">
        <w:rPr>
          <w:rStyle w:val="Znakapoznpodarou"/>
          <w:rFonts w:cs="Times New Roman"/>
        </w:rPr>
        <w:footnoteReference w:id="183"/>
      </w:r>
    </w:p>
    <w:p w:rsidR="00BD1081" w:rsidRPr="001E7829" w:rsidRDefault="00DE0787" w:rsidP="00BD1081">
      <w:pPr>
        <w:pStyle w:val="431"/>
        <w:rPr>
          <w:rFonts w:cs="Times New Roman"/>
        </w:rPr>
      </w:pPr>
      <w:bookmarkStart w:id="71" w:name="_Toc444083240"/>
      <w:bookmarkStart w:id="72" w:name="_Toc444516073"/>
      <w:bookmarkStart w:id="73" w:name="_Toc446604217"/>
      <w:r w:rsidRPr="001E7829">
        <w:rPr>
          <w:rFonts w:cs="Times New Roman"/>
        </w:rPr>
        <w:t>Naplňování vedlejšího cíle</w:t>
      </w:r>
      <w:r w:rsidR="00BD1081" w:rsidRPr="001E7829">
        <w:rPr>
          <w:rFonts w:cs="Times New Roman"/>
        </w:rPr>
        <w:t xml:space="preserve"> ČNB</w:t>
      </w:r>
      <w:bookmarkEnd w:id="71"/>
      <w:bookmarkEnd w:id="72"/>
      <w:bookmarkEnd w:id="73"/>
    </w:p>
    <w:p w:rsidR="00F021E9" w:rsidRPr="001E7829" w:rsidRDefault="00941A00" w:rsidP="00B40EB7">
      <w:pPr>
        <w:pStyle w:val="Prvn"/>
        <w:rPr>
          <w:rFonts w:cs="Times New Roman"/>
        </w:rPr>
      </w:pPr>
      <w:r w:rsidRPr="001E7829">
        <w:rPr>
          <w:rFonts w:cs="Times New Roman"/>
        </w:rPr>
        <w:t>ZČNB</w:t>
      </w:r>
      <w:r w:rsidR="00714862" w:rsidRPr="001E7829">
        <w:rPr>
          <w:rFonts w:cs="Times New Roman"/>
        </w:rPr>
        <w:t xml:space="preserve"> mimo hlavní cíl</w:t>
      </w:r>
      <w:r w:rsidR="00046AE6" w:rsidRPr="001E7829">
        <w:rPr>
          <w:rFonts w:cs="Times New Roman"/>
        </w:rPr>
        <w:t xml:space="preserve"> </w:t>
      </w:r>
      <w:r w:rsidR="00D56CB0" w:rsidRPr="001E7829">
        <w:rPr>
          <w:rFonts w:cs="Times New Roman"/>
        </w:rPr>
        <w:t>činnosti centrální banky</w:t>
      </w:r>
      <w:r w:rsidR="00714862" w:rsidRPr="001E7829">
        <w:rPr>
          <w:rFonts w:cs="Times New Roman"/>
        </w:rPr>
        <w:t xml:space="preserve"> uvádí také cíl vedlejší - podporu obecné hospodářské politiky vlády vedoucí k udržitelnému hospodářskému růstu a obecných hospodářských politik v Evropské unii se záměrem přispět k dosažení cílů Evropské unie – to vše, pokud tím není dotčen hlavní cíl.</w:t>
      </w:r>
      <w:r w:rsidR="00714862" w:rsidRPr="001E7829">
        <w:rPr>
          <w:rStyle w:val="Znakapoznpodarou"/>
          <w:rFonts w:cs="Times New Roman"/>
        </w:rPr>
        <w:footnoteReference w:id="184"/>
      </w:r>
      <w:r w:rsidR="009F6A8D" w:rsidRPr="001E7829">
        <w:rPr>
          <w:rFonts w:cs="Times New Roman"/>
        </w:rPr>
        <w:t xml:space="preserve"> </w:t>
      </w:r>
      <w:r w:rsidR="003E2DF6" w:rsidRPr="001E7829">
        <w:rPr>
          <w:rFonts w:cs="Times New Roman"/>
        </w:rPr>
        <w:t xml:space="preserve">V této podkapitole se budu zabývat analýzou úspěšnosti ČNB při naplňování tohoto vedlejšího cíle, se zaměřením především na jeho „domácí“ část, tedy ve vztahu k hospodářským politikám vlád. </w:t>
      </w:r>
      <w:r w:rsidR="003D5A14" w:rsidRPr="001E7829">
        <w:rPr>
          <w:rFonts w:cs="Times New Roman"/>
        </w:rPr>
        <w:t xml:space="preserve">K analýze využiji tři základní makroekonomické </w:t>
      </w:r>
      <w:r w:rsidR="00751A1D" w:rsidRPr="001E7829">
        <w:rPr>
          <w:rFonts w:cs="Times New Roman"/>
        </w:rPr>
        <w:t>ukazatele</w:t>
      </w:r>
      <w:r w:rsidR="003D5A14" w:rsidRPr="001E7829">
        <w:rPr>
          <w:rFonts w:cs="Times New Roman"/>
        </w:rPr>
        <w:t>, které doplňují míru inflace v rámci tzv. magického čtyřúhelníku. Jsou jimi tempo růstu HDP, míra nezaměstnanosti a platební bilance.</w:t>
      </w:r>
      <w:r w:rsidR="00CB745E" w:rsidRPr="001E7829">
        <w:rPr>
          <w:rStyle w:val="Znakapoznpodarou"/>
          <w:rFonts w:cs="Times New Roman"/>
        </w:rPr>
        <w:footnoteReference w:id="185"/>
      </w:r>
      <w:r w:rsidR="00751A1D" w:rsidRPr="001E7829">
        <w:rPr>
          <w:rFonts w:cs="Times New Roman"/>
        </w:rPr>
        <w:t xml:space="preserve"> Tyto čtyři ukazatele</w:t>
      </w:r>
      <w:r w:rsidR="00BC7C8E" w:rsidRPr="001E7829">
        <w:rPr>
          <w:rFonts w:cs="Times New Roman"/>
        </w:rPr>
        <w:t xml:space="preserve"> dohromady</w:t>
      </w:r>
      <w:r w:rsidR="00751A1D" w:rsidRPr="001E7829">
        <w:rPr>
          <w:rFonts w:cs="Times New Roman"/>
        </w:rPr>
        <w:t xml:space="preserve"> představují makroekon</w:t>
      </w:r>
      <w:r w:rsidR="0094677F" w:rsidRPr="001E7829">
        <w:rPr>
          <w:rFonts w:cs="Times New Roman"/>
        </w:rPr>
        <w:t>omické cíle hospodářské politiky, nebo také tzv. tradiční ekonomické cíle</w:t>
      </w:r>
      <w:r w:rsidR="00751A1D" w:rsidRPr="001E7829">
        <w:rPr>
          <w:rFonts w:cs="Times New Roman"/>
        </w:rPr>
        <w:t>.</w:t>
      </w:r>
      <w:r w:rsidR="0094677F" w:rsidRPr="001E7829">
        <w:rPr>
          <w:rStyle w:val="Znakapoznpodarou"/>
          <w:rFonts w:cs="Times New Roman"/>
        </w:rPr>
        <w:footnoteReference w:id="186"/>
      </w:r>
      <w:r w:rsidR="00751A1D" w:rsidRPr="001E7829">
        <w:rPr>
          <w:rFonts w:cs="Times New Roman"/>
        </w:rPr>
        <w:t xml:space="preserve"> Jak však vyplývá z teorie magického čtyřúhelníku, </w:t>
      </w:r>
      <w:r w:rsidR="0094677F" w:rsidRPr="001E7829">
        <w:rPr>
          <w:rFonts w:cs="Times New Roman"/>
        </w:rPr>
        <w:t xml:space="preserve">některé z nich </w:t>
      </w:r>
      <w:r w:rsidR="00751A1D" w:rsidRPr="001E7829">
        <w:rPr>
          <w:rFonts w:cs="Times New Roman"/>
        </w:rPr>
        <w:t>jsou vzájemně konkurenční a nikdy jich tedy nemůže být v plné míře dosahováno současně.</w:t>
      </w:r>
      <w:r w:rsidR="00751A1D" w:rsidRPr="001E7829">
        <w:rPr>
          <w:rStyle w:val="Znakapoznpodarou"/>
          <w:rFonts w:cs="Times New Roman"/>
        </w:rPr>
        <w:footnoteReference w:id="187"/>
      </w:r>
      <w:r w:rsidR="00751A1D" w:rsidRPr="001E7829">
        <w:rPr>
          <w:rFonts w:cs="Times New Roman"/>
        </w:rPr>
        <w:t xml:space="preserve"> Analýzou se tedy pokusím odpovědět na otázku, které z těchto oblastí ČNB nastavením monetární politiky podporovala a ve kterých byla naopak monetární politika spíše překážkou stojící na cestě </w:t>
      </w:r>
      <w:r w:rsidR="00751A1D" w:rsidRPr="001E7829">
        <w:rPr>
          <w:rFonts w:cs="Times New Roman"/>
        </w:rPr>
        <w:lastRenderedPageBreak/>
        <w:t>k příznivějšímu vývoji.</w:t>
      </w:r>
      <w:r w:rsidR="00530AC2" w:rsidRPr="001E7829">
        <w:rPr>
          <w:rFonts w:cs="Times New Roman"/>
        </w:rPr>
        <w:t xml:space="preserve"> V každé podkapitole jsou pro srovnání rovněž uvedena data pro Slovenskou republiku a naznačeny základní rysy monetární politiky NBS s dopadem na daný ukazatel. </w:t>
      </w:r>
    </w:p>
    <w:p w:rsidR="00D2769D" w:rsidRPr="001E7829" w:rsidRDefault="00D2769D" w:rsidP="00B40EB7">
      <w:pPr>
        <w:pStyle w:val="Prvn"/>
        <w:rPr>
          <w:rFonts w:cs="Times New Roman"/>
        </w:rPr>
      </w:pPr>
    </w:p>
    <w:p w:rsidR="0014006C" w:rsidRPr="001E7829" w:rsidRDefault="00D2769D" w:rsidP="002D519B">
      <w:pPr>
        <w:rPr>
          <w:rFonts w:ascii="Times New Roman" w:hAnsi="Times New Roman" w:cs="Times New Roman"/>
          <w:b/>
          <w:sz w:val="24"/>
          <w:szCs w:val="24"/>
        </w:rPr>
      </w:pPr>
      <w:r w:rsidRPr="001E7829">
        <w:rPr>
          <w:rFonts w:ascii="Times New Roman" w:hAnsi="Times New Roman" w:cs="Times New Roman"/>
          <w:b/>
          <w:sz w:val="24"/>
          <w:szCs w:val="24"/>
        </w:rPr>
        <w:t>Tempo růstu HDP</w:t>
      </w:r>
    </w:p>
    <w:p w:rsidR="00D2769D" w:rsidRPr="001E7829" w:rsidRDefault="00992478" w:rsidP="00B40EB7">
      <w:pPr>
        <w:pStyle w:val="Prvn"/>
        <w:rPr>
          <w:rFonts w:cs="Times New Roman"/>
        </w:rPr>
      </w:pPr>
      <w:r w:rsidRPr="001E7829">
        <w:rPr>
          <w:rFonts w:cs="Times New Roman"/>
        </w:rPr>
        <w:t xml:space="preserve">Teoretickým podkladem pro studii závislosti vývoje domácího produktu na podobě monetární politiky ČNB mi bude tzv. </w:t>
      </w:r>
      <w:proofErr w:type="spellStart"/>
      <w:r w:rsidRPr="001E7829">
        <w:rPr>
          <w:rFonts w:cs="Times New Roman"/>
        </w:rPr>
        <w:t>Mundell-Flemingův</w:t>
      </w:r>
      <w:proofErr w:type="spellEnd"/>
      <w:r w:rsidRPr="001E7829">
        <w:rPr>
          <w:rFonts w:cs="Times New Roman"/>
        </w:rPr>
        <w:t xml:space="preserve"> model. Podle něj působí monetární expanze</w:t>
      </w:r>
      <w:r w:rsidR="00A76E8C" w:rsidRPr="001E7829">
        <w:rPr>
          <w:rFonts w:cs="Times New Roman"/>
        </w:rPr>
        <w:t xml:space="preserve"> v otevřené ekonomice</w:t>
      </w:r>
      <w:r w:rsidR="00CB745E" w:rsidRPr="001E7829">
        <w:rPr>
          <w:rFonts w:cs="Times New Roman"/>
        </w:rPr>
        <w:t xml:space="preserve"> </w:t>
      </w:r>
      <w:r w:rsidR="00A76E8C" w:rsidRPr="001E7829">
        <w:rPr>
          <w:rFonts w:cs="Times New Roman"/>
        </w:rPr>
        <w:t>ve prospěch</w:t>
      </w:r>
      <w:r w:rsidRPr="001E7829">
        <w:rPr>
          <w:rFonts w:cs="Times New Roman"/>
        </w:rPr>
        <w:t xml:space="preserve"> posílení růstu HDP a snížení nezaměstnanosti, zatímco restrikce má právě opačný efekt. To vše platí</w:t>
      </w:r>
      <w:r w:rsidR="000A5F2F" w:rsidRPr="001E7829">
        <w:rPr>
          <w:rFonts w:cs="Times New Roman"/>
        </w:rPr>
        <w:t xml:space="preserve"> v krátkém období a</w:t>
      </w:r>
      <w:r w:rsidRPr="001E7829">
        <w:rPr>
          <w:rFonts w:cs="Times New Roman"/>
        </w:rPr>
        <w:t xml:space="preserve"> za předpokladu, že domácí měna funguje v režimu plovoucího kurzu, neboť právě skrze </w:t>
      </w:r>
      <w:proofErr w:type="spellStart"/>
      <w:r w:rsidRPr="001E7829">
        <w:rPr>
          <w:rFonts w:cs="Times New Roman"/>
        </w:rPr>
        <w:t>apreciaci</w:t>
      </w:r>
      <w:proofErr w:type="spellEnd"/>
      <w:r w:rsidRPr="001E7829">
        <w:rPr>
          <w:rFonts w:cs="Times New Roman"/>
        </w:rPr>
        <w:t xml:space="preserve"> nebo depreciaci kurzu </w:t>
      </w:r>
      <w:r w:rsidR="001F4C3B" w:rsidRPr="001E7829">
        <w:rPr>
          <w:rFonts w:cs="Times New Roman"/>
        </w:rPr>
        <w:t>ovlivňuje monetární politika buď import</w:t>
      </w:r>
      <w:r w:rsidR="006D5459" w:rsidRPr="001E7829">
        <w:rPr>
          <w:rFonts w:cs="Times New Roman"/>
        </w:rPr>
        <w:t>,</w:t>
      </w:r>
      <w:r w:rsidR="001F4C3B" w:rsidRPr="001E7829">
        <w:rPr>
          <w:rFonts w:cs="Times New Roman"/>
        </w:rPr>
        <w:t xml:space="preserve"> nebo export, a tím i domácí produkt. Naopak v režimu fixního kurzu je podle tohoto modelu monetární politika neúčinná, protože kroky centrální banky k zachování kurzu u centrální parity </w:t>
      </w:r>
      <w:r w:rsidR="001F4C3B" w:rsidRPr="001E7829">
        <w:rPr>
          <w:rFonts w:cs="Times New Roman"/>
          <w:i/>
        </w:rPr>
        <w:t>de facto</w:t>
      </w:r>
      <w:r w:rsidR="001F4C3B" w:rsidRPr="001E7829">
        <w:rPr>
          <w:rFonts w:cs="Times New Roman"/>
        </w:rPr>
        <w:t xml:space="preserve"> neutralizují jakoukoli aktivní měnovou politiku.</w:t>
      </w:r>
      <w:r w:rsidR="001F4C3B" w:rsidRPr="001E7829">
        <w:rPr>
          <w:rStyle w:val="Znakapoznpodarou"/>
          <w:rFonts w:cs="Times New Roman"/>
        </w:rPr>
        <w:footnoteReference w:id="188"/>
      </w:r>
      <w:r w:rsidR="001F4C3B" w:rsidRPr="001E7829">
        <w:rPr>
          <w:rFonts w:cs="Times New Roman"/>
        </w:rPr>
        <w:t xml:space="preserve"> Jelikož česká koruna fungovala postupně v obou režimech, </w:t>
      </w:r>
      <w:r w:rsidR="00A76E8C" w:rsidRPr="001E7829">
        <w:rPr>
          <w:rFonts w:cs="Times New Roman"/>
        </w:rPr>
        <w:t>nabízí se příležitost ověřit tento model v praxi.</w:t>
      </w:r>
    </w:p>
    <w:p w:rsidR="00CB745E" w:rsidRPr="001E7829" w:rsidRDefault="00CB745E" w:rsidP="000756F7">
      <w:pPr>
        <w:pStyle w:val="Druh"/>
        <w:rPr>
          <w:rFonts w:cs="Times New Roman"/>
          <w:szCs w:val="24"/>
        </w:rPr>
      </w:pPr>
    </w:p>
    <w:p w:rsidR="00E5019C" w:rsidRPr="001E7829" w:rsidRDefault="007D6D71" w:rsidP="00E5019C">
      <w:pPr>
        <w:pStyle w:val="Titulek"/>
        <w:keepNext/>
        <w:rPr>
          <w:rFonts w:ascii="Times New Roman" w:hAnsi="Times New Roman" w:cs="Times New Roman"/>
          <w:sz w:val="24"/>
          <w:szCs w:val="24"/>
        </w:rPr>
      </w:pPr>
      <w:r w:rsidRPr="001E7829">
        <w:rPr>
          <w:rFonts w:ascii="Times New Roman" w:hAnsi="Times New Roman" w:cs="Times New Roman"/>
          <w:color w:val="auto"/>
          <w:sz w:val="24"/>
          <w:szCs w:val="24"/>
        </w:rPr>
        <w:fldChar w:fldCharType="begin"/>
      </w:r>
      <w:r w:rsidR="00E5019C" w:rsidRPr="001E7829">
        <w:rPr>
          <w:rFonts w:ascii="Times New Roman" w:hAnsi="Times New Roman" w:cs="Times New Roman"/>
          <w:color w:val="auto"/>
          <w:sz w:val="24"/>
          <w:szCs w:val="24"/>
        </w:rPr>
        <w:instrText xml:space="preserve"> SEQ Tabulka \* ARABIC </w:instrText>
      </w:r>
      <w:r w:rsidRPr="001E7829">
        <w:rPr>
          <w:rFonts w:ascii="Times New Roman" w:hAnsi="Times New Roman" w:cs="Times New Roman"/>
          <w:color w:val="auto"/>
          <w:sz w:val="24"/>
          <w:szCs w:val="24"/>
        </w:rPr>
        <w:fldChar w:fldCharType="separate"/>
      </w:r>
      <w:bookmarkStart w:id="74" w:name="_Toc445910431"/>
      <w:r w:rsidR="00454C38" w:rsidRPr="001E7829">
        <w:rPr>
          <w:rFonts w:ascii="Times New Roman" w:hAnsi="Times New Roman" w:cs="Times New Roman"/>
          <w:noProof/>
          <w:color w:val="auto"/>
          <w:sz w:val="24"/>
          <w:szCs w:val="24"/>
        </w:rPr>
        <w:t>1</w:t>
      </w:r>
      <w:r w:rsidRPr="001E7829">
        <w:rPr>
          <w:rFonts w:ascii="Times New Roman" w:hAnsi="Times New Roman" w:cs="Times New Roman"/>
          <w:color w:val="auto"/>
          <w:sz w:val="24"/>
          <w:szCs w:val="24"/>
        </w:rPr>
        <w:fldChar w:fldCharType="end"/>
      </w:r>
      <w:r w:rsidR="00E5019C" w:rsidRPr="001E7829">
        <w:rPr>
          <w:rFonts w:ascii="Times New Roman" w:hAnsi="Times New Roman" w:cs="Times New Roman"/>
          <w:color w:val="auto"/>
          <w:sz w:val="24"/>
          <w:szCs w:val="24"/>
        </w:rPr>
        <w:t xml:space="preserve">. </w:t>
      </w:r>
      <w:r w:rsidR="0019311D" w:rsidRPr="001E7829">
        <w:rPr>
          <w:rFonts w:ascii="Times New Roman" w:hAnsi="Times New Roman" w:cs="Times New Roman"/>
          <w:color w:val="auto"/>
          <w:sz w:val="24"/>
          <w:szCs w:val="24"/>
        </w:rPr>
        <w:t xml:space="preserve">Meziroční změna </w:t>
      </w:r>
      <w:r w:rsidR="00E5019C" w:rsidRPr="001E7829">
        <w:rPr>
          <w:rFonts w:ascii="Times New Roman" w:hAnsi="Times New Roman" w:cs="Times New Roman"/>
          <w:color w:val="auto"/>
          <w:sz w:val="24"/>
          <w:szCs w:val="24"/>
        </w:rPr>
        <w:t>HDP</w:t>
      </w:r>
      <w:r w:rsidR="005958BA" w:rsidRPr="001E7829">
        <w:rPr>
          <w:rFonts w:ascii="Times New Roman" w:hAnsi="Times New Roman" w:cs="Times New Roman"/>
          <w:color w:val="auto"/>
          <w:sz w:val="24"/>
          <w:szCs w:val="24"/>
        </w:rPr>
        <w:t xml:space="preserve"> (v %)</w:t>
      </w:r>
      <w:r w:rsidR="00E5019C" w:rsidRPr="001E7829">
        <w:rPr>
          <w:rFonts w:ascii="Times New Roman" w:hAnsi="Times New Roman" w:cs="Times New Roman"/>
          <w:color w:val="auto"/>
          <w:sz w:val="24"/>
          <w:szCs w:val="24"/>
        </w:rPr>
        <w:t xml:space="preserve"> v letech 1993-</w:t>
      </w:r>
      <w:r w:rsidR="005958BA" w:rsidRPr="001E7829">
        <w:rPr>
          <w:rFonts w:ascii="Times New Roman" w:hAnsi="Times New Roman" w:cs="Times New Roman"/>
          <w:color w:val="auto"/>
          <w:sz w:val="24"/>
          <w:szCs w:val="24"/>
        </w:rPr>
        <w:t>19</w:t>
      </w:r>
      <w:r w:rsidR="00E5019C" w:rsidRPr="001E7829">
        <w:rPr>
          <w:rFonts w:ascii="Times New Roman" w:hAnsi="Times New Roman" w:cs="Times New Roman"/>
          <w:color w:val="auto"/>
          <w:sz w:val="24"/>
          <w:szCs w:val="24"/>
        </w:rPr>
        <w:t>98</w:t>
      </w:r>
      <w:bookmarkEnd w:id="74"/>
    </w:p>
    <w:tbl>
      <w:tblPr>
        <w:tblStyle w:val="Mkatabulky"/>
        <w:tblW w:w="5000" w:type="pct"/>
        <w:tblLook w:val="04A0" w:firstRow="1" w:lastRow="0" w:firstColumn="1" w:lastColumn="0" w:noHBand="0" w:noVBand="1"/>
      </w:tblPr>
      <w:tblGrid>
        <w:gridCol w:w="1359"/>
        <w:gridCol w:w="1359"/>
        <w:gridCol w:w="1359"/>
        <w:gridCol w:w="1358"/>
        <w:gridCol w:w="1358"/>
        <w:gridCol w:w="1360"/>
      </w:tblGrid>
      <w:tr w:rsidR="00E5019C" w:rsidRPr="001E7829" w:rsidTr="00E418A6">
        <w:tc>
          <w:tcPr>
            <w:tcW w:w="833" w:type="pct"/>
            <w:tcBorders>
              <w:bottom w:val="single" w:sz="12" w:space="0" w:color="auto"/>
              <w:right w:val="single" w:sz="18"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p>
        </w:tc>
        <w:tc>
          <w:tcPr>
            <w:tcW w:w="833" w:type="pct"/>
            <w:tcBorders>
              <w:left w:val="single" w:sz="18" w:space="0" w:color="auto"/>
              <w:bottom w:val="single" w:sz="12"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1993</w:t>
            </w:r>
          </w:p>
        </w:tc>
        <w:tc>
          <w:tcPr>
            <w:tcW w:w="833" w:type="pct"/>
            <w:tcBorders>
              <w:bottom w:val="single" w:sz="12"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1994</w:t>
            </w:r>
          </w:p>
        </w:tc>
        <w:tc>
          <w:tcPr>
            <w:tcW w:w="833" w:type="pct"/>
            <w:tcBorders>
              <w:bottom w:val="single" w:sz="12"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1995</w:t>
            </w:r>
          </w:p>
        </w:tc>
        <w:tc>
          <w:tcPr>
            <w:tcW w:w="833" w:type="pct"/>
            <w:tcBorders>
              <w:bottom w:val="single" w:sz="12"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1996</w:t>
            </w:r>
          </w:p>
        </w:tc>
        <w:tc>
          <w:tcPr>
            <w:tcW w:w="834" w:type="pct"/>
            <w:tcBorders>
              <w:bottom w:val="single" w:sz="12"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1997</w:t>
            </w:r>
          </w:p>
        </w:tc>
      </w:tr>
      <w:tr w:rsidR="00E5019C" w:rsidRPr="001E7829" w:rsidTr="00E418A6">
        <w:tc>
          <w:tcPr>
            <w:tcW w:w="833" w:type="pct"/>
            <w:tcBorders>
              <w:top w:val="single" w:sz="18" w:space="0" w:color="auto"/>
              <w:right w:val="single" w:sz="18"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ČR</w:t>
            </w:r>
          </w:p>
        </w:tc>
        <w:tc>
          <w:tcPr>
            <w:tcW w:w="833" w:type="pct"/>
            <w:tcBorders>
              <w:top w:val="single" w:sz="18" w:space="0" w:color="auto"/>
              <w:left w:val="single" w:sz="18" w:space="0" w:color="auto"/>
            </w:tcBorders>
            <w:vAlign w:val="center"/>
          </w:tcPr>
          <w:p w:rsidR="00E5019C" w:rsidRPr="001E7829" w:rsidRDefault="002D5C1A"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0,1</w:t>
            </w:r>
          </w:p>
        </w:tc>
        <w:tc>
          <w:tcPr>
            <w:tcW w:w="833" w:type="pct"/>
            <w:tcBorders>
              <w:top w:val="single" w:sz="18" w:space="0" w:color="auto"/>
            </w:tcBorders>
            <w:vAlign w:val="center"/>
          </w:tcPr>
          <w:p w:rsidR="00E5019C" w:rsidRPr="001E7829" w:rsidRDefault="002D5C1A"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2,9</w:t>
            </w:r>
          </w:p>
        </w:tc>
        <w:tc>
          <w:tcPr>
            <w:tcW w:w="833" w:type="pct"/>
            <w:tcBorders>
              <w:top w:val="single" w:sz="18"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6,2</w:t>
            </w:r>
          </w:p>
        </w:tc>
        <w:tc>
          <w:tcPr>
            <w:tcW w:w="833" w:type="pct"/>
            <w:tcBorders>
              <w:top w:val="single" w:sz="18"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4,3</w:t>
            </w:r>
          </w:p>
        </w:tc>
        <w:tc>
          <w:tcPr>
            <w:tcW w:w="834" w:type="pct"/>
            <w:tcBorders>
              <w:top w:val="single" w:sz="18"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-0,7</w:t>
            </w:r>
          </w:p>
        </w:tc>
      </w:tr>
      <w:tr w:rsidR="00E5019C" w:rsidRPr="001E7829" w:rsidTr="00E418A6">
        <w:tc>
          <w:tcPr>
            <w:tcW w:w="833" w:type="pct"/>
            <w:tcBorders>
              <w:right w:val="single" w:sz="18" w:space="0" w:color="auto"/>
            </w:tcBorders>
            <w:vAlign w:val="center"/>
          </w:tcPr>
          <w:p w:rsidR="00E5019C" w:rsidRPr="001E7829" w:rsidRDefault="00E5019C"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SR</w:t>
            </w:r>
          </w:p>
        </w:tc>
        <w:tc>
          <w:tcPr>
            <w:tcW w:w="833" w:type="pct"/>
            <w:tcBorders>
              <w:left w:val="single" w:sz="18" w:space="0" w:color="auto"/>
            </w:tcBorders>
            <w:vAlign w:val="center"/>
          </w:tcPr>
          <w:p w:rsidR="00E5019C" w:rsidRPr="001E7829" w:rsidRDefault="002D5C1A"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w:t>
            </w:r>
          </w:p>
        </w:tc>
        <w:tc>
          <w:tcPr>
            <w:tcW w:w="833" w:type="pct"/>
            <w:vAlign w:val="center"/>
          </w:tcPr>
          <w:p w:rsidR="00E5019C" w:rsidRPr="001E7829" w:rsidRDefault="000756F7"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6,2</w:t>
            </w:r>
          </w:p>
        </w:tc>
        <w:tc>
          <w:tcPr>
            <w:tcW w:w="833" w:type="pct"/>
            <w:vAlign w:val="center"/>
          </w:tcPr>
          <w:p w:rsidR="00E5019C" w:rsidRPr="001E7829" w:rsidRDefault="002D5C1A"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5,8</w:t>
            </w:r>
          </w:p>
        </w:tc>
        <w:tc>
          <w:tcPr>
            <w:tcW w:w="833" w:type="pct"/>
            <w:vAlign w:val="center"/>
          </w:tcPr>
          <w:p w:rsidR="00E5019C" w:rsidRPr="001E7829" w:rsidRDefault="002D5C1A"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6,8</w:t>
            </w:r>
          </w:p>
        </w:tc>
        <w:tc>
          <w:tcPr>
            <w:tcW w:w="834" w:type="pct"/>
            <w:vAlign w:val="center"/>
          </w:tcPr>
          <w:p w:rsidR="00E5019C" w:rsidRPr="001E7829" w:rsidRDefault="002D5C1A" w:rsidP="00A83315">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6,1</w:t>
            </w:r>
          </w:p>
        </w:tc>
      </w:tr>
    </w:tbl>
    <w:p w:rsidR="00A76E8C" w:rsidRPr="001E7829" w:rsidRDefault="000756F7" w:rsidP="005958BA">
      <w:pPr>
        <w:spacing w:before="120"/>
        <w:rPr>
          <w:rFonts w:ascii="Times New Roman" w:hAnsi="Times New Roman" w:cs="Times New Roman"/>
          <w:szCs w:val="24"/>
        </w:rPr>
      </w:pPr>
      <w:r w:rsidRPr="001E7829">
        <w:rPr>
          <w:rFonts w:ascii="Times New Roman" w:hAnsi="Times New Roman" w:cs="Times New Roman"/>
          <w:szCs w:val="24"/>
        </w:rPr>
        <w:t xml:space="preserve">Zdroje: </w:t>
      </w:r>
      <w:r w:rsidR="002D5C1A" w:rsidRPr="001E7829">
        <w:rPr>
          <w:rFonts w:ascii="Times New Roman" w:hAnsi="Times New Roman" w:cs="Times New Roman"/>
          <w:szCs w:val="24"/>
          <w:lang w:val="en-US"/>
        </w:rPr>
        <w:t xml:space="preserve">World </w:t>
      </w:r>
      <w:proofErr w:type="gramStart"/>
      <w:r w:rsidR="002D5C1A" w:rsidRPr="001E7829">
        <w:rPr>
          <w:rFonts w:ascii="Times New Roman" w:hAnsi="Times New Roman" w:cs="Times New Roman"/>
          <w:szCs w:val="24"/>
          <w:lang w:val="en-US"/>
        </w:rPr>
        <w:t>bank</w:t>
      </w:r>
      <w:proofErr w:type="gramEnd"/>
      <w:r w:rsidR="002D5C1A" w:rsidRPr="001E7829">
        <w:rPr>
          <w:rFonts w:ascii="Times New Roman" w:hAnsi="Times New Roman" w:cs="Times New Roman"/>
          <w:szCs w:val="24"/>
          <w:lang w:val="en-US"/>
        </w:rPr>
        <w:t>, Eurostat</w:t>
      </w:r>
      <w:r w:rsidR="002D5C1A" w:rsidRPr="001E7829">
        <w:rPr>
          <w:rFonts w:ascii="Times New Roman" w:hAnsi="Times New Roman" w:cs="Times New Roman"/>
          <w:szCs w:val="24"/>
        </w:rPr>
        <w:t xml:space="preserve">, </w:t>
      </w:r>
      <w:r w:rsidR="002D5C1A" w:rsidRPr="001E7829">
        <w:rPr>
          <w:rFonts w:ascii="Times New Roman" w:hAnsi="Times New Roman" w:cs="Times New Roman"/>
          <w:szCs w:val="24"/>
          <w:lang w:val="sk-SK"/>
        </w:rPr>
        <w:t>Štatistický úrad Slovenskej republiky</w:t>
      </w:r>
      <w:r w:rsidR="002D5C1A" w:rsidRPr="001E7829">
        <w:rPr>
          <w:rFonts w:ascii="Times New Roman" w:hAnsi="Times New Roman" w:cs="Times New Roman"/>
          <w:szCs w:val="24"/>
        </w:rPr>
        <w:t xml:space="preserve"> (ESA 2010)</w:t>
      </w:r>
    </w:p>
    <w:p w:rsidR="001E183D" w:rsidRPr="001E7829" w:rsidRDefault="001E183D" w:rsidP="000756F7">
      <w:pPr>
        <w:pStyle w:val="Druh"/>
        <w:rPr>
          <w:rFonts w:cs="Times New Roman"/>
        </w:rPr>
      </w:pPr>
    </w:p>
    <w:p w:rsidR="00A83315" w:rsidRPr="001E7829" w:rsidRDefault="00A83315" w:rsidP="000756F7">
      <w:pPr>
        <w:pStyle w:val="Druh"/>
        <w:rPr>
          <w:rFonts w:cs="Times New Roman"/>
        </w:rPr>
      </w:pPr>
      <w:r w:rsidRPr="001E7829">
        <w:rPr>
          <w:rFonts w:cs="Times New Roman"/>
        </w:rPr>
        <w:t>Tabulka výše ukazuje procentuální meziroční změny tempa růstu domácího produktu v ČR a na Slovensku pro období, kdy česká koruna fungovala v režimu fixního kurzu.</w:t>
      </w:r>
      <w:r w:rsidR="009724B9" w:rsidRPr="001E7829">
        <w:rPr>
          <w:rFonts w:cs="Times New Roman"/>
        </w:rPr>
        <w:t xml:space="preserve"> Vidíme, že hodnoty postupně vzrůstaly a pozitivní trend vyvrcholil v roce 1995, kdy růst dosáhl 6,2</w:t>
      </w:r>
      <w:r w:rsidR="0052715A" w:rsidRPr="001E7829">
        <w:rPr>
          <w:rFonts w:cs="Times New Roman"/>
        </w:rPr>
        <w:t xml:space="preserve"> </w:t>
      </w:r>
      <w:r w:rsidR="009724B9" w:rsidRPr="001E7829">
        <w:rPr>
          <w:rFonts w:cs="Times New Roman"/>
        </w:rPr>
        <w:t xml:space="preserve">%. Naopak v následujících letech </w:t>
      </w:r>
      <w:r w:rsidR="009724B9" w:rsidRPr="001E7829">
        <w:rPr>
          <w:rFonts w:cs="Times New Roman"/>
        </w:rPr>
        <w:lastRenderedPageBreak/>
        <w:t xml:space="preserve">došlo k útlumu hospodářství a v roce 1997 </w:t>
      </w:r>
      <w:r w:rsidR="00964A07" w:rsidRPr="001E7829">
        <w:rPr>
          <w:rFonts w:cs="Times New Roman"/>
        </w:rPr>
        <w:t xml:space="preserve">byly dokonce zaznamenány záporné hodnoty. </w:t>
      </w:r>
      <w:r w:rsidR="000C484B" w:rsidRPr="001E7829">
        <w:rPr>
          <w:rFonts w:cs="Times New Roman"/>
        </w:rPr>
        <w:t>To by tedy odpovídalo monetární expanzi v první polovině tohoto období a restrikci v polovině druhé.</w:t>
      </w:r>
      <w:r w:rsidR="009F6A8D" w:rsidRPr="001E7829">
        <w:rPr>
          <w:rFonts w:cs="Times New Roman"/>
        </w:rPr>
        <w:t xml:space="preserve"> </w:t>
      </w:r>
      <w:r w:rsidR="000C484B" w:rsidRPr="001E7829">
        <w:rPr>
          <w:rFonts w:cs="Times New Roman"/>
        </w:rPr>
        <w:t>Expanzivní charakter však monetární politika měla pouze v letech 1993 a 1997, ve druhém případě jí však předcházelo dramatické skokové navýšení sazeb ČNB, takže lze hovořit spíše o postupném přibližování sazeb zpět k</w:t>
      </w:r>
      <w:r w:rsidR="00F61EEC" w:rsidRPr="001E7829">
        <w:rPr>
          <w:rFonts w:cs="Times New Roman"/>
        </w:rPr>
        <w:t> hodnotám normálu předchozího období. V souladu s </w:t>
      </w:r>
      <w:proofErr w:type="spellStart"/>
      <w:r w:rsidR="00F61EEC" w:rsidRPr="001E7829">
        <w:rPr>
          <w:rFonts w:cs="Times New Roman"/>
        </w:rPr>
        <w:t>Mundell</w:t>
      </w:r>
      <w:proofErr w:type="spellEnd"/>
      <w:r w:rsidR="00F61EEC" w:rsidRPr="001E7829">
        <w:rPr>
          <w:rFonts w:cs="Times New Roman"/>
        </w:rPr>
        <w:t xml:space="preserve">-Flemingovým modelem tedy vývoj hospodářství v tomto období neodpovídal nastavení monetární politiky. Je samozřejmě možné, že expanze z roku 1993 by mohla se zpožděním přispět k růstu ve dvou následujících letech, samotná ČNB však ve </w:t>
      </w:r>
      <w:r w:rsidR="00F61EEC" w:rsidRPr="001E7829">
        <w:rPr>
          <w:rFonts w:cs="Times New Roman"/>
          <w:i/>
        </w:rPr>
        <w:t>Výroční zprávě</w:t>
      </w:r>
      <w:r w:rsidR="00F61EEC" w:rsidRPr="001E7829">
        <w:rPr>
          <w:rFonts w:cs="Times New Roman"/>
        </w:rPr>
        <w:t xml:space="preserve"> za rok 1995 označuje za hlavní příčiny</w:t>
      </w:r>
      <w:r w:rsidR="00A840EB" w:rsidRPr="001E7829">
        <w:rPr>
          <w:rFonts w:cs="Times New Roman"/>
        </w:rPr>
        <w:t xml:space="preserve"> růstu příznivý vývoj produktivity práce a domácí poptávky, kterou umožnil také příliv zahraničního kapitálu. Navíc v roce 1995 celkově poklesla inflace, což by odpovídalo spíše monetární restrikci.</w:t>
      </w:r>
      <w:r w:rsidR="00A840EB" w:rsidRPr="001E7829">
        <w:rPr>
          <w:rStyle w:val="Znakapoznpodarou"/>
          <w:rFonts w:cs="Times New Roman"/>
        </w:rPr>
        <w:footnoteReference w:id="189"/>
      </w:r>
      <w:r w:rsidR="009F6A8D" w:rsidRPr="001E7829">
        <w:rPr>
          <w:rFonts w:cs="Times New Roman"/>
        </w:rPr>
        <w:t xml:space="preserve"> </w:t>
      </w:r>
      <w:r w:rsidR="00B444B9" w:rsidRPr="001E7829">
        <w:rPr>
          <w:rFonts w:cs="Times New Roman"/>
        </w:rPr>
        <w:t>Vývoj HDP v letech 1996 a 1997 by sice nastavení měnové politiky odpovídal, nicméně podle ČNB za ním stojí spíše vnější faktory jako ekonomický vývoj v zemích OECD, klimatické podmínky, či v případě roku 1997 povodně, ke kterým se přidaly problémy s restrukturalizací hospodářství a útlum</w:t>
      </w:r>
      <w:r w:rsidR="00F86080" w:rsidRPr="001E7829">
        <w:rPr>
          <w:rFonts w:cs="Times New Roman"/>
        </w:rPr>
        <w:t xml:space="preserve"> domácí</w:t>
      </w:r>
      <w:r w:rsidR="00B444B9" w:rsidRPr="001E7829">
        <w:rPr>
          <w:rFonts w:cs="Times New Roman"/>
        </w:rPr>
        <w:t xml:space="preserve"> poptávky.</w:t>
      </w:r>
      <w:r w:rsidR="00F86080" w:rsidRPr="001E7829">
        <w:rPr>
          <w:rStyle w:val="Znakapoznpodarou"/>
          <w:rFonts w:cs="Times New Roman"/>
        </w:rPr>
        <w:footnoteReference w:id="190"/>
      </w:r>
    </w:p>
    <w:p w:rsidR="00992478" w:rsidRPr="001E7829" w:rsidRDefault="000D6F3B" w:rsidP="000756F7">
      <w:pPr>
        <w:pStyle w:val="Druh"/>
        <w:rPr>
          <w:rFonts w:cs="Times New Roman"/>
        </w:rPr>
      </w:pPr>
      <w:r w:rsidRPr="001E7829">
        <w:rPr>
          <w:rFonts w:cs="Times New Roman"/>
        </w:rPr>
        <w:t xml:space="preserve">Při srovnání se situací na Slovensku vidíme, že </w:t>
      </w:r>
      <w:r w:rsidR="003E1EF8" w:rsidRPr="001E7829">
        <w:rPr>
          <w:rFonts w:cs="Times New Roman"/>
        </w:rPr>
        <w:t>podobně jako v Česku byl i zde zaznamenán rychlý růst HDP na počátku období. Oproti ČR se však našim východním sousedům podařilo tento trend udržet a hodnoty se vzhledem k roku 1994 až do konce období neodchýlily nikdy o více než 1 procentní bod</w:t>
      </w:r>
      <w:r w:rsidRPr="001E7829">
        <w:rPr>
          <w:rFonts w:cs="Times New Roman"/>
        </w:rPr>
        <w:t xml:space="preserve">. </w:t>
      </w:r>
      <w:r w:rsidR="000D5E68" w:rsidRPr="001E7829">
        <w:rPr>
          <w:rFonts w:cs="Times New Roman"/>
        </w:rPr>
        <w:t>R</w:t>
      </w:r>
      <w:r w:rsidRPr="001E7829">
        <w:rPr>
          <w:rFonts w:cs="Times New Roman"/>
        </w:rPr>
        <w:t>ámec monetární politiky NBS byl v podstatě totožný jako v případě ČNB, tedy cílování peněžní zásoby a fixní kurz měny.</w:t>
      </w:r>
      <w:r w:rsidR="0085568F" w:rsidRPr="001E7829">
        <w:rPr>
          <w:rStyle w:val="Znakapoznpodarou"/>
          <w:rFonts w:cs="Times New Roman"/>
        </w:rPr>
        <w:footnoteReference w:id="191"/>
      </w:r>
      <w:r w:rsidRPr="001E7829">
        <w:rPr>
          <w:rFonts w:cs="Times New Roman"/>
        </w:rPr>
        <w:t xml:space="preserve"> Oproti ČNB však NBS využívala pouze diskontní sazbu a k jejím změná</w:t>
      </w:r>
      <w:r w:rsidR="00E71516" w:rsidRPr="001E7829">
        <w:rPr>
          <w:rFonts w:cs="Times New Roman"/>
        </w:rPr>
        <w:t>m</w:t>
      </w:r>
      <w:r w:rsidRPr="001E7829">
        <w:rPr>
          <w:rFonts w:cs="Times New Roman"/>
        </w:rPr>
        <w:t xml:space="preserve"> přistupovala ve srovnání s českou centrální bankou spíše výjimečně. Od konce roku 1993 je možné monetární politiku NBS charakterizovat jako expanzivní, když diskontní sazba</w:t>
      </w:r>
      <w:r w:rsidR="00E71516" w:rsidRPr="001E7829">
        <w:rPr>
          <w:rFonts w:cs="Times New Roman"/>
        </w:rPr>
        <w:t xml:space="preserve"> postupně</w:t>
      </w:r>
      <w:r w:rsidRPr="001E7829">
        <w:rPr>
          <w:rFonts w:cs="Times New Roman"/>
        </w:rPr>
        <w:t xml:space="preserve"> poklesla z původní</w:t>
      </w:r>
      <w:r w:rsidR="00E71516" w:rsidRPr="001E7829">
        <w:rPr>
          <w:rFonts w:cs="Times New Roman"/>
        </w:rPr>
        <w:t>ch</w:t>
      </w:r>
      <w:r w:rsidRPr="001E7829">
        <w:rPr>
          <w:rFonts w:cs="Times New Roman"/>
        </w:rPr>
        <w:t xml:space="preserve"> 12</w:t>
      </w:r>
      <w:r w:rsidR="0052715A" w:rsidRPr="001E7829">
        <w:rPr>
          <w:rFonts w:cs="Times New Roman"/>
        </w:rPr>
        <w:t xml:space="preserve"> </w:t>
      </w:r>
      <w:r w:rsidRPr="001E7829">
        <w:rPr>
          <w:rFonts w:cs="Times New Roman"/>
        </w:rPr>
        <w:t>% na 8,80</w:t>
      </w:r>
      <w:r w:rsidR="0052715A" w:rsidRPr="001E7829">
        <w:rPr>
          <w:rFonts w:cs="Times New Roman"/>
        </w:rPr>
        <w:t xml:space="preserve"> </w:t>
      </w:r>
      <w:r w:rsidRPr="001E7829">
        <w:rPr>
          <w:rFonts w:cs="Times New Roman"/>
        </w:rPr>
        <w:t>%</w:t>
      </w:r>
      <w:r w:rsidR="00E71516" w:rsidRPr="001E7829">
        <w:rPr>
          <w:rFonts w:cs="Times New Roman"/>
        </w:rPr>
        <w:t xml:space="preserve"> na počátku roku 1996 (a nebyla dále měněna až do roku 2002).</w:t>
      </w:r>
      <w:r w:rsidR="000D5E68" w:rsidRPr="001E7829">
        <w:rPr>
          <w:rFonts w:cs="Times New Roman"/>
        </w:rPr>
        <w:t xml:space="preserve"> Snížení diskontní sazby na konci roku 1993 a na počátku roku 1996 </w:t>
      </w:r>
      <w:r w:rsidR="000D5E68" w:rsidRPr="001E7829">
        <w:rPr>
          <w:rFonts w:cs="Times New Roman"/>
        </w:rPr>
        <w:lastRenderedPageBreak/>
        <w:t>teoreticky koresponduje s posílením hospodářského růstu v bezprostředně navazujících obdobích, naopak útlum růstu z roku 1995 neodpovídá expanzi, ke které NBS v tomto roce přistoupila</w:t>
      </w:r>
      <w:r w:rsidR="00E44E76" w:rsidRPr="001E7829">
        <w:rPr>
          <w:rFonts w:cs="Times New Roman"/>
        </w:rPr>
        <w:t>.</w:t>
      </w:r>
      <w:r w:rsidR="00E336D4" w:rsidRPr="001E7829">
        <w:rPr>
          <w:rStyle w:val="Znakapoznpodarou"/>
          <w:rFonts w:cs="Times New Roman"/>
        </w:rPr>
        <w:footnoteReference w:id="192"/>
      </w:r>
      <w:r w:rsidR="006D073D" w:rsidRPr="001E7829">
        <w:rPr>
          <w:rFonts w:cs="Times New Roman"/>
        </w:rPr>
        <w:t xml:space="preserve"> Pro jednoznačné potvrzení hypotézy o neúčinnost</w:t>
      </w:r>
      <w:r w:rsidR="00F76AE3" w:rsidRPr="001E7829">
        <w:rPr>
          <w:rFonts w:cs="Times New Roman"/>
        </w:rPr>
        <w:t>i</w:t>
      </w:r>
      <w:r w:rsidR="006D073D" w:rsidRPr="001E7829">
        <w:rPr>
          <w:rFonts w:cs="Times New Roman"/>
        </w:rPr>
        <w:t xml:space="preserve"> měnové politiky v režimu fixního kurzu by bylo zapotřebí sledovat delší časové období než pouhých pět let, během kterých byl tento režim oběma zeměmi používán. Analýza nicméně ukazuje, že v prvních letech samostatnosti ČR a SR, resp. obou ekonomik, měly největší vliv na hospodářský vývoj jiné faktory než rozhodnutí centrálních bank.</w:t>
      </w:r>
    </w:p>
    <w:p w:rsidR="00E91D54" w:rsidRPr="001E7829" w:rsidRDefault="00E91D54" w:rsidP="000756F7">
      <w:pPr>
        <w:pStyle w:val="Druh"/>
        <w:rPr>
          <w:rFonts w:cs="Times New Roman"/>
          <w:szCs w:val="24"/>
        </w:rPr>
      </w:pPr>
    </w:p>
    <w:p w:rsidR="00E91D54" w:rsidRPr="001E7829" w:rsidRDefault="007D6D71" w:rsidP="00E91D54">
      <w:pPr>
        <w:pStyle w:val="Titulek"/>
        <w:keepNext/>
        <w:rPr>
          <w:rFonts w:ascii="Times New Roman" w:hAnsi="Times New Roman" w:cs="Times New Roman"/>
          <w:color w:val="auto"/>
          <w:sz w:val="24"/>
          <w:szCs w:val="24"/>
        </w:rPr>
      </w:pPr>
      <w:r w:rsidRPr="001E7829">
        <w:rPr>
          <w:rFonts w:ascii="Times New Roman" w:hAnsi="Times New Roman" w:cs="Times New Roman"/>
          <w:color w:val="auto"/>
          <w:sz w:val="24"/>
          <w:szCs w:val="24"/>
        </w:rPr>
        <w:fldChar w:fldCharType="begin"/>
      </w:r>
      <w:r w:rsidR="00E91D54" w:rsidRPr="001E7829">
        <w:rPr>
          <w:rFonts w:ascii="Times New Roman" w:hAnsi="Times New Roman" w:cs="Times New Roman"/>
          <w:color w:val="auto"/>
          <w:sz w:val="24"/>
          <w:szCs w:val="24"/>
        </w:rPr>
        <w:instrText xml:space="preserve"> SEQ Tabulka \* ARABIC </w:instrText>
      </w:r>
      <w:r w:rsidRPr="001E7829">
        <w:rPr>
          <w:rFonts w:ascii="Times New Roman" w:hAnsi="Times New Roman" w:cs="Times New Roman"/>
          <w:color w:val="auto"/>
          <w:sz w:val="24"/>
          <w:szCs w:val="24"/>
        </w:rPr>
        <w:fldChar w:fldCharType="separate"/>
      </w:r>
      <w:bookmarkStart w:id="75" w:name="_Toc445910432"/>
      <w:r w:rsidR="00454C38" w:rsidRPr="001E7829">
        <w:rPr>
          <w:rFonts w:ascii="Times New Roman" w:hAnsi="Times New Roman" w:cs="Times New Roman"/>
          <w:noProof/>
          <w:color w:val="auto"/>
          <w:sz w:val="24"/>
          <w:szCs w:val="24"/>
        </w:rPr>
        <w:t>2</w:t>
      </w:r>
      <w:r w:rsidRPr="001E7829">
        <w:rPr>
          <w:rFonts w:ascii="Times New Roman" w:hAnsi="Times New Roman" w:cs="Times New Roman"/>
          <w:color w:val="auto"/>
          <w:sz w:val="24"/>
          <w:szCs w:val="24"/>
        </w:rPr>
        <w:fldChar w:fldCharType="end"/>
      </w:r>
      <w:r w:rsidR="00E91D54" w:rsidRPr="001E7829">
        <w:rPr>
          <w:rFonts w:ascii="Times New Roman" w:hAnsi="Times New Roman" w:cs="Times New Roman"/>
          <w:color w:val="auto"/>
          <w:sz w:val="24"/>
          <w:szCs w:val="24"/>
        </w:rPr>
        <w:t xml:space="preserve">. </w:t>
      </w:r>
      <w:r w:rsidR="0019311D" w:rsidRPr="001E7829">
        <w:rPr>
          <w:rFonts w:ascii="Times New Roman" w:hAnsi="Times New Roman" w:cs="Times New Roman"/>
          <w:color w:val="auto"/>
          <w:sz w:val="24"/>
          <w:szCs w:val="24"/>
        </w:rPr>
        <w:t xml:space="preserve">Meziroční změna </w:t>
      </w:r>
      <w:r w:rsidR="00E91D54" w:rsidRPr="001E7829">
        <w:rPr>
          <w:rFonts w:ascii="Times New Roman" w:hAnsi="Times New Roman" w:cs="Times New Roman"/>
          <w:color w:val="auto"/>
          <w:sz w:val="24"/>
          <w:szCs w:val="24"/>
        </w:rPr>
        <w:t>HDP</w:t>
      </w:r>
      <w:r w:rsidR="00CB745E" w:rsidRPr="001E7829">
        <w:rPr>
          <w:rFonts w:ascii="Times New Roman" w:hAnsi="Times New Roman" w:cs="Times New Roman"/>
          <w:color w:val="auto"/>
          <w:sz w:val="24"/>
          <w:szCs w:val="24"/>
        </w:rPr>
        <w:t xml:space="preserve"> (v %)</w:t>
      </w:r>
      <w:r w:rsidR="00E91D54" w:rsidRPr="001E7829">
        <w:rPr>
          <w:rFonts w:ascii="Times New Roman" w:hAnsi="Times New Roman" w:cs="Times New Roman"/>
          <w:color w:val="auto"/>
          <w:sz w:val="24"/>
          <w:szCs w:val="24"/>
        </w:rPr>
        <w:t xml:space="preserve"> v letech 1998-2015</w:t>
      </w:r>
      <w:bookmarkEnd w:id="75"/>
    </w:p>
    <w:tbl>
      <w:tblPr>
        <w:tblStyle w:val="Mkatabulky"/>
        <w:tblW w:w="5000" w:type="pct"/>
        <w:tblLook w:val="04A0" w:firstRow="1" w:lastRow="0" w:firstColumn="1" w:lastColumn="0" w:noHBand="0" w:noVBand="1"/>
      </w:tblPr>
      <w:tblGrid>
        <w:gridCol w:w="816"/>
        <w:gridCol w:w="816"/>
        <w:gridCol w:w="816"/>
        <w:gridCol w:w="815"/>
        <w:gridCol w:w="815"/>
        <w:gridCol w:w="815"/>
        <w:gridCol w:w="815"/>
        <w:gridCol w:w="815"/>
        <w:gridCol w:w="815"/>
        <w:gridCol w:w="815"/>
      </w:tblGrid>
      <w:tr w:rsidR="000D7E78" w:rsidRPr="001E7829" w:rsidTr="00E418A6">
        <w:tc>
          <w:tcPr>
            <w:tcW w:w="500" w:type="pct"/>
            <w:tcBorders>
              <w:bottom w:val="single" w:sz="18" w:space="0" w:color="auto"/>
              <w:right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p>
        </w:tc>
        <w:tc>
          <w:tcPr>
            <w:tcW w:w="500" w:type="pct"/>
            <w:tcBorders>
              <w:left w:val="single" w:sz="18" w:space="0" w:color="auto"/>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1998</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1999</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2000</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2001</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2002</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2003</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2004</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2005</w:t>
            </w:r>
          </w:p>
        </w:tc>
        <w:tc>
          <w:tcPr>
            <w:tcW w:w="500" w:type="pct"/>
            <w:tcBorders>
              <w:bottom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2006</w:t>
            </w:r>
          </w:p>
        </w:tc>
      </w:tr>
      <w:tr w:rsidR="000D7E78" w:rsidRPr="001E7829" w:rsidTr="00E418A6">
        <w:tc>
          <w:tcPr>
            <w:tcW w:w="500" w:type="pct"/>
            <w:tcBorders>
              <w:top w:val="single" w:sz="18" w:space="0" w:color="auto"/>
              <w:right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ČR</w:t>
            </w:r>
          </w:p>
        </w:tc>
        <w:tc>
          <w:tcPr>
            <w:tcW w:w="500" w:type="pct"/>
            <w:tcBorders>
              <w:top w:val="single" w:sz="18" w:space="0" w:color="auto"/>
              <w:left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-0,3</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1,4</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4,3</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3,1</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1,6</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3,6</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4,9</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6,4</w:t>
            </w:r>
          </w:p>
        </w:tc>
        <w:tc>
          <w:tcPr>
            <w:tcW w:w="500" w:type="pct"/>
            <w:tcBorders>
              <w:top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6,9</w:t>
            </w:r>
          </w:p>
        </w:tc>
      </w:tr>
      <w:tr w:rsidR="000D7E78" w:rsidRPr="001E7829" w:rsidTr="00E418A6">
        <w:tc>
          <w:tcPr>
            <w:tcW w:w="500" w:type="pct"/>
            <w:tcBorders>
              <w:right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SR</w:t>
            </w:r>
          </w:p>
        </w:tc>
        <w:tc>
          <w:tcPr>
            <w:tcW w:w="500" w:type="pct"/>
            <w:tcBorders>
              <w:left w:val="single" w:sz="18" w:space="0" w:color="auto"/>
            </w:tcBorders>
            <w:vAlign w:val="center"/>
          </w:tcPr>
          <w:p w:rsidR="000D7E78" w:rsidRPr="001E7829" w:rsidRDefault="000D7E78"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4,0</w:t>
            </w:r>
          </w:p>
        </w:tc>
        <w:tc>
          <w:tcPr>
            <w:tcW w:w="500" w:type="pct"/>
            <w:vAlign w:val="center"/>
          </w:tcPr>
          <w:p w:rsidR="000D7E78" w:rsidRPr="001E7829" w:rsidRDefault="002A4D40"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-0,2</w:t>
            </w:r>
          </w:p>
        </w:tc>
        <w:tc>
          <w:tcPr>
            <w:tcW w:w="500" w:type="pct"/>
            <w:vAlign w:val="center"/>
          </w:tcPr>
          <w:p w:rsidR="000D7E78" w:rsidRPr="001E7829" w:rsidRDefault="002A4D40"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1,2</w:t>
            </w:r>
          </w:p>
        </w:tc>
        <w:tc>
          <w:tcPr>
            <w:tcW w:w="500" w:type="pct"/>
            <w:vAlign w:val="center"/>
          </w:tcPr>
          <w:p w:rsidR="000D7E78" w:rsidRPr="001E7829" w:rsidRDefault="002A4D40"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3,3</w:t>
            </w:r>
          </w:p>
        </w:tc>
        <w:tc>
          <w:tcPr>
            <w:tcW w:w="500" w:type="pct"/>
            <w:vAlign w:val="center"/>
          </w:tcPr>
          <w:p w:rsidR="000D7E78" w:rsidRPr="001E7829" w:rsidRDefault="002D5C1A"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4,5</w:t>
            </w:r>
          </w:p>
        </w:tc>
        <w:tc>
          <w:tcPr>
            <w:tcW w:w="500" w:type="pct"/>
            <w:vAlign w:val="center"/>
          </w:tcPr>
          <w:p w:rsidR="000D7E78" w:rsidRPr="001E7829" w:rsidRDefault="002A4D40"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5,4</w:t>
            </w:r>
          </w:p>
        </w:tc>
        <w:tc>
          <w:tcPr>
            <w:tcW w:w="500" w:type="pct"/>
            <w:vAlign w:val="center"/>
          </w:tcPr>
          <w:p w:rsidR="000D7E78" w:rsidRPr="001E7829" w:rsidRDefault="002D5C1A"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5,3</w:t>
            </w:r>
          </w:p>
        </w:tc>
        <w:tc>
          <w:tcPr>
            <w:tcW w:w="500" w:type="pct"/>
            <w:vAlign w:val="center"/>
          </w:tcPr>
          <w:p w:rsidR="000D7E78" w:rsidRPr="001E7829" w:rsidRDefault="002D5C1A"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6,4</w:t>
            </w:r>
          </w:p>
        </w:tc>
        <w:tc>
          <w:tcPr>
            <w:tcW w:w="500" w:type="pct"/>
            <w:vAlign w:val="center"/>
          </w:tcPr>
          <w:p w:rsidR="000D7E78" w:rsidRPr="001E7829" w:rsidRDefault="002D5C1A"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8,5</w:t>
            </w:r>
          </w:p>
        </w:tc>
      </w:tr>
    </w:tbl>
    <w:p w:rsidR="000D7E78" w:rsidRPr="001E7829" w:rsidRDefault="000D7E78" w:rsidP="000756F7">
      <w:pPr>
        <w:pStyle w:val="Druh"/>
        <w:rPr>
          <w:rFonts w:cs="Times New Roman"/>
          <w:szCs w:val="24"/>
        </w:rPr>
      </w:pPr>
    </w:p>
    <w:tbl>
      <w:tblPr>
        <w:tblStyle w:val="Mkatabulky"/>
        <w:tblW w:w="5000" w:type="pct"/>
        <w:tblLook w:val="04A0" w:firstRow="1" w:lastRow="0" w:firstColumn="1" w:lastColumn="0" w:noHBand="0" w:noVBand="1"/>
      </w:tblPr>
      <w:tblGrid>
        <w:gridCol w:w="904"/>
        <w:gridCol w:w="904"/>
        <w:gridCol w:w="905"/>
        <w:gridCol w:w="907"/>
        <w:gridCol w:w="907"/>
        <w:gridCol w:w="907"/>
        <w:gridCol w:w="907"/>
        <w:gridCol w:w="907"/>
        <w:gridCol w:w="905"/>
      </w:tblGrid>
      <w:tr w:rsidR="0021092E" w:rsidRPr="001E7829" w:rsidTr="00CB745E">
        <w:tc>
          <w:tcPr>
            <w:tcW w:w="554" w:type="pct"/>
            <w:tcBorders>
              <w:bottom w:val="single" w:sz="18" w:space="0" w:color="auto"/>
              <w:right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p>
        </w:tc>
        <w:tc>
          <w:tcPr>
            <w:tcW w:w="554" w:type="pct"/>
            <w:tcBorders>
              <w:left w:val="single" w:sz="18" w:space="0" w:color="auto"/>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2007</w:t>
            </w:r>
          </w:p>
        </w:tc>
        <w:tc>
          <w:tcPr>
            <w:tcW w:w="555"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2008</w:t>
            </w:r>
          </w:p>
        </w:tc>
        <w:tc>
          <w:tcPr>
            <w:tcW w:w="556"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2009</w:t>
            </w:r>
          </w:p>
        </w:tc>
        <w:tc>
          <w:tcPr>
            <w:tcW w:w="556"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2010</w:t>
            </w:r>
          </w:p>
        </w:tc>
        <w:tc>
          <w:tcPr>
            <w:tcW w:w="556"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2011</w:t>
            </w:r>
          </w:p>
        </w:tc>
        <w:tc>
          <w:tcPr>
            <w:tcW w:w="556"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2012</w:t>
            </w:r>
          </w:p>
        </w:tc>
        <w:tc>
          <w:tcPr>
            <w:tcW w:w="556"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2013</w:t>
            </w:r>
          </w:p>
        </w:tc>
        <w:tc>
          <w:tcPr>
            <w:tcW w:w="555" w:type="pct"/>
            <w:tcBorders>
              <w:bottom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2014</w:t>
            </w:r>
          </w:p>
        </w:tc>
      </w:tr>
      <w:tr w:rsidR="0021092E" w:rsidRPr="001E7829" w:rsidTr="00CB745E">
        <w:tc>
          <w:tcPr>
            <w:tcW w:w="554" w:type="pct"/>
            <w:tcBorders>
              <w:top w:val="single" w:sz="18" w:space="0" w:color="auto"/>
              <w:right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ČR</w:t>
            </w:r>
          </w:p>
        </w:tc>
        <w:tc>
          <w:tcPr>
            <w:tcW w:w="554" w:type="pct"/>
            <w:tcBorders>
              <w:top w:val="single" w:sz="18" w:space="0" w:color="auto"/>
              <w:left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5,5</w:t>
            </w:r>
          </w:p>
        </w:tc>
        <w:tc>
          <w:tcPr>
            <w:tcW w:w="555"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2,7</w:t>
            </w:r>
          </w:p>
        </w:tc>
        <w:tc>
          <w:tcPr>
            <w:tcW w:w="556"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-4,8</w:t>
            </w:r>
          </w:p>
        </w:tc>
        <w:tc>
          <w:tcPr>
            <w:tcW w:w="556"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2,3</w:t>
            </w:r>
          </w:p>
        </w:tc>
        <w:tc>
          <w:tcPr>
            <w:tcW w:w="556"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w:t>
            </w:r>
          </w:p>
        </w:tc>
        <w:tc>
          <w:tcPr>
            <w:tcW w:w="556"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-0,9</w:t>
            </w:r>
          </w:p>
        </w:tc>
        <w:tc>
          <w:tcPr>
            <w:tcW w:w="556"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-0,5</w:t>
            </w:r>
          </w:p>
        </w:tc>
        <w:tc>
          <w:tcPr>
            <w:tcW w:w="555" w:type="pct"/>
            <w:tcBorders>
              <w:top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w:t>
            </w:r>
          </w:p>
        </w:tc>
      </w:tr>
      <w:tr w:rsidR="0021092E" w:rsidRPr="001E7829" w:rsidTr="00CB745E">
        <w:tc>
          <w:tcPr>
            <w:tcW w:w="554" w:type="pct"/>
            <w:tcBorders>
              <w:right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SR</w:t>
            </w:r>
          </w:p>
        </w:tc>
        <w:tc>
          <w:tcPr>
            <w:tcW w:w="554" w:type="pct"/>
            <w:tcBorders>
              <w:left w:val="single" w:sz="18" w:space="0" w:color="auto"/>
            </w:tcBorders>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10,8</w:t>
            </w:r>
          </w:p>
        </w:tc>
        <w:tc>
          <w:tcPr>
            <w:tcW w:w="555"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5,7</w:t>
            </w:r>
          </w:p>
        </w:tc>
        <w:tc>
          <w:tcPr>
            <w:tcW w:w="556"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-5,5</w:t>
            </w:r>
          </w:p>
        </w:tc>
        <w:tc>
          <w:tcPr>
            <w:tcW w:w="556"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5,1</w:t>
            </w:r>
          </w:p>
        </w:tc>
        <w:tc>
          <w:tcPr>
            <w:tcW w:w="556"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2,8</w:t>
            </w:r>
          </w:p>
        </w:tc>
        <w:tc>
          <w:tcPr>
            <w:tcW w:w="556"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1,5</w:t>
            </w:r>
          </w:p>
        </w:tc>
        <w:tc>
          <w:tcPr>
            <w:tcW w:w="556"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1,4</w:t>
            </w:r>
          </w:p>
        </w:tc>
        <w:tc>
          <w:tcPr>
            <w:tcW w:w="555" w:type="pct"/>
            <w:vAlign w:val="center"/>
          </w:tcPr>
          <w:p w:rsidR="0021092E" w:rsidRPr="001E7829" w:rsidRDefault="0021092E" w:rsidP="003E1EF8">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2,5</w:t>
            </w:r>
          </w:p>
        </w:tc>
      </w:tr>
    </w:tbl>
    <w:p w:rsidR="0085568F" w:rsidRPr="001E7829" w:rsidRDefault="00E91D54" w:rsidP="005958BA">
      <w:pPr>
        <w:spacing w:before="120"/>
        <w:rPr>
          <w:rFonts w:ascii="Times New Roman" w:hAnsi="Times New Roman" w:cs="Times New Roman"/>
          <w:szCs w:val="24"/>
        </w:rPr>
      </w:pPr>
      <w:r w:rsidRPr="001E7829">
        <w:rPr>
          <w:rFonts w:ascii="Times New Roman" w:hAnsi="Times New Roman" w:cs="Times New Roman"/>
          <w:szCs w:val="24"/>
        </w:rPr>
        <w:t xml:space="preserve">Zdroje: </w:t>
      </w:r>
      <w:proofErr w:type="spellStart"/>
      <w:r w:rsidRPr="001E7829">
        <w:rPr>
          <w:rFonts w:ascii="Times New Roman" w:hAnsi="Times New Roman" w:cs="Times New Roman"/>
          <w:szCs w:val="24"/>
        </w:rPr>
        <w:t>World</w:t>
      </w:r>
      <w:proofErr w:type="spellEnd"/>
      <w:r w:rsidRPr="001E7829">
        <w:rPr>
          <w:rFonts w:ascii="Times New Roman" w:hAnsi="Times New Roman" w:cs="Times New Roman"/>
          <w:szCs w:val="24"/>
        </w:rPr>
        <w:t xml:space="preserve"> bank, </w:t>
      </w:r>
      <w:proofErr w:type="spellStart"/>
      <w:r w:rsidRPr="001E7829">
        <w:rPr>
          <w:rFonts w:ascii="Times New Roman" w:hAnsi="Times New Roman" w:cs="Times New Roman"/>
          <w:szCs w:val="24"/>
        </w:rPr>
        <w:t>Eurostat</w:t>
      </w:r>
      <w:proofErr w:type="spellEnd"/>
      <w:r w:rsidRPr="001E7829">
        <w:rPr>
          <w:rFonts w:ascii="Times New Roman" w:hAnsi="Times New Roman" w:cs="Times New Roman"/>
          <w:szCs w:val="24"/>
        </w:rPr>
        <w:t xml:space="preserve">, </w:t>
      </w:r>
      <w:r w:rsidRPr="001E7829">
        <w:rPr>
          <w:rFonts w:ascii="Times New Roman" w:hAnsi="Times New Roman" w:cs="Times New Roman"/>
          <w:szCs w:val="24"/>
          <w:lang w:val="sk-SK"/>
        </w:rPr>
        <w:t>Štatistický úrad Slovenskej republiky</w:t>
      </w:r>
      <w:r w:rsidRPr="001E7829">
        <w:rPr>
          <w:rFonts w:ascii="Times New Roman" w:hAnsi="Times New Roman" w:cs="Times New Roman"/>
          <w:szCs w:val="24"/>
        </w:rPr>
        <w:t xml:space="preserve"> (ESA 2010)</w:t>
      </w:r>
    </w:p>
    <w:p w:rsidR="00E91D54" w:rsidRPr="001E7829" w:rsidRDefault="00E91D54" w:rsidP="00E91D54">
      <w:pPr>
        <w:rPr>
          <w:rFonts w:ascii="Times New Roman" w:hAnsi="Times New Roman" w:cs="Times New Roman"/>
        </w:rPr>
      </w:pPr>
    </w:p>
    <w:p w:rsidR="00992478" w:rsidRPr="001E7829" w:rsidRDefault="00E91D54" w:rsidP="006D2B9B">
      <w:pPr>
        <w:pStyle w:val="Druh"/>
        <w:rPr>
          <w:rFonts w:cs="Times New Roman"/>
        </w:rPr>
      </w:pPr>
      <w:r w:rsidRPr="001E7829">
        <w:rPr>
          <w:rFonts w:cs="Times New Roman"/>
        </w:rPr>
        <w:t xml:space="preserve">Další tabulky ukazují hodnoty růstu HDP během let, kdy ČR a Slovensko používaly řízený </w:t>
      </w:r>
      <w:proofErr w:type="spellStart"/>
      <w:r w:rsidRPr="001E7829">
        <w:rPr>
          <w:rFonts w:cs="Times New Roman"/>
        </w:rPr>
        <w:t>floating</w:t>
      </w:r>
      <w:proofErr w:type="spellEnd"/>
      <w:r w:rsidRPr="001E7829">
        <w:rPr>
          <w:rFonts w:cs="Times New Roman"/>
        </w:rPr>
        <w:t>, tedy</w:t>
      </w:r>
      <w:r w:rsidR="006D2B9B" w:rsidRPr="001E7829">
        <w:rPr>
          <w:rFonts w:cs="Times New Roman"/>
        </w:rPr>
        <w:t xml:space="preserve"> od roku 1998</w:t>
      </w:r>
      <w:r w:rsidRPr="001E7829">
        <w:rPr>
          <w:rFonts w:cs="Times New Roman"/>
        </w:rPr>
        <w:t xml:space="preserve"> až do současnosti</w:t>
      </w:r>
      <w:r w:rsidR="000A0B33" w:rsidRPr="001E7829">
        <w:rPr>
          <w:rFonts w:cs="Times New Roman"/>
        </w:rPr>
        <w:t xml:space="preserve"> (v případě Slovenska jsou data relevantní do roku 2008, následně se jedná o měnovou politiku ECB)</w:t>
      </w:r>
      <w:r w:rsidRPr="001E7829">
        <w:rPr>
          <w:rFonts w:cs="Times New Roman"/>
        </w:rPr>
        <w:t>.</w:t>
      </w:r>
      <w:r w:rsidR="006D2B9B" w:rsidRPr="001E7829">
        <w:rPr>
          <w:rFonts w:cs="Times New Roman"/>
        </w:rPr>
        <w:t xml:space="preserve"> Český domácí produkt vykazoval silný růst zejména v letech 20</w:t>
      </w:r>
      <w:r w:rsidR="006D5459" w:rsidRPr="001E7829">
        <w:rPr>
          <w:rFonts w:cs="Times New Roman"/>
        </w:rPr>
        <w:t>00, 2001, 2003 až 2007</w:t>
      </w:r>
      <w:r w:rsidR="000A0B33" w:rsidRPr="001E7829">
        <w:rPr>
          <w:rFonts w:cs="Times New Roman"/>
        </w:rPr>
        <w:t xml:space="preserve"> a 2010.</w:t>
      </w:r>
      <w:r w:rsidR="006D2B9B" w:rsidRPr="001E7829">
        <w:rPr>
          <w:rFonts w:cs="Times New Roman"/>
        </w:rPr>
        <w:t xml:space="preserve"> Monetární politika ČNB byla expanzivní, s výjimkou období mezi polovinou roku 2005 a počátkem roku 200</w:t>
      </w:r>
      <w:r w:rsidR="00591D4A" w:rsidRPr="001E7829">
        <w:rPr>
          <w:rFonts w:cs="Times New Roman"/>
        </w:rPr>
        <w:t>8</w:t>
      </w:r>
      <w:r w:rsidR="006D2B9B" w:rsidRPr="001E7829">
        <w:rPr>
          <w:rFonts w:cs="Times New Roman"/>
        </w:rPr>
        <w:t xml:space="preserve">, v němž byly sazby postupně </w:t>
      </w:r>
      <w:r w:rsidR="00591D4A" w:rsidRPr="001E7829">
        <w:rPr>
          <w:rFonts w:cs="Times New Roman"/>
        </w:rPr>
        <w:t>zvýšeny</w:t>
      </w:r>
      <w:r w:rsidR="006D2B9B" w:rsidRPr="001E7829">
        <w:rPr>
          <w:rFonts w:cs="Times New Roman"/>
        </w:rPr>
        <w:t xml:space="preserve"> o 2 procentní body.</w:t>
      </w:r>
      <w:r w:rsidR="00591D4A" w:rsidRPr="001E7829">
        <w:rPr>
          <w:rFonts w:cs="Times New Roman"/>
        </w:rPr>
        <w:t xml:space="preserve"> Ke zvýšení došlo rovněž v roce 2001 (o 0,25 </w:t>
      </w:r>
      <w:proofErr w:type="spellStart"/>
      <w:proofErr w:type="gramStart"/>
      <w:r w:rsidR="00591D4A" w:rsidRPr="001E7829">
        <w:rPr>
          <w:rFonts w:cs="Times New Roman"/>
        </w:rPr>
        <w:t>p.b</w:t>
      </w:r>
      <w:proofErr w:type="spellEnd"/>
      <w:r w:rsidR="00591D4A" w:rsidRPr="001E7829">
        <w:rPr>
          <w:rFonts w:cs="Times New Roman"/>
        </w:rPr>
        <w:t>.), to</w:t>
      </w:r>
      <w:proofErr w:type="gramEnd"/>
      <w:r w:rsidR="00591D4A" w:rsidRPr="001E7829">
        <w:rPr>
          <w:rFonts w:cs="Times New Roman"/>
        </w:rPr>
        <w:t xml:space="preserve"> však mělo pouze dočasný charakter.</w:t>
      </w:r>
    </w:p>
    <w:p w:rsidR="00591D4A" w:rsidRPr="001E7829" w:rsidRDefault="00591D4A" w:rsidP="006D2B9B">
      <w:pPr>
        <w:pStyle w:val="Druh"/>
        <w:rPr>
          <w:rFonts w:cs="Times New Roman"/>
        </w:rPr>
      </w:pPr>
      <w:r w:rsidRPr="001E7829">
        <w:rPr>
          <w:rFonts w:cs="Times New Roman"/>
        </w:rPr>
        <w:lastRenderedPageBreak/>
        <w:t xml:space="preserve">S výhradou zmíněných období restrikce tak monetární politika působila ve prospěch hospodářského růstu. </w:t>
      </w:r>
      <w:r w:rsidR="00513A21" w:rsidRPr="001E7829">
        <w:rPr>
          <w:rFonts w:cs="Times New Roman"/>
        </w:rPr>
        <w:t xml:space="preserve">Naopak v letech 2005 a 2006, kdy byla meziroční změna HDP nejvyšší, </w:t>
      </w:r>
      <w:r w:rsidR="00780C43" w:rsidRPr="001E7829">
        <w:rPr>
          <w:rFonts w:cs="Times New Roman"/>
        </w:rPr>
        <w:t>ČNB restrikcí</w:t>
      </w:r>
      <w:r w:rsidR="00513A21" w:rsidRPr="001E7829">
        <w:rPr>
          <w:rFonts w:cs="Times New Roman"/>
        </w:rPr>
        <w:t xml:space="preserve"> chránila ekonomiku před přehřátím. Poté, co na českou ekonomiku začala ke konci roku 2008 a zejména v roce 2009 dopadat světová finanční a hospodářská krize, získala monetární politika znovu expanzivní charakter</w:t>
      </w:r>
      <w:r w:rsidR="008A3D32" w:rsidRPr="001E7829">
        <w:rPr>
          <w:rFonts w:cs="Times New Roman"/>
        </w:rPr>
        <w:t xml:space="preserve">. Je tak možné shrnout, že nastavení monetární politiky bylo v období s plovoucím kurzem koruny vždy v souladu s aktuálními potřebami českého hospodářství. </w:t>
      </w:r>
      <w:r w:rsidR="00A04E8C" w:rsidRPr="001E7829">
        <w:rPr>
          <w:rFonts w:cs="Times New Roman"/>
        </w:rPr>
        <w:t>Domácí produkt byl však silně ovlivňován množstvím vnějších faktorů, zejména zahraničním ekonomickým vývojem, ale také mimořádnými tuzemskými událostmi, např. povodněmi.</w:t>
      </w:r>
      <w:r w:rsidR="00FC61C1" w:rsidRPr="001E7829">
        <w:rPr>
          <w:rStyle w:val="Znakapoznpodarou"/>
          <w:rFonts w:cs="Times New Roman"/>
        </w:rPr>
        <w:footnoteReference w:id="193"/>
      </w:r>
      <w:r w:rsidR="00A04E8C" w:rsidRPr="001E7829">
        <w:rPr>
          <w:rFonts w:cs="Times New Roman"/>
        </w:rPr>
        <w:t xml:space="preserve"> Vliv monetární politiky na </w:t>
      </w:r>
      <w:r w:rsidR="006E573C" w:rsidRPr="001E7829">
        <w:rPr>
          <w:rFonts w:cs="Times New Roman"/>
        </w:rPr>
        <w:t>výslednou podobu hospodářského růstu (či poklesu) tak byl pouze omezený</w:t>
      </w:r>
      <w:r w:rsidR="00A04E8C" w:rsidRPr="001E7829">
        <w:rPr>
          <w:rFonts w:cs="Times New Roman"/>
        </w:rPr>
        <w:t>. Zřejmě nejvíce se tento fakt projevil mezi lety 2012 a 2014, kdy se vlivem přetrvávající</w:t>
      </w:r>
      <w:r w:rsidR="006E573C" w:rsidRPr="001E7829">
        <w:rPr>
          <w:rFonts w:cs="Times New Roman"/>
        </w:rPr>
        <w:t xml:space="preserve"> nepříznivé</w:t>
      </w:r>
      <w:r w:rsidR="00A04E8C" w:rsidRPr="001E7829">
        <w:rPr>
          <w:rFonts w:cs="Times New Roman"/>
        </w:rPr>
        <w:t xml:space="preserve"> celosvětové ekonomické situace nedařilo </w:t>
      </w:r>
      <w:r w:rsidR="006E573C" w:rsidRPr="001E7829">
        <w:rPr>
          <w:rFonts w:cs="Times New Roman"/>
        </w:rPr>
        <w:t>ČNB ekonomiku</w:t>
      </w:r>
      <w:r w:rsidR="00A04E8C" w:rsidRPr="001E7829">
        <w:rPr>
          <w:rFonts w:cs="Times New Roman"/>
        </w:rPr>
        <w:t xml:space="preserve"> po dlouhou dobu znovu povzbudit k růstu, přestože snížila úrokové sazby na minimum a </w:t>
      </w:r>
      <w:r w:rsidR="006E573C" w:rsidRPr="001E7829">
        <w:rPr>
          <w:rFonts w:cs="Times New Roman"/>
        </w:rPr>
        <w:t>začala s prováděním kurzových intervencí.</w:t>
      </w:r>
    </w:p>
    <w:p w:rsidR="0062089E" w:rsidRPr="001E7829" w:rsidRDefault="001E35E7" w:rsidP="006D2B9B">
      <w:pPr>
        <w:pStyle w:val="Druh"/>
        <w:rPr>
          <w:rFonts w:cs="Times New Roman"/>
        </w:rPr>
      </w:pPr>
      <w:r w:rsidRPr="001E7829">
        <w:rPr>
          <w:rFonts w:cs="Times New Roman"/>
        </w:rPr>
        <w:t xml:space="preserve">Slovenskou měnovou politiku po roce 1997 lze v zásadě rozdělit do čtyř období. Do roku 2000 byl měnově-politický režim v podstatě totožný jako v předchozích letech, s výjimkou režimu slovenské koruny, která přešla na řízený </w:t>
      </w:r>
      <w:proofErr w:type="spellStart"/>
      <w:r w:rsidRPr="001E7829">
        <w:rPr>
          <w:rFonts w:cs="Times New Roman"/>
        </w:rPr>
        <w:t>floating</w:t>
      </w:r>
      <w:proofErr w:type="spellEnd"/>
      <w:r w:rsidRPr="001E7829">
        <w:rPr>
          <w:rFonts w:cs="Times New Roman"/>
        </w:rPr>
        <w:t>.</w:t>
      </w:r>
      <w:r w:rsidR="00FC61C1" w:rsidRPr="001E7829">
        <w:rPr>
          <w:rStyle w:val="Znakapoznpodarou"/>
          <w:rFonts w:cs="Times New Roman"/>
        </w:rPr>
        <w:footnoteReference w:id="194"/>
      </w:r>
      <w:r w:rsidRPr="001E7829">
        <w:rPr>
          <w:rFonts w:cs="Times New Roman"/>
        </w:rPr>
        <w:t xml:space="preserve"> V roce 2000 začala NBS využívat implicitní cílování inflace</w:t>
      </w:r>
      <w:r w:rsidR="00FC61C1" w:rsidRPr="001E7829">
        <w:rPr>
          <w:rStyle w:val="Znakapoznpodarou"/>
          <w:rFonts w:cs="Times New Roman"/>
        </w:rPr>
        <w:footnoteReference w:id="195"/>
      </w:r>
      <w:r w:rsidRPr="001E7829">
        <w:rPr>
          <w:rFonts w:cs="Times New Roman"/>
        </w:rPr>
        <w:t xml:space="preserve"> a od roku 2005 pak inflaci </w:t>
      </w:r>
      <w:proofErr w:type="spellStart"/>
      <w:r w:rsidRPr="001E7829">
        <w:rPr>
          <w:rFonts w:cs="Times New Roman"/>
        </w:rPr>
        <w:t>cílovala</w:t>
      </w:r>
      <w:proofErr w:type="spellEnd"/>
      <w:r w:rsidRPr="001E7829">
        <w:rPr>
          <w:rFonts w:cs="Times New Roman"/>
        </w:rPr>
        <w:t xml:space="preserve"> v rámci mechanismu ERM</w:t>
      </w:r>
      <w:r w:rsidR="00D56CB0" w:rsidRPr="001E7829">
        <w:rPr>
          <w:rFonts w:cs="Times New Roman"/>
        </w:rPr>
        <w:t xml:space="preserve"> </w:t>
      </w:r>
      <w:r w:rsidRPr="001E7829">
        <w:rPr>
          <w:rFonts w:cs="Times New Roman"/>
        </w:rPr>
        <w:t>II, do které</w:t>
      </w:r>
      <w:r w:rsidR="00780C43" w:rsidRPr="001E7829">
        <w:rPr>
          <w:rFonts w:cs="Times New Roman"/>
        </w:rPr>
        <w:t>ho</w:t>
      </w:r>
      <w:r w:rsidRPr="001E7829">
        <w:rPr>
          <w:rFonts w:cs="Times New Roman"/>
        </w:rPr>
        <w:t xml:space="preserve"> Slovensko vstoupilo po svém přistoupení k Evropské </w:t>
      </w:r>
      <w:r w:rsidR="00780C43" w:rsidRPr="001E7829">
        <w:rPr>
          <w:rFonts w:cs="Times New Roman"/>
        </w:rPr>
        <w:t>u</w:t>
      </w:r>
      <w:r w:rsidRPr="001E7829">
        <w:rPr>
          <w:rFonts w:cs="Times New Roman"/>
        </w:rPr>
        <w:t>nii.</w:t>
      </w:r>
      <w:r w:rsidR="00FC61C1" w:rsidRPr="001E7829">
        <w:rPr>
          <w:rStyle w:val="Znakapoznpodarou"/>
          <w:rFonts w:cs="Times New Roman"/>
        </w:rPr>
        <w:footnoteReference w:id="196"/>
      </w:r>
      <w:r w:rsidRPr="001E7829">
        <w:rPr>
          <w:rFonts w:cs="Times New Roman"/>
        </w:rPr>
        <w:t xml:space="preserve"> Od roku 2009, kdy přijala Euro, pak Slovenská republika nemá vlastní nezávislou měnovou politiku, ale podřizuje se měnově-politickým rozhodnutím Evropské centrální banky.</w:t>
      </w:r>
      <w:r w:rsidR="00FC61C1" w:rsidRPr="001E7829">
        <w:rPr>
          <w:rStyle w:val="Znakapoznpodarou"/>
          <w:rFonts w:cs="Times New Roman"/>
        </w:rPr>
        <w:footnoteReference w:id="197"/>
      </w:r>
    </w:p>
    <w:p w:rsidR="00205739" w:rsidRPr="001E7829" w:rsidRDefault="002E3600" w:rsidP="006D2B9B">
      <w:pPr>
        <w:pStyle w:val="Druh"/>
        <w:rPr>
          <w:rFonts w:cs="Times New Roman"/>
        </w:rPr>
      </w:pPr>
      <w:r w:rsidRPr="001E7829">
        <w:rPr>
          <w:rFonts w:cs="Times New Roman"/>
        </w:rPr>
        <w:t xml:space="preserve">Co se týče nástrojů, začala NBS v roce 2000 používat kromě diskontní sazby také dvoutýdenní </w:t>
      </w:r>
      <w:proofErr w:type="spellStart"/>
      <w:r w:rsidR="004E7289" w:rsidRPr="001E7829">
        <w:rPr>
          <w:rFonts w:cs="Times New Roman"/>
        </w:rPr>
        <w:t>repo</w:t>
      </w:r>
      <w:proofErr w:type="spellEnd"/>
      <w:r w:rsidRPr="001E7829">
        <w:rPr>
          <w:rFonts w:cs="Times New Roman"/>
        </w:rPr>
        <w:t xml:space="preserve"> sazbu. Následně byla v roce 2002 nahrazena </w:t>
      </w:r>
      <w:r w:rsidRPr="001E7829">
        <w:rPr>
          <w:rFonts w:cs="Times New Roman"/>
        </w:rPr>
        <w:lastRenderedPageBreak/>
        <w:t xml:space="preserve">diskontní sazba tzv. základní úrokovou sazbou NBS a od 1. 1. 2002 měly obě sazby vždy stejnou hodnotu. Stejně jako v případě ČNB byla i monetární politika NBS expanzivní, s jedinou výjimkou výraznější restrikce, a to od března 2005 do března 2007, kdy sazby stouply o 1,75 </w:t>
      </w:r>
      <w:proofErr w:type="spellStart"/>
      <w:proofErr w:type="gramStart"/>
      <w:r w:rsidRPr="001E7829">
        <w:rPr>
          <w:rFonts w:cs="Times New Roman"/>
        </w:rPr>
        <w:t>p.b</w:t>
      </w:r>
      <w:proofErr w:type="spellEnd"/>
      <w:r w:rsidRPr="001E7829">
        <w:rPr>
          <w:rFonts w:cs="Times New Roman"/>
        </w:rPr>
        <w:t>.</w:t>
      </w:r>
      <w:proofErr w:type="gramEnd"/>
      <w:r w:rsidR="00FC61C1" w:rsidRPr="001E7829">
        <w:rPr>
          <w:rStyle w:val="Znakapoznpodarou"/>
          <w:rFonts w:cs="Times New Roman"/>
        </w:rPr>
        <w:footnoteReference w:id="198"/>
      </w:r>
      <w:r w:rsidR="00500BE5" w:rsidRPr="001E7829">
        <w:rPr>
          <w:rFonts w:cs="Times New Roman"/>
        </w:rPr>
        <w:t xml:space="preserve"> </w:t>
      </w:r>
      <w:r w:rsidR="00205739" w:rsidRPr="001E7829">
        <w:rPr>
          <w:rFonts w:cs="Times New Roman"/>
        </w:rPr>
        <w:t>Reakce obou centrální bank na ekonomický vývoj tak byly v podstatě totožné,</w:t>
      </w:r>
      <w:r w:rsidR="000A0B33" w:rsidRPr="001E7829">
        <w:rPr>
          <w:rFonts w:cs="Times New Roman"/>
        </w:rPr>
        <w:t xml:space="preserve"> neboť</w:t>
      </w:r>
      <w:r w:rsidR="00205739" w:rsidRPr="001E7829">
        <w:rPr>
          <w:rFonts w:cs="Times New Roman"/>
        </w:rPr>
        <w:t xml:space="preserve"> i na Slovensku se doba restrikce shoduje s nejvýraznějším hospodářským růstem a v následujících letech přišla expanze v reakci na ekonomickou krizi (stejně jako v ČR). Kromě roku 2011 byla expanzivní i měnová politika ECB, jejíž některé sazby jsou v současné době dokonce záporné.</w:t>
      </w:r>
      <w:r w:rsidR="00FC61C1" w:rsidRPr="001E7829">
        <w:rPr>
          <w:rStyle w:val="Znakapoznpodarou"/>
          <w:rFonts w:cs="Times New Roman"/>
        </w:rPr>
        <w:footnoteReference w:id="199"/>
      </w:r>
    </w:p>
    <w:p w:rsidR="002E3600" w:rsidRPr="001E7829" w:rsidRDefault="00205739" w:rsidP="006D2B9B">
      <w:pPr>
        <w:pStyle w:val="Druh"/>
        <w:rPr>
          <w:rFonts w:cs="Times New Roman"/>
        </w:rPr>
      </w:pPr>
      <w:r w:rsidRPr="001E7829">
        <w:rPr>
          <w:rFonts w:cs="Times New Roman"/>
        </w:rPr>
        <w:t>Monetární politiky české i slovenské centrální banky, potažmo ECB, tak téměř po celou dobu přispívaly</w:t>
      </w:r>
      <w:r w:rsidR="00780C43" w:rsidRPr="001E7829">
        <w:rPr>
          <w:rFonts w:cs="Times New Roman"/>
        </w:rPr>
        <w:t xml:space="preserve"> k hospodářskému růstu. Výjimky</w:t>
      </w:r>
      <w:r w:rsidR="00500BE5" w:rsidRPr="001E7829">
        <w:rPr>
          <w:rFonts w:cs="Times New Roman"/>
        </w:rPr>
        <w:t xml:space="preserve"> </w:t>
      </w:r>
      <w:r w:rsidR="00780C43" w:rsidRPr="001E7829">
        <w:rPr>
          <w:rFonts w:cs="Times New Roman"/>
        </w:rPr>
        <w:t>většinou tvořila období</w:t>
      </w:r>
      <w:r w:rsidR="00530AC2" w:rsidRPr="001E7829">
        <w:rPr>
          <w:rFonts w:cs="Times New Roman"/>
        </w:rPr>
        <w:t>, kdy růst (spojený s inflačními riziky) byl natolik silný, že banky musely naopak přistoupit ke zpřísnění svých politik.</w:t>
      </w:r>
    </w:p>
    <w:p w:rsidR="00780C43" w:rsidRPr="001E7829" w:rsidRDefault="00780C43" w:rsidP="006D2B9B">
      <w:pPr>
        <w:pStyle w:val="Druh"/>
        <w:rPr>
          <w:rFonts w:cs="Times New Roman"/>
        </w:rPr>
      </w:pPr>
    </w:p>
    <w:p w:rsidR="00780C43" w:rsidRPr="001E7829" w:rsidRDefault="00780C43" w:rsidP="002D519B">
      <w:pPr>
        <w:rPr>
          <w:rFonts w:ascii="Times New Roman" w:hAnsi="Times New Roman" w:cs="Times New Roman"/>
          <w:b/>
          <w:sz w:val="24"/>
          <w:szCs w:val="24"/>
        </w:rPr>
      </w:pPr>
      <w:r w:rsidRPr="001E7829">
        <w:rPr>
          <w:rFonts w:ascii="Times New Roman" w:hAnsi="Times New Roman" w:cs="Times New Roman"/>
          <w:b/>
          <w:sz w:val="24"/>
          <w:szCs w:val="24"/>
        </w:rPr>
        <w:t>Nezaměstnanost</w:t>
      </w:r>
    </w:p>
    <w:p w:rsidR="00780C43" w:rsidRPr="001E7829" w:rsidRDefault="000A5F2F" w:rsidP="00B40EB7">
      <w:pPr>
        <w:pStyle w:val="Prvn"/>
        <w:rPr>
          <w:rFonts w:cs="Times New Roman"/>
        </w:rPr>
      </w:pPr>
      <w:r w:rsidRPr="001E7829">
        <w:rPr>
          <w:rFonts w:cs="Times New Roman"/>
        </w:rPr>
        <w:t xml:space="preserve">Jak bylo uvedeno výše, </w:t>
      </w:r>
      <w:proofErr w:type="spellStart"/>
      <w:r w:rsidRPr="001E7829">
        <w:rPr>
          <w:rFonts w:cs="Times New Roman"/>
        </w:rPr>
        <w:t>Mundell-Flemingův</w:t>
      </w:r>
      <w:proofErr w:type="spellEnd"/>
      <w:r w:rsidRPr="001E7829">
        <w:rPr>
          <w:rFonts w:cs="Times New Roman"/>
        </w:rPr>
        <w:t xml:space="preserve"> model mj. říká, že monetární expanze při plovoucím kurzu měny vede v krátkém období ke snížení nezaměstnanosti, zatímco restrikce naopak nezaměstnanost zvyšuje. Při fixním kurzu je monetární politika opět bez účinků, stejně jako v případě růstu HDP.</w:t>
      </w:r>
      <w:r w:rsidR="00075952" w:rsidRPr="001E7829">
        <w:rPr>
          <w:rFonts w:cs="Times New Roman"/>
        </w:rPr>
        <w:t xml:space="preserve"> </w:t>
      </w:r>
      <w:r w:rsidR="006D5459" w:rsidRPr="001E7829">
        <w:rPr>
          <w:rFonts w:cs="Times New Roman"/>
        </w:rPr>
        <w:t>Tabulka níže</w:t>
      </w:r>
      <w:r w:rsidR="00075952" w:rsidRPr="001E7829">
        <w:rPr>
          <w:rFonts w:cs="Times New Roman"/>
        </w:rPr>
        <w:t xml:space="preserve"> uvádí průměrnou roční nezaměstnanost v období s fixním kurzem.</w:t>
      </w:r>
      <w:r w:rsidR="006B14F1" w:rsidRPr="001E7829">
        <w:rPr>
          <w:rStyle w:val="Znakapoznpodarou"/>
          <w:rFonts w:cs="Times New Roman"/>
        </w:rPr>
        <w:footnoteReference w:id="200"/>
      </w:r>
    </w:p>
    <w:p w:rsidR="006D5459" w:rsidRPr="001E7829" w:rsidRDefault="006D5459" w:rsidP="006D5459">
      <w:pPr>
        <w:pStyle w:val="Druh"/>
        <w:rPr>
          <w:rFonts w:cs="Times New Roman"/>
        </w:rPr>
      </w:pPr>
    </w:p>
    <w:p w:rsidR="006D5459" w:rsidRPr="001E7829" w:rsidRDefault="006D5459" w:rsidP="006D5459">
      <w:pPr>
        <w:pStyle w:val="Druh"/>
        <w:rPr>
          <w:rFonts w:cs="Times New Roman"/>
        </w:rPr>
      </w:pPr>
    </w:p>
    <w:p w:rsidR="000A5F2F" w:rsidRPr="001E7829" w:rsidRDefault="000A5F2F" w:rsidP="006D5459">
      <w:pPr>
        <w:pStyle w:val="Druh"/>
        <w:spacing w:after="0"/>
        <w:rPr>
          <w:rFonts w:cs="Times New Roman"/>
        </w:rPr>
      </w:pPr>
    </w:p>
    <w:p w:rsidR="00424CA9" w:rsidRPr="001E7829" w:rsidRDefault="007D6D71" w:rsidP="00424CA9">
      <w:pPr>
        <w:pStyle w:val="Titulek"/>
        <w:keepNext/>
        <w:rPr>
          <w:rFonts w:ascii="Times New Roman" w:hAnsi="Times New Roman" w:cs="Times New Roman"/>
          <w:color w:val="auto"/>
          <w:sz w:val="24"/>
        </w:rPr>
      </w:pPr>
      <w:r w:rsidRPr="001E7829">
        <w:rPr>
          <w:rFonts w:ascii="Times New Roman" w:hAnsi="Times New Roman" w:cs="Times New Roman"/>
          <w:color w:val="auto"/>
          <w:sz w:val="24"/>
        </w:rPr>
        <w:lastRenderedPageBreak/>
        <w:fldChar w:fldCharType="begin"/>
      </w:r>
      <w:r w:rsidR="00424CA9" w:rsidRPr="001E7829">
        <w:rPr>
          <w:rFonts w:ascii="Times New Roman" w:hAnsi="Times New Roman" w:cs="Times New Roman"/>
          <w:color w:val="auto"/>
          <w:sz w:val="24"/>
        </w:rPr>
        <w:instrText xml:space="preserve"> SEQ Tabulka \* ARABIC </w:instrText>
      </w:r>
      <w:r w:rsidRPr="001E7829">
        <w:rPr>
          <w:rFonts w:ascii="Times New Roman" w:hAnsi="Times New Roman" w:cs="Times New Roman"/>
          <w:color w:val="auto"/>
          <w:sz w:val="24"/>
        </w:rPr>
        <w:fldChar w:fldCharType="separate"/>
      </w:r>
      <w:bookmarkStart w:id="76" w:name="_Toc445910433"/>
      <w:r w:rsidR="00454C38" w:rsidRPr="001E7829">
        <w:rPr>
          <w:rFonts w:ascii="Times New Roman" w:hAnsi="Times New Roman" w:cs="Times New Roman"/>
          <w:noProof/>
          <w:color w:val="auto"/>
          <w:sz w:val="24"/>
        </w:rPr>
        <w:t>3</w:t>
      </w:r>
      <w:r w:rsidRPr="001E7829">
        <w:rPr>
          <w:rFonts w:ascii="Times New Roman" w:hAnsi="Times New Roman" w:cs="Times New Roman"/>
          <w:color w:val="auto"/>
          <w:sz w:val="24"/>
        </w:rPr>
        <w:fldChar w:fldCharType="end"/>
      </w:r>
      <w:r w:rsidR="00424CA9" w:rsidRPr="001E7829">
        <w:rPr>
          <w:rFonts w:ascii="Times New Roman" w:hAnsi="Times New Roman" w:cs="Times New Roman"/>
          <w:color w:val="auto"/>
          <w:sz w:val="24"/>
        </w:rPr>
        <w:t xml:space="preserve">. </w:t>
      </w:r>
      <w:r w:rsidR="0019311D" w:rsidRPr="001E7829">
        <w:rPr>
          <w:rFonts w:ascii="Times New Roman" w:hAnsi="Times New Roman" w:cs="Times New Roman"/>
          <w:color w:val="auto"/>
          <w:sz w:val="24"/>
        </w:rPr>
        <w:t>Průměrná roční m</w:t>
      </w:r>
      <w:r w:rsidR="00424CA9" w:rsidRPr="001E7829">
        <w:rPr>
          <w:rFonts w:ascii="Times New Roman" w:hAnsi="Times New Roman" w:cs="Times New Roman"/>
          <w:color w:val="auto"/>
          <w:sz w:val="24"/>
        </w:rPr>
        <w:t>íra nezaměstnanosti v letech 1993-1997</w:t>
      </w:r>
      <w:bookmarkEnd w:id="76"/>
    </w:p>
    <w:tbl>
      <w:tblPr>
        <w:tblStyle w:val="Mkatabulky"/>
        <w:tblW w:w="5000" w:type="pct"/>
        <w:tblLook w:val="04A0" w:firstRow="1" w:lastRow="0" w:firstColumn="1" w:lastColumn="0" w:noHBand="0" w:noVBand="1"/>
      </w:tblPr>
      <w:tblGrid>
        <w:gridCol w:w="1359"/>
        <w:gridCol w:w="1359"/>
        <w:gridCol w:w="1359"/>
        <w:gridCol w:w="1358"/>
        <w:gridCol w:w="1358"/>
        <w:gridCol w:w="1360"/>
      </w:tblGrid>
      <w:tr w:rsidR="003F4A69" w:rsidRPr="001E7829" w:rsidTr="00E418A6">
        <w:tc>
          <w:tcPr>
            <w:tcW w:w="833" w:type="pct"/>
            <w:tcBorders>
              <w:bottom w:val="single" w:sz="18" w:space="0" w:color="auto"/>
              <w:right w:val="single" w:sz="18" w:space="0" w:color="auto"/>
            </w:tcBorders>
            <w:vAlign w:val="center"/>
          </w:tcPr>
          <w:p w:rsidR="003F4A69" w:rsidRPr="001E7829" w:rsidRDefault="003F4A69" w:rsidP="00E418A6">
            <w:pPr>
              <w:spacing w:before="60" w:after="60"/>
              <w:jc w:val="center"/>
              <w:rPr>
                <w:rFonts w:ascii="Times New Roman" w:hAnsi="Times New Roman" w:cs="Times New Roman"/>
                <w:sz w:val="24"/>
              </w:rPr>
            </w:pPr>
          </w:p>
        </w:tc>
        <w:tc>
          <w:tcPr>
            <w:tcW w:w="833" w:type="pct"/>
            <w:tcBorders>
              <w:left w:val="single" w:sz="18" w:space="0" w:color="auto"/>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1993</w:t>
            </w:r>
          </w:p>
        </w:tc>
        <w:tc>
          <w:tcPr>
            <w:tcW w:w="833"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1994</w:t>
            </w:r>
          </w:p>
        </w:tc>
        <w:tc>
          <w:tcPr>
            <w:tcW w:w="833"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1995</w:t>
            </w:r>
          </w:p>
        </w:tc>
        <w:tc>
          <w:tcPr>
            <w:tcW w:w="833"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1996</w:t>
            </w:r>
          </w:p>
        </w:tc>
        <w:tc>
          <w:tcPr>
            <w:tcW w:w="834"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1997</w:t>
            </w:r>
          </w:p>
        </w:tc>
      </w:tr>
      <w:tr w:rsidR="003F4A69" w:rsidRPr="001E7829" w:rsidTr="00E418A6">
        <w:tc>
          <w:tcPr>
            <w:tcW w:w="833" w:type="pct"/>
            <w:tcBorders>
              <w:top w:val="single" w:sz="18" w:space="0" w:color="auto"/>
              <w:right w:val="single" w:sz="18" w:space="0" w:color="auto"/>
            </w:tcBorders>
            <w:vAlign w:val="center"/>
          </w:tcPr>
          <w:p w:rsidR="003F4A69" w:rsidRPr="001E7829" w:rsidRDefault="003F4A69" w:rsidP="00E418A6">
            <w:pPr>
              <w:spacing w:before="60" w:after="60"/>
              <w:jc w:val="center"/>
              <w:rPr>
                <w:rFonts w:ascii="Times New Roman" w:hAnsi="Times New Roman" w:cs="Times New Roman"/>
                <w:sz w:val="24"/>
              </w:rPr>
            </w:pPr>
            <w:r w:rsidRPr="001E7829">
              <w:rPr>
                <w:rFonts w:ascii="Times New Roman" w:hAnsi="Times New Roman" w:cs="Times New Roman"/>
                <w:sz w:val="24"/>
              </w:rPr>
              <w:t>ČR</w:t>
            </w:r>
          </w:p>
        </w:tc>
        <w:tc>
          <w:tcPr>
            <w:tcW w:w="833" w:type="pct"/>
            <w:tcBorders>
              <w:top w:val="single" w:sz="18" w:space="0" w:color="auto"/>
              <w:left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4,3</w:t>
            </w:r>
          </w:p>
        </w:tc>
        <w:tc>
          <w:tcPr>
            <w:tcW w:w="833" w:type="pct"/>
            <w:tcBorders>
              <w:top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4,3</w:t>
            </w:r>
          </w:p>
        </w:tc>
        <w:tc>
          <w:tcPr>
            <w:tcW w:w="833" w:type="pct"/>
            <w:tcBorders>
              <w:top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4,0</w:t>
            </w:r>
          </w:p>
        </w:tc>
        <w:tc>
          <w:tcPr>
            <w:tcW w:w="833" w:type="pct"/>
            <w:tcBorders>
              <w:top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3,9</w:t>
            </w:r>
          </w:p>
        </w:tc>
        <w:tc>
          <w:tcPr>
            <w:tcW w:w="834" w:type="pct"/>
            <w:tcBorders>
              <w:top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rPr>
            </w:pPr>
            <w:r w:rsidRPr="001E7829">
              <w:rPr>
                <w:rFonts w:ascii="Times New Roman" w:hAnsi="Times New Roman" w:cs="Times New Roman"/>
                <w:sz w:val="24"/>
              </w:rPr>
              <w:t>4,8</w:t>
            </w:r>
          </w:p>
        </w:tc>
      </w:tr>
      <w:tr w:rsidR="003F4A69" w:rsidRPr="001E7829" w:rsidTr="00E418A6">
        <w:tc>
          <w:tcPr>
            <w:tcW w:w="833" w:type="pct"/>
            <w:tcBorders>
              <w:right w:val="single" w:sz="18" w:space="0" w:color="auto"/>
            </w:tcBorders>
            <w:vAlign w:val="center"/>
          </w:tcPr>
          <w:p w:rsidR="003F4A69" w:rsidRPr="001E7829" w:rsidRDefault="003F4A69" w:rsidP="00E418A6">
            <w:pPr>
              <w:spacing w:before="60" w:after="60"/>
              <w:jc w:val="center"/>
              <w:rPr>
                <w:rFonts w:ascii="Times New Roman" w:hAnsi="Times New Roman" w:cs="Times New Roman"/>
                <w:sz w:val="24"/>
              </w:rPr>
            </w:pPr>
            <w:r w:rsidRPr="001E7829">
              <w:rPr>
                <w:rFonts w:ascii="Times New Roman" w:hAnsi="Times New Roman" w:cs="Times New Roman"/>
                <w:sz w:val="24"/>
              </w:rPr>
              <w:t>SR</w:t>
            </w:r>
          </w:p>
        </w:tc>
        <w:tc>
          <w:tcPr>
            <w:tcW w:w="833" w:type="pct"/>
            <w:tcBorders>
              <w:left w:val="single" w:sz="18" w:space="0" w:color="auto"/>
            </w:tcBorders>
            <w:vAlign w:val="center"/>
          </w:tcPr>
          <w:p w:rsidR="003F4A69" w:rsidRPr="001E7829" w:rsidRDefault="00424CA9" w:rsidP="003F4A69">
            <w:pPr>
              <w:spacing w:before="60" w:after="60"/>
              <w:jc w:val="center"/>
              <w:rPr>
                <w:rFonts w:ascii="Times New Roman" w:hAnsi="Times New Roman" w:cs="Times New Roman"/>
                <w:sz w:val="24"/>
              </w:rPr>
            </w:pPr>
            <w:r w:rsidRPr="001E7829">
              <w:rPr>
                <w:rFonts w:ascii="Times New Roman" w:hAnsi="Times New Roman" w:cs="Times New Roman"/>
                <w:sz w:val="24"/>
              </w:rPr>
              <w:t>12,2</w:t>
            </w:r>
          </w:p>
        </w:tc>
        <w:tc>
          <w:tcPr>
            <w:tcW w:w="833" w:type="pct"/>
            <w:vAlign w:val="center"/>
          </w:tcPr>
          <w:p w:rsidR="003F4A69" w:rsidRPr="001E7829" w:rsidRDefault="00424CA9" w:rsidP="003F4A69">
            <w:pPr>
              <w:spacing w:before="60" w:after="60"/>
              <w:jc w:val="center"/>
              <w:rPr>
                <w:rFonts w:ascii="Times New Roman" w:hAnsi="Times New Roman" w:cs="Times New Roman"/>
                <w:sz w:val="24"/>
              </w:rPr>
            </w:pPr>
            <w:r w:rsidRPr="001E7829">
              <w:rPr>
                <w:rFonts w:ascii="Times New Roman" w:hAnsi="Times New Roman" w:cs="Times New Roman"/>
                <w:sz w:val="24"/>
              </w:rPr>
              <w:t>13,7</w:t>
            </w:r>
          </w:p>
        </w:tc>
        <w:tc>
          <w:tcPr>
            <w:tcW w:w="833" w:type="pct"/>
            <w:vAlign w:val="center"/>
          </w:tcPr>
          <w:p w:rsidR="003F4A69" w:rsidRPr="001E7829" w:rsidRDefault="00424CA9" w:rsidP="003F4A69">
            <w:pPr>
              <w:spacing w:before="60" w:after="60"/>
              <w:jc w:val="center"/>
              <w:rPr>
                <w:rFonts w:ascii="Times New Roman" w:hAnsi="Times New Roman" w:cs="Times New Roman"/>
                <w:sz w:val="24"/>
              </w:rPr>
            </w:pPr>
            <w:r w:rsidRPr="001E7829">
              <w:rPr>
                <w:rFonts w:ascii="Times New Roman" w:hAnsi="Times New Roman" w:cs="Times New Roman"/>
                <w:sz w:val="24"/>
              </w:rPr>
              <w:t>13,1</w:t>
            </w:r>
          </w:p>
        </w:tc>
        <w:tc>
          <w:tcPr>
            <w:tcW w:w="833" w:type="pct"/>
            <w:vAlign w:val="center"/>
          </w:tcPr>
          <w:p w:rsidR="003F4A69" w:rsidRPr="001E7829" w:rsidRDefault="00424CA9" w:rsidP="003F4A69">
            <w:pPr>
              <w:spacing w:before="60" w:after="60"/>
              <w:jc w:val="center"/>
              <w:rPr>
                <w:rFonts w:ascii="Times New Roman" w:hAnsi="Times New Roman" w:cs="Times New Roman"/>
                <w:sz w:val="24"/>
              </w:rPr>
            </w:pPr>
            <w:r w:rsidRPr="001E7829">
              <w:rPr>
                <w:rFonts w:ascii="Times New Roman" w:hAnsi="Times New Roman" w:cs="Times New Roman"/>
                <w:sz w:val="24"/>
              </w:rPr>
              <w:t>11,3</w:t>
            </w:r>
          </w:p>
        </w:tc>
        <w:tc>
          <w:tcPr>
            <w:tcW w:w="834" w:type="pct"/>
            <w:vAlign w:val="center"/>
          </w:tcPr>
          <w:p w:rsidR="003F4A69" w:rsidRPr="001E7829" w:rsidRDefault="00424CA9" w:rsidP="003F4A69">
            <w:pPr>
              <w:spacing w:before="60" w:after="60"/>
              <w:jc w:val="center"/>
              <w:rPr>
                <w:rFonts w:ascii="Times New Roman" w:hAnsi="Times New Roman" w:cs="Times New Roman"/>
                <w:sz w:val="24"/>
              </w:rPr>
            </w:pPr>
            <w:r w:rsidRPr="001E7829">
              <w:rPr>
                <w:rFonts w:ascii="Times New Roman" w:hAnsi="Times New Roman" w:cs="Times New Roman"/>
                <w:sz w:val="24"/>
              </w:rPr>
              <w:t>11,9</w:t>
            </w:r>
          </w:p>
        </w:tc>
      </w:tr>
    </w:tbl>
    <w:p w:rsidR="000A5F2F" w:rsidRPr="001E7829" w:rsidRDefault="00424CA9" w:rsidP="005958BA">
      <w:pPr>
        <w:spacing w:before="120"/>
        <w:rPr>
          <w:rFonts w:ascii="Times New Roman" w:hAnsi="Times New Roman" w:cs="Times New Roman"/>
        </w:rPr>
      </w:pPr>
      <w:r w:rsidRPr="001E7829">
        <w:rPr>
          <w:rFonts w:ascii="Times New Roman" w:hAnsi="Times New Roman" w:cs="Times New Roman"/>
        </w:rPr>
        <w:t xml:space="preserve">Zdroj: </w:t>
      </w:r>
      <w:proofErr w:type="spellStart"/>
      <w:r w:rsidRPr="001E7829">
        <w:rPr>
          <w:rFonts w:ascii="Times New Roman" w:hAnsi="Times New Roman" w:cs="Times New Roman"/>
        </w:rPr>
        <w:t>Eurostat</w:t>
      </w:r>
      <w:proofErr w:type="spellEnd"/>
      <w:r w:rsidRPr="001E7829">
        <w:rPr>
          <w:rFonts w:ascii="Times New Roman" w:hAnsi="Times New Roman" w:cs="Times New Roman"/>
        </w:rPr>
        <w:t xml:space="preserve">, </w:t>
      </w:r>
      <w:proofErr w:type="spellStart"/>
      <w:r w:rsidRPr="001E7829">
        <w:rPr>
          <w:rFonts w:ascii="Times New Roman" w:hAnsi="Times New Roman" w:cs="Times New Roman"/>
        </w:rPr>
        <w:t>World</w:t>
      </w:r>
      <w:proofErr w:type="spellEnd"/>
      <w:r w:rsidRPr="001E7829">
        <w:rPr>
          <w:rFonts w:ascii="Times New Roman" w:hAnsi="Times New Roman" w:cs="Times New Roman"/>
        </w:rPr>
        <w:t xml:space="preserve"> bank</w:t>
      </w:r>
      <w:r w:rsidR="003F4A69" w:rsidRPr="001E7829">
        <w:rPr>
          <w:rFonts w:ascii="Times New Roman" w:hAnsi="Times New Roman" w:cs="Times New Roman"/>
        </w:rPr>
        <w:tab/>
      </w:r>
    </w:p>
    <w:p w:rsidR="006B14F1" w:rsidRPr="001E7829" w:rsidRDefault="006B14F1" w:rsidP="006B14F1">
      <w:pPr>
        <w:pStyle w:val="Druh"/>
        <w:rPr>
          <w:rFonts w:cs="Times New Roman"/>
        </w:rPr>
      </w:pPr>
    </w:p>
    <w:p w:rsidR="00813A5A" w:rsidRPr="001E7829" w:rsidRDefault="004C5ED6" w:rsidP="006B14F1">
      <w:pPr>
        <w:pStyle w:val="Druh"/>
        <w:rPr>
          <w:rFonts w:cs="Times New Roman"/>
        </w:rPr>
      </w:pPr>
      <w:r w:rsidRPr="001E7829">
        <w:rPr>
          <w:rFonts w:cs="Times New Roman"/>
        </w:rPr>
        <w:t xml:space="preserve">Z tabulky je </w:t>
      </w:r>
      <w:r w:rsidR="00813A5A" w:rsidRPr="001E7829">
        <w:rPr>
          <w:rFonts w:cs="Times New Roman"/>
        </w:rPr>
        <w:t>vidět</w:t>
      </w:r>
      <w:r w:rsidRPr="001E7829">
        <w:rPr>
          <w:rFonts w:cs="Times New Roman"/>
        </w:rPr>
        <w:t>, že nezaměstnanost v ČR v prvních pěti letech fungování ČNB neodpovídala nastavení monetární politiky. V letech 1994 až 1996 byla politika restriktivní, nezaměstnanost přesto poklesla</w:t>
      </w:r>
      <w:r w:rsidR="00044E5D" w:rsidRPr="001E7829">
        <w:rPr>
          <w:rFonts w:cs="Times New Roman"/>
        </w:rPr>
        <w:t xml:space="preserve"> celkem o 0,4</w:t>
      </w:r>
      <w:r w:rsidR="0052715A" w:rsidRPr="001E7829">
        <w:rPr>
          <w:rFonts w:cs="Times New Roman"/>
        </w:rPr>
        <w:t xml:space="preserve"> </w:t>
      </w:r>
      <w:r w:rsidR="00044E5D" w:rsidRPr="001E7829">
        <w:rPr>
          <w:rFonts w:cs="Times New Roman"/>
        </w:rPr>
        <w:t>% jako při expanzi. V roce 1997 naopak nezaměstnanost rostla vlivem zpomalení hospodářského růstu, zhoršující se ekonomické situace podniků a restrukturalizace.</w:t>
      </w:r>
      <w:r w:rsidR="00044E5D" w:rsidRPr="001E7829">
        <w:rPr>
          <w:rStyle w:val="Znakapoznpodarou"/>
          <w:rFonts w:cs="Times New Roman"/>
        </w:rPr>
        <w:footnoteReference w:id="201"/>
      </w:r>
      <w:r w:rsidR="00044E5D" w:rsidRPr="001E7829">
        <w:rPr>
          <w:rFonts w:cs="Times New Roman"/>
        </w:rPr>
        <w:t xml:space="preserve"> Obecně lze shrnout, že </w:t>
      </w:r>
      <w:r w:rsidR="00813A5A" w:rsidRPr="001E7829">
        <w:rPr>
          <w:rFonts w:cs="Times New Roman"/>
        </w:rPr>
        <w:t xml:space="preserve">pokud bychom navzdory </w:t>
      </w:r>
      <w:proofErr w:type="spellStart"/>
      <w:r w:rsidR="00813A5A" w:rsidRPr="001E7829">
        <w:rPr>
          <w:rFonts w:cs="Times New Roman"/>
        </w:rPr>
        <w:t>Mundell-Flemingově</w:t>
      </w:r>
      <w:proofErr w:type="spellEnd"/>
      <w:r w:rsidR="00813A5A" w:rsidRPr="001E7829">
        <w:rPr>
          <w:rFonts w:cs="Times New Roman"/>
        </w:rPr>
        <w:t xml:space="preserve"> modelu připustili účinnost monetární politiky v režimu fixního kurzu, znamenalo by její nastavení v tomto období spíše růst nezaměstnanosti, když restrikce byla prováděna ve třech z pěti let.</w:t>
      </w:r>
    </w:p>
    <w:p w:rsidR="006B14F1" w:rsidRPr="001E7829" w:rsidRDefault="00FF41D2" w:rsidP="006B14F1">
      <w:pPr>
        <w:pStyle w:val="Druh"/>
        <w:rPr>
          <w:rFonts w:cs="Times New Roman"/>
        </w:rPr>
      </w:pPr>
      <w:r w:rsidRPr="001E7829">
        <w:rPr>
          <w:rFonts w:cs="Times New Roman"/>
        </w:rPr>
        <w:t>NBS naproti tomu provedla restrikci pouze v roce 1993 a následně v letech 1995 a 1996 diskontní sazbu v několika krocích snížila.</w:t>
      </w:r>
      <w:r w:rsidRPr="001E7829">
        <w:rPr>
          <w:rStyle w:val="Znakapoznpodarou"/>
          <w:rFonts w:cs="Times New Roman"/>
        </w:rPr>
        <w:footnoteReference w:id="202"/>
      </w:r>
      <w:r w:rsidRPr="001E7829">
        <w:rPr>
          <w:rFonts w:cs="Times New Roman"/>
        </w:rPr>
        <w:t xml:space="preserve"> Vývoj nezaměstnanosti na Slovensku by tedy odpovídal monetární politice více, než tomu bylo v České republice.</w:t>
      </w:r>
      <w:r w:rsidR="00500BE5" w:rsidRPr="001E7829">
        <w:rPr>
          <w:rFonts w:cs="Times New Roman"/>
        </w:rPr>
        <w:t xml:space="preserve"> </w:t>
      </w:r>
      <w:r w:rsidRPr="001E7829">
        <w:rPr>
          <w:rFonts w:cs="Times New Roman"/>
        </w:rPr>
        <w:t>V roce 1994 totiž nezaměstnanost skutečně rostla, což by naznačovalo vliv předchozí restrikce, zatímco následně se nezaměstnanost v souladu s expanzivní politikou NBS většinou už pouze snižovala.</w:t>
      </w:r>
    </w:p>
    <w:p w:rsidR="00424CA9" w:rsidRPr="001E7829" w:rsidRDefault="00424CA9" w:rsidP="003F4A69">
      <w:pPr>
        <w:pStyle w:val="Druh"/>
        <w:tabs>
          <w:tab w:val="left" w:pos="3399"/>
        </w:tabs>
        <w:spacing w:before="60" w:after="60"/>
        <w:rPr>
          <w:rFonts w:cs="Times New Roman"/>
          <w:szCs w:val="24"/>
        </w:rPr>
      </w:pPr>
    </w:p>
    <w:p w:rsidR="001F15D2" w:rsidRPr="001E7829" w:rsidRDefault="001F15D2" w:rsidP="003F4A69">
      <w:pPr>
        <w:pStyle w:val="Druh"/>
        <w:tabs>
          <w:tab w:val="left" w:pos="3399"/>
        </w:tabs>
        <w:spacing w:before="60" w:after="60"/>
        <w:rPr>
          <w:rFonts w:cs="Times New Roman"/>
          <w:szCs w:val="24"/>
        </w:rPr>
      </w:pPr>
    </w:p>
    <w:p w:rsidR="001F15D2" w:rsidRPr="001E7829" w:rsidRDefault="001F15D2" w:rsidP="003F4A69">
      <w:pPr>
        <w:pStyle w:val="Druh"/>
        <w:tabs>
          <w:tab w:val="left" w:pos="3399"/>
        </w:tabs>
        <w:spacing w:before="60" w:after="60"/>
        <w:rPr>
          <w:rFonts w:cs="Times New Roman"/>
          <w:szCs w:val="24"/>
        </w:rPr>
      </w:pPr>
    </w:p>
    <w:p w:rsidR="001F15D2" w:rsidRPr="001E7829" w:rsidRDefault="001F15D2" w:rsidP="003F4A69">
      <w:pPr>
        <w:pStyle w:val="Druh"/>
        <w:tabs>
          <w:tab w:val="left" w:pos="3399"/>
        </w:tabs>
        <w:spacing w:before="60" w:after="60"/>
        <w:rPr>
          <w:rFonts w:cs="Times New Roman"/>
          <w:szCs w:val="24"/>
        </w:rPr>
      </w:pPr>
    </w:p>
    <w:p w:rsidR="00424CA9" w:rsidRPr="001E7829" w:rsidRDefault="007D6D71" w:rsidP="00424CA9">
      <w:pPr>
        <w:pStyle w:val="Titulek"/>
        <w:keepNext/>
        <w:rPr>
          <w:rFonts w:ascii="Times New Roman" w:hAnsi="Times New Roman" w:cs="Times New Roman"/>
          <w:color w:val="auto"/>
          <w:sz w:val="24"/>
        </w:rPr>
      </w:pPr>
      <w:r w:rsidRPr="001E7829">
        <w:rPr>
          <w:rFonts w:ascii="Times New Roman" w:hAnsi="Times New Roman" w:cs="Times New Roman"/>
          <w:color w:val="auto"/>
          <w:sz w:val="24"/>
        </w:rPr>
        <w:lastRenderedPageBreak/>
        <w:fldChar w:fldCharType="begin"/>
      </w:r>
      <w:r w:rsidR="00424CA9" w:rsidRPr="001E7829">
        <w:rPr>
          <w:rFonts w:ascii="Times New Roman" w:hAnsi="Times New Roman" w:cs="Times New Roman"/>
          <w:color w:val="auto"/>
          <w:sz w:val="24"/>
        </w:rPr>
        <w:instrText xml:space="preserve"> SEQ Tabulka \* ARABIC </w:instrText>
      </w:r>
      <w:r w:rsidRPr="001E7829">
        <w:rPr>
          <w:rFonts w:ascii="Times New Roman" w:hAnsi="Times New Roman" w:cs="Times New Roman"/>
          <w:color w:val="auto"/>
          <w:sz w:val="24"/>
        </w:rPr>
        <w:fldChar w:fldCharType="separate"/>
      </w:r>
      <w:bookmarkStart w:id="77" w:name="_Toc445910434"/>
      <w:r w:rsidR="00454C38" w:rsidRPr="001E7829">
        <w:rPr>
          <w:rFonts w:ascii="Times New Roman" w:hAnsi="Times New Roman" w:cs="Times New Roman"/>
          <w:noProof/>
          <w:color w:val="auto"/>
          <w:sz w:val="24"/>
        </w:rPr>
        <w:t>4</w:t>
      </w:r>
      <w:r w:rsidRPr="001E7829">
        <w:rPr>
          <w:rFonts w:ascii="Times New Roman" w:hAnsi="Times New Roman" w:cs="Times New Roman"/>
          <w:color w:val="auto"/>
          <w:sz w:val="24"/>
        </w:rPr>
        <w:fldChar w:fldCharType="end"/>
      </w:r>
      <w:r w:rsidR="00424CA9" w:rsidRPr="001E7829">
        <w:rPr>
          <w:rFonts w:ascii="Times New Roman" w:hAnsi="Times New Roman" w:cs="Times New Roman"/>
          <w:color w:val="auto"/>
          <w:sz w:val="24"/>
        </w:rPr>
        <w:t xml:space="preserve">. </w:t>
      </w:r>
      <w:r w:rsidR="0019311D" w:rsidRPr="001E7829">
        <w:rPr>
          <w:rFonts w:ascii="Times New Roman" w:hAnsi="Times New Roman" w:cs="Times New Roman"/>
          <w:color w:val="auto"/>
          <w:sz w:val="24"/>
        </w:rPr>
        <w:t>Průměrná roční m</w:t>
      </w:r>
      <w:r w:rsidR="00424CA9" w:rsidRPr="001E7829">
        <w:rPr>
          <w:rFonts w:ascii="Times New Roman" w:hAnsi="Times New Roman" w:cs="Times New Roman"/>
          <w:color w:val="auto"/>
          <w:sz w:val="24"/>
        </w:rPr>
        <w:t>íra nezaměstnanosti v letech 1998-2015</w:t>
      </w:r>
      <w:bookmarkEnd w:id="77"/>
    </w:p>
    <w:tbl>
      <w:tblPr>
        <w:tblStyle w:val="Mkatabulky"/>
        <w:tblW w:w="5000" w:type="pct"/>
        <w:tblLook w:val="04A0" w:firstRow="1" w:lastRow="0" w:firstColumn="1" w:lastColumn="0" w:noHBand="0" w:noVBand="1"/>
      </w:tblPr>
      <w:tblGrid>
        <w:gridCol w:w="816"/>
        <w:gridCol w:w="816"/>
        <w:gridCol w:w="816"/>
        <w:gridCol w:w="815"/>
        <w:gridCol w:w="815"/>
        <w:gridCol w:w="815"/>
        <w:gridCol w:w="815"/>
        <w:gridCol w:w="815"/>
        <w:gridCol w:w="815"/>
        <w:gridCol w:w="815"/>
      </w:tblGrid>
      <w:tr w:rsidR="003F4A69" w:rsidRPr="001E7829" w:rsidTr="00E418A6">
        <w:tc>
          <w:tcPr>
            <w:tcW w:w="500" w:type="pct"/>
            <w:tcBorders>
              <w:bottom w:val="single" w:sz="18" w:space="0" w:color="auto"/>
              <w:right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p>
        </w:tc>
        <w:tc>
          <w:tcPr>
            <w:tcW w:w="500" w:type="pct"/>
            <w:tcBorders>
              <w:left w:val="single" w:sz="18" w:space="0" w:color="auto"/>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1998</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1999</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2000</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2001</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2002</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2003</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2004</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2005</w:t>
            </w:r>
          </w:p>
        </w:tc>
        <w:tc>
          <w:tcPr>
            <w:tcW w:w="500" w:type="pct"/>
            <w:tcBorders>
              <w:bottom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2006</w:t>
            </w:r>
          </w:p>
        </w:tc>
      </w:tr>
      <w:tr w:rsidR="003F4A69" w:rsidRPr="001E7829" w:rsidTr="00E418A6">
        <w:tc>
          <w:tcPr>
            <w:tcW w:w="500" w:type="pct"/>
            <w:tcBorders>
              <w:top w:val="single" w:sz="18" w:space="0" w:color="auto"/>
              <w:right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ČR</w:t>
            </w:r>
          </w:p>
        </w:tc>
        <w:tc>
          <w:tcPr>
            <w:tcW w:w="500" w:type="pct"/>
            <w:tcBorders>
              <w:top w:val="single" w:sz="18" w:space="0" w:color="auto"/>
              <w:left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6,5</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8,7</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2,8</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8,1</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7,3</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7,8</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8,3</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7,9</w:t>
            </w:r>
          </w:p>
        </w:tc>
        <w:tc>
          <w:tcPr>
            <w:tcW w:w="500" w:type="pct"/>
            <w:tcBorders>
              <w:top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7,1</w:t>
            </w:r>
          </w:p>
        </w:tc>
      </w:tr>
      <w:tr w:rsidR="003F4A69" w:rsidRPr="001E7829" w:rsidTr="00E418A6">
        <w:tc>
          <w:tcPr>
            <w:tcW w:w="500" w:type="pct"/>
            <w:tcBorders>
              <w:right w:val="single" w:sz="18" w:space="0" w:color="auto"/>
            </w:tcBorders>
            <w:vAlign w:val="center"/>
          </w:tcPr>
          <w:p w:rsidR="003F4A69" w:rsidRPr="001E7829" w:rsidRDefault="003F4A69"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SR</w:t>
            </w:r>
          </w:p>
        </w:tc>
        <w:tc>
          <w:tcPr>
            <w:tcW w:w="500" w:type="pct"/>
            <w:tcBorders>
              <w:left w:val="single" w:sz="18" w:space="0" w:color="auto"/>
            </w:tcBorders>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12,7</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16,5</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18,9</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19,5</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18,8</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17,7</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18,4</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16,4</w:t>
            </w:r>
          </w:p>
        </w:tc>
        <w:tc>
          <w:tcPr>
            <w:tcW w:w="500" w:type="pct"/>
            <w:vAlign w:val="center"/>
          </w:tcPr>
          <w:p w:rsidR="003F4A69" w:rsidRPr="001E7829" w:rsidRDefault="006756BA"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13,5</w:t>
            </w:r>
          </w:p>
        </w:tc>
      </w:tr>
    </w:tbl>
    <w:p w:rsidR="00780C43" w:rsidRPr="001E7829" w:rsidRDefault="00780C43" w:rsidP="003F4A69">
      <w:pPr>
        <w:spacing w:before="60" w:after="60"/>
        <w:rPr>
          <w:rFonts w:ascii="Times New Roman" w:hAnsi="Times New Roman" w:cs="Times New Roman"/>
          <w:sz w:val="24"/>
          <w:szCs w:val="24"/>
        </w:rPr>
      </w:pPr>
    </w:p>
    <w:tbl>
      <w:tblPr>
        <w:tblStyle w:val="Mkatabulky"/>
        <w:tblW w:w="5000" w:type="pct"/>
        <w:tblLook w:val="04A0" w:firstRow="1" w:lastRow="0" w:firstColumn="1" w:lastColumn="0" w:noHBand="0" w:noVBand="1"/>
      </w:tblPr>
      <w:tblGrid>
        <w:gridCol w:w="904"/>
        <w:gridCol w:w="904"/>
        <w:gridCol w:w="905"/>
        <w:gridCol w:w="907"/>
        <w:gridCol w:w="907"/>
        <w:gridCol w:w="907"/>
        <w:gridCol w:w="907"/>
        <w:gridCol w:w="907"/>
        <w:gridCol w:w="905"/>
      </w:tblGrid>
      <w:tr w:rsidR="0021092E" w:rsidRPr="001E7829" w:rsidTr="0021092E">
        <w:tc>
          <w:tcPr>
            <w:tcW w:w="555" w:type="pct"/>
            <w:tcBorders>
              <w:bottom w:val="single" w:sz="18" w:space="0" w:color="auto"/>
              <w:right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p>
        </w:tc>
        <w:tc>
          <w:tcPr>
            <w:tcW w:w="555" w:type="pct"/>
            <w:tcBorders>
              <w:left w:val="single" w:sz="18" w:space="0" w:color="auto"/>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2007</w:t>
            </w:r>
          </w:p>
        </w:tc>
        <w:tc>
          <w:tcPr>
            <w:tcW w:w="555"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2008</w:t>
            </w:r>
          </w:p>
        </w:tc>
        <w:tc>
          <w:tcPr>
            <w:tcW w:w="556"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2009</w:t>
            </w:r>
          </w:p>
        </w:tc>
        <w:tc>
          <w:tcPr>
            <w:tcW w:w="556"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2010</w:t>
            </w:r>
          </w:p>
        </w:tc>
        <w:tc>
          <w:tcPr>
            <w:tcW w:w="556"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2011</w:t>
            </w:r>
          </w:p>
        </w:tc>
        <w:tc>
          <w:tcPr>
            <w:tcW w:w="556"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2012</w:t>
            </w:r>
          </w:p>
        </w:tc>
        <w:tc>
          <w:tcPr>
            <w:tcW w:w="556"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2013</w:t>
            </w:r>
          </w:p>
        </w:tc>
        <w:tc>
          <w:tcPr>
            <w:tcW w:w="556" w:type="pct"/>
            <w:tcBorders>
              <w:bottom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2014</w:t>
            </w:r>
          </w:p>
        </w:tc>
      </w:tr>
      <w:tr w:rsidR="0021092E" w:rsidRPr="001E7829" w:rsidTr="0021092E">
        <w:tc>
          <w:tcPr>
            <w:tcW w:w="555" w:type="pct"/>
            <w:tcBorders>
              <w:top w:val="single" w:sz="18" w:space="0" w:color="auto"/>
              <w:right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ČR</w:t>
            </w:r>
          </w:p>
        </w:tc>
        <w:tc>
          <w:tcPr>
            <w:tcW w:w="555" w:type="pct"/>
            <w:tcBorders>
              <w:top w:val="single" w:sz="18" w:space="0" w:color="auto"/>
              <w:left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5,3</w:t>
            </w:r>
          </w:p>
        </w:tc>
        <w:tc>
          <w:tcPr>
            <w:tcW w:w="555"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4,4</w:t>
            </w:r>
          </w:p>
        </w:tc>
        <w:tc>
          <w:tcPr>
            <w:tcW w:w="556"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6,7</w:t>
            </w:r>
          </w:p>
        </w:tc>
        <w:tc>
          <w:tcPr>
            <w:tcW w:w="556"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7,3</w:t>
            </w:r>
          </w:p>
        </w:tc>
        <w:tc>
          <w:tcPr>
            <w:tcW w:w="556"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6,7</w:t>
            </w:r>
          </w:p>
        </w:tc>
        <w:tc>
          <w:tcPr>
            <w:tcW w:w="556"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7,0</w:t>
            </w:r>
          </w:p>
        </w:tc>
        <w:tc>
          <w:tcPr>
            <w:tcW w:w="556"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7,0</w:t>
            </w:r>
          </w:p>
        </w:tc>
        <w:tc>
          <w:tcPr>
            <w:tcW w:w="556" w:type="pct"/>
            <w:tcBorders>
              <w:top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6,1</w:t>
            </w:r>
          </w:p>
        </w:tc>
      </w:tr>
      <w:tr w:rsidR="0021092E" w:rsidRPr="001E7829" w:rsidTr="0021092E">
        <w:tc>
          <w:tcPr>
            <w:tcW w:w="555" w:type="pct"/>
            <w:tcBorders>
              <w:right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SR</w:t>
            </w:r>
          </w:p>
        </w:tc>
        <w:tc>
          <w:tcPr>
            <w:tcW w:w="555" w:type="pct"/>
            <w:tcBorders>
              <w:left w:val="single" w:sz="18" w:space="0" w:color="auto"/>
            </w:tcBorders>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11,2</w:t>
            </w:r>
          </w:p>
        </w:tc>
        <w:tc>
          <w:tcPr>
            <w:tcW w:w="555"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9,6</w:t>
            </w:r>
          </w:p>
        </w:tc>
        <w:tc>
          <w:tcPr>
            <w:tcW w:w="556"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12,1</w:t>
            </w:r>
          </w:p>
        </w:tc>
        <w:tc>
          <w:tcPr>
            <w:tcW w:w="556"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14,5</w:t>
            </w:r>
          </w:p>
        </w:tc>
        <w:tc>
          <w:tcPr>
            <w:tcW w:w="556"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13,7</w:t>
            </w:r>
          </w:p>
        </w:tc>
        <w:tc>
          <w:tcPr>
            <w:tcW w:w="556"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14,0</w:t>
            </w:r>
          </w:p>
        </w:tc>
        <w:tc>
          <w:tcPr>
            <w:tcW w:w="556"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14,2</w:t>
            </w:r>
          </w:p>
        </w:tc>
        <w:tc>
          <w:tcPr>
            <w:tcW w:w="556" w:type="pct"/>
            <w:vAlign w:val="center"/>
          </w:tcPr>
          <w:p w:rsidR="0021092E" w:rsidRPr="001E7829" w:rsidRDefault="0021092E" w:rsidP="003F4A69">
            <w:pPr>
              <w:spacing w:before="60" w:after="60"/>
              <w:jc w:val="center"/>
              <w:rPr>
                <w:rFonts w:ascii="Times New Roman" w:hAnsi="Times New Roman" w:cs="Times New Roman"/>
                <w:sz w:val="24"/>
                <w:szCs w:val="24"/>
              </w:rPr>
            </w:pPr>
            <w:r w:rsidRPr="001E7829">
              <w:rPr>
                <w:rFonts w:ascii="Times New Roman" w:hAnsi="Times New Roman" w:cs="Times New Roman"/>
                <w:sz w:val="24"/>
                <w:szCs w:val="24"/>
              </w:rPr>
              <w:t>13,2</w:t>
            </w:r>
          </w:p>
        </w:tc>
      </w:tr>
    </w:tbl>
    <w:p w:rsidR="00424CA9" w:rsidRPr="001E7829" w:rsidRDefault="00424CA9" w:rsidP="005958BA">
      <w:pPr>
        <w:spacing w:before="120"/>
        <w:rPr>
          <w:rFonts w:ascii="Times New Roman" w:hAnsi="Times New Roman" w:cs="Times New Roman"/>
        </w:rPr>
      </w:pPr>
      <w:r w:rsidRPr="001E7829">
        <w:rPr>
          <w:rFonts w:ascii="Times New Roman" w:hAnsi="Times New Roman" w:cs="Times New Roman"/>
        </w:rPr>
        <w:t xml:space="preserve">Zdroj: </w:t>
      </w:r>
      <w:proofErr w:type="spellStart"/>
      <w:r w:rsidRPr="001E7829">
        <w:rPr>
          <w:rFonts w:ascii="Times New Roman" w:hAnsi="Times New Roman" w:cs="Times New Roman"/>
        </w:rPr>
        <w:t>Eurostat</w:t>
      </w:r>
      <w:proofErr w:type="spellEnd"/>
      <w:r w:rsidRPr="001E7829">
        <w:rPr>
          <w:rFonts w:ascii="Times New Roman" w:hAnsi="Times New Roman" w:cs="Times New Roman"/>
        </w:rPr>
        <w:t xml:space="preserve">, </w:t>
      </w:r>
      <w:proofErr w:type="spellStart"/>
      <w:r w:rsidRPr="001E7829">
        <w:rPr>
          <w:rFonts w:ascii="Times New Roman" w:hAnsi="Times New Roman" w:cs="Times New Roman"/>
        </w:rPr>
        <w:t>World</w:t>
      </w:r>
      <w:proofErr w:type="spellEnd"/>
      <w:r w:rsidRPr="001E7829">
        <w:rPr>
          <w:rFonts w:ascii="Times New Roman" w:hAnsi="Times New Roman" w:cs="Times New Roman"/>
        </w:rPr>
        <w:t xml:space="preserve"> bank</w:t>
      </w:r>
      <w:r w:rsidRPr="001E7829">
        <w:rPr>
          <w:rFonts w:ascii="Times New Roman" w:hAnsi="Times New Roman" w:cs="Times New Roman"/>
        </w:rPr>
        <w:tab/>
      </w:r>
    </w:p>
    <w:p w:rsidR="003F4A69" w:rsidRPr="001E7829" w:rsidRDefault="003F4A69" w:rsidP="003F4A69">
      <w:pPr>
        <w:rPr>
          <w:rFonts w:ascii="Times New Roman" w:hAnsi="Times New Roman" w:cs="Times New Roman"/>
        </w:rPr>
      </w:pPr>
    </w:p>
    <w:p w:rsidR="00B37DAC" w:rsidRPr="001E7829" w:rsidRDefault="00D76FE9" w:rsidP="00FF41D2">
      <w:pPr>
        <w:pStyle w:val="Druh"/>
        <w:rPr>
          <w:rFonts w:cs="Times New Roman"/>
        </w:rPr>
      </w:pPr>
      <w:r w:rsidRPr="001E7829">
        <w:rPr>
          <w:rFonts w:cs="Times New Roman"/>
        </w:rPr>
        <w:t xml:space="preserve">Ani v dalších letech není při prvním pohledu na vývoj nezaměstnanosti v ČR znát jakákoli závislost na charakteru monetární politiky. Jen pro připomenutí, ČNB prováděla po celé období expanzi, s výjimkou let 2005 až 2008. V těchto čtyřech letech by se tedy měl projevit nárůst nezaměstnanosti, ta ale naopak každým rokem klesala. </w:t>
      </w:r>
      <w:r w:rsidR="0053544D" w:rsidRPr="001E7829">
        <w:rPr>
          <w:rFonts w:cs="Times New Roman"/>
        </w:rPr>
        <w:t>To podle mého názoru souvisí s faktem, že monetární politika působí na nezaměstnanost pouze zprostředkovaně, skrze vliv na dynamiku růstu HDP</w:t>
      </w:r>
      <w:r w:rsidR="00B37DAC" w:rsidRPr="001E7829">
        <w:rPr>
          <w:rStyle w:val="Znakapoznpodarou"/>
          <w:rFonts w:cs="Times New Roman"/>
        </w:rPr>
        <w:footnoteReference w:id="203"/>
      </w:r>
      <w:r w:rsidR="0053544D" w:rsidRPr="001E7829">
        <w:rPr>
          <w:rFonts w:cs="Times New Roman"/>
        </w:rPr>
        <w:t xml:space="preserve"> (závislost mezi oběma ukazateli skutečně patrná je). Jak jsem však zmínil výše, ta byla ovlivňována kromě monetární politiky i mnoha dalšími faktory a expanze či restrikce tak nejsou v konkrétních číselných hodnotách </w:t>
      </w:r>
      <w:r w:rsidR="00B37DAC" w:rsidRPr="001E7829">
        <w:rPr>
          <w:rFonts w:cs="Times New Roman"/>
        </w:rPr>
        <w:t>obou ukazatelů patrné.</w:t>
      </w:r>
    </w:p>
    <w:p w:rsidR="00CE7E60" w:rsidRPr="001E7829" w:rsidRDefault="00215B0A" w:rsidP="00FF41D2">
      <w:pPr>
        <w:pStyle w:val="Druh"/>
        <w:rPr>
          <w:rFonts w:cs="Times New Roman"/>
        </w:rPr>
      </w:pPr>
      <w:r w:rsidRPr="001E7829">
        <w:rPr>
          <w:rFonts w:cs="Times New Roman"/>
        </w:rPr>
        <w:t>Z tabulek můžeme rovněž vidět, že Slovensko musí čelit mnohem vyšší míře nezaměstnanosti než ČR, a to navzdory stabilně rychlejšímu hospodářskému růstu.</w:t>
      </w:r>
      <w:r w:rsidR="00C628AB" w:rsidRPr="001E7829">
        <w:rPr>
          <w:rFonts w:cs="Times New Roman"/>
        </w:rPr>
        <w:t xml:space="preserve"> Ohledně vlivu monetární politiky je situace podobná jako u nás, když lze sledovat jistou závislost mezi růstem produktu a nezaměstnaností, ale přímý vliv monetární politiky není jednoznačně viditelný.</w:t>
      </w:r>
    </w:p>
    <w:p w:rsidR="009F5289" w:rsidRPr="001E7829" w:rsidRDefault="009F5289" w:rsidP="00FF41D2">
      <w:pPr>
        <w:pStyle w:val="Druh"/>
        <w:rPr>
          <w:rFonts w:cs="Times New Roman"/>
        </w:rPr>
      </w:pPr>
    </w:p>
    <w:p w:rsidR="009F5289" w:rsidRPr="001E7829" w:rsidRDefault="009F5289" w:rsidP="00FF41D2">
      <w:pPr>
        <w:pStyle w:val="Druh"/>
        <w:rPr>
          <w:rFonts w:cs="Times New Roman"/>
        </w:rPr>
      </w:pPr>
    </w:p>
    <w:p w:rsidR="00CE7E60" w:rsidRPr="001E7829" w:rsidRDefault="00CE7E60" w:rsidP="00FF41D2">
      <w:pPr>
        <w:pStyle w:val="Druh"/>
        <w:rPr>
          <w:rFonts w:cs="Times New Roman"/>
        </w:rPr>
      </w:pPr>
    </w:p>
    <w:p w:rsidR="00FF41D2" w:rsidRPr="001E7829" w:rsidRDefault="00CE7E60" w:rsidP="002D519B">
      <w:pPr>
        <w:rPr>
          <w:rFonts w:ascii="Times New Roman" w:hAnsi="Times New Roman" w:cs="Times New Roman"/>
          <w:b/>
          <w:sz w:val="24"/>
          <w:szCs w:val="24"/>
        </w:rPr>
      </w:pPr>
      <w:r w:rsidRPr="001E7829">
        <w:rPr>
          <w:rFonts w:ascii="Times New Roman" w:hAnsi="Times New Roman" w:cs="Times New Roman"/>
          <w:b/>
          <w:sz w:val="24"/>
          <w:szCs w:val="24"/>
        </w:rPr>
        <w:lastRenderedPageBreak/>
        <w:t>Platební bilance</w:t>
      </w:r>
    </w:p>
    <w:p w:rsidR="00BE361D" w:rsidRPr="001E7829" w:rsidRDefault="006B4D39" w:rsidP="00B40EB7">
      <w:pPr>
        <w:pStyle w:val="Prvn"/>
        <w:rPr>
          <w:rFonts w:cs="Times New Roman"/>
        </w:rPr>
      </w:pPr>
      <w:r w:rsidRPr="001E7829">
        <w:rPr>
          <w:rFonts w:cs="Times New Roman"/>
        </w:rPr>
        <w:t>Na tomto místě je třeba uvést, že literatura většinou označuje tento makroekonomický cíl jako vyrovnanost či rovnováha platební bilance. Pro jeho konkrétní vyjádření pro potřeby magického čtyřúhelníku se však využívá poměru salda obchodní bilance (běžných obchodních transakcí) k nominálnímu HDP.</w:t>
      </w:r>
      <w:r w:rsidRPr="001E7829">
        <w:rPr>
          <w:rStyle w:val="Znakapoznpodarou"/>
          <w:rFonts w:cs="Times New Roman"/>
        </w:rPr>
        <w:footnoteReference w:id="204"/>
      </w:r>
      <w:r w:rsidRPr="001E7829">
        <w:rPr>
          <w:rFonts w:cs="Times New Roman"/>
        </w:rPr>
        <w:t xml:space="preserve"> V tabulkách jsou tedy uvedeny právě hodnoty tohoto poměru.</w:t>
      </w:r>
    </w:p>
    <w:p w:rsidR="00E418A6" w:rsidRPr="001E7829" w:rsidRDefault="00E418A6" w:rsidP="00293DD9">
      <w:pPr>
        <w:pStyle w:val="Druh"/>
        <w:rPr>
          <w:rFonts w:cs="Times New Roman"/>
        </w:rPr>
      </w:pPr>
    </w:p>
    <w:p w:rsidR="000E310E" w:rsidRPr="001E7829" w:rsidRDefault="007D6D71" w:rsidP="0028214D">
      <w:pPr>
        <w:pStyle w:val="Titulek"/>
        <w:keepNext/>
        <w:keepLines/>
        <w:rPr>
          <w:rFonts w:ascii="Times New Roman" w:hAnsi="Times New Roman" w:cs="Times New Roman"/>
          <w:sz w:val="24"/>
        </w:rPr>
      </w:pPr>
      <w:r w:rsidRPr="001E7829">
        <w:rPr>
          <w:rFonts w:ascii="Times New Roman" w:hAnsi="Times New Roman" w:cs="Times New Roman"/>
          <w:color w:val="auto"/>
          <w:sz w:val="24"/>
        </w:rPr>
        <w:fldChar w:fldCharType="begin"/>
      </w:r>
      <w:r w:rsidR="000E310E" w:rsidRPr="001E7829">
        <w:rPr>
          <w:rFonts w:ascii="Times New Roman" w:hAnsi="Times New Roman" w:cs="Times New Roman"/>
          <w:color w:val="auto"/>
          <w:sz w:val="24"/>
        </w:rPr>
        <w:instrText xml:space="preserve"> SEQ Tabulka \* ARABIC </w:instrText>
      </w:r>
      <w:r w:rsidRPr="001E7829">
        <w:rPr>
          <w:rFonts w:ascii="Times New Roman" w:hAnsi="Times New Roman" w:cs="Times New Roman"/>
          <w:color w:val="auto"/>
          <w:sz w:val="24"/>
        </w:rPr>
        <w:fldChar w:fldCharType="separate"/>
      </w:r>
      <w:bookmarkStart w:id="78" w:name="_Toc445910435"/>
      <w:r w:rsidR="00454C38" w:rsidRPr="001E7829">
        <w:rPr>
          <w:rFonts w:ascii="Times New Roman" w:hAnsi="Times New Roman" w:cs="Times New Roman"/>
          <w:noProof/>
          <w:color w:val="auto"/>
          <w:sz w:val="24"/>
        </w:rPr>
        <w:t>5</w:t>
      </w:r>
      <w:r w:rsidRPr="001E7829">
        <w:rPr>
          <w:rFonts w:ascii="Times New Roman" w:hAnsi="Times New Roman" w:cs="Times New Roman"/>
          <w:color w:val="auto"/>
          <w:sz w:val="24"/>
        </w:rPr>
        <w:fldChar w:fldCharType="end"/>
      </w:r>
      <w:r w:rsidR="000E310E" w:rsidRPr="001E7829">
        <w:rPr>
          <w:rFonts w:ascii="Times New Roman" w:hAnsi="Times New Roman" w:cs="Times New Roman"/>
          <w:color w:val="auto"/>
          <w:sz w:val="24"/>
        </w:rPr>
        <w:t>. Po</w:t>
      </w:r>
      <w:r w:rsidR="006B4D39" w:rsidRPr="001E7829">
        <w:rPr>
          <w:rFonts w:ascii="Times New Roman" w:hAnsi="Times New Roman" w:cs="Times New Roman"/>
          <w:color w:val="auto"/>
          <w:sz w:val="24"/>
        </w:rPr>
        <w:t>měr</w:t>
      </w:r>
      <w:r w:rsidR="000E310E" w:rsidRPr="001E7829">
        <w:rPr>
          <w:rFonts w:ascii="Times New Roman" w:hAnsi="Times New Roman" w:cs="Times New Roman"/>
          <w:color w:val="auto"/>
          <w:sz w:val="24"/>
        </w:rPr>
        <w:t xml:space="preserve"> salda obchodní bilance </w:t>
      </w:r>
      <w:r w:rsidR="006B4D39" w:rsidRPr="001E7829">
        <w:rPr>
          <w:rFonts w:ascii="Times New Roman" w:hAnsi="Times New Roman" w:cs="Times New Roman"/>
          <w:color w:val="auto"/>
          <w:sz w:val="24"/>
        </w:rPr>
        <w:t>k</w:t>
      </w:r>
      <w:r w:rsidR="000E310E" w:rsidRPr="001E7829">
        <w:rPr>
          <w:rFonts w:ascii="Times New Roman" w:hAnsi="Times New Roman" w:cs="Times New Roman"/>
          <w:color w:val="auto"/>
          <w:sz w:val="24"/>
        </w:rPr>
        <w:t xml:space="preserve"> HDP (ročně v %)</w:t>
      </w:r>
      <w:bookmarkEnd w:id="78"/>
    </w:p>
    <w:tbl>
      <w:tblPr>
        <w:tblStyle w:val="Mkatabulky"/>
        <w:tblW w:w="5000" w:type="pct"/>
        <w:tblLook w:val="04A0" w:firstRow="1" w:lastRow="0" w:firstColumn="1" w:lastColumn="0" w:noHBand="0" w:noVBand="1"/>
      </w:tblPr>
      <w:tblGrid>
        <w:gridCol w:w="1312"/>
        <w:gridCol w:w="491"/>
        <w:gridCol w:w="491"/>
        <w:gridCol w:w="576"/>
        <w:gridCol w:w="576"/>
        <w:gridCol w:w="576"/>
        <w:gridCol w:w="576"/>
        <w:gridCol w:w="576"/>
        <w:gridCol w:w="576"/>
        <w:gridCol w:w="576"/>
        <w:gridCol w:w="576"/>
        <w:gridCol w:w="576"/>
        <w:gridCol w:w="675"/>
      </w:tblGrid>
      <w:tr w:rsidR="00BE361D" w:rsidRPr="001E7829" w:rsidTr="007C5885">
        <w:tc>
          <w:tcPr>
            <w:tcW w:w="805" w:type="pct"/>
            <w:tcBorders>
              <w:bottom w:val="single" w:sz="18" w:space="0" w:color="auto"/>
              <w:right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p>
        </w:tc>
        <w:tc>
          <w:tcPr>
            <w:tcW w:w="302" w:type="pct"/>
            <w:tcBorders>
              <w:left w:val="single" w:sz="18" w:space="0" w:color="auto"/>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93</w:t>
            </w:r>
          </w:p>
        </w:tc>
        <w:tc>
          <w:tcPr>
            <w:tcW w:w="302"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94</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95</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96</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97</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98</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99</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00</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01</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02</w:t>
            </w:r>
          </w:p>
        </w:tc>
        <w:tc>
          <w:tcPr>
            <w:tcW w:w="353"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03</w:t>
            </w:r>
          </w:p>
        </w:tc>
        <w:tc>
          <w:tcPr>
            <w:tcW w:w="419" w:type="pct"/>
            <w:tcBorders>
              <w:bottom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04</w:t>
            </w:r>
          </w:p>
        </w:tc>
      </w:tr>
      <w:tr w:rsidR="00BE361D" w:rsidRPr="001E7829" w:rsidTr="007C5885">
        <w:tc>
          <w:tcPr>
            <w:tcW w:w="805" w:type="pct"/>
            <w:tcBorders>
              <w:top w:val="single" w:sz="18" w:space="0" w:color="auto"/>
              <w:right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ČR</w:t>
            </w:r>
          </w:p>
        </w:tc>
        <w:tc>
          <w:tcPr>
            <w:tcW w:w="302" w:type="pct"/>
            <w:tcBorders>
              <w:top w:val="single" w:sz="18" w:space="0" w:color="auto"/>
              <w:left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02" w:type="pct"/>
            <w:tcBorders>
              <w:top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-2,3</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-6,2</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-5,8</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-1,9</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-2,3</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-4,4</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-4,9</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-5,1</w:t>
            </w:r>
          </w:p>
        </w:tc>
        <w:tc>
          <w:tcPr>
            <w:tcW w:w="353"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-5,7</w:t>
            </w:r>
          </w:p>
        </w:tc>
        <w:tc>
          <w:tcPr>
            <w:tcW w:w="419" w:type="pct"/>
            <w:tcBorders>
              <w:top w:val="single" w:sz="18" w:space="0" w:color="auto"/>
            </w:tcBorders>
            <w:vAlign w:val="center"/>
          </w:tcPr>
          <w:p w:rsidR="00BE361D" w:rsidRPr="001E7829" w:rsidRDefault="000E310E"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-4,2</w:t>
            </w:r>
          </w:p>
        </w:tc>
      </w:tr>
      <w:tr w:rsidR="00BE361D" w:rsidRPr="001E7829" w:rsidTr="007C5885">
        <w:tc>
          <w:tcPr>
            <w:tcW w:w="805" w:type="pct"/>
            <w:tcBorders>
              <w:right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Slovensko</w:t>
            </w:r>
          </w:p>
        </w:tc>
        <w:tc>
          <w:tcPr>
            <w:tcW w:w="302" w:type="pct"/>
            <w:tcBorders>
              <w:left w:val="single" w:sz="18" w:space="0" w:color="auto"/>
            </w:tcBorders>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02"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353" w:type="pct"/>
            <w:vAlign w:val="center"/>
          </w:tcPr>
          <w:p w:rsidR="00BE361D" w:rsidRPr="001E7829" w:rsidRDefault="00BE361D" w:rsidP="0028214D">
            <w:pPr>
              <w:keepLines/>
              <w:spacing w:before="60" w:after="60"/>
              <w:jc w:val="center"/>
              <w:rPr>
                <w:rFonts w:ascii="Times New Roman" w:hAnsi="Times New Roman" w:cs="Times New Roman"/>
                <w:sz w:val="20"/>
                <w:szCs w:val="20"/>
              </w:rPr>
            </w:pPr>
          </w:p>
        </w:tc>
        <w:tc>
          <w:tcPr>
            <w:tcW w:w="419" w:type="pct"/>
            <w:vAlign w:val="center"/>
          </w:tcPr>
          <w:p w:rsidR="00BE361D" w:rsidRPr="001E7829" w:rsidRDefault="00D829F0" w:rsidP="0028214D">
            <w:pPr>
              <w:keepLines/>
              <w:spacing w:before="60" w:after="60"/>
              <w:jc w:val="center"/>
              <w:rPr>
                <w:rFonts w:ascii="Times New Roman" w:hAnsi="Times New Roman" w:cs="Times New Roman"/>
                <w:sz w:val="20"/>
                <w:szCs w:val="20"/>
              </w:rPr>
            </w:pPr>
            <w:r w:rsidRPr="001E7829">
              <w:rPr>
                <w:rFonts w:ascii="Times New Roman" w:hAnsi="Times New Roman" w:cs="Times New Roman"/>
                <w:sz w:val="20"/>
                <w:szCs w:val="20"/>
              </w:rPr>
              <w:t>-10,1</w:t>
            </w:r>
          </w:p>
        </w:tc>
      </w:tr>
    </w:tbl>
    <w:p w:rsidR="00CE7E60" w:rsidRPr="001E7829" w:rsidRDefault="00CE7E60" w:rsidP="0028214D">
      <w:pPr>
        <w:pStyle w:val="Prvn"/>
        <w:keepLines/>
        <w:rPr>
          <w:rFonts w:cs="Times New Roman"/>
        </w:rPr>
      </w:pPr>
    </w:p>
    <w:tbl>
      <w:tblPr>
        <w:tblStyle w:val="Mkatabulky"/>
        <w:tblW w:w="5000" w:type="pct"/>
        <w:tblLook w:val="04A0" w:firstRow="1" w:lastRow="0" w:firstColumn="1" w:lastColumn="0" w:noHBand="0" w:noVBand="1"/>
      </w:tblPr>
      <w:tblGrid>
        <w:gridCol w:w="1508"/>
        <w:gridCol w:w="785"/>
        <w:gridCol w:w="661"/>
        <w:gridCol w:w="661"/>
        <w:gridCol w:w="661"/>
        <w:gridCol w:w="660"/>
        <w:gridCol w:w="660"/>
        <w:gridCol w:w="660"/>
        <w:gridCol w:w="660"/>
        <w:gridCol w:w="660"/>
        <w:gridCol w:w="577"/>
      </w:tblGrid>
      <w:tr w:rsidR="0021092E" w:rsidRPr="001E7829" w:rsidTr="0021092E">
        <w:tc>
          <w:tcPr>
            <w:tcW w:w="924" w:type="pct"/>
            <w:tcBorders>
              <w:bottom w:val="single" w:sz="18" w:space="0" w:color="auto"/>
              <w:right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p>
        </w:tc>
        <w:tc>
          <w:tcPr>
            <w:tcW w:w="481" w:type="pct"/>
            <w:tcBorders>
              <w:left w:val="single" w:sz="18" w:space="0" w:color="auto"/>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05</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06</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07</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08</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09</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10</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11</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12</w:t>
            </w:r>
          </w:p>
        </w:tc>
        <w:tc>
          <w:tcPr>
            <w:tcW w:w="405"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13</w:t>
            </w:r>
          </w:p>
        </w:tc>
        <w:tc>
          <w:tcPr>
            <w:tcW w:w="354" w:type="pct"/>
            <w:tcBorders>
              <w:bottom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14</w:t>
            </w:r>
          </w:p>
        </w:tc>
      </w:tr>
      <w:tr w:rsidR="0021092E" w:rsidRPr="001E7829" w:rsidTr="0021092E">
        <w:tc>
          <w:tcPr>
            <w:tcW w:w="924" w:type="pct"/>
            <w:tcBorders>
              <w:top w:val="single" w:sz="18" w:space="0" w:color="auto"/>
              <w:right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ČR</w:t>
            </w:r>
          </w:p>
        </w:tc>
        <w:tc>
          <w:tcPr>
            <w:tcW w:w="481" w:type="pct"/>
            <w:tcBorders>
              <w:top w:val="single" w:sz="18" w:space="0" w:color="auto"/>
              <w:left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-0,9</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-2,1</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-4,3</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-1,9</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-2,3</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-3,6</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-2,1</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-1,6</w:t>
            </w:r>
          </w:p>
        </w:tc>
        <w:tc>
          <w:tcPr>
            <w:tcW w:w="405"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-0,5</w:t>
            </w:r>
          </w:p>
        </w:tc>
        <w:tc>
          <w:tcPr>
            <w:tcW w:w="354" w:type="pct"/>
            <w:tcBorders>
              <w:top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0,6</w:t>
            </w:r>
          </w:p>
        </w:tc>
      </w:tr>
      <w:tr w:rsidR="0021092E" w:rsidRPr="001E7829" w:rsidTr="0021092E">
        <w:tc>
          <w:tcPr>
            <w:tcW w:w="924" w:type="pct"/>
            <w:tcBorders>
              <w:right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4"/>
              </w:rPr>
            </w:pPr>
            <w:r w:rsidRPr="001E7829">
              <w:rPr>
                <w:rFonts w:ascii="Times New Roman" w:hAnsi="Times New Roman" w:cs="Times New Roman"/>
                <w:sz w:val="24"/>
              </w:rPr>
              <w:t>Slovensko</w:t>
            </w:r>
          </w:p>
        </w:tc>
        <w:tc>
          <w:tcPr>
            <w:tcW w:w="481" w:type="pct"/>
            <w:tcBorders>
              <w:left w:val="single" w:sz="18" w:space="0" w:color="auto"/>
            </w:tcBorders>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-10,6</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-9,5</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-5,9</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-6,5</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-3,5</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-4,7</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-5</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0,9</w:t>
            </w:r>
          </w:p>
        </w:tc>
        <w:tc>
          <w:tcPr>
            <w:tcW w:w="405"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2</w:t>
            </w:r>
          </w:p>
        </w:tc>
        <w:tc>
          <w:tcPr>
            <w:tcW w:w="354" w:type="pct"/>
            <w:vAlign w:val="center"/>
          </w:tcPr>
          <w:p w:rsidR="0021092E" w:rsidRPr="001E7829" w:rsidRDefault="0021092E" w:rsidP="0028214D">
            <w:pPr>
              <w:keepLines/>
              <w:spacing w:before="60" w:after="60"/>
              <w:jc w:val="center"/>
              <w:rPr>
                <w:rFonts w:ascii="Times New Roman" w:hAnsi="Times New Roman" w:cs="Times New Roman"/>
                <w:sz w:val="20"/>
              </w:rPr>
            </w:pPr>
            <w:r w:rsidRPr="001E7829">
              <w:rPr>
                <w:rFonts w:ascii="Times New Roman" w:hAnsi="Times New Roman" w:cs="Times New Roman"/>
                <w:sz w:val="20"/>
              </w:rPr>
              <w:t>0,1</w:t>
            </w:r>
          </w:p>
        </w:tc>
      </w:tr>
    </w:tbl>
    <w:p w:rsidR="00BE361D" w:rsidRPr="001E7829" w:rsidRDefault="000E310E" w:rsidP="005958BA">
      <w:pPr>
        <w:keepLines/>
        <w:spacing w:before="120"/>
        <w:rPr>
          <w:rFonts w:ascii="Times New Roman" w:hAnsi="Times New Roman" w:cs="Times New Roman"/>
        </w:rPr>
      </w:pPr>
      <w:r w:rsidRPr="001E7829">
        <w:rPr>
          <w:rFonts w:ascii="Times New Roman" w:hAnsi="Times New Roman" w:cs="Times New Roman"/>
        </w:rPr>
        <w:t xml:space="preserve">Zdroj: </w:t>
      </w:r>
      <w:proofErr w:type="spellStart"/>
      <w:r w:rsidRPr="001E7829">
        <w:rPr>
          <w:rFonts w:ascii="Times New Roman" w:hAnsi="Times New Roman" w:cs="Times New Roman"/>
        </w:rPr>
        <w:t>Eurostat</w:t>
      </w:r>
      <w:proofErr w:type="spellEnd"/>
      <w:r w:rsidRPr="001E7829">
        <w:rPr>
          <w:rFonts w:ascii="Times New Roman" w:hAnsi="Times New Roman" w:cs="Times New Roman"/>
        </w:rPr>
        <w:t xml:space="preserve"> (</w:t>
      </w:r>
      <w:r w:rsidR="00D829F0" w:rsidRPr="001E7829">
        <w:rPr>
          <w:rFonts w:ascii="Times New Roman" w:hAnsi="Times New Roman" w:cs="Times New Roman"/>
        </w:rPr>
        <w:t>pro chybějící roky nejsou data dostupná</w:t>
      </w:r>
      <w:r w:rsidRPr="001E7829">
        <w:rPr>
          <w:rFonts w:ascii="Times New Roman" w:hAnsi="Times New Roman" w:cs="Times New Roman"/>
        </w:rPr>
        <w:t>)</w:t>
      </w:r>
    </w:p>
    <w:p w:rsidR="0019311D" w:rsidRPr="001E7829" w:rsidRDefault="0019311D" w:rsidP="00BE361D">
      <w:pPr>
        <w:rPr>
          <w:rFonts w:ascii="Times New Roman" w:hAnsi="Times New Roman" w:cs="Times New Roman"/>
        </w:rPr>
      </w:pPr>
    </w:p>
    <w:p w:rsidR="00E6121B" w:rsidRPr="001E7829" w:rsidRDefault="00901C6A" w:rsidP="0019311D">
      <w:pPr>
        <w:pStyle w:val="Druh"/>
        <w:rPr>
          <w:rFonts w:cs="Times New Roman"/>
        </w:rPr>
      </w:pPr>
      <w:r w:rsidRPr="001E7829">
        <w:rPr>
          <w:rFonts w:cs="Times New Roman"/>
        </w:rPr>
        <w:t>V režimu plovoucího kurzu vede expanzivní monetární politika k poklesu domácí úrokové míry, odlivu kapitálu a následně k depreciaci měny. Oslabený kurz má za následek růst čistých exportů, neboť domácí produkce se stává relativně levnější z pohledu domácích i zahraničních subjektů.</w:t>
      </w:r>
      <w:r w:rsidRPr="001E7829">
        <w:rPr>
          <w:rStyle w:val="Znakapoznpodarou"/>
          <w:rFonts w:cs="Times New Roman"/>
        </w:rPr>
        <w:footnoteReference w:id="205"/>
      </w:r>
      <w:r w:rsidR="009E71A1" w:rsidRPr="001E7829">
        <w:rPr>
          <w:rFonts w:cs="Times New Roman"/>
        </w:rPr>
        <w:t xml:space="preserve"> Převážně expanzivní monetární politiky české i slovenské centrální banky tak favorizovaly export před importem. Přesto můžeme vidět, že s výjimkou </w:t>
      </w:r>
      <w:r w:rsidR="00373C99" w:rsidRPr="001E7829">
        <w:rPr>
          <w:rFonts w:cs="Times New Roman"/>
        </w:rPr>
        <w:t xml:space="preserve">několika posledních let byla v obou ekonomikách obchodní bilance vždy záporná, </w:t>
      </w:r>
      <w:r w:rsidR="00E6121B" w:rsidRPr="001E7829">
        <w:rPr>
          <w:rFonts w:cs="Times New Roman"/>
        </w:rPr>
        <w:t>import tedy převyšoval export.</w:t>
      </w:r>
    </w:p>
    <w:p w:rsidR="005958BA" w:rsidRPr="001E7829" w:rsidRDefault="005958BA" w:rsidP="0019311D">
      <w:pPr>
        <w:pStyle w:val="Druh"/>
        <w:rPr>
          <w:rFonts w:cs="Times New Roman"/>
        </w:rPr>
      </w:pPr>
    </w:p>
    <w:p w:rsidR="00E6121B" w:rsidRPr="001E7829" w:rsidRDefault="00E6121B" w:rsidP="002D519B">
      <w:pPr>
        <w:rPr>
          <w:rFonts w:ascii="Times New Roman" w:hAnsi="Times New Roman" w:cs="Times New Roman"/>
          <w:b/>
          <w:sz w:val="24"/>
          <w:szCs w:val="24"/>
        </w:rPr>
      </w:pPr>
      <w:r w:rsidRPr="001E7829">
        <w:rPr>
          <w:rFonts w:ascii="Times New Roman" w:hAnsi="Times New Roman" w:cs="Times New Roman"/>
          <w:b/>
          <w:sz w:val="24"/>
          <w:szCs w:val="24"/>
        </w:rPr>
        <w:lastRenderedPageBreak/>
        <w:t>Shrnutí</w:t>
      </w:r>
    </w:p>
    <w:p w:rsidR="0047314E" w:rsidRPr="001E7829" w:rsidRDefault="0047314E" w:rsidP="00B40EB7">
      <w:pPr>
        <w:pStyle w:val="Prvn"/>
        <w:rPr>
          <w:rFonts w:cs="Times New Roman"/>
        </w:rPr>
      </w:pPr>
      <w:r w:rsidRPr="001E7829">
        <w:rPr>
          <w:rFonts w:cs="Times New Roman"/>
        </w:rPr>
        <w:t>Závěrem této podkapitoly tedy můžeme shrnout, že monetární politika ČNB díky svému expanzivnímu charakteru, kterým se vyznačovala téměř po celou dobu, měla pozitivní vliv na oblasti spadající pod vedlejší cíl. Na ekonomiku však působilo množství vnějších faktorů, které význam tohoto vlivu snižovaly a přímý dopad monetárních opatření ČNB tak většinou není na hodnotách ukazatelů pozorovatelný.</w:t>
      </w:r>
    </w:p>
    <w:p w:rsidR="002D519B" w:rsidRPr="001E7829" w:rsidRDefault="0047314E" w:rsidP="0047314E">
      <w:pPr>
        <w:pStyle w:val="Druh"/>
        <w:rPr>
          <w:rFonts w:cs="Times New Roman"/>
        </w:rPr>
      </w:pPr>
      <w:r w:rsidRPr="001E7829">
        <w:rPr>
          <w:rFonts w:cs="Times New Roman"/>
        </w:rPr>
        <w:t>Pro</w:t>
      </w:r>
      <w:r w:rsidR="00840AF8" w:rsidRPr="001E7829">
        <w:rPr>
          <w:rFonts w:cs="Times New Roman"/>
        </w:rPr>
        <w:t xml:space="preserve"> přesvědčivé</w:t>
      </w:r>
      <w:r w:rsidRPr="001E7829">
        <w:rPr>
          <w:rFonts w:cs="Times New Roman"/>
        </w:rPr>
        <w:t xml:space="preserve"> ověření </w:t>
      </w:r>
      <w:r w:rsidR="00840AF8" w:rsidRPr="001E7829">
        <w:rPr>
          <w:rFonts w:cs="Times New Roman"/>
        </w:rPr>
        <w:t xml:space="preserve">správnosti hypotézy </w:t>
      </w:r>
      <w:proofErr w:type="spellStart"/>
      <w:r w:rsidR="00840AF8" w:rsidRPr="001E7829">
        <w:rPr>
          <w:rFonts w:cs="Times New Roman"/>
        </w:rPr>
        <w:t>Mundell-Flemingova</w:t>
      </w:r>
      <w:proofErr w:type="spellEnd"/>
      <w:r w:rsidR="00840AF8" w:rsidRPr="001E7829">
        <w:rPr>
          <w:rFonts w:cs="Times New Roman"/>
        </w:rPr>
        <w:t xml:space="preserve"> modelu o účinnosti a neúčinnosti</w:t>
      </w:r>
      <w:r w:rsidR="00500BE5" w:rsidRPr="001E7829">
        <w:rPr>
          <w:rFonts w:cs="Times New Roman"/>
        </w:rPr>
        <w:t xml:space="preserve"> </w:t>
      </w:r>
      <w:r w:rsidR="00840AF8" w:rsidRPr="001E7829">
        <w:rPr>
          <w:rFonts w:cs="Times New Roman"/>
        </w:rPr>
        <w:t xml:space="preserve">měnové politiky v závislosti na režimu měnového kurzu by bylo pravděpodobně zapotřebí sledovat mnohem delší časové období, než které poměrně krátké dějiny České republiky prozatím pro analýzu poskytují. To </w:t>
      </w:r>
      <w:r w:rsidR="00FF17C3" w:rsidRPr="001E7829">
        <w:rPr>
          <w:rFonts w:cs="Times New Roman"/>
        </w:rPr>
        <w:t>platí zejména z důvodu velkého množství</w:t>
      </w:r>
      <w:r w:rsidR="00840AF8" w:rsidRPr="001E7829">
        <w:rPr>
          <w:rFonts w:cs="Times New Roman"/>
        </w:rPr>
        <w:t xml:space="preserve"> faktorů, které ovlivňují</w:t>
      </w:r>
      <w:r w:rsidR="00FF17C3" w:rsidRPr="001E7829">
        <w:rPr>
          <w:rFonts w:cs="Times New Roman"/>
        </w:rPr>
        <w:t xml:space="preserve"> hodnoty jednotlivých ukazatelů</w:t>
      </w:r>
      <w:r w:rsidR="00840AF8" w:rsidRPr="001E7829">
        <w:rPr>
          <w:rFonts w:cs="Times New Roman"/>
        </w:rPr>
        <w:t xml:space="preserve"> </w:t>
      </w:r>
      <w:r w:rsidR="00FF17C3" w:rsidRPr="001E7829">
        <w:rPr>
          <w:rFonts w:cs="Times New Roman"/>
        </w:rPr>
        <w:t xml:space="preserve">a omezují tak </w:t>
      </w:r>
      <w:r w:rsidR="00840AF8" w:rsidRPr="001E7829">
        <w:rPr>
          <w:rFonts w:cs="Times New Roman"/>
        </w:rPr>
        <w:t>vliv měnové politiky na finální výstupy ekonomiky.</w:t>
      </w:r>
    </w:p>
    <w:p w:rsidR="00BD1081" w:rsidRPr="001E7829" w:rsidRDefault="00BD1081" w:rsidP="0028214D">
      <w:pPr>
        <w:pStyle w:val="431"/>
        <w:ind w:left="1418" w:hanging="851"/>
        <w:rPr>
          <w:rFonts w:cs="Times New Roman"/>
        </w:rPr>
      </w:pPr>
      <w:bookmarkStart w:id="79" w:name="_Toc444083241"/>
      <w:bookmarkStart w:id="80" w:name="_Toc444516074"/>
      <w:bookmarkStart w:id="81" w:name="_Toc446604218"/>
      <w:r w:rsidRPr="001E7829">
        <w:rPr>
          <w:rFonts w:cs="Times New Roman"/>
        </w:rPr>
        <w:t>Role ČNB v dodržování vnější</w:t>
      </w:r>
      <w:r w:rsidR="00E7611B" w:rsidRPr="001E7829">
        <w:rPr>
          <w:rFonts w:cs="Times New Roman"/>
        </w:rPr>
        <w:t>ch</w:t>
      </w:r>
      <w:r w:rsidRPr="001E7829">
        <w:rPr>
          <w:rFonts w:cs="Times New Roman"/>
        </w:rPr>
        <w:t xml:space="preserve"> monetárně</w:t>
      </w:r>
      <w:r w:rsidR="00C51E87" w:rsidRPr="001E7829">
        <w:rPr>
          <w:rFonts w:cs="Times New Roman"/>
        </w:rPr>
        <w:t>-</w:t>
      </w:r>
      <w:r w:rsidRPr="001E7829">
        <w:rPr>
          <w:rFonts w:cs="Times New Roman"/>
        </w:rPr>
        <w:t>politických závazků</w:t>
      </w:r>
      <w:bookmarkEnd w:id="79"/>
      <w:bookmarkEnd w:id="80"/>
      <w:bookmarkEnd w:id="81"/>
    </w:p>
    <w:p w:rsidR="00B037E2" w:rsidRPr="001E7829" w:rsidRDefault="00122E34" w:rsidP="00B40EB7">
      <w:pPr>
        <w:pStyle w:val="Prvn"/>
        <w:rPr>
          <w:rFonts w:cs="Times New Roman"/>
        </w:rPr>
      </w:pPr>
      <w:r w:rsidRPr="001E7829">
        <w:rPr>
          <w:rFonts w:cs="Times New Roman"/>
        </w:rPr>
        <w:t>Monetární politika v českém prostředí není určována pouze vnitřními potřebami domácí ekonomiky, ale také závazky, které Česká republika přijala vůči mezinárodnímu prostředí. Jedním z</w:t>
      </w:r>
      <w:r w:rsidR="00AC5ABB" w:rsidRPr="001E7829">
        <w:rPr>
          <w:rFonts w:cs="Times New Roman"/>
        </w:rPr>
        <w:t> nich je i závazek podnikat kroky k tomu, abychom byli jako země co ne</w:t>
      </w:r>
      <w:r w:rsidR="00B037E2" w:rsidRPr="001E7829">
        <w:rPr>
          <w:rFonts w:cs="Times New Roman"/>
        </w:rPr>
        <w:t>jdříve připraveni pro vstup do e</w:t>
      </w:r>
      <w:r w:rsidR="00AC5ABB" w:rsidRPr="001E7829">
        <w:rPr>
          <w:rFonts w:cs="Times New Roman"/>
        </w:rPr>
        <w:t>urozóny, který je zakotven v dokumentech souvisejících s přistoupení</w:t>
      </w:r>
      <w:r w:rsidR="00F76AE3" w:rsidRPr="001E7829">
        <w:rPr>
          <w:rFonts w:cs="Times New Roman"/>
        </w:rPr>
        <w:t>m</w:t>
      </w:r>
      <w:r w:rsidR="00AC5ABB" w:rsidRPr="001E7829">
        <w:rPr>
          <w:rFonts w:cs="Times New Roman"/>
        </w:rPr>
        <w:t xml:space="preserve"> ČR k Evropské unii. Určení konečného termínu vstupu je</w:t>
      </w:r>
      <w:r w:rsidR="00FF17C3" w:rsidRPr="001E7829">
        <w:rPr>
          <w:rFonts w:cs="Times New Roman"/>
        </w:rPr>
        <w:t xml:space="preserve"> však v kompetenci státu</w:t>
      </w:r>
      <w:r w:rsidR="00AC5ABB" w:rsidRPr="001E7829">
        <w:rPr>
          <w:rFonts w:cs="Times New Roman"/>
        </w:rPr>
        <w:t xml:space="preserve"> a </w:t>
      </w:r>
      <w:r w:rsidR="00B037E2" w:rsidRPr="001E7829">
        <w:rPr>
          <w:rFonts w:cs="Times New Roman"/>
        </w:rPr>
        <w:t>každopádně se nemůže uskutečnit dříve, než se česká ekonomika dostane do</w:t>
      </w:r>
      <w:r w:rsidR="00FF17C3" w:rsidRPr="001E7829">
        <w:rPr>
          <w:rFonts w:cs="Times New Roman"/>
        </w:rPr>
        <w:t xml:space="preserve"> souladu s určitými pravidly – m</w:t>
      </w:r>
      <w:r w:rsidR="00B037E2" w:rsidRPr="001E7829">
        <w:rPr>
          <w:rFonts w:cs="Times New Roman"/>
        </w:rPr>
        <w:t>aastrichtskými kritérii.</w:t>
      </w:r>
      <w:r w:rsidR="009D15F1" w:rsidRPr="001E7829">
        <w:rPr>
          <w:rFonts w:cs="Times New Roman"/>
        </w:rPr>
        <w:t xml:space="preserve"> Řadí se mezi ně tři monetární kritéria – cenová stabilita, účast v mechanismu směnných kurzů a konvergence úrokových sazeb – a fiskální kritérium zaměřené současně na velikost schodku vládních institucí a na velikost dluhu vládních institucí.</w:t>
      </w:r>
      <w:r w:rsidR="009D15F1" w:rsidRPr="001E7829">
        <w:rPr>
          <w:rStyle w:val="Znakapoznpodarou"/>
          <w:rFonts w:cs="Times New Roman"/>
        </w:rPr>
        <w:footnoteReference w:id="206"/>
      </w:r>
      <w:r w:rsidR="009D15F1" w:rsidRPr="001E7829">
        <w:rPr>
          <w:rFonts w:cs="Times New Roman"/>
        </w:rPr>
        <w:t xml:space="preserve"> Při analýze toho, zda se</w:t>
      </w:r>
      <w:r w:rsidR="00FF17C3" w:rsidRPr="001E7829">
        <w:rPr>
          <w:rFonts w:cs="Times New Roman"/>
        </w:rPr>
        <w:t xml:space="preserve"> podařilo ČNB přispět k</w:t>
      </w:r>
      <w:r w:rsidR="001E7829">
        <w:rPr>
          <w:rFonts w:cs="Times New Roman"/>
        </w:rPr>
        <w:t> </w:t>
      </w:r>
      <w:r w:rsidR="00FF17C3" w:rsidRPr="001E7829">
        <w:rPr>
          <w:rFonts w:cs="Times New Roman"/>
        </w:rPr>
        <w:t>plnění m</w:t>
      </w:r>
      <w:r w:rsidR="009D15F1" w:rsidRPr="001E7829">
        <w:rPr>
          <w:rFonts w:cs="Times New Roman"/>
        </w:rPr>
        <w:t>aastrichtských kritérií</w:t>
      </w:r>
      <w:r w:rsidR="00205B4A" w:rsidRPr="001E7829">
        <w:rPr>
          <w:rFonts w:cs="Times New Roman"/>
        </w:rPr>
        <w:t xml:space="preserve">, se zaměřím především na kritéria monetární, </w:t>
      </w:r>
      <w:r w:rsidR="00205B4A" w:rsidRPr="001E7829">
        <w:rPr>
          <w:rFonts w:cs="Times New Roman"/>
        </w:rPr>
        <w:lastRenderedPageBreak/>
        <w:t>neboť operují s veličinami, na které má centrální banka hlavní, nebo alespoň významný vliv. Plnění či neplnění fiskálního kritéria je naproti</w:t>
      </w:r>
      <w:r w:rsidR="004A0EEB" w:rsidRPr="001E7829">
        <w:rPr>
          <w:rFonts w:cs="Times New Roman"/>
        </w:rPr>
        <w:t xml:space="preserve"> tomu</w:t>
      </w:r>
      <w:r w:rsidR="00205B4A" w:rsidRPr="001E7829">
        <w:rPr>
          <w:rFonts w:cs="Times New Roman"/>
        </w:rPr>
        <w:t xml:space="preserve"> v největší míře závislé na rozhodnutích vlády a veřejné správy, proto jej zde uvádím spíše okrajově a pro úplnost.</w:t>
      </w:r>
      <w:r w:rsidR="00792E04" w:rsidRPr="001E7829">
        <w:rPr>
          <w:rFonts w:cs="Times New Roman"/>
        </w:rPr>
        <w:t xml:space="preserve"> Všechna kritéria budu samozřejmě zkoumat od okamžiku, kdy se stala pro ČR relevantními, tedy od vstupu ČR do EU v roce 2004.</w:t>
      </w:r>
    </w:p>
    <w:p w:rsidR="002005BD" w:rsidRPr="001E7829" w:rsidRDefault="00230693" w:rsidP="000756F7">
      <w:pPr>
        <w:pStyle w:val="Druh"/>
        <w:rPr>
          <w:rFonts w:cs="Times New Roman"/>
        </w:rPr>
      </w:pPr>
      <w:r w:rsidRPr="001E7829">
        <w:rPr>
          <w:rFonts w:cs="Times New Roman"/>
        </w:rPr>
        <w:t>Ihned na z</w:t>
      </w:r>
      <w:r w:rsidR="00FF17C3" w:rsidRPr="001E7829">
        <w:rPr>
          <w:rFonts w:cs="Times New Roman"/>
        </w:rPr>
        <w:t>ačátku je nutné poznamenat, že m</w:t>
      </w:r>
      <w:r w:rsidRPr="001E7829">
        <w:rPr>
          <w:rFonts w:cs="Times New Roman"/>
        </w:rPr>
        <w:t xml:space="preserve">aastrichtská kritéria se poměrně často setkávají s kritikou. Jejich účelem je především sladit </w:t>
      </w:r>
      <w:r w:rsidR="00C30773" w:rsidRPr="001E7829">
        <w:rPr>
          <w:rFonts w:cs="Times New Roman"/>
        </w:rPr>
        <w:t>dané ukazatele v kandidátských zemích natolik, aby společně s jednotnou měnou mohly přijmout také jednotnou měnovou politiku pod taktovkou ECB</w:t>
      </w:r>
      <w:r w:rsidR="00671C31" w:rsidRPr="001E7829">
        <w:rPr>
          <w:rFonts w:cs="Times New Roman"/>
        </w:rPr>
        <w:t xml:space="preserve"> a</w:t>
      </w:r>
      <w:r w:rsidR="001F15D2" w:rsidRPr="001E7829">
        <w:rPr>
          <w:rFonts w:cs="Times New Roman"/>
        </w:rPr>
        <w:t> </w:t>
      </w:r>
      <w:r w:rsidR="00671C31" w:rsidRPr="001E7829">
        <w:rPr>
          <w:rFonts w:cs="Times New Roman"/>
        </w:rPr>
        <w:t>neohrozily stabilitu eurozóny</w:t>
      </w:r>
      <w:r w:rsidR="00C30773" w:rsidRPr="001E7829">
        <w:rPr>
          <w:rFonts w:cs="Times New Roman"/>
        </w:rPr>
        <w:t>.</w:t>
      </w:r>
      <w:r w:rsidR="00C30773" w:rsidRPr="001E7829">
        <w:rPr>
          <w:rStyle w:val="Znakapoznpodarou"/>
          <w:rFonts w:cs="Times New Roman"/>
        </w:rPr>
        <w:footnoteReference w:id="207"/>
      </w:r>
      <w:r w:rsidR="00C30773" w:rsidRPr="001E7829">
        <w:rPr>
          <w:rFonts w:cs="Times New Roman"/>
        </w:rPr>
        <w:t xml:space="preserve"> Původně však byla vytvořena pro posouzení způsobilosti ekonomik „starých“ členů EU přistoupit k</w:t>
      </w:r>
      <w:r w:rsidR="00F05921" w:rsidRPr="001E7829">
        <w:rPr>
          <w:rFonts w:cs="Times New Roman"/>
        </w:rPr>
        <w:t> </w:t>
      </w:r>
      <w:r w:rsidR="00C30773" w:rsidRPr="001E7829">
        <w:rPr>
          <w:rFonts w:cs="Times New Roman"/>
        </w:rPr>
        <w:t>euru</w:t>
      </w:r>
      <w:r w:rsidR="00F05921" w:rsidRPr="001E7829">
        <w:rPr>
          <w:rFonts w:cs="Times New Roman"/>
        </w:rPr>
        <w:t>. V</w:t>
      </w:r>
      <w:r w:rsidR="00C30773" w:rsidRPr="001E7829">
        <w:rPr>
          <w:rFonts w:cs="Times New Roman"/>
        </w:rPr>
        <w:t>e vztahu k zemím s rychle se rozvíjejícími ekonomikami, které nedávno prošly transformací</w:t>
      </w:r>
      <w:r w:rsidR="00F05921" w:rsidRPr="001E7829">
        <w:rPr>
          <w:rFonts w:cs="Times New Roman"/>
        </w:rPr>
        <w:t>, se ale ukazují jako ne příliš vhodná. Problémem je například nej</w:t>
      </w:r>
      <w:r w:rsidR="001F15D2" w:rsidRPr="001E7829">
        <w:rPr>
          <w:rFonts w:cs="Times New Roman"/>
        </w:rPr>
        <w:t xml:space="preserve">ednoznačnost některých kritérií - </w:t>
      </w:r>
      <w:r w:rsidR="00F05921" w:rsidRPr="001E7829">
        <w:rPr>
          <w:rFonts w:cs="Times New Roman"/>
        </w:rPr>
        <w:t>především cenové stability</w:t>
      </w:r>
      <w:r w:rsidR="001F15D2" w:rsidRPr="001E7829">
        <w:rPr>
          <w:rFonts w:cs="Times New Roman"/>
        </w:rPr>
        <w:t xml:space="preserve"> - </w:t>
      </w:r>
      <w:r w:rsidR="00F05921" w:rsidRPr="001E7829">
        <w:rPr>
          <w:rFonts w:cs="Times New Roman"/>
        </w:rPr>
        <w:t>které je dokonce rozdílně interpretováno ECB a Evropskou komisí.</w:t>
      </w:r>
      <w:r w:rsidR="00F05921" w:rsidRPr="001E7829">
        <w:rPr>
          <w:rStyle w:val="Znakapoznpodarou"/>
          <w:rFonts w:cs="Times New Roman"/>
        </w:rPr>
        <w:footnoteReference w:id="208"/>
      </w:r>
      <w:r w:rsidR="00AA7CA0" w:rsidRPr="001E7829">
        <w:rPr>
          <w:rFonts w:cs="Times New Roman"/>
        </w:rPr>
        <w:t xml:space="preserve"> </w:t>
      </w:r>
      <w:r w:rsidR="005A37A0" w:rsidRPr="001E7829">
        <w:rPr>
          <w:rFonts w:cs="Times New Roman"/>
        </w:rPr>
        <w:t>Některé studie pak ukazují, že striktní dodržování kritérií je reálné konvergenci spíše na škodu a</w:t>
      </w:r>
      <w:r w:rsidR="002005BD" w:rsidRPr="001E7829">
        <w:rPr>
          <w:rFonts w:cs="Times New Roman"/>
        </w:rPr>
        <w:t xml:space="preserve"> k</w:t>
      </w:r>
      <w:r w:rsidR="005A37A0" w:rsidRPr="001E7829">
        <w:rPr>
          <w:rFonts w:cs="Times New Roman"/>
        </w:rPr>
        <w:t xml:space="preserve"> rychlejšímu přiblížení jednotlivých ekonomik k eurozóně by přispělo více volnosti v rukou národních hospodářskopolitických institucí.</w:t>
      </w:r>
      <w:r w:rsidR="007531A3" w:rsidRPr="001E7829">
        <w:rPr>
          <w:rStyle w:val="Znakapoznpodarou"/>
          <w:rFonts w:cs="Times New Roman"/>
        </w:rPr>
        <w:footnoteReference w:id="209"/>
      </w:r>
      <w:r w:rsidR="00B30740" w:rsidRPr="001E7829">
        <w:rPr>
          <w:rFonts w:cs="Times New Roman"/>
        </w:rPr>
        <w:t xml:space="preserve"> Přes všechny výhrady však zůstávají kritéria nezbytnou podmínkou splnění závazku vstupu do eurozóny, a přestože jejich neplnění není s výjimkou fiskálního sankcionováno, nemůže se k nim stát postavit </w:t>
      </w:r>
      <w:r w:rsidR="008F1DC0" w:rsidRPr="001E7829">
        <w:rPr>
          <w:rFonts w:cs="Times New Roman"/>
        </w:rPr>
        <w:t>lehkovážně.</w:t>
      </w:r>
    </w:p>
    <w:p w:rsidR="008F1DC0" w:rsidRPr="001E7829" w:rsidRDefault="008F1DC0" w:rsidP="000756F7">
      <w:pPr>
        <w:pStyle w:val="Druh"/>
        <w:rPr>
          <w:rFonts w:cs="Times New Roman"/>
        </w:rPr>
      </w:pPr>
      <w:r w:rsidRPr="001E7829">
        <w:rPr>
          <w:rFonts w:cs="Times New Roman"/>
        </w:rPr>
        <w:t>Klíčovým počinem ČNB (ve spolupráci s vládou) v této oblasti bylo vytvoření koncepčního dokumentu s názvem Strategie přistoupení České republiky k</w:t>
      </w:r>
      <w:r w:rsidR="0083087A" w:rsidRPr="001E7829">
        <w:rPr>
          <w:rFonts w:cs="Times New Roman"/>
        </w:rPr>
        <w:t> </w:t>
      </w:r>
      <w:r w:rsidRPr="001E7829">
        <w:rPr>
          <w:rFonts w:cs="Times New Roman"/>
        </w:rPr>
        <w:t>eurozóně</w:t>
      </w:r>
      <w:r w:rsidR="0083087A" w:rsidRPr="001E7829">
        <w:rPr>
          <w:rFonts w:cs="Times New Roman"/>
        </w:rPr>
        <w:t xml:space="preserve"> (dále jen „Strategie“)</w:t>
      </w:r>
      <w:r w:rsidRPr="001E7829">
        <w:rPr>
          <w:rFonts w:cs="Times New Roman"/>
        </w:rPr>
        <w:t xml:space="preserve"> v září roku 2003. Zde byly zakotveny předpoklady pro vstup ČR do eurozóny spolu s mechanismem jejich každoročního vyhodnocování, které provádí ČNB</w:t>
      </w:r>
      <w:r w:rsidR="00484A30" w:rsidRPr="001E7829">
        <w:rPr>
          <w:rFonts w:cs="Times New Roman"/>
        </w:rPr>
        <w:t xml:space="preserve"> vždy na podzim</w:t>
      </w:r>
      <w:r w:rsidRPr="001E7829">
        <w:rPr>
          <w:rFonts w:cs="Times New Roman"/>
        </w:rPr>
        <w:t xml:space="preserve"> ve spolupráci </w:t>
      </w:r>
      <w:r w:rsidRPr="001E7829">
        <w:rPr>
          <w:rFonts w:cs="Times New Roman"/>
        </w:rPr>
        <w:lastRenderedPageBreak/>
        <w:t>s Ministerstvem financí v</w:t>
      </w:r>
      <w:r w:rsidR="00484A30" w:rsidRPr="001E7829">
        <w:rPr>
          <w:rFonts w:cs="Times New Roman"/>
        </w:rPr>
        <w:t> </w:t>
      </w:r>
      <w:r w:rsidRPr="001E7829">
        <w:rPr>
          <w:rFonts w:cs="Times New Roman"/>
        </w:rPr>
        <w:t>dokumentech</w:t>
      </w:r>
      <w:r w:rsidR="00484A30" w:rsidRPr="001E7829">
        <w:rPr>
          <w:rFonts w:cs="Times New Roman"/>
        </w:rPr>
        <w:t xml:space="preserve"> nazvaných</w:t>
      </w:r>
      <w:r w:rsidR="00FF17C3" w:rsidRPr="001E7829">
        <w:rPr>
          <w:rFonts w:cs="Times New Roman"/>
        </w:rPr>
        <w:t xml:space="preserve"> Vyhodnocení plnění m</w:t>
      </w:r>
      <w:r w:rsidRPr="001E7829">
        <w:rPr>
          <w:rFonts w:cs="Times New Roman"/>
        </w:rPr>
        <w:t>aastrichtských konvergenčních kritérií a stupně ekonomické sladěnosti ČR s</w:t>
      </w:r>
      <w:r w:rsidR="002A5800" w:rsidRPr="001E7829">
        <w:rPr>
          <w:rFonts w:cs="Times New Roman"/>
        </w:rPr>
        <w:t> </w:t>
      </w:r>
      <w:r w:rsidRPr="001E7829">
        <w:rPr>
          <w:rFonts w:cs="Times New Roman"/>
        </w:rPr>
        <w:t>eurozónou</w:t>
      </w:r>
      <w:r w:rsidR="002A5800" w:rsidRPr="001E7829">
        <w:rPr>
          <w:rFonts w:cs="Times New Roman"/>
        </w:rPr>
        <w:t xml:space="preserve"> (dále jen „Vyhodnocení“)</w:t>
      </w:r>
      <w:r w:rsidR="00484A30" w:rsidRPr="001E7829">
        <w:rPr>
          <w:rFonts w:cs="Times New Roman"/>
        </w:rPr>
        <w:t>. Jako jednoznačně pozitivní rozhodnutí vnímám, že předpoklady vstupu jdou daleko nad r</w:t>
      </w:r>
      <w:r w:rsidR="00FF17C3" w:rsidRPr="001E7829">
        <w:rPr>
          <w:rFonts w:cs="Times New Roman"/>
        </w:rPr>
        <w:t>ámec pouhého formálního plnění m</w:t>
      </w:r>
      <w:r w:rsidR="00484A30" w:rsidRPr="001E7829">
        <w:rPr>
          <w:rFonts w:cs="Times New Roman"/>
        </w:rPr>
        <w:t>aastrichtských kritérií a zahrnují hodnocení množství dalších ekonomických ukazatelů</w:t>
      </w:r>
      <w:r w:rsidR="0083087A" w:rsidRPr="001E7829">
        <w:rPr>
          <w:rFonts w:cs="Times New Roman"/>
        </w:rPr>
        <w:t xml:space="preserve"> (pružnost trhu práce, synchronizace cyklu české ekonomiky s cyklem eurozóny</w:t>
      </w:r>
      <w:r w:rsidR="002D47AF" w:rsidRPr="001E7829">
        <w:rPr>
          <w:rFonts w:cs="Times New Roman"/>
        </w:rPr>
        <w:t>, charakteristiky finančního sektoru</w:t>
      </w:r>
      <w:r w:rsidR="0083087A" w:rsidRPr="001E7829">
        <w:rPr>
          <w:rFonts w:cs="Times New Roman"/>
        </w:rPr>
        <w:t xml:space="preserve"> apod.)</w:t>
      </w:r>
      <w:r w:rsidR="00484A30" w:rsidRPr="001E7829">
        <w:rPr>
          <w:rFonts w:cs="Times New Roman"/>
        </w:rPr>
        <w:t xml:space="preserve"> s cílem co nejobjektivněji posoudit, zda při akt</w:t>
      </w:r>
      <w:r w:rsidR="0028214D" w:rsidRPr="001E7829">
        <w:rPr>
          <w:rFonts w:cs="Times New Roman"/>
        </w:rPr>
        <w:t>uálním stavu ekonomiky by bylo e</w:t>
      </w:r>
      <w:r w:rsidR="00484A30" w:rsidRPr="001E7829">
        <w:rPr>
          <w:rFonts w:cs="Times New Roman"/>
        </w:rPr>
        <w:t>uro pro ČR přínosem, a zda tedy lze vládě doporučit započetí procesu vstupu do eurozóny.</w:t>
      </w:r>
      <w:r w:rsidR="00484A30" w:rsidRPr="001E7829">
        <w:rPr>
          <w:rStyle w:val="Znakapoznpodarou"/>
          <w:rFonts w:cs="Times New Roman"/>
        </w:rPr>
        <w:footnoteReference w:id="210"/>
      </w:r>
      <w:r w:rsidR="00671C31" w:rsidRPr="001E7829">
        <w:rPr>
          <w:rFonts w:cs="Times New Roman"/>
        </w:rPr>
        <w:t xml:space="preserve"> Tento přístup je </w:t>
      </w:r>
      <w:r w:rsidR="0083087A" w:rsidRPr="001E7829">
        <w:rPr>
          <w:rFonts w:cs="Times New Roman"/>
        </w:rPr>
        <w:t>podobný</w:t>
      </w:r>
      <w:r w:rsidR="00AA7CA0" w:rsidRPr="001E7829">
        <w:rPr>
          <w:rFonts w:cs="Times New Roman"/>
        </w:rPr>
        <w:t xml:space="preserve"> </w:t>
      </w:r>
      <w:r w:rsidR="0083087A" w:rsidRPr="001E7829">
        <w:rPr>
          <w:rFonts w:cs="Times New Roman"/>
        </w:rPr>
        <w:t>praxi</w:t>
      </w:r>
      <w:r w:rsidR="00671C31" w:rsidRPr="001E7829">
        <w:rPr>
          <w:rFonts w:cs="Times New Roman"/>
        </w:rPr>
        <w:t xml:space="preserve"> ve Velké Británii, kde se ke stejnému účelu</w:t>
      </w:r>
      <w:r w:rsidR="00690CB5" w:rsidRPr="001E7829">
        <w:rPr>
          <w:rFonts w:cs="Times New Roman"/>
        </w:rPr>
        <w:t xml:space="preserve"> využívají tzv. Brownovy testy.</w:t>
      </w:r>
      <w:r w:rsidR="00690CB5" w:rsidRPr="001E7829">
        <w:rPr>
          <w:rStyle w:val="Znakapoznpodarou"/>
          <w:rFonts w:cs="Times New Roman"/>
        </w:rPr>
        <w:footnoteReference w:id="211"/>
      </w:r>
      <w:r w:rsidR="00AA7CA0" w:rsidRPr="001E7829">
        <w:rPr>
          <w:rFonts w:cs="Times New Roman"/>
        </w:rPr>
        <w:t xml:space="preserve"> </w:t>
      </w:r>
      <w:r w:rsidR="0083087A" w:rsidRPr="001E7829">
        <w:rPr>
          <w:rFonts w:cs="Times New Roman"/>
        </w:rPr>
        <w:t>Je pravda, že Strategie postrádá konkrétní cílové hodnoty, dle kterých by se dalo</w:t>
      </w:r>
      <w:r w:rsidR="002A5800" w:rsidRPr="001E7829">
        <w:rPr>
          <w:rFonts w:cs="Times New Roman"/>
        </w:rPr>
        <w:t xml:space="preserve"> jednoduchým způsobem</w:t>
      </w:r>
      <w:r w:rsidR="0083087A" w:rsidRPr="001E7829">
        <w:rPr>
          <w:rFonts w:cs="Times New Roman"/>
        </w:rPr>
        <w:t xml:space="preserve"> posoudit, že v</w:t>
      </w:r>
      <w:r w:rsidR="002A5800" w:rsidRPr="001E7829">
        <w:rPr>
          <w:rFonts w:cs="Times New Roman"/>
        </w:rPr>
        <w:t xml:space="preserve"> dané oblasti je již česká ekonomika na vstup připravena. Každoroční vyhodnocení má z velké části čistě kvalitativní charakter, podle Miroslava Singera je však možné pokrok pozorovat a měřit vůči kvalitativnímu hodnocení těchto parametrů z roku 2003, které je obsaženo v samotné Strategii a vytvořilo tak určité implicitní </w:t>
      </w:r>
      <w:proofErr w:type="spellStart"/>
      <w:r w:rsidR="002A5800" w:rsidRPr="001E7829">
        <w:rPr>
          <w:rFonts w:cs="Times New Roman"/>
        </w:rPr>
        <w:t>benchmarky</w:t>
      </w:r>
      <w:proofErr w:type="spellEnd"/>
      <w:r w:rsidR="002D47AF" w:rsidRPr="001E7829">
        <w:rPr>
          <w:rFonts w:cs="Times New Roman"/>
        </w:rPr>
        <w:t xml:space="preserve"> pro hodnocení následujících let.</w:t>
      </w:r>
      <w:r w:rsidR="002D47AF" w:rsidRPr="001E7829">
        <w:rPr>
          <w:rStyle w:val="Znakapoznpodarou"/>
          <w:rFonts w:cs="Times New Roman"/>
        </w:rPr>
        <w:footnoteReference w:id="212"/>
      </w:r>
      <w:r w:rsidR="002D47AF" w:rsidRPr="001E7829">
        <w:rPr>
          <w:rFonts w:cs="Times New Roman"/>
        </w:rPr>
        <w:t xml:space="preserve"> Podle mého názoru by stanovení explicitních hodnot bylo přínosem zejména pro věrohodnost doporučení vůči vládě, které ČNB a Ministerstvo financí ve Vyhodnoceních uvádějí. Při současném pojetí jsou závěry formulované v těchto dokumentech bohužel velmi těžko ověřitelné, zejména pak pro veřejnost.</w:t>
      </w:r>
    </w:p>
    <w:p w:rsidR="002005BD" w:rsidRPr="001E7829" w:rsidRDefault="004A0EEB" w:rsidP="000756F7">
      <w:pPr>
        <w:pStyle w:val="Druh"/>
        <w:rPr>
          <w:rFonts w:cs="Times New Roman"/>
        </w:rPr>
      </w:pPr>
      <w:r w:rsidRPr="001E7829">
        <w:rPr>
          <w:rFonts w:cs="Times New Roman"/>
        </w:rPr>
        <w:t xml:space="preserve">Nyní však již přistupme k samotným kritériím. Nejprve se budu zabývat kritériem cenové stability, které stejně jako ostatní kritéria definuje </w:t>
      </w:r>
      <w:r w:rsidR="00E66D05" w:rsidRPr="001E7829">
        <w:rPr>
          <w:rFonts w:cs="Times New Roman"/>
        </w:rPr>
        <w:t xml:space="preserve">článek 140 </w:t>
      </w:r>
      <w:r w:rsidR="0028214D" w:rsidRPr="001E7829">
        <w:rPr>
          <w:rFonts w:cs="Times New Roman"/>
        </w:rPr>
        <w:t>SFEU,</w:t>
      </w:r>
      <w:r w:rsidR="00E66D05" w:rsidRPr="001E7829">
        <w:rPr>
          <w:rFonts w:cs="Times New Roman"/>
        </w:rPr>
        <w:t xml:space="preserve"> a to jako „</w:t>
      </w:r>
      <w:r w:rsidR="00E66D05" w:rsidRPr="001E7829">
        <w:rPr>
          <w:rFonts w:cs="Times New Roman"/>
          <w:i/>
        </w:rPr>
        <w:t>dosažení vysokého stupně cenové stability patrného z míry inflace, která se blíží míře inflace nejvýše tří členských států, jež dosáhly v oblasti cenové stability nejlepších výsledků</w:t>
      </w:r>
      <w:r w:rsidR="00A74218" w:rsidRPr="001E7829">
        <w:rPr>
          <w:rFonts w:cs="Times New Roman"/>
          <w:i/>
        </w:rPr>
        <w:t>.</w:t>
      </w:r>
      <w:r w:rsidR="00E66D05" w:rsidRPr="001E7829">
        <w:rPr>
          <w:rFonts w:cs="Times New Roman"/>
        </w:rPr>
        <w:t>“</w:t>
      </w:r>
      <w:r w:rsidR="005C6ABD" w:rsidRPr="001E7829">
        <w:rPr>
          <w:rStyle w:val="Znakapoznpodarou"/>
          <w:rFonts w:cs="Times New Roman"/>
        </w:rPr>
        <w:footnoteReference w:id="213"/>
      </w:r>
      <w:r w:rsidR="00AA7CA0" w:rsidRPr="001E7829">
        <w:rPr>
          <w:rFonts w:cs="Times New Roman"/>
        </w:rPr>
        <w:t xml:space="preserve"> </w:t>
      </w:r>
      <w:r w:rsidR="009670BC" w:rsidRPr="001E7829">
        <w:rPr>
          <w:rFonts w:cs="Times New Roman"/>
        </w:rPr>
        <w:t>P</w:t>
      </w:r>
      <w:r w:rsidR="00EA6380" w:rsidRPr="001E7829">
        <w:rPr>
          <w:rFonts w:cs="Times New Roman"/>
        </w:rPr>
        <w:t>rotokol</w:t>
      </w:r>
      <w:r w:rsidR="009670BC" w:rsidRPr="001E7829">
        <w:rPr>
          <w:rFonts w:cs="Times New Roman"/>
        </w:rPr>
        <w:t xml:space="preserve"> o kritériích konvergence</w:t>
      </w:r>
      <w:r w:rsidR="00DF7BEA" w:rsidRPr="001E7829">
        <w:rPr>
          <w:rFonts w:cs="Times New Roman"/>
        </w:rPr>
        <w:t xml:space="preserve"> (dále </w:t>
      </w:r>
      <w:r w:rsidR="00DF7BEA" w:rsidRPr="001E7829">
        <w:rPr>
          <w:rFonts w:cs="Times New Roman"/>
        </w:rPr>
        <w:lastRenderedPageBreak/>
        <w:t>také „Protokol“)</w:t>
      </w:r>
      <w:r w:rsidR="009670BC" w:rsidRPr="001E7829">
        <w:rPr>
          <w:rFonts w:cs="Times New Roman"/>
        </w:rPr>
        <w:t xml:space="preserve"> dále uvádí, že kritérium splňuje stát, který vykazuje „</w:t>
      </w:r>
      <w:r w:rsidR="009670BC" w:rsidRPr="001E7829">
        <w:rPr>
          <w:rFonts w:cs="Times New Roman"/>
          <w:i/>
        </w:rPr>
        <w:t>dlouhodobě udržitelnou cenovou stabilitu a průměrnou míru inflace měřenou v průběhu jednoho roku před provedeným šetřením, jež nepřekračuje o více než 1,5 procentního bodu míru inflace nejvýše tří členských států, které v oblasti cenové stability dosáhly nejlepších výsledků</w:t>
      </w:r>
      <w:r w:rsidR="00A74218" w:rsidRPr="001E7829">
        <w:rPr>
          <w:rFonts w:cs="Times New Roman"/>
          <w:i/>
        </w:rPr>
        <w:t>.</w:t>
      </w:r>
      <w:r w:rsidR="009670BC" w:rsidRPr="001E7829">
        <w:rPr>
          <w:rFonts w:cs="Times New Roman"/>
        </w:rPr>
        <w:t>“</w:t>
      </w:r>
      <w:r w:rsidR="009670BC" w:rsidRPr="001E7829">
        <w:rPr>
          <w:rStyle w:val="Znakapoznpodarou"/>
          <w:rFonts w:cs="Times New Roman"/>
        </w:rPr>
        <w:footnoteReference w:id="214"/>
      </w:r>
    </w:p>
    <w:p w:rsidR="00EA6380" w:rsidRPr="001E7829" w:rsidRDefault="00EA6380" w:rsidP="000756F7">
      <w:pPr>
        <w:pStyle w:val="Druh"/>
        <w:rPr>
          <w:rFonts w:cs="Times New Roman"/>
        </w:rPr>
      </w:pPr>
      <w:r w:rsidRPr="001E7829">
        <w:rPr>
          <w:rFonts w:cs="Times New Roman"/>
        </w:rPr>
        <w:t>V praxi se takováto míra inflace měří jako přírůstek posledního známého dvanáctiměsíčního průměru harmonizovaného indexu spotřebitelských cen („HI</w:t>
      </w:r>
      <w:r w:rsidR="00C14530" w:rsidRPr="001E7829">
        <w:rPr>
          <w:rFonts w:cs="Times New Roman"/>
        </w:rPr>
        <w:t>CP</w:t>
      </w:r>
      <w:r w:rsidRPr="001E7829">
        <w:rPr>
          <w:rFonts w:cs="Times New Roman"/>
        </w:rPr>
        <w:t>“) oproti průměru předchozích 12 měsíců.</w:t>
      </w:r>
      <w:r w:rsidR="009B02FE" w:rsidRPr="001E7829">
        <w:rPr>
          <w:rFonts w:cs="Times New Roman"/>
        </w:rPr>
        <w:t xml:space="preserve"> Jelikož SFEU i Protokol ponechávají v některých otázkách prostor pro interpretaci ze strany hodnotících institucí, je </w:t>
      </w:r>
      <w:r w:rsidR="0006663B" w:rsidRPr="001E7829">
        <w:rPr>
          <w:rFonts w:cs="Times New Roman"/>
        </w:rPr>
        <w:t>kupříkladu</w:t>
      </w:r>
      <w:r w:rsidR="009B02FE" w:rsidRPr="001E7829">
        <w:rPr>
          <w:rFonts w:cs="Times New Roman"/>
        </w:rPr>
        <w:t xml:space="preserve"> výběr zemí, jejichž hodnoty </w:t>
      </w:r>
      <w:r w:rsidR="00C14530" w:rsidRPr="001E7829">
        <w:rPr>
          <w:rFonts w:cs="Times New Roman"/>
        </w:rPr>
        <w:t>H</w:t>
      </w:r>
      <w:r w:rsidR="009B02FE" w:rsidRPr="001E7829">
        <w:rPr>
          <w:rFonts w:cs="Times New Roman"/>
        </w:rPr>
        <w:t>I</w:t>
      </w:r>
      <w:r w:rsidR="00C14530" w:rsidRPr="001E7829">
        <w:rPr>
          <w:rFonts w:cs="Times New Roman"/>
        </w:rPr>
        <w:t>CP</w:t>
      </w:r>
      <w:r w:rsidR="009B02FE" w:rsidRPr="001E7829">
        <w:rPr>
          <w:rFonts w:cs="Times New Roman"/>
        </w:rPr>
        <w:t xml:space="preserve"> budou použity k výpočtu referenční hodnoty kritéria</w:t>
      </w:r>
      <w:r w:rsidR="0006663B" w:rsidRPr="001E7829">
        <w:rPr>
          <w:rFonts w:cs="Times New Roman"/>
        </w:rPr>
        <w:t>, čistě na zvážení ECB a E</w:t>
      </w:r>
      <w:r w:rsidR="00A74218" w:rsidRPr="001E7829">
        <w:rPr>
          <w:rFonts w:cs="Times New Roman"/>
        </w:rPr>
        <w:t>vropské komise</w:t>
      </w:r>
      <w:r w:rsidR="0006663B" w:rsidRPr="001E7829">
        <w:rPr>
          <w:rFonts w:cs="Times New Roman"/>
        </w:rPr>
        <w:t>. Proto bylo např. v roce 2010 vyloučeno z výpočtu Irsko, jehož míra inflace byla výrazně nižší ve srovnání s ostatními členskými státy EU (-2,3</w:t>
      </w:r>
      <w:r w:rsidR="0052715A" w:rsidRPr="001E7829">
        <w:rPr>
          <w:rFonts w:cs="Times New Roman"/>
        </w:rPr>
        <w:t xml:space="preserve"> </w:t>
      </w:r>
      <w:r w:rsidR="0006663B" w:rsidRPr="001E7829">
        <w:rPr>
          <w:rFonts w:cs="Times New Roman"/>
        </w:rPr>
        <w:t xml:space="preserve">%), a tudíž podle </w:t>
      </w:r>
      <w:r w:rsidR="00DF7BEA" w:rsidRPr="001E7829">
        <w:rPr>
          <w:rFonts w:cs="Times New Roman"/>
        </w:rPr>
        <w:t>ECB</w:t>
      </w:r>
      <w:r w:rsidR="0006663B" w:rsidRPr="001E7829">
        <w:rPr>
          <w:rFonts w:cs="Times New Roman"/>
        </w:rPr>
        <w:t xml:space="preserve"> a </w:t>
      </w:r>
      <w:r w:rsidR="00DF7BEA" w:rsidRPr="001E7829">
        <w:rPr>
          <w:rFonts w:cs="Times New Roman"/>
        </w:rPr>
        <w:t>Evropské komise</w:t>
      </w:r>
      <w:r w:rsidR="0006663B" w:rsidRPr="001E7829">
        <w:rPr>
          <w:rFonts w:cs="Times New Roman"/>
        </w:rPr>
        <w:t xml:space="preserve"> v rozporu s požadavky cenové stability.</w:t>
      </w:r>
      <w:r w:rsidR="0006663B" w:rsidRPr="001E7829">
        <w:rPr>
          <w:rStyle w:val="Znakapoznpodarou"/>
          <w:rFonts w:cs="Times New Roman"/>
        </w:rPr>
        <w:footnoteReference w:id="215"/>
      </w:r>
      <w:r w:rsidR="00AA7CA0" w:rsidRPr="001E7829">
        <w:rPr>
          <w:rFonts w:cs="Times New Roman"/>
        </w:rPr>
        <w:t xml:space="preserve"> </w:t>
      </w:r>
      <w:r w:rsidR="00792E04" w:rsidRPr="001E7829">
        <w:rPr>
          <w:rFonts w:cs="Times New Roman"/>
        </w:rPr>
        <w:t>Co se týče H</w:t>
      </w:r>
      <w:r w:rsidR="00C14530" w:rsidRPr="001E7829">
        <w:rPr>
          <w:rFonts w:cs="Times New Roman"/>
        </w:rPr>
        <w:t>ICP</w:t>
      </w:r>
      <w:r w:rsidR="00792E04" w:rsidRPr="001E7829">
        <w:rPr>
          <w:rFonts w:cs="Times New Roman"/>
        </w:rPr>
        <w:t>, jedná se o principiálně podobný ukazatel jako národní index spotřebitelských cen v ČR, s určitými rozdíly ve skladbě spotřebního koše.</w:t>
      </w:r>
      <w:r w:rsidR="00792E04" w:rsidRPr="001E7829">
        <w:rPr>
          <w:rStyle w:val="Znakapoznpodarou"/>
          <w:rFonts w:cs="Times New Roman"/>
        </w:rPr>
        <w:footnoteReference w:id="216"/>
      </w:r>
    </w:p>
    <w:p w:rsidR="009B43E5" w:rsidRPr="001E7829" w:rsidRDefault="00792E04" w:rsidP="000756F7">
      <w:pPr>
        <w:pStyle w:val="Druh"/>
        <w:rPr>
          <w:rFonts w:cs="Times New Roman"/>
        </w:rPr>
      </w:pPr>
      <w:r w:rsidRPr="001E7829">
        <w:rPr>
          <w:rFonts w:cs="Times New Roman"/>
        </w:rPr>
        <w:t>Následující tabulka uvádí průměry inflace zemí, které byly používány pro výpočet kritéria, hodnoty kritéria a hodnoty H</w:t>
      </w:r>
      <w:r w:rsidR="00C14530" w:rsidRPr="001E7829">
        <w:rPr>
          <w:rFonts w:cs="Times New Roman"/>
        </w:rPr>
        <w:t>ICP</w:t>
      </w:r>
      <w:r w:rsidRPr="001E7829">
        <w:rPr>
          <w:rFonts w:cs="Times New Roman"/>
        </w:rPr>
        <w:t xml:space="preserve"> v</w:t>
      </w:r>
      <w:r w:rsidR="006E2E9F" w:rsidRPr="001E7829">
        <w:rPr>
          <w:rFonts w:cs="Times New Roman"/>
        </w:rPr>
        <w:t> </w:t>
      </w:r>
      <w:r w:rsidRPr="001E7829">
        <w:rPr>
          <w:rFonts w:cs="Times New Roman"/>
        </w:rPr>
        <w:t>ČR</w:t>
      </w:r>
      <w:r w:rsidR="006E2E9F" w:rsidRPr="001E7829">
        <w:rPr>
          <w:rFonts w:cs="Times New Roman"/>
        </w:rPr>
        <w:t xml:space="preserve"> a na Slovensku</w:t>
      </w:r>
      <w:r w:rsidRPr="001E7829">
        <w:rPr>
          <w:rFonts w:cs="Times New Roman"/>
        </w:rPr>
        <w:t xml:space="preserve"> v jednotlivých letech.</w:t>
      </w:r>
    </w:p>
    <w:p w:rsidR="00CB745E" w:rsidRPr="001E7829" w:rsidRDefault="00CB745E" w:rsidP="000756F7">
      <w:pPr>
        <w:pStyle w:val="Druh"/>
        <w:rPr>
          <w:rFonts w:cs="Times New Roman"/>
          <w:sz w:val="22"/>
        </w:rPr>
      </w:pPr>
    </w:p>
    <w:p w:rsidR="006E2E9F" w:rsidRPr="001E7829" w:rsidRDefault="006E2E9F" w:rsidP="000756F7">
      <w:pPr>
        <w:pStyle w:val="Druh"/>
        <w:rPr>
          <w:rFonts w:cs="Times New Roman"/>
          <w:sz w:val="22"/>
        </w:rPr>
      </w:pPr>
    </w:p>
    <w:p w:rsidR="006E2E9F" w:rsidRPr="001E7829" w:rsidRDefault="006E2E9F" w:rsidP="000756F7">
      <w:pPr>
        <w:pStyle w:val="Druh"/>
        <w:rPr>
          <w:rFonts w:cs="Times New Roman"/>
          <w:sz w:val="22"/>
        </w:rPr>
      </w:pPr>
    </w:p>
    <w:p w:rsidR="006E2E9F" w:rsidRPr="001E7829" w:rsidRDefault="006E2E9F" w:rsidP="000756F7">
      <w:pPr>
        <w:pStyle w:val="Druh"/>
        <w:rPr>
          <w:rFonts w:cs="Times New Roman"/>
          <w:sz w:val="22"/>
        </w:rPr>
      </w:pPr>
    </w:p>
    <w:p w:rsidR="006E2E9F" w:rsidRPr="001E7829" w:rsidRDefault="006E2E9F" w:rsidP="000756F7">
      <w:pPr>
        <w:pStyle w:val="Druh"/>
        <w:rPr>
          <w:rFonts w:cs="Times New Roman"/>
          <w:sz w:val="22"/>
        </w:rPr>
      </w:pPr>
    </w:p>
    <w:p w:rsidR="00454C38" w:rsidRPr="001E7829" w:rsidRDefault="007D6D71" w:rsidP="00454C38">
      <w:pPr>
        <w:pStyle w:val="Titulek"/>
        <w:keepNext/>
        <w:rPr>
          <w:rFonts w:ascii="Times New Roman" w:hAnsi="Times New Roman" w:cs="Times New Roman"/>
          <w:color w:val="auto"/>
          <w:sz w:val="24"/>
        </w:rPr>
      </w:pPr>
      <w:r w:rsidRPr="001E7829">
        <w:rPr>
          <w:rFonts w:ascii="Times New Roman" w:hAnsi="Times New Roman" w:cs="Times New Roman"/>
          <w:color w:val="auto"/>
          <w:sz w:val="24"/>
        </w:rPr>
        <w:lastRenderedPageBreak/>
        <w:fldChar w:fldCharType="begin"/>
      </w:r>
      <w:r w:rsidR="00454C38" w:rsidRPr="001E7829">
        <w:rPr>
          <w:rFonts w:ascii="Times New Roman" w:hAnsi="Times New Roman" w:cs="Times New Roman"/>
          <w:color w:val="auto"/>
          <w:sz w:val="24"/>
        </w:rPr>
        <w:instrText xml:space="preserve"> SEQ Tabulka \* ARABIC </w:instrText>
      </w:r>
      <w:r w:rsidRPr="001E7829">
        <w:rPr>
          <w:rFonts w:ascii="Times New Roman" w:hAnsi="Times New Roman" w:cs="Times New Roman"/>
          <w:color w:val="auto"/>
          <w:sz w:val="24"/>
        </w:rPr>
        <w:fldChar w:fldCharType="separate"/>
      </w:r>
      <w:bookmarkStart w:id="82" w:name="_Toc445910436"/>
      <w:r w:rsidR="00454C38" w:rsidRPr="001E7829">
        <w:rPr>
          <w:rFonts w:ascii="Times New Roman" w:hAnsi="Times New Roman" w:cs="Times New Roman"/>
          <w:noProof/>
          <w:color w:val="auto"/>
          <w:sz w:val="24"/>
        </w:rPr>
        <w:t>6</w:t>
      </w:r>
      <w:r w:rsidRPr="001E7829">
        <w:rPr>
          <w:rFonts w:ascii="Times New Roman" w:hAnsi="Times New Roman" w:cs="Times New Roman"/>
          <w:color w:val="auto"/>
          <w:sz w:val="24"/>
        </w:rPr>
        <w:fldChar w:fldCharType="end"/>
      </w:r>
      <w:r w:rsidR="00454C38" w:rsidRPr="001E7829">
        <w:rPr>
          <w:rFonts w:ascii="Times New Roman" w:hAnsi="Times New Roman" w:cs="Times New Roman"/>
          <w:color w:val="auto"/>
          <w:sz w:val="24"/>
        </w:rPr>
        <w:t>. Plnění kritéria cenové stability</w:t>
      </w:r>
      <w:bookmarkEnd w:id="82"/>
    </w:p>
    <w:tbl>
      <w:tblPr>
        <w:tblStyle w:val="Mkatabulky"/>
        <w:tblW w:w="5000" w:type="pct"/>
        <w:tblLook w:val="04A0" w:firstRow="1" w:lastRow="0" w:firstColumn="1" w:lastColumn="0" w:noHBand="0" w:noVBand="1"/>
      </w:tblPr>
      <w:tblGrid>
        <w:gridCol w:w="1773"/>
        <w:gridCol w:w="580"/>
        <w:gridCol w:w="563"/>
        <w:gridCol w:w="579"/>
        <w:gridCol w:w="579"/>
        <w:gridCol w:w="579"/>
        <w:gridCol w:w="579"/>
        <w:gridCol w:w="579"/>
        <w:gridCol w:w="579"/>
        <w:gridCol w:w="579"/>
        <w:gridCol w:w="579"/>
        <w:gridCol w:w="605"/>
      </w:tblGrid>
      <w:tr w:rsidR="0021092E" w:rsidRPr="001E7829" w:rsidTr="00A8485D">
        <w:tc>
          <w:tcPr>
            <w:tcW w:w="1087" w:type="pct"/>
            <w:tcBorders>
              <w:bottom w:val="single" w:sz="18" w:space="0" w:color="auto"/>
              <w:right w:val="single" w:sz="18" w:space="0" w:color="auto"/>
            </w:tcBorders>
            <w:vAlign w:val="center"/>
          </w:tcPr>
          <w:p w:rsidR="0021092E" w:rsidRPr="001E7829" w:rsidRDefault="0021092E" w:rsidP="00E418A6">
            <w:pPr>
              <w:jc w:val="center"/>
              <w:rPr>
                <w:rFonts w:ascii="Times New Roman" w:hAnsi="Times New Roman" w:cs="Times New Roman"/>
              </w:rPr>
            </w:pPr>
          </w:p>
        </w:tc>
        <w:tc>
          <w:tcPr>
            <w:tcW w:w="356" w:type="pct"/>
            <w:tcBorders>
              <w:left w:val="single" w:sz="18" w:space="0" w:color="auto"/>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04</w:t>
            </w:r>
          </w:p>
        </w:tc>
        <w:tc>
          <w:tcPr>
            <w:tcW w:w="34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05</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06</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07</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08</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09</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10</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11</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12</w:t>
            </w:r>
          </w:p>
        </w:tc>
        <w:tc>
          <w:tcPr>
            <w:tcW w:w="355"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13</w:t>
            </w:r>
          </w:p>
        </w:tc>
        <w:tc>
          <w:tcPr>
            <w:tcW w:w="371" w:type="pct"/>
            <w:tcBorders>
              <w:bottom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14</w:t>
            </w:r>
          </w:p>
        </w:tc>
      </w:tr>
      <w:tr w:rsidR="0021092E" w:rsidRPr="001E7829" w:rsidTr="00A8485D">
        <w:tc>
          <w:tcPr>
            <w:tcW w:w="1087" w:type="pct"/>
            <w:tcBorders>
              <w:top w:val="single" w:sz="18" w:space="0" w:color="auto"/>
              <w:right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Průměr zemí</w:t>
            </w:r>
          </w:p>
        </w:tc>
        <w:tc>
          <w:tcPr>
            <w:tcW w:w="356" w:type="pct"/>
            <w:tcBorders>
              <w:top w:val="single" w:sz="18" w:space="0" w:color="auto"/>
              <w:left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0.7</w:t>
            </w:r>
          </w:p>
        </w:tc>
        <w:tc>
          <w:tcPr>
            <w:tcW w:w="34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1.0</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1.4</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1.3</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2.6</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0.0</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0.9</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1.6</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1.6</w:t>
            </w:r>
          </w:p>
        </w:tc>
        <w:tc>
          <w:tcPr>
            <w:tcW w:w="355"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0.3</w:t>
            </w:r>
          </w:p>
        </w:tc>
        <w:tc>
          <w:tcPr>
            <w:tcW w:w="371" w:type="pct"/>
            <w:tcBorders>
              <w:top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-0.2</w:t>
            </w:r>
          </w:p>
        </w:tc>
      </w:tr>
      <w:tr w:rsidR="0021092E" w:rsidRPr="001E7829" w:rsidTr="00A8485D">
        <w:tc>
          <w:tcPr>
            <w:tcW w:w="1087" w:type="pct"/>
            <w:tcBorders>
              <w:right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Hodnota kritéria</w:t>
            </w:r>
          </w:p>
        </w:tc>
        <w:tc>
          <w:tcPr>
            <w:tcW w:w="356" w:type="pct"/>
            <w:tcBorders>
              <w:left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2.2</w:t>
            </w:r>
          </w:p>
        </w:tc>
        <w:tc>
          <w:tcPr>
            <w:tcW w:w="34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2.5</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2.9</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2.8</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4.1</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1.5</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2.4</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3.1</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3.1</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1.8</w:t>
            </w:r>
          </w:p>
        </w:tc>
        <w:tc>
          <w:tcPr>
            <w:tcW w:w="371"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1.3</w:t>
            </w:r>
          </w:p>
        </w:tc>
      </w:tr>
      <w:tr w:rsidR="0021092E" w:rsidRPr="001E7829" w:rsidTr="00A8485D">
        <w:tc>
          <w:tcPr>
            <w:tcW w:w="1087" w:type="pct"/>
            <w:tcBorders>
              <w:right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ČR</w:t>
            </w:r>
          </w:p>
        </w:tc>
        <w:tc>
          <w:tcPr>
            <w:tcW w:w="356" w:type="pct"/>
            <w:tcBorders>
              <w:left w:val="single" w:sz="18" w:space="0" w:color="auto"/>
            </w:tcBorders>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2.6</w:t>
            </w:r>
          </w:p>
        </w:tc>
        <w:tc>
          <w:tcPr>
            <w:tcW w:w="34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1.6</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2.1</w:t>
            </w:r>
          </w:p>
        </w:tc>
        <w:tc>
          <w:tcPr>
            <w:tcW w:w="35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3.0</w:t>
            </w:r>
          </w:p>
        </w:tc>
        <w:tc>
          <w:tcPr>
            <w:tcW w:w="35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6.3</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0.6</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1.2</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2.1</w:t>
            </w:r>
          </w:p>
        </w:tc>
        <w:tc>
          <w:tcPr>
            <w:tcW w:w="35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3.5</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1.4</w:t>
            </w:r>
          </w:p>
        </w:tc>
        <w:tc>
          <w:tcPr>
            <w:tcW w:w="371"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0.4</w:t>
            </w:r>
          </w:p>
        </w:tc>
      </w:tr>
      <w:tr w:rsidR="0021092E" w:rsidRPr="001E7829" w:rsidTr="00A8485D">
        <w:tc>
          <w:tcPr>
            <w:tcW w:w="1087" w:type="pct"/>
            <w:tcBorders>
              <w:right w:val="single" w:sz="18" w:space="0" w:color="auto"/>
            </w:tcBorders>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Slovensko</w:t>
            </w:r>
          </w:p>
        </w:tc>
        <w:tc>
          <w:tcPr>
            <w:tcW w:w="356" w:type="pct"/>
            <w:tcBorders>
              <w:left w:val="single" w:sz="18" w:space="0" w:color="auto"/>
            </w:tcBorders>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7.5</w:t>
            </w:r>
          </w:p>
        </w:tc>
        <w:tc>
          <w:tcPr>
            <w:tcW w:w="34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2.8</w:t>
            </w:r>
          </w:p>
        </w:tc>
        <w:tc>
          <w:tcPr>
            <w:tcW w:w="35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4.3</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1.9</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3.9</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0.9</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0.7</w:t>
            </w:r>
          </w:p>
        </w:tc>
        <w:tc>
          <w:tcPr>
            <w:tcW w:w="35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4.1</w:t>
            </w:r>
          </w:p>
        </w:tc>
        <w:tc>
          <w:tcPr>
            <w:tcW w:w="355" w:type="pct"/>
            <w:vAlign w:val="center"/>
          </w:tcPr>
          <w:p w:rsidR="0021092E" w:rsidRPr="001E7829" w:rsidRDefault="0021092E" w:rsidP="00E418A6">
            <w:pPr>
              <w:jc w:val="center"/>
              <w:rPr>
                <w:rFonts w:ascii="Times New Roman" w:hAnsi="Times New Roman" w:cs="Times New Roman"/>
                <w:b/>
              </w:rPr>
            </w:pPr>
            <w:r w:rsidRPr="001E7829">
              <w:rPr>
                <w:rFonts w:ascii="Times New Roman" w:hAnsi="Times New Roman" w:cs="Times New Roman"/>
                <w:b/>
              </w:rPr>
              <w:t>3.7</w:t>
            </w:r>
          </w:p>
        </w:tc>
        <w:tc>
          <w:tcPr>
            <w:tcW w:w="355"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1.5</w:t>
            </w:r>
          </w:p>
        </w:tc>
        <w:tc>
          <w:tcPr>
            <w:tcW w:w="371" w:type="pct"/>
            <w:vAlign w:val="center"/>
          </w:tcPr>
          <w:p w:rsidR="0021092E" w:rsidRPr="001E7829" w:rsidRDefault="0021092E" w:rsidP="00E418A6">
            <w:pPr>
              <w:jc w:val="center"/>
              <w:rPr>
                <w:rFonts w:ascii="Times New Roman" w:hAnsi="Times New Roman" w:cs="Times New Roman"/>
              </w:rPr>
            </w:pPr>
            <w:r w:rsidRPr="001E7829">
              <w:rPr>
                <w:rFonts w:ascii="Times New Roman" w:hAnsi="Times New Roman" w:cs="Times New Roman"/>
              </w:rPr>
              <w:t>-0.1</w:t>
            </w:r>
          </w:p>
        </w:tc>
      </w:tr>
    </w:tbl>
    <w:p w:rsidR="00792E04" w:rsidRPr="001E7829" w:rsidRDefault="00726F0F" w:rsidP="00726F0F">
      <w:pPr>
        <w:spacing w:before="120"/>
        <w:rPr>
          <w:rFonts w:ascii="Times New Roman" w:hAnsi="Times New Roman" w:cs="Times New Roman"/>
        </w:rPr>
      </w:pPr>
      <w:r w:rsidRPr="001E7829">
        <w:rPr>
          <w:rFonts w:ascii="Times New Roman" w:hAnsi="Times New Roman" w:cs="Times New Roman"/>
        </w:rPr>
        <w:t xml:space="preserve">Zdroj: </w:t>
      </w:r>
      <w:proofErr w:type="spellStart"/>
      <w:r w:rsidRPr="001E7829">
        <w:rPr>
          <w:rFonts w:ascii="Times New Roman" w:hAnsi="Times New Roman" w:cs="Times New Roman"/>
        </w:rPr>
        <w:t>Eurostat</w:t>
      </w:r>
      <w:proofErr w:type="spellEnd"/>
      <w:r w:rsidRPr="001E7829">
        <w:rPr>
          <w:rFonts w:ascii="Times New Roman" w:hAnsi="Times New Roman" w:cs="Times New Roman"/>
        </w:rPr>
        <w:t>, Vyhodnocení plnění maastrichtských konvergenčních kritérií a stupně ekonomické sladěnosti ČR s eurozónou z jednotlivých let.</w:t>
      </w:r>
    </w:p>
    <w:p w:rsidR="006E2E9F" w:rsidRPr="001E7829" w:rsidRDefault="006E2E9F" w:rsidP="00726F0F">
      <w:pPr>
        <w:spacing w:before="120"/>
        <w:rPr>
          <w:rFonts w:ascii="Times New Roman" w:hAnsi="Times New Roman" w:cs="Times New Roman"/>
        </w:rPr>
      </w:pPr>
    </w:p>
    <w:p w:rsidR="00726F0F" w:rsidRPr="001E7829" w:rsidRDefault="00027626" w:rsidP="00B40EB7">
      <w:pPr>
        <w:pStyle w:val="Prvn"/>
        <w:rPr>
          <w:rFonts w:cs="Times New Roman"/>
        </w:rPr>
      </w:pPr>
      <w:r w:rsidRPr="001E7829">
        <w:rPr>
          <w:rFonts w:cs="Times New Roman"/>
        </w:rPr>
        <w:t xml:space="preserve">V tabulce můžeme vidět, že ČR neplnila kritérium cenové stability v letech 2004, 2007, 2008 a 2012 (tučně vyznačeno). </w:t>
      </w:r>
      <w:r w:rsidR="00AC25C1" w:rsidRPr="001E7829">
        <w:rPr>
          <w:rFonts w:cs="Times New Roman"/>
        </w:rPr>
        <w:t>V roce 2004 byl důvodem přechodný nárůst inflace po vstupu do EU spolu s dezinflačními šoky v některých zemích unie, které srazily referenční hodnotu kritéria na relativně nízkou úroveň.</w:t>
      </w:r>
      <w:r w:rsidR="00AC25C1" w:rsidRPr="001E7829">
        <w:rPr>
          <w:rStyle w:val="Znakapoznpodarou"/>
          <w:rFonts w:cs="Times New Roman"/>
        </w:rPr>
        <w:footnoteReference w:id="217"/>
      </w:r>
      <w:r w:rsidR="00AC25C1" w:rsidRPr="001E7829">
        <w:rPr>
          <w:rFonts w:cs="Times New Roman"/>
        </w:rPr>
        <w:t xml:space="preserve"> V roce 2007 stály za neúspěchem exogenní faktory v podobě nárůstu světových cen především ropy a potravin, ke kterému se v následujícím roce přidala proinflačně působící administrativní opatření, jako například zvýšení snížené sazby DPH z</w:t>
      </w:r>
      <w:r w:rsidR="0052715A" w:rsidRPr="001E7829">
        <w:rPr>
          <w:rFonts w:cs="Times New Roman"/>
        </w:rPr>
        <w:t> </w:t>
      </w:r>
      <w:r w:rsidR="00AC25C1" w:rsidRPr="001E7829">
        <w:rPr>
          <w:rFonts w:cs="Times New Roman"/>
        </w:rPr>
        <w:t>5</w:t>
      </w:r>
      <w:r w:rsidR="0052715A" w:rsidRPr="001E7829">
        <w:rPr>
          <w:rFonts w:cs="Times New Roman"/>
        </w:rPr>
        <w:t xml:space="preserve"> </w:t>
      </w:r>
      <w:r w:rsidR="00AC25C1" w:rsidRPr="001E7829">
        <w:rPr>
          <w:rFonts w:cs="Times New Roman"/>
        </w:rPr>
        <w:t>% na 9</w:t>
      </w:r>
      <w:r w:rsidR="0052715A" w:rsidRPr="001E7829">
        <w:rPr>
          <w:rFonts w:cs="Times New Roman"/>
        </w:rPr>
        <w:t xml:space="preserve"> </w:t>
      </w:r>
      <w:r w:rsidR="00AC25C1" w:rsidRPr="001E7829">
        <w:rPr>
          <w:rFonts w:cs="Times New Roman"/>
        </w:rPr>
        <w:t>%, zavedení ekologických daní, poplatků ve zdravotnictví</w:t>
      </w:r>
      <w:r w:rsidR="003A69FB" w:rsidRPr="001E7829">
        <w:rPr>
          <w:rFonts w:cs="Times New Roman"/>
        </w:rPr>
        <w:t xml:space="preserve"> a zvýšení spotřebních daní (podle ČNB a Ministerstva financí měla tato opatření až šedesátiprocentní podíl na zvýšení spotřebitelských cen v roce 2008).</w:t>
      </w:r>
      <w:r w:rsidR="003A69FB" w:rsidRPr="001E7829">
        <w:rPr>
          <w:rStyle w:val="Znakapoznpodarou"/>
          <w:rFonts w:cs="Times New Roman"/>
        </w:rPr>
        <w:footnoteReference w:id="218"/>
      </w:r>
      <w:r w:rsidR="003A69FB" w:rsidRPr="001E7829">
        <w:rPr>
          <w:rFonts w:cs="Times New Roman"/>
        </w:rPr>
        <w:t xml:space="preserve"> Z v podstatě totožných důvodů se</w:t>
      </w:r>
      <w:r w:rsidR="002832E8" w:rsidRPr="001E7829">
        <w:rPr>
          <w:rFonts w:cs="Times New Roman"/>
        </w:rPr>
        <w:t xml:space="preserve"> pak</w:t>
      </w:r>
      <w:r w:rsidR="003A69FB" w:rsidRPr="001E7829">
        <w:rPr>
          <w:rFonts w:cs="Times New Roman"/>
        </w:rPr>
        <w:t xml:space="preserve"> neplnilo kritérium ani v roce 2012</w:t>
      </w:r>
      <w:r w:rsidR="007F18A0" w:rsidRPr="001E7829">
        <w:rPr>
          <w:rFonts w:cs="Times New Roman"/>
        </w:rPr>
        <w:t>, kde na inflaci navíc působil ještě poměrně výrazný růst regulovaných cen</w:t>
      </w:r>
      <w:r w:rsidR="00EF3854" w:rsidRPr="001E7829">
        <w:rPr>
          <w:rFonts w:cs="Times New Roman"/>
        </w:rPr>
        <w:t xml:space="preserve"> či dočasně slabší nominální směnný kurz</w:t>
      </w:r>
      <w:r w:rsidR="002832E8" w:rsidRPr="001E7829">
        <w:rPr>
          <w:rFonts w:cs="Times New Roman"/>
        </w:rPr>
        <w:t>.</w:t>
      </w:r>
      <w:r w:rsidR="00450725" w:rsidRPr="001E7829">
        <w:rPr>
          <w:rStyle w:val="Znakapoznpodarou"/>
          <w:rFonts w:cs="Times New Roman"/>
        </w:rPr>
        <w:footnoteReference w:id="219"/>
      </w:r>
    </w:p>
    <w:p w:rsidR="002832E8" w:rsidRPr="001E7829" w:rsidRDefault="005C7E43" w:rsidP="000756F7">
      <w:pPr>
        <w:pStyle w:val="Druh"/>
        <w:rPr>
          <w:rFonts w:cs="Times New Roman"/>
        </w:rPr>
      </w:pPr>
      <w:r w:rsidRPr="001E7829">
        <w:rPr>
          <w:rFonts w:cs="Times New Roman"/>
        </w:rPr>
        <w:t>Neúspěchy v plnění kritéria cenové stability tedy</w:t>
      </w:r>
      <w:r w:rsidR="00EF3854" w:rsidRPr="001E7829">
        <w:rPr>
          <w:rFonts w:cs="Times New Roman"/>
        </w:rPr>
        <w:t xml:space="preserve"> byly</w:t>
      </w:r>
      <w:r w:rsidRPr="001E7829">
        <w:rPr>
          <w:rFonts w:cs="Times New Roman"/>
        </w:rPr>
        <w:t xml:space="preserve"> v podstatě vždy způsobeny faktory, které nemohla ČNB ovlivnit</w:t>
      </w:r>
      <w:r w:rsidR="00EF3854" w:rsidRPr="001E7829">
        <w:rPr>
          <w:rFonts w:cs="Times New Roman"/>
        </w:rPr>
        <w:t xml:space="preserve"> a v podstatě ani předvídat. Otázkou zůstává, zda přesto nemohla obstát lépe v plánování </w:t>
      </w:r>
      <w:r w:rsidR="0087769F" w:rsidRPr="001E7829">
        <w:rPr>
          <w:rFonts w:cs="Times New Roman"/>
        </w:rPr>
        <w:t xml:space="preserve">monetární politiky. Od ledna 2006 až do ledna 2010 byl totiž v účinnosti inflační cíl z roku 2004 </w:t>
      </w:r>
      <w:r w:rsidR="00EF3854" w:rsidRPr="001E7829">
        <w:rPr>
          <w:rFonts w:cs="Times New Roman"/>
        </w:rPr>
        <w:t>s cílovou hodnotou 3</w:t>
      </w:r>
      <w:r w:rsidR="0052715A" w:rsidRPr="001E7829">
        <w:rPr>
          <w:rFonts w:cs="Times New Roman"/>
        </w:rPr>
        <w:t xml:space="preserve"> </w:t>
      </w:r>
      <w:r w:rsidR="00EF3854" w:rsidRPr="001E7829">
        <w:rPr>
          <w:rFonts w:cs="Times New Roman"/>
        </w:rPr>
        <w:t>% a tolerančním pásmem ±</w:t>
      </w:r>
      <w:r w:rsidR="006E2E9F" w:rsidRPr="001E7829">
        <w:rPr>
          <w:rFonts w:cs="Times New Roman"/>
        </w:rPr>
        <w:t xml:space="preserve"> </w:t>
      </w:r>
      <w:r w:rsidR="00EF3854" w:rsidRPr="001E7829">
        <w:rPr>
          <w:rFonts w:cs="Times New Roman"/>
        </w:rPr>
        <w:t xml:space="preserve">1 procentní bod. </w:t>
      </w:r>
      <w:r w:rsidR="0087769F" w:rsidRPr="001E7829">
        <w:rPr>
          <w:rFonts w:cs="Times New Roman"/>
        </w:rPr>
        <w:t xml:space="preserve">V dokumentu </w:t>
      </w:r>
      <w:r w:rsidR="0087769F" w:rsidRPr="001E7829">
        <w:rPr>
          <w:rFonts w:cs="Times New Roman"/>
        </w:rPr>
        <w:lastRenderedPageBreak/>
        <w:t>bylo uvedeno, že takto stanovený cíl je dobrým východiskem pro budoucí plnění konvergenčních kritérií</w:t>
      </w:r>
      <w:r w:rsidR="00A74218" w:rsidRPr="001E7829">
        <w:rPr>
          <w:rFonts w:cs="Times New Roman"/>
        </w:rPr>
        <w:t>,</w:t>
      </w:r>
      <w:r w:rsidR="00F3270F" w:rsidRPr="001E7829">
        <w:rPr>
          <w:rStyle w:val="Znakapoznpodarou"/>
          <w:rFonts w:cs="Times New Roman"/>
        </w:rPr>
        <w:footnoteReference w:id="220"/>
      </w:r>
      <w:r w:rsidR="0087769F" w:rsidRPr="001E7829">
        <w:rPr>
          <w:rFonts w:cs="Times New Roman"/>
        </w:rPr>
        <w:t xml:space="preserve"> jak jsme však mohli vidět, </w:t>
      </w:r>
      <w:r w:rsidR="00DB08FF" w:rsidRPr="001E7829">
        <w:rPr>
          <w:rFonts w:cs="Times New Roman"/>
        </w:rPr>
        <w:t>mimo výjimečných let, kdy byla hodnota kritéria velmi vysoká,</w:t>
      </w:r>
      <w:r w:rsidR="00AA7CA0" w:rsidRPr="001E7829">
        <w:rPr>
          <w:rFonts w:cs="Times New Roman"/>
        </w:rPr>
        <w:t xml:space="preserve"> </w:t>
      </w:r>
      <w:r w:rsidR="00DB08FF" w:rsidRPr="001E7829">
        <w:rPr>
          <w:rFonts w:cs="Times New Roman"/>
        </w:rPr>
        <w:t xml:space="preserve">by </w:t>
      </w:r>
      <w:r w:rsidR="00F76AE3" w:rsidRPr="001E7829">
        <w:rPr>
          <w:rFonts w:cs="Times New Roman"/>
        </w:rPr>
        <w:t>splnění cíle</w:t>
      </w:r>
      <w:r w:rsidR="00DB08FF" w:rsidRPr="001E7829">
        <w:rPr>
          <w:rFonts w:cs="Times New Roman"/>
        </w:rPr>
        <w:t xml:space="preserve"> současně znamenalo nesplnění kritéria. Samozřejmě je třeba zohlednit, že </w:t>
      </w:r>
      <w:r w:rsidR="00F76AE3" w:rsidRPr="001E7829">
        <w:rPr>
          <w:rFonts w:cs="Times New Roman"/>
        </w:rPr>
        <w:t>k měření inflace v české ekonomice a ke stanovení kritéria se používá rozdílně formulovaných</w:t>
      </w:r>
      <w:r w:rsidR="005A2F3E" w:rsidRPr="001E7829">
        <w:rPr>
          <w:rFonts w:cs="Times New Roman"/>
        </w:rPr>
        <w:t xml:space="preserve"> indexů spotřebitelských cen, a</w:t>
      </w:r>
      <w:r w:rsidR="00DB08FF" w:rsidRPr="001E7829">
        <w:rPr>
          <w:rFonts w:cs="Times New Roman"/>
        </w:rPr>
        <w:t xml:space="preserve"> podle dat ČSÚ se </w:t>
      </w:r>
      <w:r w:rsidR="005A2F3E" w:rsidRPr="001E7829">
        <w:rPr>
          <w:rFonts w:cs="Times New Roman"/>
        </w:rPr>
        <w:t>skutečně</w:t>
      </w:r>
      <w:r w:rsidR="00DB08FF" w:rsidRPr="001E7829">
        <w:rPr>
          <w:rFonts w:cs="Times New Roman"/>
        </w:rPr>
        <w:t xml:space="preserve"> hodnoty inflace v</w:t>
      </w:r>
      <w:r w:rsidR="00AA7CA0" w:rsidRPr="001E7829">
        <w:rPr>
          <w:rFonts w:cs="Times New Roman"/>
        </w:rPr>
        <w:t> </w:t>
      </w:r>
      <w:r w:rsidR="005A2F3E" w:rsidRPr="001E7829">
        <w:rPr>
          <w:rFonts w:cs="Times New Roman"/>
        </w:rPr>
        <w:t>národním</w:t>
      </w:r>
      <w:r w:rsidR="00AA7CA0" w:rsidRPr="001E7829">
        <w:rPr>
          <w:rFonts w:cs="Times New Roman"/>
        </w:rPr>
        <w:t xml:space="preserve"> </w:t>
      </w:r>
      <w:proofErr w:type="gramStart"/>
      <w:r w:rsidR="00F76AE3" w:rsidRPr="001E7829">
        <w:rPr>
          <w:rFonts w:cs="Times New Roman"/>
        </w:rPr>
        <w:t>CPI</w:t>
      </w:r>
      <w:proofErr w:type="gramEnd"/>
      <w:r w:rsidR="00DB08FF" w:rsidRPr="001E7829">
        <w:rPr>
          <w:rFonts w:cs="Times New Roman"/>
        </w:rPr>
        <w:t xml:space="preserve"> po většinu těchto let </w:t>
      </w:r>
      <w:proofErr w:type="gramStart"/>
      <w:r w:rsidR="00DB08FF" w:rsidRPr="001E7829">
        <w:rPr>
          <w:rFonts w:cs="Times New Roman"/>
        </w:rPr>
        <w:t>pohybovaly</w:t>
      </w:r>
      <w:proofErr w:type="gramEnd"/>
      <w:r w:rsidR="00DB08FF" w:rsidRPr="001E7829">
        <w:rPr>
          <w:rFonts w:cs="Times New Roman"/>
        </w:rPr>
        <w:t xml:space="preserve"> lehce nad úrovní inflace měřené</w:t>
      </w:r>
      <w:r w:rsidR="00F76AE3" w:rsidRPr="001E7829">
        <w:rPr>
          <w:rFonts w:cs="Times New Roman"/>
        </w:rPr>
        <w:t xml:space="preserve"> v</w:t>
      </w:r>
      <w:r w:rsidR="00DB08FF" w:rsidRPr="001E7829">
        <w:rPr>
          <w:rFonts w:cs="Times New Roman"/>
        </w:rPr>
        <w:t xml:space="preserve"> HICP</w:t>
      </w:r>
      <w:r w:rsidR="005A2F3E" w:rsidRPr="001E7829">
        <w:rPr>
          <w:rFonts w:cs="Times New Roman"/>
        </w:rPr>
        <w:t>.</w:t>
      </w:r>
      <w:r w:rsidR="008F5506" w:rsidRPr="001E7829">
        <w:rPr>
          <w:rStyle w:val="Znakapoznpodarou"/>
          <w:rFonts w:cs="Times New Roman"/>
        </w:rPr>
        <w:footnoteReference w:id="221"/>
      </w:r>
      <w:r w:rsidR="005A2F3E" w:rsidRPr="001E7829">
        <w:rPr>
          <w:rFonts w:cs="Times New Roman"/>
        </w:rPr>
        <w:t xml:space="preserve"> Lepším výsledkům při plnění kritéria by však jednoznačně prospěl inflační cíl, který by nemířil na samotnou horní hranici referenčních hodnot, ale vytvářel větší rezervu. Takový cíl nabyl účinnosti až v roce 2010 (2</w:t>
      </w:r>
      <w:r w:rsidR="0052715A" w:rsidRPr="001E7829">
        <w:rPr>
          <w:rFonts w:cs="Times New Roman"/>
        </w:rPr>
        <w:t xml:space="preserve"> </w:t>
      </w:r>
      <w:r w:rsidR="005A2F3E" w:rsidRPr="001E7829">
        <w:rPr>
          <w:rFonts w:cs="Times New Roman"/>
        </w:rPr>
        <w:t>% s tolerančním pásmem ± 1</w:t>
      </w:r>
      <w:r w:rsidR="0052715A" w:rsidRPr="001E7829">
        <w:rPr>
          <w:rFonts w:cs="Times New Roman"/>
        </w:rPr>
        <w:t xml:space="preserve"> </w:t>
      </w:r>
      <w:r w:rsidR="005A2F3E" w:rsidRPr="001E7829">
        <w:rPr>
          <w:rFonts w:cs="Times New Roman"/>
        </w:rPr>
        <w:t xml:space="preserve">%). </w:t>
      </w:r>
      <w:r w:rsidR="005A5F7E" w:rsidRPr="001E7829">
        <w:rPr>
          <w:rFonts w:cs="Times New Roman"/>
        </w:rPr>
        <w:t xml:space="preserve">ČNB jej vyhlásila v roce 2007 a ve Vyhodnoceních bylo od té doby deklarováno, že by měl skutečně přispět k větší budoucí jistotě v dodržování kritéria, což se až na výjimky naplnilo. Je tedy pravda, že cíl z roku 2004 k měřitelné konvergenci v oblasti inflace pravděpodobně nepřispíval tolik, jako cíl pozdější, podle mého názoru však nejde jednoznačně rozhodnout o chybě </w:t>
      </w:r>
      <w:r w:rsidR="00F3270F" w:rsidRPr="001E7829">
        <w:rPr>
          <w:rFonts w:cs="Times New Roman"/>
        </w:rPr>
        <w:t>ČNB. Tento první cíl totiž kontinuálně navazoval na cíl předchozí, který měl podobu rovnoměrně klesajícího průběžného pásma, které v prosinci roku 2005 skončilo na hodnotách 2 – 4</w:t>
      </w:r>
      <w:r w:rsidR="00AA7CA0" w:rsidRPr="001E7829">
        <w:rPr>
          <w:rFonts w:cs="Times New Roman"/>
        </w:rPr>
        <w:t xml:space="preserve"> </w:t>
      </w:r>
      <w:r w:rsidR="00F3270F" w:rsidRPr="001E7829">
        <w:rPr>
          <w:rFonts w:cs="Times New Roman"/>
        </w:rPr>
        <w:t>%. Hodnota cíle 3</w:t>
      </w:r>
      <w:r w:rsidR="004E7289" w:rsidRPr="001E7829">
        <w:rPr>
          <w:rFonts w:cs="Times New Roman"/>
        </w:rPr>
        <w:t> </w:t>
      </w:r>
      <w:r w:rsidR="00F3270F" w:rsidRPr="001E7829">
        <w:rPr>
          <w:rFonts w:cs="Times New Roman"/>
        </w:rPr>
        <w:t>% tedy byla opodstatněná přechodem z minulého období.</w:t>
      </w:r>
    </w:p>
    <w:p w:rsidR="00DE7648" w:rsidRPr="001E7829" w:rsidRDefault="00DE7648" w:rsidP="000756F7">
      <w:pPr>
        <w:pStyle w:val="Druh"/>
        <w:rPr>
          <w:rFonts w:cs="Times New Roman"/>
        </w:rPr>
      </w:pPr>
      <w:r w:rsidRPr="001E7829">
        <w:rPr>
          <w:rFonts w:cs="Times New Roman"/>
        </w:rPr>
        <w:t>Pro Slovensko mělo plnění kritérií význam do roku 2008, který byl posledním rokem našeho východního souseda mimo eurozónu.</w:t>
      </w:r>
      <w:r w:rsidR="0010499B" w:rsidRPr="001E7829">
        <w:rPr>
          <w:rFonts w:cs="Times New Roman"/>
        </w:rPr>
        <w:t xml:space="preserve"> V období mezi lety 2004 a 2008 plnila země kritérium pouze dvakrát, a to v letech 2007 a 2008, které těsně předcházely přijetí eura. V ostatních letech se inflace pohybovala často relativně vysoko nad hodnotou kritéria.</w:t>
      </w:r>
    </w:p>
    <w:p w:rsidR="000844F9" w:rsidRPr="001E7829" w:rsidRDefault="0010499B" w:rsidP="000756F7">
      <w:pPr>
        <w:pStyle w:val="Druh"/>
        <w:rPr>
          <w:rFonts w:cs="Times New Roman"/>
        </w:rPr>
      </w:pPr>
      <w:r w:rsidRPr="001E7829">
        <w:rPr>
          <w:rFonts w:cs="Times New Roman"/>
        </w:rPr>
        <w:t>Nyní přejděme</w:t>
      </w:r>
      <w:r w:rsidR="000844F9" w:rsidRPr="001E7829">
        <w:rPr>
          <w:rFonts w:cs="Times New Roman"/>
        </w:rPr>
        <w:t xml:space="preserve"> k dalšímu konvergenčnímu kritériu, kterým je</w:t>
      </w:r>
      <w:r w:rsidR="00E6422F" w:rsidRPr="001E7829">
        <w:rPr>
          <w:rFonts w:cs="Times New Roman"/>
        </w:rPr>
        <w:t xml:space="preserve"> úspěšná</w:t>
      </w:r>
      <w:r w:rsidR="00946477" w:rsidRPr="001E7829">
        <w:rPr>
          <w:rFonts w:cs="Times New Roman"/>
        </w:rPr>
        <w:t xml:space="preserve"> účast v mechanismu směnných kurzů</w:t>
      </w:r>
      <w:r w:rsidR="00E6422F" w:rsidRPr="001E7829">
        <w:rPr>
          <w:rFonts w:cs="Times New Roman"/>
        </w:rPr>
        <w:t xml:space="preserve"> (tzv. mechanismus ERM II)</w:t>
      </w:r>
      <w:r w:rsidR="00946477" w:rsidRPr="001E7829">
        <w:rPr>
          <w:rFonts w:cs="Times New Roman"/>
        </w:rPr>
        <w:t xml:space="preserve">. To je opět definováno čl. 140 odst. 1 SFEU, který říká, že vyžaduje </w:t>
      </w:r>
      <w:r w:rsidR="00D15C7A" w:rsidRPr="001E7829">
        <w:rPr>
          <w:rFonts w:cs="Times New Roman"/>
        </w:rPr>
        <w:t>„</w:t>
      </w:r>
      <w:r w:rsidR="00946477" w:rsidRPr="001E7829">
        <w:rPr>
          <w:rFonts w:cs="Times New Roman"/>
          <w:i/>
        </w:rPr>
        <w:t>dodržování normálního fluktuačního rozpětí</w:t>
      </w:r>
      <w:r w:rsidR="00A74218" w:rsidRPr="001E7829">
        <w:rPr>
          <w:rFonts w:cs="Times New Roman"/>
          <w:i/>
        </w:rPr>
        <w:t xml:space="preserve"> </w:t>
      </w:r>
      <w:r w:rsidR="00946477" w:rsidRPr="001E7829">
        <w:rPr>
          <w:rFonts w:cs="Times New Roman"/>
          <w:i/>
        </w:rPr>
        <w:t>stanoveného mechanismem měnových kurzů Evropského měnového systému po dobu alespoň</w:t>
      </w:r>
      <w:r w:rsidR="00A74218" w:rsidRPr="001E7829">
        <w:rPr>
          <w:rFonts w:cs="Times New Roman"/>
          <w:i/>
        </w:rPr>
        <w:t xml:space="preserve"> </w:t>
      </w:r>
      <w:r w:rsidR="00946477" w:rsidRPr="001E7829">
        <w:rPr>
          <w:rFonts w:cs="Times New Roman"/>
          <w:i/>
        </w:rPr>
        <w:t>dvou let, aniž by došlo k devalvaci vůči euru</w:t>
      </w:r>
      <w:r w:rsidR="00D15C7A" w:rsidRPr="001E7829">
        <w:rPr>
          <w:rFonts w:cs="Times New Roman"/>
        </w:rPr>
        <w:t>“</w:t>
      </w:r>
      <w:r w:rsidR="00D15C7A" w:rsidRPr="001E7829">
        <w:rPr>
          <w:rFonts w:cs="Times New Roman"/>
          <w:color w:val="000000"/>
          <w:sz w:val="18"/>
          <w:szCs w:val="18"/>
        </w:rPr>
        <w:t xml:space="preserve">. </w:t>
      </w:r>
      <w:r w:rsidR="00D15C7A" w:rsidRPr="001E7829">
        <w:rPr>
          <w:rFonts w:cs="Times New Roman"/>
        </w:rPr>
        <w:t xml:space="preserve">Čl. 3 Protokolu o kritériích konvergence pak doplňuje, že kritérium je splněno, </w:t>
      </w:r>
      <w:r w:rsidR="00D15C7A" w:rsidRPr="001E7829">
        <w:rPr>
          <w:rFonts w:cs="Times New Roman"/>
        </w:rPr>
        <w:lastRenderedPageBreak/>
        <w:t>pokud se měnový kurz pohyboval ve stanoveném rozpětí a zároveň nebyl vystaven silným tlakům. Stát především nesmí devalvovat dvoustranný střední kurz své měny vůči euru. Rozhodnutím z roku 1993 bylo fluktuační pásmo stanoveno na ± 15 %.</w:t>
      </w:r>
      <w:r w:rsidR="00D15C7A" w:rsidRPr="001E7829">
        <w:rPr>
          <w:rStyle w:val="Znakapoznpodarou"/>
          <w:rFonts w:cs="Times New Roman"/>
        </w:rPr>
        <w:footnoteReference w:id="222"/>
      </w:r>
    </w:p>
    <w:p w:rsidR="00D15C7A" w:rsidRPr="001E7829" w:rsidRDefault="00E6422F" w:rsidP="000756F7">
      <w:pPr>
        <w:pStyle w:val="Druh"/>
        <w:rPr>
          <w:rFonts w:cs="Times New Roman"/>
        </w:rPr>
      </w:pPr>
      <w:r w:rsidRPr="001E7829">
        <w:rPr>
          <w:rFonts w:cs="Times New Roman"/>
        </w:rPr>
        <w:t>Je pravda, že toto kritérium je prozatím z formálního pohledu nehodnotitelné, jelikož ČR dosud do mechanismu ERM II nevstoupila a neexistuje tudíž ani centrální parita, která by mohla být pro jeho vyhodnocení použita. Přesto ČNB a M</w:t>
      </w:r>
      <w:r w:rsidR="00DF7BEA" w:rsidRPr="001E7829">
        <w:rPr>
          <w:rFonts w:cs="Times New Roman"/>
        </w:rPr>
        <w:t>inisterstvo financí</w:t>
      </w:r>
      <w:r w:rsidRPr="001E7829">
        <w:rPr>
          <w:rFonts w:cs="Times New Roman"/>
        </w:rPr>
        <w:t xml:space="preserve"> každoročně ve Vyhodnoceních analyzují, zda by v případě účasti v mechanismu bylo kritérium splněno či nikoli. Činí tak za pomoci hypotetické centrální parity koruny vůči euru ve čtvrtletí, </w:t>
      </w:r>
      <w:r w:rsidR="00AB5EBD" w:rsidRPr="001E7829">
        <w:rPr>
          <w:rFonts w:cs="Times New Roman"/>
        </w:rPr>
        <w:t>po kterém by následovalo</w:t>
      </w:r>
      <w:r w:rsidRPr="001E7829">
        <w:rPr>
          <w:rFonts w:cs="Times New Roman"/>
        </w:rPr>
        <w:t xml:space="preserve"> dvouleté období setrvání v mechanismu zakončené přijetím eura na začátku roku následujícího po vydání Vyhodnocení</w:t>
      </w:r>
      <w:r w:rsidR="00AB5EBD" w:rsidRPr="001E7829">
        <w:rPr>
          <w:rFonts w:cs="Times New Roman"/>
        </w:rPr>
        <w:t>. Ukázáno na praktickém příkladu – pro hypotetick</w:t>
      </w:r>
      <w:r w:rsidR="00DF7BEA" w:rsidRPr="001E7829">
        <w:rPr>
          <w:rFonts w:cs="Times New Roman"/>
        </w:rPr>
        <w:t>ý vstup do eurozóny k 1. 1. 2016</w:t>
      </w:r>
      <w:r w:rsidR="00AB5EBD" w:rsidRPr="001E7829">
        <w:rPr>
          <w:rFonts w:cs="Times New Roman"/>
        </w:rPr>
        <w:t xml:space="preserve"> je použita průměrná hodnota kurzu v 1. čtvrtletí 201</w:t>
      </w:r>
      <w:r w:rsidR="00DF7BEA" w:rsidRPr="001E7829">
        <w:rPr>
          <w:rFonts w:cs="Times New Roman"/>
        </w:rPr>
        <w:t>3</w:t>
      </w:r>
      <w:r w:rsidR="00AB5EBD" w:rsidRPr="001E7829">
        <w:rPr>
          <w:rFonts w:cs="Times New Roman"/>
        </w:rPr>
        <w:t>.</w:t>
      </w:r>
      <w:r w:rsidR="00AB5EBD" w:rsidRPr="001E7829">
        <w:rPr>
          <w:rStyle w:val="Znakapoznpodarou"/>
          <w:rFonts w:cs="Times New Roman"/>
        </w:rPr>
        <w:footnoteReference w:id="223"/>
      </w:r>
    </w:p>
    <w:p w:rsidR="00AB5EBD" w:rsidRPr="001E7829" w:rsidRDefault="00AB5EBD" w:rsidP="000756F7">
      <w:pPr>
        <w:pStyle w:val="Druh"/>
        <w:rPr>
          <w:rFonts w:cs="Times New Roman"/>
        </w:rPr>
      </w:pPr>
      <w:r w:rsidRPr="001E7829">
        <w:rPr>
          <w:rFonts w:cs="Times New Roman"/>
        </w:rPr>
        <w:t>Analýzy s touto metodikou ukazují, že plnění</w:t>
      </w:r>
      <w:r w:rsidR="006E41A4" w:rsidRPr="001E7829">
        <w:rPr>
          <w:rFonts w:cs="Times New Roman"/>
        </w:rPr>
        <w:t xml:space="preserve"> kurzového</w:t>
      </w:r>
      <w:r w:rsidRPr="001E7829">
        <w:rPr>
          <w:rFonts w:cs="Times New Roman"/>
        </w:rPr>
        <w:t xml:space="preserve"> kritéria by bylo téměř po celou dobu od vstupu ČR do EU takřka bezproblémové. Koruna měla po většinu času lehce </w:t>
      </w:r>
      <w:proofErr w:type="spellStart"/>
      <w:r w:rsidRPr="001E7829">
        <w:rPr>
          <w:rFonts w:cs="Times New Roman"/>
        </w:rPr>
        <w:t>apreciační</w:t>
      </w:r>
      <w:proofErr w:type="spellEnd"/>
      <w:r w:rsidRPr="001E7829">
        <w:rPr>
          <w:rFonts w:cs="Times New Roman"/>
        </w:rPr>
        <w:t xml:space="preserve"> trend, který se však zdaleka nepřibližoval k hranici fluktuačního pásma. </w:t>
      </w:r>
      <w:r w:rsidR="00B439D5" w:rsidRPr="001E7829">
        <w:rPr>
          <w:rFonts w:cs="Times New Roman"/>
        </w:rPr>
        <w:t>Jedinou výjimkou bylo období od července 2008 do února 2009, během kterého koruna naopak depreciovala o 23 % v důsledku poklesu důvěry zahraničních investorů v oblast střední Evropy. Ukázalo se tak, že za nepříznivých ekonomických podmínek by mohlo být plnění kritéria ohroženo.</w:t>
      </w:r>
      <w:r w:rsidR="007E602D" w:rsidRPr="001E7829">
        <w:rPr>
          <w:rStyle w:val="Znakapoznpodarou"/>
          <w:rFonts w:cs="Times New Roman"/>
        </w:rPr>
        <w:footnoteReference w:id="224"/>
      </w:r>
      <w:r w:rsidR="00AA7CA0" w:rsidRPr="001E7829">
        <w:rPr>
          <w:rFonts w:cs="Times New Roman"/>
        </w:rPr>
        <w:t xml:space="preserve"> </w:t>
      </w:r>
      <w:r w:rsidR="007E602D" w:rsidRPr="001E7829">
        <w:rPr>
          <w:rFonts w:cs="Times New Roman"/>
        </w:rPr>
        <w:t xml:space="preserve">Další riziko nastalo v listopadu 2013, kdy po dosažení technického minima úrokových sazeb začala ČNB měnový kurz aktivně používat jako nástroj monetární politiky. Po vyhlášení kurzovému závazku došlo ke skokovému oslabení koruny na úroveň okolo 27 CZK/EUR a následné stabilizaci poblíž hranice 27,5 CZK/EUR. Oslabení však nebylo natolik výrazné, aby byla </w:t>
      </w:r>
      <w:r w:rsidR="007E602D" w:rsidRPr="001E7829">
        <w:rPr>
          <w:rFonts w:cs="Times New Roman"/>
        </w:rPr>
        <w:lastRenderedPageBreak/>
        <w:t xml:space="preserve">překročena patnáctiprocentní hranice fluktuačního pásma, kritérium by tedy i </w:t>
      </w:r>
      <w:r w:rsidR="00243835" w:rsidRPr="001E7829">
        <w:rPr>
          <w:rFonts w:cs="Times New Roman"/>
        </w:rPr>
        <w:t>zde</w:t>
      </w:r>
      <w:r w:rsidR="007E602D" w:rsidRPr="001E7829">
        <w:rPr>
          <w:rFonts w:cs="Times New Roman"/>
        </w:rPr>
        <w:t xml:space="preserve"> bylo splněno.</w:t>
      </w:r>
      <w:r w:rsidR="00EC5065" w:rsidRPr="001E7829">
        <w:rPr>
          <w:rStyle w:val="Znakapoznpodarou"/>
          <w:rFonts w:cs="Times New Roman"/>
        </w:rPr>
        <w:footnoteReference w:id="225"/>
      </w:r>
      <w:r w:rsidR="007E602D" w:rsidRPr="001E7829">
        <w:rPr>
          <w:rFonts w:cs="Times New Roman"/>
        </w:rPr>
        <w:t xml:space="preserve"> Co se týče druhého kritéria, považuji tedy činnost ČNB za bezproblémovou.</w:t>
      </w:r>
    </w:p>
    <w:p w:rsidR="00C10687" w:rsidRPr="001E7829" w:rsidRDefault="00C10687" w:rsidP="000756F7">
      <w:pPr>
        <w:pStyle w:val="Druh"/>
        <w:rPr>
          <w:rFonts w:cs="Times New Roman"/>
        </w:rPr>
      </w:pPr>
      <w:r w:rsidRPr="001E7829">
        <w:rPr>
          <w:rFonts w:cs="Times New Roman"/>
        </w:rPr>
        <w:t xml:space="preserve">Slovensko vstoupilo do mechanismu ERM II v prosinci roku 2005. Centrální parita pro fluktuační pásmo kritéria byla stanovena na 38,455 SKK/EUR. </w:t>
      </w:r>
      <w:r w:rsidR="003B6EBE" w:rsidRPr="001E7829">
        <w:rPr>
          <w:rFonts w:cs="Times New Roman"/>
        </w:rPr>
        <w:t xml:space="preserve">V důsledku strukturálních změn slovenské ekonomiky a navazující setrvalé </w:t>
      </w:r>
      <w:proofErr w:type="spellStart"/>
      <w:r w:rsidR="003B6EBE" w:rsidRPr="001E7829">
        <w:rPr>
          <w:rFonts w:cs="Times New Roman"/>
        </w:rPr>
        <w:t>apreciaci</w:t>
      </w:r>
      <w:proofErr w:type="spellEnd"/>
      <w:r w:rsidR="003B6EBE" w:rsidRPr="001E7829">
        <w:rPr>
          <w:rFonts w:cs="Times New Roman"/>
        </w:rPr>
        <w:t xml:space="preserve"> kurzu koruny vůči euru byla NBS nucena několikrát intervenovat, aby zachovala kurz ve fluktuačním pásmu, nakonec se však původní centrální parita ukázala jako neudržitelná. Po dohodě s výborem ERM II tak byla dvakrát devalvována, a to v březnu 2007 a v květnu 2008. Účast země v mechanismu však nakonec byla vyhodnocena jako úspěšná.</w:t>
      </w:r>
      <w:r w:rsidR="002F0881" w:rsidRPr="001E7829">
        <w:rPr>
          <w:rStyle w:val="Znakapoznpodarou"/>
          <w:rFonts w:cs="Times New Roman"/>
        </w:rPr>
        <w:footnoteReference w:id="226"/>
      </w:r>
    </w:p>
    <w:p w:rsidR="008029FF" w:rsidRPr="001E7829" w:rsidRDefault="008029FF" w:rsidP="000756F7">
      <w:pPr>
        <w:pStyle w:val="Druh"/>
        <w:rPr>
          <w:rFonts w:cs="Times New Roman"/>
        </w:rPr>
      </w:pPr>
      <w:r w:rsidRPr="001E7829">
        <w:rPr>
          <w:rFonts w:cs="Times New Roman"/>
        </w:rPr>
        <w:t xml:space="preserve">Třetím kritériem je konvergence úrokových sazeb. </w:t>
      </w:r>
      <w:r w:rsidR="00515D98" w:rsidRPr="001E7829">
        <w:rPr>
          <w:rFonts w:cs="Times New Roman"/>
        </w:rPr>
        <w:t>Podle Protokolu o kritériích konvergence je toto kritérium splněno, jestliže „</w:t>
      </w:r>
      <w:r w:rsidR="00515D98" w:rsidRPr="001E7829">
        <w:rPr>
          <w:rFonts w:cs="Times New Roman"/>
          <w:i/>
        </w:rPr>
        <w:t>v průběhu jednoho roku před šetřením průměrná dlouhodobá nominální úroková sazba členského státu nepřekračovala o více než 2 procentní body úrokovou sazbu nejvýše tří členských států, které dosáhly v oblasti cenové stability nejlepších výsledků</w:t>
      </w:r>
      <w:r w:rsidR="00515D98" w:rsidRPr="001E7829">
        <w:rPr>
          <w:rFonts w:cs="Times New Roman"/>
        </w:rPr>
        <w:t>“.</w:t>
      </w:r>
      <w:r w:rsidR="00515D98" w:rsidRPr="001E7829">
        <w:rPr>
          <w:rStyle w:val="Znakapoznpodarou"/>
          <w:rFonts w:cs="Times New Roman"/>
        </w:rPr>
        <w:footnoteReference w:id="227"/>
      </w:r>
      <w:r w:rsidR="00515D98" w:rsidRPr="001E7829">
        <w:rPr>
          <w:rFonts w:cs="Times New Roman"/>
        </w:rPr>
        <w:t xml:space="preserve"> Pro posouzení výše </w:t>
      </w:r>
      <w:r w:rsidR="00AA7CA0" w:rsidRPr="001E7829">
        <w:rPr>
          <w:rFonts w:cs="Times New Roman"/>
        </w:rPr>
        <w:t xml:space="preserve">uvedených </w:t>
      </w:r>
      <w:r w:rsidR="00515D98" w:rsidRPr="001E7829">
        <w:rPr>
          <w:rFonts w:cs="Times New Roman"/>
        </w:rPr>
        <w:t>úrokových sazeb jsou rozhodné dlouhodobé státní dluhopisy</w:t>
      </w:r>
      <w:r w:rsidR="00994B4C" w:rsidRPr="001E7829">
        <w:rPr>
          <w:rFonts w:cs="Times New Roman"/>
        </w:rPr>
        <w:t>, nebo ekvivalentní cenné papíry, a výběr zemí, které budou použity pro výpočet referenční hodnoty, je obdobně jako u inflačního kritéria do značné míry závislý na rozhodnutí hodnotících orgánů.</w:t>
      </w:r>
      <w:r w:rsidR="00994B4C" w:rsidRPr="001E7829">
        <w:rPr>
          <w:rStyle w:val="Znakapoznpodarou"/>
          <w:rFonts w:cs="Times New Roman"/>
        </w:rPr>
        <w:footnoteReference w:id="228"/>
      </w:r>
      <w:r w:rsidR="002D35D8" w:rsidRPr="001E7829">
        <w:rPr>
          <w:rFonts w:cs="Times New Roman"/>
        </w:rPr>
        <w:t xml:space="preserve"> Význam kritéria pro eurozónu spočívá v tom, že do výše dlouhodobých úrokových sazeb by se měla negativně promítnout případná nedůvěra účastníků kapitálových trhů v udržitelnost konvergence</w:t>
      </w:r>
      <w:r w:rsidR="00451300" w:rsidRPr="001E7829">
        <w:rPr>
          <w:rFonts w:cs="Times New Roman"/>
        </w:rPr>
        <w:t xml:space="preserve">, která může být podmíněna ekonomickou situací, fiskální a měnovou </w:t>
      </w:r>
      <w:r w:rsidR="00451300" w:rsidRPr="001E7829">
        <w:rPr>
          <w:rFonts w:cs="Times New Roman"/>
        </w:rPr>
        <w:lastRenderedPageBreak/>
        <w:t>politikou, měnovým kurzem či mírou inflace.</w:t>
      </w:r>
      <w:r w:rsidR="00C579EB" w:rsidRPr="001E7829">
        <w:rPr>
          <w:rFonts w:cs="Times New Roman"/>
        </w:rPr>
        <w:t xml:space="preserve"> Dlouhodobé úrokové sazby by tedy měly být </w:t>
      </w:r>
      <w:r w:rsidR="006E2E9F" w:rsidRPr="001E7829">
        <w:rPr>
          <w:rFonts w:cs="Times New Roman"/>
        </w:rPr>
        <w:t>jakýmsi</w:t>
      </w:r>
      <w:r w:rsidR="00C579EB" w:rsidRPr="001E7829">
        <w:rPr>
          <w:rFonts w:cs="Times New Roman"/>
        </w:rPr>
        <w:t xml:space="preserve"> indikátorem stálosti konvergence.</w:t>
      </w:r>
      <w:r w:rsidR="00451300" w:rsidRPr="001E7829">
        <w:rPr>
          <w:rStyle w:val="Znakapoznpodarou"/>
          <w:rFonts w:cs="Times New Roman"/>
        </w:rPr>
        <w:footnoteReference w:id="229"/>
      </w:r>
    </w:p>
    <w:p w:rsidR="00A16A8B" w:rsidRPr="001E7829" w:rsidRDefault="00451300" w:rsidP="000756F7">
      <w:pPr>
        <w:pStyle w:val="Druh"/>
        <w:rPr>
          <w:rFonts w:cs="Times New Roman"/>
        </w:rPr>
      </w:pPr>
      <w:r w:rsidRPr="001E7829">
        <w:rPr>
          <w:rFonts w:cs="Times New Roman"/>
        </w:rPr>
        <w:t>Česká republika</w:t>
      </w:r>
      <w:r w:rsidR="00967324" w:rsidRPr="001E7829">
        <w:rPr>
          <w:rFonts w:cs="Times New Roman"/>
        </w:rPr>
        <w:t>, stejně jako Slovensko,</w:t>
      </w:r>
      <w:r w:rsidRPr="001E7829">
        <w:rPr>
          <w:rFonts w:cs="Times New Roman"/>
        </w:rPr>
        <w:t xml:space="preserve"> se během sledovaného období nedostala v této oblasti do žádných větších obtíží, naopak kritérium vždy plnila s poměrně značnou rezervou. Problémy </w:t>
      </w:r>
      <w:r w:rsidR="000C302C" w:rsidRPr="001E7829">
        <w:rPr>
          <w:rFonts w:cs="Times New Roman"/>
        </w:rPr>
        <w:t>by mohly nastat v případě prohloubení krize eurozóny nebo v souvislosti s přetrvávajícími či nově vznikajícími politickými problémy ve světě. Dalším rizikem by se mohl stát stav veřejných financí, které však během poslední doby vykazují povzbuzující tendenci směrem ke stabilizaci. Výraznější obtíže se tedy nepředpokládají.</w:t>
      </w:r>
      <w:r w:rsidRPr="001E7829">
        <w:rPr>
          <w:rStyle w:val="Znakapoznpodarou"/>
          <w:rFonts w:cs="Times New Roman"/>
        </w:rPr>
        <w:footnoteReference w:id="230"/>
      </w:r>
    </w:p>
    <w:p w:rsidR="00451300" w:rsidRPr="001E7829" w:rsidRDefault="003B5A6C" w:rsidP="000756F7">
      <w:pPr>
        <w:pStyle w:val="Druh"/>
        <w:rPr>
          <w:rFonts w:cs="Times New Roman"/>
        </w:rPr>
      </w:pPr>
      <w:r w:rsidRPr="001E7829">
        <w:rPr>
          <w:rFonts w:cs="Times New Roman"/>
        </w:rPr>
        <w:t>Centrální banka ovlivňuje dlouhodobé úrokové sazby především prostřednictvím základních úrokových sazeb, které vyhlašuje, a to tím způsobem, že nízké krátkodobé sazby (konkrétně</w:t>
      </w:r>
      <w:r w:rsidR="00533E4E" w:rsidRPr="001E7829">
        <w:rPr>
          <w:rFonts w:cs="Times New Roman"/>
        </w:rPr>
        <w:t xml:space="preserve"> 2T</w:t>
      </w:r>
      <w:r w:rsidR="00AA7CA0" w:rsidRPr="001E7829">
        <w:rPr>
          <w:rFonts w:cs="Times New Roman"/>
        </w:rPr>
        <w:t xml:space="preserve"> </w:t>
      </w:r>
      <w:proofErr w:type="spellStart"/>
      <w:r w:rsidRPr="001E7829">
        <w:rPr>
          <w:rFonts w:cs="Times New Roman"/>
        </w:rPr>
        <w:t>reposazba</w:t>
      </w:r>
      <w:proofErr w:type="spellEnd"/>
      <w:r w:rsidRPr="001E7829">
        <w:rPr>
          <w:rFonts w:cs="Times New Roman"/>
        </w:rPr>
        <w:t>) při expanzivní monetární politice stlačují na nízké hodnoty rovněž sazby střednědobé a dlouhodobé.</w:t>
      </w:r>
      <w:r w:rsidR="00AA7CA0" w:rsidRPr="001E7829">
        <w:rPr>
          <w:rFonts w:cs="Times New Roman"/>
        </w:rPr>
        <w:t xml:space="preserve"> </w:t>
      </w:r>
      <w:r w:rsidRPr="001E7829">
        <w:rPr>
          <w:rFonts w:cs="Times New Roman"/>
        </w:rPr>
        <w:t>To vše platí za předpokladu, že trh sdílí očekávání banky ohledně budoucího</w:t>
      </w:r>
      <w:r w:rsidR="00404378" w:rsidRPr="001E7829">
        <w:rPr>
          <w:rFonts w:cs="Times New Roman"/>
        </w:rPr>
        <w:t xml:space="preserve"> vývoje inflace, v opačném případě se tento vliv oslabuje.</w:t>
      </w:r>
      <w:r w:rsidR="00404378" w:rsidRPr="001E7829">
        <w:rPr>
          <w:rStyle w:val="Znakapoznpodarou"/>
          <w:rFonts w:cs="Times New Roman"/>
        </w:rPr>
        <w:footnoteReference w:id="231"/>
      </w:r>
      <w:r w:rsidR="00404378" w:rsidRPr="001E7829">
        <w:rPr>
          <w:rFonts w:cs="Times New Roman"/>
        </w:rPr>
        <w:t xml:space="preserve"> </w:t>
      </w:r>
      <w:r w:rsidR="009207FA" w:rsidRPr="001E7829">
        <w:rPr>
          <w:rFonts w:cs="Times New Roman"/>
        </w:rPr>
        <w:t>Vzhledem k tomu, že úrokové sazby ČNB se</w:t>
      </w:r>
      <w:r w:rsidR="00533E4E" w:rsidRPr="001E7829">
        <w:rPr>
          <w:rFonts w:cs="Times New Roman"/>
        </w:rPr>
        <w:t xml:space="preserve"> od listopadu 2012 drží na úrovni technického minima a rovněž v předchozích letech sledovaného období od roku 2004 se pohybovaly na relativně nízké úrovni, lze monetární politiku české centrální banky hodnotit jako přispívající dodržování kr</w:t>
      </w:r>
      <w:r w:rsidR="0081016A" w:rsidRPr="001E7829">
        <w:rPr>
          <w:rFonts w:cs="Times New Roman"/>
        </w:rPr>
        <w:t>itéria. Je samozřejmě pravda, že ČNB úrokové sazby nevyhlašuje na prvním místě s ohledem na toto kritérium a sleduje spíše jiné cíle v oblas</w:t>
      </w:r>
      <w:r w:rsidR="00156674" w:rsidRPr="001E7829">
        <w:rPr>
          <w:rFonts w:cs="Times New Roman"/>
        </w:rPr>
        <w:t xml:space="preserve">ti domácí ekonomiky. Rovněž </w:t>
      </w:r>
      <w:r w:rsidR="0081016A" w:rsidRPr="001E7829">
        <w:rPr>
          <w:rFonts w:cs="Times New Roman"/>
        </w:rPr>
        <w:t>síla vlivu nastavení sazeb na dlouhodobé úrokové sazby by musela být předmětem analýz</w:t>
      </w:r>
      <w:r w:rsidR="008267A8" w:rsidRPr="001E7829">
        <w:rPr>
          <w:rFonts w:cs="Times New Roman"/>
        </w:rPr>
        <w:t>y</w:t>
      </w:r>
      <w:r w:rsidR="0081016A" w:rsidRPr="001E7829">
        <w:rPr>
          <w:rFonts w:cs="Times New Roman"/>
        </w:rPr>
        <w:t xml:space="preserve"> dalece přesahující cíle této práce. Přesto zde byl vliv ČNB pozitivní.</w:t>
      </w:r>
    </w:p>
    <w:p w:rsidR="00FC739D" w:rsidRPr="001E7829" w:rsidRDefault="00C2065B" w:rsidP="000756F7">
      <w:pPr>
        <w:pStyle w:val="Druh"/>
        <w:rPr>
          <w:rFonts w:cs="Times New Roman"/>
        </w:rPr>
      </w:pPr>
      <w:r w:rsidRPr="001E7829">
        <w:rPr>
          <w:rFonts w:cs="Times New Roman"/>
        </w:rPr>
        <w:t>Závěrem této podkapitoly ještě krátce ke čtvrtému kritériu – stavu veřejných financí. Jak již bylo řečeno, vliv monetárně</w:t>
      </w:r>
      <w:r w:rsidR="00243835" w:rsidRPr="001E7829">
        <w:rPr>
          <w:rFonts w:cs="Times New Roman"/>
        </w:rPr>
        <w:t>-</w:t>
      </w:r>
      <w:r w:rsidRPr="001E7829">
        <w:rPr>
          <w:rFonts w:cs="Times New Roman"/>
        </w:rPr>
        <w:t xml:space="preserve">politických či jiných rozhodnutí ČNB na jeho plnění je mnohem menší, než je tomu u ostatních kritérií. </w:t>
      </w:r>
      <w:r w:rsidRPr="001E7829">
        <w:rPr>
          <w:rFonts w:cs="Times New Roman"/>
        </w:rPr>
        <w:lastRenderedPageBreak/>
        <w:t>Důvodem je fakt, že veřejnými financemi se rozumí rozpočty sektoru vládních institucí, jejichž stav je v mnohem větší míře závislý na nastavení fiskální politiky vlády.</w:t>
      </w:r>
      <w:r w:rsidR="00114306" w:rsidRPr="001E7829">
        <w:rPr>
          <w:rFonts w:cs="Times New Roman"/>
        </w:rPr>
        <w:t xml:space="preserve"> Toto tzv. fiskální kritérium se dělí do dvou složek - deficitu a dluhu sektoru vládních institucí v poměru k HDP, přičemž referenční hodnoty jsou stanoveny Protokolem </w:t>
      </w:r>
      <w:r w:rsidR="00AA1434" w:rsidRPr="001E7829">
        <w:rPr>
          <w:rFonts w:cs="Times New Roman"/>
        </w:rPr>
        <w:t>ke SFEU č. 12 o postupu při nadměrném schodku jako 3</w:t>
      </w:r>
      <w:r w:rsidR="004E7289" w:rsidRPr="001E7829">
        <w:rPr>
          <w:rFonts w:cs="Times New Roman"/>
        </w:rPr>
        <w:t> </w:t>
      </w:r>
      <w:r w:rsidR="00AA1434" w:rsidRPr="001E7829">
        <w:rPr>
          <w:rFonts w:cs="Times New Roman"/>
        </w:rPr>
        <w:t>%, respektive 60</w:t>
      </w:r>
      <w:r w:rsidR="0052715A" w:rsidRPr="001E7829">
        <w:rPr>
          <w:rFonts w:cs="Times New Roman"/>
        </w:rPr>
        <w:t xml:space="preserve"> </w:t>
      </w:r>
      <w:r w:rsidR="00AA1434" w:rsidRPr="001E7829">
        <w:rPr>
          <w:rFonts w:cs="Times New Roman"/>
        </w:rPr>
        <w:t>% HDP. Ke splnění kritéria je nutno dodržet obě jeho složky.</w:t>
      </w:r>
      <w:r w:rsidR="00591BB5" w:rsidRPr="001E7829">
        <w:rPr>
          <w:rFonts w:cs="Times New Roman"/>
        </w:rPr>
        <w:t xml:space="preserve"> Fiskální kritérium je zároveň jediné, jehož neplnění má pro stát důsledky v podobě opatření ze strany institucí EU, a jelikož je fiskální disciplína oblastí, ve které mívala ČR v předchozích letech poměrně značné problémy, bylo s ní již dvakrát v minulosti zahájeno řízení pro nadměrný schodek.</w:t>
      </w:r>
      <w:r w:rsidR="00CA7272" w:rsidRPr="001E7829">
        <w:rPr>
          <w:rFonts w:cs="Times New Roman"/>
        </w:rPr>
        <w:t xml:space="preserve"> Vlády se snažily bojovat proti příliš vysokým deficitům opatřeními s cílem konsolidovat veřejné finance, ať už na příjmové či výda</w:t>
      </w:r>
      <w:r w:rsidR="00156674" w:rsidRPr="001E7829">
        <w:rPr>
          <w:rFonts w:cs="Times New Roman"/>
        </w:rPr>
        <w:t>jové stra</w:t>
      </w:r>
      <w:r w:rsidR="008661AF" w:rsidRPr="001E7829">
        <w:rPr>
          <w:rFonts w:cs="Times New Roman"/>
        </w:rPr>
        <w:t>ně</w:t>
      </w:r>
      <w:r w:rsidR="00CA7272" w:rsidRPr="001E7829">
        <w:rPr>
          <w:rFonts w:cs="Times New Roman"/>
        </w:rPr>
        <w:t xml:space="preserve">. V současné době se dá říci, že nepříznivý vývoj byl pravděpodobně zvrácen, když od roku 2013 se daří držet relativní velikost schodků vůči HDP na hodnotách zaručujících plnění kritéria. Plnění složky vládního dluhu se prozatím do ohrožení nedostalo, přestože tempo jeho růstu bývalo v předchozích letech přinejmenším znepokojivé. Data však i zde ukazují na nastoupení pozitivního trendu od roku 2013 a pro nejbližší období se dá očekávat další stabilizace veřejných rozpočtů. Jako nejvýraznější </w:t>
      </w:r>
      <w:r w:rsidR="0072366E" w:rsidRPr="001E7829">
        <w:rPr>
          <w:rFonts w:cs="Times New Roman"/>
        </w:rPr>
        <w:t>riziko je chápáno stárnutí obyvatelstva a jeho dopady na rozpočtový systém. V následujících letech či desetiletích se tedy ukáže, zda dokáží vlády provést dostatečná strukturální opatření, aby povzbudivý vývoj veřejných financí</w:t>
      </w:r>
      <w:r w:rsidR="008267A8" w:rsidRPr="001E7829">
        <w:rPr>
          <w:rFonts w:cs="Times New Roman"/>
        </w:rPr>
        <w:t xml:space="preserve"> udržely</w:t>
      </w:r>
      <w:r w:rsidR="0072366E" w:rsidRPr="001E7829">
        <w:rPr>
          <w:rFonts w:cs="Times New Roman"/>
        </w:rPr>
        <w:t>.</w:t>
      </w:r>
      <w:r w:rsidR="0072366E" w:rsidRPr="001E7829">
        <w:rPr>
          <w:rStyle w:val="Znakapoznpodarou"/>
          <w:rFonts w:cs="Times New Roman"/>
        </w:rPr>
        <w:footnoteReference w:id="232"/>
      </w:r>
      <w:r w:rsidR="00967324" w:rsidRPr="001E7829">
        <w:rPr>
          <w:rFonts w:cs="Times New Roman"/>
        </w:rPr>
        <w:t xml:space="preserve"> V době očekávání přijetí eura nebyla fiskální oblast ideální ani</w:t>
      </w:r>
      <w:r w:rsidR="008661AF" w:rsidRPr="001E7829">
        <w:rPr>
          <w:rFonts w:cs="Times New Roman"/>
        </w:rPr>
        <w:t xml:space="preserve"> na</w:t>
      </w:r>
      <w:r w:rsidR="00967324" w:rsidRPr="001E7829">
        <w:rPr>
          <w:rFonts w:cs="Times New Roman"/>
        </w:rPr>
        <w:t xml:space="preserve"> Slovensku. V roce 2006 se zde kritérium splnit nepodařilo</w:t>
      </w:r>
      <w:r w:rsidR="00B43842" w:rsidRPr="001E7829">
        <w:rPr>
          <w:rFonts w:cs="Times New Roman"/>
        </w:rPr>
        <w:t>, když deficit veřejného sektoru vystoupal na 3,4</w:t>
      </w:r>
      <w:r w:rsidR="0052715A" w:rsidRPr="001E7829">
        <w:rPr>
          <w:rFonts w:cs="Times New Roman"/>
        </w:rPr>
        <w:t xml:space="preserve"> </w:t>
      </w:r>
      <w:r w:rsidR="00B43842" w:rsidRPr="001E7829">
        <w:rPr>
          <w:rFonts w:cs="Times New Roman"/>
        </w:rPr>
        <w:t>% HDP. V posledních dvou letech předcházejících přijetí eura se již ale podařilo schodky zvládnout a přechod na novou měnu tak nebyl ohrožen.</w:t>
      </w:r>
      <w:r w:rsidR="00B43842" w:rsidRPr="001E7829">
        <w:rPr>
          <w:rStyle w:val="Znakapoznpodarou"/>
          <w:rFonts w:cs="Times New Roman"/>
        </w:rPr>
        <w:footnoteReference w:id="233"/>
      </w:r>
    </w:p>
    <w:p w:rsidR="00E43F01" w:rsidRPr="001E7829" w:rsidRDefault="00E43F01" w:rsidP="000756F7">
      <w:pPr>
        <w:pStyle w:val="Druh"/>
        <w:rPr>
          <w:rFonts w:cs="Times New Roman"/>
        </w:rPr>
      </w:pPr>
    </w:p>
    <w:p w:rsidR="009C1BFB" w:rsidRPr="001E7829" w:rsidRDefault="009C1BFB" w:rsidP="004F3912">
      <w:pPr>
        <w:pStyle w:val="31"/>
        <w:rPr>
          <w:rFonts w:cs="Times New Roman"/>
        </w:rPr>
      </w:pPr>
      <w:bookmarkStart w:id="83" w:name="_Toc444083242"/>
      <w:bookmarkStart w:id="84" w:name="_Toc444516075"/>
      <w:bookmarkStart w:id="85" w:name="_Toc446604219"/>
      <w:r w:rsidRPr="001E7829">
        <w:rPr>
          <w:rFonts w:cs="Times New Roman"/>
        </w:rPr>
        <w:lastRenderedPageBreak/>
        <w:t>Hodnocení účinnosti monetární politiky</w:t>
      </w:r>
      <w:bookmarkEnd w:id="83"/>
      <w:bookmarkEnd w:id="84"/>
      <w:bookmarkEnd w:id="85"/>
    </w:p>
    <w:p w:rsidR="00B90F6F" w:rsidRPr="001E7829" w:rsidRDefault="008405E4" w:rsidP="00B40EB7">
      <w:pPr>
        <w:pStyle w:val="Prvn"/>
        <w:rPr>
          <w:rFonts w:cs="Times New Roman"/>
        </w:rPr>
      </w:pPr>
      <w:r w:rsidRPr="001E7829">
        <w:rPr>
          <w:rFonts w:cs="Times New Roman"/>
        </w:rPr>
        <w:t xml:space="preserve">Analýza monetární politiky </w:t>
      </w:r>
      <w:r w:rsidR="00B600DE" w:rsidRPr="001E7829">
        <w:rPr>
          <w:rFonts w:cs="Times New Roman"/>
        </w:rPr>
        <w:t xml:space="preserve">ČNB ukazuje, že její účinnost nebyla vždy ideální. Do značné míry je to důsledkem faktu, že česká ekonomika je výrazně zranitelná vůči vlivům externího prostředí, které jsou pro centrální banku obtížně </w:t>
      </w:r>
      <w:proofErr w:type="spellStart"/>
      <w:r w:rsidR="00B600DE" w:rsidRPr="001E7829">
        <w:rPr>
          <w:rFonts w:cs="Times New Roman"/>
        </w:rPr>
        <w:t>prognózovatelné</w:t>
      </w:r>
      <w:proofErr w:type="spellEnd"/>
      <w:r w:rsidR="00B600DE" w:rsidRPr="001E7829">
        <w:rPr>
          <w:rFonts w:cs="Times New Roman"/>
        </w:rPr>
        <w:t xml:space="preserve">. </w:t>
      </w:r>
      <w:r w:rsidR="00AD1351" w:rsidRPr="001E7829">
        <w:rPr>
          <w:rFonts w:cs="Times New Roman"/>
        </w:rPr>
        <w:t>Nejvíce se tento problém projevoval v plnění hlavního cíle, především pak v míjení inflačních cílů. Zde vyvstává otázka, zda by nebylo pro ČNB lepší přijímat šířeji stanovené cíle, např. v podobě koridoru o rozpětí několika procentních bodů, jako tomu bylo po určitou dobu v minulosti. Tento model by však patrně znamenal stejnou újmu pro kredibilitu měnové politiky, jako míjení bodových cílů, které ČNB využívá v současné době.</w:t>
      </w:r>
      <w:r w:rsidR="00AD1351" w:rsidRPr="001E7829">
        <w:rPr>
          <w:rStyle w:val="Znakapoznpodarou"/>
          <w:rFonts w:cs="Times New Roman"/>
        </w:rPr>
        <w:footnoteReference w:id="234"/>
      </w:r>
      <w:r w:rsidR="00AD1351" w:rsidRPr="001E7829">
        <w:rPr>
          <w:rFonts w:cs="Times New Roman"/>
        </w:rPr>
        <w:t xml:space="preserve"> V oblasti vedlejšího cíle měla dle mého názoru ČNB svou politikou příznivý vliv, přestože z důvodu spolupůsobení velkého množství dalších faktorů</w:t>
      </w:r>
      <w:r w:rsidR="00F3436C" w:rsidRPr="001E7829">
        <w:rPr>
          <w:rFonts w:cs="Times New Roman"/>
        </w:rPr>
        <w:t xml:space="preserve"> je jeho míra velice těžko kvantifikovatelná. Co se týče </w:t>
      </w:r>
      <w:r w:rsidR="008661AF" w:rsidRPr="001E7829">
        <w:rPr>
          <w:rFonts w:cs="Times New Roman"/>
        </w:rPr>
        <w:t>maastrichtských kritérií, nemá Č</w:t>
      </w:r>
      <w:r w:rsidR="00F3436C" w:rsidRPr="001E7829">
        <w:rPr>
          <w:rFonts w:cs="Times New Roman"/>
        </w:rPr>
        <w:t xml:space="preserve">eská republika s plněním těch monetárních závažné problémy, s výjimkou míry inflace, což samozřejmě souvisí </w:t>
      </w:r>
      <w:r w:rsidR="008661AF" w:rsidRPr="001E7829">
        <w:rPr>
          <w:rFonts w:cs="Times New Roman"/>
        </w:rPr>
        <w:t>s plněním hlavního</w:t>
      </w:r>
      <w:r w:rsidR="00F3436C" w:rsidRPr="001E7829">
        <w:rPr>
          <w:rFonts w:cs="Times New Roman"/>
        </w:rPr>
        <w:t xml:space="preserve"> cíle ČNB. U kurzového kritéria a kritéria úrokových sazeb lze vliv české centrální banky považovat za pozitivní, přestože se patrně nikdy nedostala do pozice, kdy by musela zvažovat příslušné kroky z důvodu jejich hrozícího neplnění.</w:t>
      </w:r>
    </w:p>
    <w:p w:rsidR="00F3436C" w:rsidRPr="001E7829" w:rsidRDefault="00F3436C" w:rsidP="00F3436C">
      <w:pPr>
        <w:pStyle w:val="Druh"/>
        <w:rPr>
          <w:rFonts w:cs="Times New Roman"/>
        </w:rPr>
      </w:pPr>
      <w:r w:rsidRPr="001E7829">
        <w:rPr>
          <w:rFonts w:cs="Times New Roman"/>
        </w:rPr>
        <w:t>Z konkrétních postupů a opatření Banky lze vyzdvihnout zejména zvládnutí měnové krize v roce 1997 a podle mého názoru také prozatímní průběh měnových intervencí probíhajících od roku 2013, přestože druhý případ zůstává dodnes poměrně kontroverzní. Naopak politika v období před vypuknutím měnové krize se při zpětném pohledu jeví jako chybná</w:t>
      </w:r>
      <w:r w:rsidR="0025274E" w:rsidRPr="001E7829">
        <w:rPr>
          <w:rFonts w:cs="Times New Roman"/>
        </w:rPr>
        <w:t xml:space="preserve">, pravděpodobně dokonce urychlující příchod krize. </w:t>
      </w:r>
      <w:r w:rsidR="00302BBE" w:rsidRPr="001E7829">
        <w:rPr>
          <w:rFonts w:cs="Times New Roman"/>
        </w:rPr>
        <w:t xml:space="preserve">Jako alternativy se uvádí odlišný fiskálně-monetární mix, který by preferoval fiskální restrikci před aktivitou ČNB, dále pak dřívější rozšíření pásem oscilace měnového kurzu či dřívější přechod na </w:t>
      </w:r>
      <w:proofErr w:type="spellStart"/>
      <w:r w:rsidR="00302BBE" w:rsidRPr="001E7829">
        <w:rPr>
          <w:rFonts w:cs="Times New Roman"/>
        </w:rPr>
        <w:t>floating</w:t>
      </w:r>
      <w:proofErr w:type="spellEnd"/>
      <w:r w:rsidR="00302BBE" w:rsidRPr="001E7829">
        <w:rPr>
          <w:rFonts w:cs="Times New Roman"/>
        </w:rPr>
        <w:t>, nebo také revalvace kurzu koruny.</w:t>
      </w:r>
      <w:r w:rsidR="003F50F4" w:rsidRPr="001E7829">
        <w:rPr>
          <w:rStyle w:val="Znakapoznpodarou"/>
          <w:rFonts w:cs="Times New Roman"/>
        </w:rPr>
        <w:footnoteReference w:id="235"/>
      </w:r>
    </w:p>
    <w:p w:rsidR="00DC1230" w:rsidRPr="001E7829" w:rsidRDefault="00A8485D" w:rsidP="00F3436C">
      <w:pPr>
        <w:pStyle w:val="Druh"/>
        <w:rPr>
          <w:rFonts w:cs="Times New Roman"/>
        </w:rPr>
      </w:pPr>
      <w:r w:rsidRPr="00817197">
        <w:rPr>
          <w:rFonts w:cs="Times New Roman"/>
        </w:rPr>
        <w:lastRenderedPageBreak/>
        <w:t xml:space="preserve">Prostor ke zlepšení vidím v interakci monetární a fiskální politiky. </w:t>
      </w:r>
      <w:r>
        <w:rPr>
          <w:rFonts w:cs="Times New Roman"/>
        </w:rPr>
        <w:t xml:space="preserve">Opatření fiskální politiky jako změny sazeb nepřímých daní nebo deregulace cen se budou vždy nevyhnutelně objevovat mezi faktory ovlivňujícími inflaci a další ekonomické veličiny. Mám však za to, že </w:t>
      </w:r>
      <w:r w:rsidRPr="00817197">
        <w:rPr>
          <w:rFonts w:cs="Times New Roman"/>
        </w:rPr>
        <w:t>při lepší komunikaci</w:t>
      </w:r>
      <w:r>
        <w:rPr>
          <w:rFonts w:cs="Times New Roman"/>
        </w:rPr>
        <w:t xml:space="preserve"> s vládami ohledně podoby a časového průběhu plánovaných opatření</w:t>
      </w:r>
      <w:r w:rsidRPr="00817197">
        <w:rPr>
          <w:rFonts w:cs="Times New Roman"/>
        </w:rPr>
        <w:t xml:space="preserve"> by ČNB mohla úspěšněji předvídat </w:t>
      </w:r>
      <w:r>
        <w:rPr>
          <w:rFonts w:cs="Times New Roman"/>
        </w:rPr>
        <w:t xml:space="preserve">jejich dopady a reagovat efektivněji, než tomu dosud bylo. </w:t>
      </w:r>
      <w:r w:rsidRPr="00817197">
        <w:rPr>
          <w:rFonts w:cs="Times New Roman"/>
        </w:rPr>
        <w:t>Nevhodný monetárně-fiskální mix před měnovou krizí může být taktéž základem pro budoucí zlepšení řešení podobných situací.</w:t>
      </w:r>
    </w:p>
    <w:p w:rsidR="00B90F6F" w:rsidRPr="001E7829" w:rsidRDefault="00B90F6F" w:rsidP="00B90F6F">
      <w:pPr>
        <w:pStyle w:val="Others"/>
        <w:rPr>
          <w:rFonts w:cs="Times New Roman"/>
        </w:rPr>
      </w:pPr>
      <w:bookmarkStart w:id="86" w:name="_Toc446604220"/>
      <w:r w:rsidRPr="001E7829">
        <w:rPr>
          <w:rFonts w:cs="Times New Roman"/>
        </w:rPr>
        <w:lastRenderedPageBreak/>
        <w:t>Závěr</w:t>
      </w:r>
      <w:bookmarkEnd w:id="86"/>
    </w:p>
    <w:p w:rsidR="008E698D" w:rsidRDefault="00770BCA" w:rsidP="00513BE6">
      <w:pPr>
        <w:pStyle w:val="Prvn"/>
      </w:pPr>
      <w:r w:rsidRPr="001E7829">
        <w:t>Práce odhalila, že účinnost monetární politiky i konkrétních kroků ČNB nebyla vždy nejlepší.</w:t>
      </w:r>
      <w:r w:rsidR="00513BE6">
        <w:t xml:space="preserve"> Problematickou oblastí je především hlavní cíl</w:t>
      </w:r>
      <w:r w:rsidR="00105B4B">
        <w:t xml:space="preserve"> činnosti</w:t>
      </w:r>
      <w:r w:rsidR="00513BE6">
        <w:t xml:space="preserve"> </w:t>
      </w:r>
      <w:r w:rsidR="00105B4B">
        <w:t>české centrální banky</w:t>
      </w:r>
      <w:r w:rsidR="00513BE6">
        <w:t xml:space="preserve">, tedy péče o cenovou stabilitu v praxi vyjádřená mírou inflace. Ta se často poměrně výrazně lišila od představ </w:t>
      </w:r>
      <w:r w:rsidR="00105B4B">
        <w:t>ČNB</w:t>
      </w:r>
      <w:r w:rsidR="00513BE6">
        <w:t xml:space="preserve">, </w:t>
      </w:r>
      <w:r w:rsidR="003E550A">
        <w:t>které určovaly podobu monetární politiky.</w:t>
      </w:r>
      <w:r w:rsidRPr="001E7829">
        <w:t xml:space="preserve"> Na vině je však z velké části charakter české ekonomiky, který centrální bance výrazně ztěžuje poz</w:t>
      </w:r>
      <w:r w:rsidR="00105B4B">
        <w:t>ici. Pro tento závěr hovoří rovněž</w:t>
      </w:r>
      <w:r w:rsidRPr="001E7829">
        <w:t xml:space="preserve"> srovnání s výsledky jiných centrálních bank, konkrétně </w:t>
      </w:r>
      <w:proofErr w:type="spellStart"/>
      <w:r w:rsidRPr="001E7829">
        <w:t>Národné</w:t>
      </w:r>
      <w:proofErr w:type="spellEnd"/>
      <w:r w:rsidRPr="001E7829">
        <w:t xml:space="preserve"> </w:t>
      </w:r>
      <w:r w:rsidR="00666020" w:rsidRPr="001E7829">
        <w:t>banky Slovenska, které naznačuj</w:t>
      </w:r>
      <w:r w:rsidR="00A11D95">
        <w:t>e</w:t>
      </w:r>
      <w:r w:rsidRPr="001E7829">
        <w:t xml:space="preserve">, že za daných podmínek a okolností, kterým musela od svého vzniku čelit, patří ČNB mezi úspěšnější centrální banky. </w:t>
      </w:r>
      <w:r w:rsidR="002B34F6" w:rsidRPr="001E7829">
        <w:t>Podařilo se však identifikovat i oblasti, kde by mohlo dojít ke zlepšení monetárně-politické praxe, zejména vzájemnou interakci s ostatními nositeli hospodářské politiky.</w:t>
      </w:r>
    </w:p>
    <w:p w:rsidR="009417DE" w:rsidRDefault="003E550A" w:rsidP="003E550A">
      <w:pPr>
        <w:pStyle w:val="Druh"/>
      </w:pPr>
      <w:r>
        <w:t>V dalších zkoumaných oblastech – vedlejším cíli v podobě podpory obecné hospodářské politiky vlády a zahraničních závazcích vyjádřených maastrichtskými konvergenčními kritérii – byly výsledky pozitivnější než v případě cenové stability. Nutno však poznamenat, že monetární politika je</w:t>
      </w:r>
      <w:r w:rsidR="009417DE">
        <w:t xml:space="preserve"> zde</w:t>
      </w:r>
      <w:r>
        <w:t xml:space="preserve"> ve většině případů pouze jedním z faktorů ovliv</w:t>
      </w:r>
      <w:r w:rsidR="009417DE">
        <w:t>ňujících konečné hodnoty daných ekonomických ukazatelů.</w:t>
      </w:r>
      <w:r w:rsidR="00A11D95">
        <w:t xml:space="preserve"> Účinnost jednotlivých monetárně-politických rozhodnutí a postupů ČNB a jejich dopad na ekonomiku se případ od případu značně liší. Některá opatření – zejména během měnové krize – lze považovat i v mezinárodním srovnání za velmi kvalitní výkon měnové politiky. Jiná rozhodnutí naopak přinesla spíše další zhoršení ekonomických výsledků. </w:t>
      </w:r>
    </w:p>
    <w:p w:rsidR="003E550A" w:rsidRPr="003E550A" w:rsidRDefault="00A56126" w:rsidP="003E550A">
      <w:pPr>
        <w:pStyle w:val="Druh"/>
      </w:pPr>
      <w:r>
        <w:t>Česká právní úprava byla shledána jako dostatečně kvalitní rámec pro praktické fungování monetární politiky. Prostor ke zlepšení byl identifikován v rámci některých dílčích ustanovení a institutů – např. kárné odpovědnosti členů bankovní rady a souvisejícího ustanovení o jejich odvolávání.</w:t>
      </w:r>
      <w:r w:rsidR="00560436">
        <w:t xml:space="preserve"> Určitým rizikem se jeví </w:t>
      </w:r>
      <w:r>
        <w:t xml:space="preserve">omezování nezávislého provádění monetární politiky veřejnými výroky, které mají charakter politického nátlaku. </w:t>
      </w:r>
    </w:p>
    <w:p w:rsidR="009842B7" w:rsidRDefault="008E698D" w:rsidP="0040176A">
      <w:pPr>
        <w:pStyle w:val="Druh"/>
        <w:rPr>
          <w:rFonts w:cs="Times New Roman"/>
        </w:rPr>
      </w:pPr>
      <w:r w:rsidRPr="001E7829">
        <w:rPr>
          <w:rFonts w:cs="Times New Roman"/>
        </w:rPr>
        <w:t xml:space="preserve">Přínos práce spatřuji zejména v komplexním pohledu na monetárně-politické kroky ČNB a jejich zařazení do širšího kontextu právní a ekonomické </w:t>
      </w:r>
      <w:r w:rsidRPr="001E7829">
        <w:rPr>
          <w:rFonts w:cs="Times New Roman"/>
        </w:rPr>
        <w:lastRenderedPageBreak/>
        <w:t>reality.</w:t>
      </w:r>
      <w:r w:rsidR="00666020" w:rsidRPr="001E7829">
        <w:rPr>
          <w:rFonts w:cs="Times New Roman"/>
        </w:rPr>
        <w:t xml:space="preserve"> </w:t>
      </w:r>
      <w:r w:rsidR="00DB4ED6" w:rsidRPr="001E7829">
        <w:rPr>
          <w:rFonts w:cs="Times New Roman"/>
        </w:rPr>
        <w:t>Nedávný vývoj naznačuje, že navzdory relativní úspěšnost</w:t>
      </w:r>
      <w:r w:rsidR="00DD2CFB" w:rsidRPr="001E7829">
        <w:rPr>
          <w:rFonts w:cs="Times New Roman"/>
        </w:rPr>
        <w:t>i</w:t>
      </w:r>
      <w:r w:rsidR="00DB4ED6" w:rsidRPr="001E7829">
        <w:rPr>
          <w:rFonts w:cs="Times New Roman"/>
        </w:rPr>
        <w:t xml:space="preserve"> ČNB v mezinárodním srovnání, budou nároky na kvalitu činnosti této instituce růst a jednotlivá rozhodnutí budou předmětem stále větší pozornosti.  </w:t>
      </w:r>
      <w:r w:rsidR="009A3112" w:rsidRPr="001E7829">
        <w:rPr>
          <w:rFonts w:cs="Times New Roman"/>
        </w:rPr>
        <w:t xml:space="preserve">Získané poznatky </w:t>
      </w:r>
      <w:r w:rsidRPr="001E7829">
        <w:rPr>
          <w:rFonts w:cs="Times New Roman"/>
        </w:rPr>
        <w:t>a</w:t>
      </w:r>
      <w:r w:rsidR="009A3112" w:rsidRPr="001E7829">
        <w:rPr>
          <w:rFonts w:cs="Times New Roman"/>
        </w:rPr>
        <w:t xml:space="preserve"> formulovaná</w:t>
      </w:r>
      <w:r w:rsidRPr="001E7829">
        <w:rPr>
          <w:rFonts w:cs="Times New Roman"/>
        </w:rPr>
        <w:t xml:space="preserve"> hodnocení</w:t>
      </w:r>
      <w:r w:rsidR="009A3112" w:rsidRPr="001E7829">
        <w:rPr>
          <w:rFonts w:cs="Times New Roman"/>
        </w:rPr>
        <w:t xml:space="preserve"> mohou</w:t>
      </w:r>
      <w:r w:rsidR="00DB4ED6" w:rsidRPr="001E7829">
        <w:rPr>
          <w:rFonts w:cs="Times New Roman"/>
        </w:rPr>
        <w:t xml:space="preserve"> tedy být využity </w:t>
      </w:r>
      <w:r w:rsidR="009A3112" w:rsidRPr="001E7829">
        <w:rPr>
          <w:rFonts w:cs="Times New Roman"/>
        </w:rPr>
        <w:t>při praktické činnosti orgánů ČNB,</w:t>
      </w:r>
      <w:r w:rsidR="00DB4ED6" w:rsidRPr="001E7829">
        <w:rPr>
          <w:rFonts w:cs="Times New Roman"/>
        </w:rPr>
        <w:t xml:space="preserve"> zejména bankovní rady. </w:t>
      </w:r>
      <w:r w:rsidR="00BD143D" w:rsidRPr="001E7829">
        <w:rPr>
          <w:rFonts w:cs="Times New Roman"/>
        </w:rPr>
        <w:t>Díky náhledu</w:t>
      </w:r>
      <w:r w:rsidR="00DB4ED6" w:rsidRPr="001E7829">
        <w:rPr>
          <w:rFonts w:cs="Times New Roman"/>
        </w:rPr>
        <w:t xml:space="preserve"> do evropských souvislostí současného fungování a činnosti ČNB a do budoucích nevyhnutelných změn v souvislosti s přijetím eura jako české měny může </w:t>
      </w:r>
      <w:r w:rsidR="00BD143D" w:rsidRPr="001E7829">
        <w:rPr>
          <w:rFonts w:cs="Times New Roman"/>
        </w:rPr>
        <w:t>práce posloužit jako jeden ze zdrojů pro legislativní činnosti, jejichž cílem bude zajistit hladký přechod měnové politiky z ČNB na Evropskou centrální banku.</w:t>
      </w:r>
      <w:r w:rsidR="009842B7">
        <w:rPr>
          <w:rFonts w:cs="Times New Roman"/>
        </w:rPr>
        <w:t xml:space="preserve"> </w:t>
      </w:r>
    </w:p>
    <w:p w:rsidR="00BD143D" w:rsidRPr="001E7829" w:rsidRDefault="009842B7" w:rsidP="0040176A">
      <w:pPr>
        <w:pStyle w:val="Druh"/>
        <w:rPr>
          <w:rFonts w:cs="Times New Roman"/>
        </w:rPr>
      </w:pPr>
      <w:r>
        <w:rPr>
          <w:rFonts w:cs="Times New Roman"/>
        </w:rPr>
        <w:t>V souvislosti s přípravou nového zákona o ČNB, reflektujícího výše uvedené změny, se otevírá příležitost zvážit případné úpravy modelu fungování cen</w:t>
      </w:r>
      <w:r w:rsidR="0055403F">
        <w:rPr>
          <w:rFonts w:cs="Times New Roman"/>
        </w:rPr>
        <w:t>trální banky</w:t>
      </w:r>
      <w:r>
        <w:rPr>
          <w:rFonts w:cs="Times New Roman"/>
        </w:rPr>
        <w:t xml:space="preserve"> v České republice. </w:t>
      </w:r>
      <w:r w:rsidR="0055403F">
        <w:rPr>
          <w:rFonts w:cs="Times New Roman"/>
        </w:rPr>
        <w:t xml:space="preserve">Jednou z takových úprav by mohl být přenos práva jmenovat členy bankovní rady z rukou </w:t>
      </w:r>
      <w:r w:rsidR="00105B4B">
        <w:rPr>
          <w:rFonts w:cs="Times New Roman"/>
        </w:rPr>
        <w:t>prezidenta republiky na jiný</w:t>
      </w:r>
      <w:r w:rsidR="0055403F">
        <w:rPr>
          <w:rFonts w:cs="Times New Roman"/>
        </w:rPr>
        <w:t xml:space="preserve"> státní orgán, např. parlament. Potenciální přínosy a rizika takových změn tedy mohou být předmětem budoucího výzkumu v oblasti centrálního bankovnictví, přestože již nebudou mít přímý vliv na monetární politiku</w:t>
      </w:r>
      <w:r w:rsidR="00105B4B">
        <w:rPr>
          <w:rFonts w:cs="Times New Roman"/>
        </w:rPr>
        <w:t>.</w:t>
      </w:r>
    </w:p>
    <w:p w:rsidR="00BD143D" w:rsidRPr="001E7829" w:rsidRDefault="00BD143D">
      <w:pPr>
        <w:rPr>
          <w:rFonts w:ascii="Times New Roman" w:hAnsi="Times New Roman" w:cs="Times New Roman"/>
          <w:sz w:val="24"/>
          <w:shd w:val="clear" w:color="auto" w:fill="FDFDFE"/>
        </w:rPr>
      </w:pPr>
      <w:r w:rsidRPr="001E7829">
        <w:rPr>
          <w:rFonts w:ascii="Times New Roman" w:hAnsi="Times New Roman" w:cs="Times New Roman"/>
        </w:rPr>
        <w:br w:type="page"/>
      </w:r>
    </w:p>
    <w:p w:rsidR="00BD143D" w:rsidRPr="001E7829" w:rsidRDefault="00BD143D" w:rsidP="00BD143D">
      <w:pPr>
        <w:pStyle w:val="Others"/>
        <w:rPr>
          <w:rFonts w:cs="Times New Roman"/>
          <w:shd w:val="clear" w:color="auto" w:fill="FFFFFF"/>
        </w:rPr>
      </w:pPr>
      <w:bookmarkStart w:id="87" w:name="_Toc446604221"/>
      <w:r w:rsidRPr="001E7829">
        <w:rPr>
          <w:rFonts w:cs="Times New Roman"/>
          <w:shd w:val="clear" w:color="auto" w:fill="FFFFFF"/>
        </w:rPr>
        <w:lastRenderedPageBreak/>
        <w:t>Seznam použitých zdrojů</w:t>
      </w:r>
      <w:bookmarkEnd w:id="87"/>
    </w:p>
    <w:p w:rsidR="00BD143D" w:rsidRPr="001E7829" w:rsidRDefault="00BD143D" w:rsidP="00BD143D">
      <w:pPr>
        <w:rPr>
          <w:rFonts w:ascii="Times New Roman" w:hAnsi="Times New Roman" w:cs="Times New Roman"/>
          <w:b/>
          <w:color w:val="000000"/>
          <w:sz w:val="24"/>
          <w:szCs w:val="20"/>
          <w:shd w:val="clear" w:color="auto" w:fill="FFFFFF"/>
        </w:rPr>
      </w:pPr>
    </w:p>
    <w:p w:rsidR="00BD143D" w:rsidRPr="001E7829" w:rsidRDefault="003A666E" w:rsidP="003A666E">
      <w:pPr>
        <w:jc w:val="both"/>
        <w:rPr>
          <w:rFonts w:ascii="Times New Roman" w:hAnsi="Times New Roman" w:cs="Times New Roman"/>
          <w:b/>
          <w:color w:val="000000"/>
          <w:sz w:val="24"/>
          <w:szCs w:val="20"/>
          <w:shd w:val="clear" w:color="auto" w:fill="FFFFFF"/>
        </w:rPr>
      </w:pPr>
      <w:r w:rsidRPr="001E7829">
        <w:rPr>
          <w:rFonts w:ascii="Times New Roman" w:hAnsi="Times New Roman" w:cs="Times New Roman"/>
          <w:b/>
          <w:color w:val="000000"/>
          <w:sz w:val="24"/>
          <w:szCs w:val="20"/>
          <w:shd w:val="clear" w:color="auto" w:fill="FFFFFF"/>
        </w:rPr>
        <w:t>Bibliografické zdroje</w:t>
      </w:r>
    </w:p>
    <w:p w:rsidR="00BD143D" w:rsidRPr="00BD5863" w:rsidRDefault="00BD143D" w:rsidP="00C2526E">
      <w:pPr>
        <w:pStyle w:val="seznam"/>
        <w:rPr>
          <w:color w:val="auto"/>
        </w:rPr>
      </w:pPr>
      <w:r w:rsidRPr="00BD5863">
        <w:rPr>
          <w:color w:val="auto"/>
        </w:rPr>
        <w:t xml:space="preserve">BRČÁK, Josef; SEKERKA, Bohumil; STARÁ, Dana. </w:t>
      </w:r>
      <w:r w:rsidRPr="00BD5863">
        <w:rPr>
          <w:i/>
          <w:color w:val="auto"/>
        </w:rPr>
        <w:t>Makroekonomie – teorie a praxe</w:t>
      </w:r>
      <w:r w:rsidRPr="00BD5863">
        <w:rPr>
          <w:color w:val="auto"/>
        </w:rPr>
        <w:t>. Plzeň: Vydavatelství a nakladatelství Aleš Čeněk, 2014, 223 s. ISBN 978-80-7380-492-3.</w:t>
      </w:r>
    </w:p>
    <w:p w:rsidR="00BD143D" w:rsidRPr="00BD5863" w:rsidRDefault="00BD143D" w:rsidP="00C2526E">
      <w:pPr>
        <w:pStyle w:val="seznam"/>
        <w:rPr>
          <w:color w:val="auto"/>
        </w:rPr>
      </w:pPr>
      <w:r w:rsidRPr="00BD5863">
        <w:rPr>
          <w:color w:val="auto"/>
        </w:rPr>
        <w:t xml:space="preserve">CIMBUREK, Jan; ŘEŽÁBEK, Pavel. Centrální bankovnictví v kontextu právního řádu na území České republiky. </w:t>
      </w:r>
      <w:r w:rsidRPr="00BD5863">
        <w:rPr>
          <w:i/>
          <w:color w:val="auto"/>
        </w:rPr>
        <w:t>Český finanční a účetní časopis</w:t>
      </w:r>
      <w:r w:rsidRPr="00BD5863">
        <w:rPr>
          <w:color w:val="auto"/>
        </w:rPr>
        <w:t>. 2010, roč. 5, č. 2, s. 18 – 31.</w:t>
      </w:r>
    </w:p>
    <w:p w:rsidR="00BD143D" w:rsidRPr="00BD5863" w:rsidRDefault="00BD143D" w:rsidP="00C2526E">
      <w:pPr>
        <w:pStyle w:val="seznam"/>
        <w:rPr>
          <w:color w:val="auto"/>
        </w:rPr>
      </w:pPr>
      <w:r w:rsidRPr="00BD5863">
        <w:rPr>
          <w:i/>
          <w:iCs/>
          <w:color w:val="auto"/>
        </w:rPr>
        <w:t xml:space="preserve">Česká národní banka 1993-2003: Czech </w:t>
      </w:r>
      <w:proofErr w:type="spellStart"/>
      <w:r w:rsidRPr="00BD5863">
        <w:rPr>
          <w:i/>
          <w:iCs/>
          <w:color w:val="auto"/>
        </w:rPr>
        <w:t>National</w:t>
      </w:r>
      <w:proofErr w:type="spellEnd"/>
      <w:r w:rsidRPr="00BD5863">
        <w:rPr>
          <w:i/>
          <w:iCs/>
          <w:color w:val="auto"/>
        </w:rPr>
        <w:t xml:space="preserve"> Bank 1993-2003</w:t>
      </w:r>
      <w:r w:rsidRPr="00BD5863">
        <w:rPr>
          <w:color w:val="auto"/>
        </w:rPr>
        <w:t>. Praha: Česká národní banka, 2003, 39 s. ISBN 80-239-1632-7.</w:t>
      </w:r>
    </w:p>
    <w:p w:rsidR="00BD143D" w:rsidRPr="00BD5863" w:rsidRDefault="00BD143D" w:rsidP="00C2526E">
      <w:pPr>
        <w:pStyle w:val="seznam"/>
        <w:rPr>
          <w:color w:val="auto"/>
        </w:rPr>
      </w:pPr>
      <w:r w:rsidRPr="00BD5863">
        <w:rPr>
          <w:color w:val="auto"/>
        </w:rPr>
        <w:t>JANÁČKOVÁ, Stanislava. Euro – rozhodně nespěchat!. In: MACH, Petr (</w:t>
      </w:r>
      <w:proofErr w:type="spellStart"/>
      <w:r w:rsidRPr="00BD5863">
        <w:rPr>
          <w:color w:val="auto"/>
        </w:rPr>
        <w:t>ed</w:t>
      </w:r>
      <w:proofErr w:type="spellEnd"/>
      <w:r w:rsidRPr="00BD5863">
        <w:rPr>
          <w:color w:val="auto"/>
        </w:rPr>
        <w:t xml:space="preserve">.). </w:t>
      </w:r>
      <w:r w:rsidRPr="00BD5863">
        <w:rPr>
          <w:i/>
          <w:color w:val="auto"/>
        </w:rPr>
        <w:t>Euro – dříve nebo později?</w:t>
      </w:r>
      <w:r w:rsidRPr="00BD5863">
        <w:rPr>
          <w:color w:val="auto"/>
        </w:rPr>
        <w:t xml:space="preserve"> Praha: Centrum pro ekonomiku a politiku, 2007, s. 11-19. ISBN 80-86547-63-9. </w:t>
      </w:r>
    </w:p>
    <w:p w:rsidR="00BD143D" w:rsidRPr="00BD5863" w:rsidRDefault="00BD143D" w:rsidP="00C2526E">
      <w:pPr>
        <w:pStyle w:val="seznam"/>
        <w:rPr>
          <w:color w:val="auto"/>
        </w:rPr>
      </w:pPr>
      <w:r w:rsidRPr="00BD5863">
        <w:rPr>
          <w:color w:val="auto"/>
        </w:rPr>
        <w:t xml:space="preserve">JÍLEK, Josef. </w:t>
      </w:r>
      <w:r w:rsidRPr="00BD5863">
        <w:rPr>
          <w:i/>
          <w:color w:val="auto"/>
        </w:rPr>
        <w:t>Finance v globální ekonomice II: Měnová a kurzová politika</w:t>
      </w:r>
      <w:r w:rsidRPr="00BD5863">
        <w:rPr>
          <w:color w:val="auto"/>
        </w:rPr>
        <w:t xml:space="preserve">. Praha: GRADA </w:t>
      </w:r>
      <w:proofErr w:type="spellStart"/>
      <w:r w:rsidRPr="00BD5863">
        <w:rPr>
          <w:color w:val="auto"/>
        </w:rPr>
        <w:t>Publishing</w:t>
      </w:r>
      <w:proofErr w:type="spellEnd"/>
      <w:r w:rsidRPr="00BD5863">
        <w:rPr>
          <w:color w:val="auto"/>
        </w:rPr>
        <w:t>, a.s., 2013, 560 s. ISBN 978-80-247-4516-9.</w:t>
      </w:r>
    </w:p>
    <w:p w:rsidR="00BD143D" w:rsidRPr="00BD5863" w:rsidRDefault="00BD143D" w:rsidP="00C2526E">
      <w:pPr>
        <w:pStyle w:val="seznam"/>
        <w:rPr>
          <w:color w:val="auto"/>
        </w:rPr>
      </w:pPr>
      <w:r w:rsidRPr="00BD5863">
        <w:rPr>
          <w:color w:val="auto"/>
        </w:rPr>
        <w:t xml:space="preserve">JÍLEK, Josef. </w:t>
      </w:r>
      <w:r w:rsidRPr="00BD5863">
        <w:rPr>
          <w:i/>
          <w:color w:val="auto"/>
        </w:rPr>
        <w:t>Peníze a měnová politika</w:t>
      </w:r>
      <w:r w:rsidRPr="00BD5863">
        <w:rPr>
          <w:color w:val="auto"/>
        </w:rPr>
        <w:t xml:space="preserve">. Praha: GRADA </w:t>
      </w:r>
      <w:proofErr w:type="spellStart"/>
      <w:r w:rsidRPr="00BD5863">
        <w:rPr>
          <w:color w:val="auto"/>
        </w:rPr>
        <w:t>Publishing</w:t>
      </w:r>
      <w:proofErr w:type="spellEnd"/>
      <w:r w:rsidRPr="00BD5863">
        <w:rPr>
          <w:color w:val="auto"/>
        </w:rPr>
        <w:t>, a.s., 2004, 744 s. ISBN 80-247-0769-1.</w:t>
      </w:r>
    </w:p>
    <w:p w:rsidR="00BD143D" w:rsidRPr="00BD5863" w:rsidRDefault="00BD143D" w:rsidP="00C2526E">
      <w:pPr>
        <w:pStyle w:val="seznam"/>
        <w:rPr>
          <w:color w:val="auto"/>
        </w:rPr>
      </w:pPr>
      <w:r w:rsidRPr="00BD5863">
        <w:rPr>
          <w:color w:val="auto"/>
        </w:rPr>
        <w:t>JONÁŠ, Jiří.</w:t>
      </w:r>
      <w:r w:rsidRPr="00BD5863">
        <w:rPr>
          <w:rStyle w:val="apple-converted-space"/>
          <w:color w:val="auto"/>
        </w:rPr>
        <w:t> </w:t>
      </w:r>
      <w:r w:rsidRPr="00BD5863">
        <w:rPr>
          <w:i/>
          <w:iCs/>
          <w:color w:val="auto"/>
        </w:rPr>
        <w:t>Vybrané otázky měnové politiky v ČR</w:t>
      </w:r>
      <w:r w:rsidRPr="00BD5863">
        <w:rPr>
          <w:color w:val="auto"/>
        </w:rPr>
        <w:t>. Praha: Česká národní banka, Sekce měnová, 2001, 63 s. ISBN 80-238-7230-3.</w:t>
      </w:r>
    </w:p>
    <w:p w:rsidR="00BD143D" w:rsidRPr="00BD5863" w:rsidRDefault="00BD143D" w:rsidP="00C2526E">
      <w:pPr>
        <w:pStyle w:val="seznam"/>
        <w:rPr>
          <w:color w:val="auto"/>
        </w:rPr>
      </w:pPr>
      <w:r w:rsidRPr="00BD5863">
        <w:rPr>
          <w:color w:val="auto"/>
        </w:rPr>
        <w:t xml:space="preserve">KLIKOVÁ, Christiana; KOTLÁN, Igor a kol. </w:t>
      </w:r>
      <w:r w:rsidRPr="00BD5863">
        <w:rPr>
          <w:i/>
          <w:color w:val="auto"/>
        </w:rPr>
        <w:t>Hospodářská politika</w:t>
      </w:r>
      <w:r w:rsidRPr="00BD5863">
        <w:rPr>
          <w:color w:val="auto"/>
        </w:rPr>
        <w:t>. 3. vyd. Ostrava: SOKRATES, 2012, 293 s. ISBN 978-80-86572-76-5.</w:t>
      </w:r>
    </w:p>
    <w:p w:rsidR="00BD143D" w:rsidRPr="00BD5863" w:rsidRDefault="00BD143D" w:rsidP="00C2526E">
      <w:pPr>
        <w:pStyle w:val="seznam"/>
        <w:rPr>
          <w:color w:val="auto"/>
        </w:rPr>
      </w:pPr>
      <w:r w:rsidRPr="00BD5863">
        <w:rPr>
          <w:color w:val="auto"/>
        </w:rPr>
        <w:t xml:space="preserve">MANDEL, Martin; TOMŠÍK, Vladimír. </w:t>
      </w:r>
      <w:r w:rsidRPr="00BD5863">
        <w:rPr>
          <w:i/>
          <w:color w:val="auto"/>
        </w:rPr>
        <w:t>Monetární ekonomie v malé otevřené ekonomice</w:t>
      </w:r>
      <w:r w:rsidRPr="00BD5863">
        <w:rPr>
          <w:color w:val="auto"/>
        </w:rPr>
        <w:t xml:space="preserve">. 2. vyd. Praha. Management </w:t>
      </w:r>
      <w:proofErr w:type="spellStart"/>
      <w:r w:rsidRPr="00BD5863">
        <w:rPr>
          <w:color w:val="auto"/>
        </w:rPr>
        <w:t>Press</w:t>
      </w:r>
      <w:proofErr w:type="spellEnd"/>
      <w:r w:rsidRPr="00BD5863">
        <w:rPr>
          <w:color w:val="auto"/>
        </w:rPr>
        <w:t>, 2008, 367 s. ISBN 978-80-7261-185-0.</w:t>
      </w:r>
    </w:p>
    <w:p w:rsidR="00E97BA0" w:rsidRPr="00BD5863" w:rsidRDefault="00BD143D" w:rsidP="00E97BA0">
      <w:pPr>
        <w:pStyle w:val="seznam"/>
        <w:spacing w:after="0"/>
        <w:rPr>
          <w:color w:val="auto"/>
        </w:rPr>
      </w:pPr>
      <w:r w:rsidRPr="00BD5863">
        <w:rPr>
          <w:color w:val="auto"/>
        </w:rPr>
        <w:t>PAVELKA, Tomáš. </w:t>
      </w:r>
      <w:r w:rsidRPr="00BD5863">
        <w:rPr>
          <w:i/>
          <w:color w:val="auto"/>
        </w:rPr>
        <w:t>Makroekonomie: základní kurz</w:t>
      </w:r>
      <w:r w:rsidRPr="00BD5863">
        <w:rPr>
          <w:color w:val="auto"/>
        </w:rPr>
        <w:t>.</w:t>
      </w:r>
    </w:p>
    <w:p w:rsidR="00BD143D" w:rsidRPr="00BD5863" w:rsidRDefault="00BD143D" w:rsidP="00E97BA0">
      <w:pPr>
        <w:pStyle w:val="seznam"/>
        <w:numPr>
          <w:ilvl w:val="0"/>
          <w:numId w:val="0"/>
        </w:numPr>
        <w:spacing w:before="0"/>
        <w:ind w:left="709"/>
        <w:rPr>
          <w:color w:val="auto"/>
        </w:rPr>
      </w:pPr>
      <w:r w:rsidRPr="00BD5863">
        <w:rPr>
          <w:color w:val="auto"/>
        </w:rPr>
        <w:t>Praha: MELANDRIUM, 2007, 278 s. ISBN 978-80-86175-52-2.</w:t>
      </w:r>
    </w:p>
    <w:p w:rsidR="00BD143D" w:rsidRPr="00BD5863" w:rsidRDefault="00BD143D" w:rsidP="00C2526E">
      <w:pPr>
        <w:pStyle w:val="seznam"/>
        <w:rPr>
          <w:color w:val="auto"/>
        </w:rPr>
      </w:pPr>
      <w:r w:rsidRPr="00BD5863">
        <w:rPr>
          <w:color w:val="auto"/>
        </w:rPr>
        <w:t xml:space="preserve">REVENDA, Zbyněk. </w:t>
      </w:r>
      <w:r w:rsidRPr="00BD5863">
        <w:rPr>
          <w:i/>
          <w:color w:val="auto"/>
        </w:rPr>
        <w:t>Centrální bankovnictví</w:t>
      </w:r>
      <w:r w:rsidRPr="00BD5863">
        <w:rPr>
          <w:color w:val="auto"/>
        </w:rPr>
        <w:t xml:space="preserve">. 3. vyd. Praha: Management </w:t>
      </w:r>
      <w:proofErr w:type="spellStart"/>
      <w:r w:rsidRPr="00BD5863">
        <w:rPr>
          <w:color w:val="auto"/>
        </w:rPr>
        <w:t>Press</w:t>
      </w:r>
      <w:proofErr w:type="spellEnd"/>
      <w:r w:rsidRPr="00BD5863">
        <w:rPr>
          <w:color w:val="auto"/>
        </w:rPr>
        <w:t>, 2011, 558 s. ISBN 978-80-7261-230-7.</w:t>
      </w:r>
    </w:p>
    <w:p w:rsidR="00BD143D" w:rsidRPr="00BD5863" w:rsidRDefault="00BD143D" w:rsidP="00C2526E">
      <w:pPr>
        <w:pStyle w:val="seznam"/>
        <w:rPr>
          <w:color w:val="auto"/>
        </w:rPr>
      </w:pPr>
      <w:r w:rsidRPr="00BD5863">
        <w:rPr>
          <w:color w:val="auto"/>
        </w:rPr>
        <w:lastRenderedPageBreak/>
        <w:t xml:space="preserve">REVENDA, Zbyněk a kol. </w:t>
      </w:r>
      <w:r w:rsidRPr="00BD5863">
        <w:rPr>
          <w:i/>
          <w:color w:val="auto"/>
        </w:rPr>
        <w:t>Peněžní ekonomie a bankovnictví</w:t>
      </w:r>
      <w:r w:rsidRPr="00BD5863">
        <w:rPr>
          <w:color w:val="auto"/>
        </w:rPr>
        <w:t xml:space="preserve">. Praha: Management </w:t>
      </w:r>
      <w:proofErr w:type="spellStart"/>
      <w:r w:rsidRPr="00BD5863">
        <w:rPr>
          <w:color w:val="auto"/>
        </w:rPr>
        <w:t>Press</w:t>
      </w:r>
      <w:proofErr w:type="spellEnd"/>
      <w:r w:rsidRPr="00BD5863">
        <w:rPr>
          <w:color w:val="auto"/>
        </w:rPr>
        <w:t>, 2012, 423 s. ISBN 978-80-7261-132-4.</w:t>
      </w:r>
    </w:p>
    <w:p w:rsidR="00BA6513" w:rsidRPr="00BD5863" w:rsidRDefault="00BA6513" w:rsidP="00C2526E">
      <w:pPr>
        <w:pStyle w:val="seznam"/>
        <w:rPr>
          <w:color w:val="auto"/>
        </w:rPr>
      </w:pPr>
      <w:r w:rsidRPr="00BD5863">
        <w:rPr>
          <w:color w:val="auto"/>
        </w:rPr>
        <w:t xml:space="preserve">ROMER, David. </w:t>
      </w:r>
      <w:proofErr w:type="spellStart"/>
      <w:r w:rsidRPr="00BD5863">
        <w:rPr>
          <w:i/>
          <w:color w:val="auto"/>
        </w:rPr>
        <w:t>Advanced</w:t>
      </w:r>
      <w:proofErr w:type="spellEnd"/>
      <w:r w:rsidRPr="00BD5863">
        <w:rPr>
          <w:i/>
          <w:color w:val="auto"/>
        </w:rPr>
        <w:t xml:space="preserve"> </w:t>
      </w:r>
      <w:proofErr w:type="spellStart"/>
      <w:r w:rsidRPr="00BD5863">
        <w:rPr>
          <w:i/>
          <w:color w:val="auto"/>
        </w:rPr>
        <w:t>macroeconomics</w:t>
      </w:r>
      <w:proofErr w:type="spellEnd"/>
      <w:r w:rsidRPr="00BD5863">
        <w:rPr>
          <w:color w:val="auto"/>
        </w:rPr>
        <w:t xml:space="preserve">. 3rd </w:t>
      </w:r>
      <w:proofErr w:type="spellStart"/>
      <w:r w:rsidRPr="00BD5863">
        <w:rPr>
          <w:color w:val="auto"/>
        </w:rPr>
        <w:t>ed</w:t>
      </w:r>
      <w:proofErr w:type="spellEnd"/>
      <w:r w:rsidRPr="00BD5863">
        <w:rPr>
          <w:color w:val="auto"/>
        </w:rPr>
        <w:t xml:space="preserve">. Boston: </w:t>
      </w:r>
      <w:proofErr w:type="spellStart"/>
      <w:r w:rsidRPr="00BD5863">
        <w:rPr>
          <w:color w:val="auto"/>
        </w:rPr>
        <w:t>McGraw-Hill</w:t>
      </w:r>
      <w:proofErr w:type="spellEnd"/>
      <w:r w:rsidRPr="00BD5863">
        <w:rPr>
          <w:color w:val="auto"/>
        </w:rPr>
        <w:t>,</w:t>
      </w:r>
      <w:r w:rsidR="004A1EF7" w:rsidRPr="00BD5863">
        <w:rPr>
          <w:color w:val="auto"/>
        </w:rPr>
        <w:t xml:space="preserve"> 2006, 678 s. ISBN 0-07-287730-8.</w:t>
      </w:r>
    </w:p>
    <w:p w:rsidR="00BD143D" w:rsidRPr="00BD5863" w:rsidRDefault="00BD143D" w:rsidP="00C2526E">
      <w:pPr>
        <w:pStyle w:val="seznam"/>
        <w:rPr>
          <w:color w:val="auto"/>
        </w:rPr>
      </w:pPr>
      <w:r w:rsidRPr="00BD5863">
        <w:rPr>
          <w:color w:val="auto"/>
        </w:rPr>
        <w:t xml:space="preserve">RYCHETSKÝ, Pavel; LANGÁŠEK, Tomáš; HERC, Tomáš; MLSNA, Petr a kol. </w:t>
      </w:r>
      <w:r w:rsidRPr="00BD5863">
        <w:rPr>
          <w:i/>
          <w:color w:val="auto"/>
        </w:rPr>
        <w:t>Ústava České republiky. Ústavní zákon o bezpečnosti České republiky. Komentář</w:t>
      </w:r>
      <w:r w:rsidRPr="00BD5863">
        <w:rPr>
          <w:color w:val="auto"/>
        </w:rPr>
        <w:t xml:space="preserve">. Praha: </w:t>
      </w:r>
      <w:proofErr w:type="spellStart"/>
      <w:r w:rsidRPr="00BD5863">
        <w:rPr>
          <w:color w:val="auto"/>
        </w:rPr>
        <w:t>WoltersKluwer</w:t>
      </w:r>
      <w:proofErr w:type="spellEnd"/>
      <w:r w:rsidRPr="00BD5863">
        <w:rPr>
          <w:color w:val="auto"/>
        </w:rPr>
        <w:t>, a.s., 2015, 1224 s. ISBN 978-80-7478-809-3.</w:t>
      </w:r>
    </w:p>
    <w:p w:rsidR="00BD143D" w:rsidRPr="00BD5863" w:rsidRDefault="00BD143D" w:rsidP="00C2526E">
      <w:pPr>
        <w:pStyle w:val="seznam"/>
        <w:rPr>
          <w:color w:val="auto"/>
        </w:rPr>
      </w:pPr>
      <w:r w:rsidRPr="00BD5863">
        <w:rPr>
          <w:color w:val="auto"/>
        </w:rPr>
        <w:t xml:space="preserve">RÝDL, Tomáš; BARÁK, Josef; SAŇA, Luděk; VÝBORNÝ, Petr. </w:t>
      </w:r>
      <w:r w:rsidR="00941A00" w:rsidRPr="00BD5863">
        <w:rPr>
          <w:i/>
          <w:color w:val="auto"/>
        </w:rPr>
        <w:t>ZČNB</w:t>
      </w:r>
      <w:r w:rsidRPr="00BD5863">
        <w:rPr>
          <w:i/>
          <w:color w:val="auto"/>
        </w:rPr>
        <w:t xml:space="preserve"> o České národní bance. Komentář</w:t>
      </w:r>
      <w:r w:rsidRPr="00BD5863">
        <w:rPr>
          <w:color w:val="auto"/>
        </w:rPr>
        <w:t xml:space="preserve">. 1. vyd. Praha: </w:t>
      </w:r>
      <w:proofErr w:type="spellStart"/>
      <w:r w:rsidRPr="00BD5863">
        <w:rPr>
          <w:color w:val="auto"/>
        </w:rPr>
        <w:t>WoltersKluwer</w:t>
      </w:r>
      <w:proofErr w:type="spellEnd"/>
      <w:r w:rsidRPr="00BD5863">
        <w:rPr>
          <w:color w:val="auto"/>
        </w:rPr>
        <w:t>, 2014, 344 s. ISBN 978-80-7478-622-8.</w:t>
      </w:r>
    </w:p>
    <w:p w:rsidR="00BD143D" w:rsidRPr="00BD5863" w:rsidRDefault="00BD143D" w:rsidP="00C2526E">
      <w:pPr>
        <w:pStyle w:val="seznam"/>
        <w:rPr>
          <w:color w:val="auto"/>
        </w:rPr>
      </w:pPr>
      <w:r w:rsidRPr="00BD5863">
        <w:rPr>
          <w:color w:val="auto"/>
        </w:rPr>
        <w:t>SINGER, Miroslav. Časování vstupu do eurozóny. In: MACH, Petr (</w:t>
      </w:r>
      <w:proofErr w:type="spellStart"/>
      <w:r w:rsidRPr="00BD5863">
        <w:rPr>
          <w:color w:val="auto"/>
        </w:rPr>
        <w:t>ed</w:t>
      </w:r>
      <w:proofErr w:type="spellEnd"/>
      <w:r w:rsidRPr="00BD5863">
        <w:rPr>
          <w:color w:val="auto"/>
        </w:rPr>
        <w:t xml:space="preserve">.). </w:t>
      </w:r>
      <w:r w:rsidRPr="00BD5863">
        <w:rPr>
          <w:i/>
          <w:color w:val="auto"/>
        </w:rPr>
        <w:t>Euro – dříve nebo později?</w:t>
      </w:r>
      <w:r w:rsidRPr="00BD5863">
        <w:rPr>
          <w:color w:val="auto"/>
        </w:rPr>
        <w:t xml:space="preserve"> Praha: Centrum pro ekonomiku a politiku, 2007, s. 27-57. ISBN 80-86547-63-9. </w:t>
      </w:r>
    </w:p>
    <w:p w:rsidR="00BD143D" w:rsidRPr="00BD5863" w:rsidRDefault="00BD143D" w:rsidP="00C2526E">
      <w:pPr>
        <w:pStyle w:val="seznam"/>
        <w:rPr>
          <w:color w:val="auto"/>
        </w:rPr>
      </w:pPr>
      <w:r w:rsidRPr="00BD5863">
        <w:rPr>
          <w:color w:val="auto"/>
        </w:rPr>
        <w:t>SKOPEČEK, Jan. Jak se rozhodovat o přijetí eura?. In: MACH, Petr (</w:t>
      </w:r>
      <w:proofErr w:type="spellStart"/>
      <w:r w:rsidRPr="00BD5863">
        <w:rPr>
          <w:color w:val="auto"/>
        </w:rPr>
        <w:t>ed</w:t>
      </w:r>
      <w:proofErr w:type="spellEnd"/>
      <w:r w:rsidRPr="00BD5863">
        <w:rPr>
          <w:color w:val="auto"/>
        </w:rPr>
        <w:t xml:space="preserve">.). </w:t>
      </w:r>
      <w:r w:rsidRPr="00BD5863">
        <w:rPr>
          <w:i/>
          <w:color w:val="auto"/>
        </w:rPr>
        <w:t>Euro – dříve nebo později?</w:t>
      </w:r>
      <w:r w:rsidRPr="00BD5863">
        <w:rPr>
          <w:color w:val="auto"/>
        </w:rPr>
        <w:t xml:space="preserve"> Praha: Centrum pro ekonomiku a politiku, 2007, s. 61-65. ISBN 80-86547-63-9. </w:t>
      </w:r>
    </w:p>
    <w:p w:rsidR="00BD143D" w:rsidRPr="00BD5863" w:rsidRDefault="00BD143D" w:rsidP="00C2526E">
      <w:pPr>
        <w:pStyle w:val="seznam"/>
        <w:rPr>
          <w:color w:val="auto"/>
        </w:rPr>
      </w:pPr>
      <w:r w:rsidRPr="00BD5863">
        <w:rPr>
          <w:color w:val="auto"/>
        </w:rPr>
        <w:t xml:space="preserve">SOUKUP, Jindřich a kol. </w:t>
      </w:r>
      <w:r w:rsidRPr="00BD5863">
        <w:rPr>
          <w:i/>
          <w:color w:val="auto"/>
        </w:rPr>
        <w:t>Makroekonomie: Moderní přístup</w:t>
      </w:r>
      <w:r w:rsidRPr="00BD5863">
        <w:rPr>
          <w:color w:val="auto"/>
        </w:rPr>
        <w:t xml:space="preserve">. Praha: Management </w:t>
      </w:r>
      <w:proofErr w:type="spellStart"/>
      <w:r w:rsidRPr="00BD5863">
        <w:rPr>
          <w:color w:val="auto"/>
        </w:rPr>
        <w:t>Press</w:t>
      </w:r>
      <w:proofErr w:type="spellEnd"/>
      <w:r w:rsidRPr="00BD5863">
        <w:rPr>
          <w:color w:val="auto"/>
        </w:rPr>
        <w:t>, 2007, 514 s. ISBN 978-80-7261-174-4.</w:t>
      </w:r>
    </w:p>
    <w:p w:rsidR="00BD143D" w:rsidRPr="00BD5863" w:rsidRDefault="00BD143D" w:rsidP="00C2526E">
      <w:pPr>
        <w:pStyle w:val="seznam"/>
        <w:rPr>
          <w:color w:val="auto"/>
        </w:rPr>
      </w:pPr>
      <w:r w:rsidRPr="00BD5863">
        <w:rPr>
          <w:color w:val="auto"/>
        </w:rPr>
        <w:t xml:space="preserve">VLČEK, Josef. </w:t>
      </w:r>
      <w:r w:rsidRPr="00BD5863">
        <w:rPr>
          <w:i/>
          <w:color w:val="auto"/>
        </w:rPr>
        <w:t>Ekonomie a ekonomika</w:t>
      </w:r>
      <w:r w:rsidRPr="00BD5863">
        <w:rPr>
          <w:color w:val="auto"/>
        </w:rPr>
        <w:t xml:space="preserve">. 4. vyd. Praha: </w:t>
      </w:r>
      <w:proofErr w:type="spellStart"/>
      <w:r w:rsidRPr="00BD5863">
        <w:rPr>
          <w:color w:val="auto"/>
        </w:rPr>
        <w:t>WoltersKluwer</w:t>
      </w:r>
      <w:proofErr w:type="spellEnd"/>
      <w:r w:rsidRPr="00BD5863">
        <w:rPr>
          <w:color w:val="auto"/>
        </w:rPr>
        <w:t xml:space="preserve"> ČR, 2009, 516 s. ISBN 978-80-7357-478-9.</w:t>
      </w:r>
    </w:p>
    <w:p w:rsidR="00BD143D" w:rsidRPr="00BD5863" w:rsidRDefault="00BD143D" w:rsidP="00C2526E">
      <w:pPr>
        <w:pStyle w:val="seznam"/>
        <w:rPr>
          <w:color w:val="auto"/>
        </w:rPr>
      </w:pPr>
      <w:r w:rsidRPr="00BD5863">
        <w:rPr>
          <w:color w:val="auto"/>
        </w:rPr>
        <w:t xml:space="preserve">ŽÍDEK, Libor. </w:t>
      </w:r>
      <w:r w:rsidRPr="00BD5863">
        <w:rPr>
          <w:i/>
          <w:color w:val="auto"/>
        </w:rPr>
        <w:t>Transformace české ekonomiky: 1989 – 2004</w:t>
      </w:r>
      <w:r w:rsidRPr="00BD5863">
        <w:rPr>
          <w:color w:val="auto"/>
        </w:rPr>
        <w:t>. 1. vyd. Praha: C. H. Beck, 2006, 304 s.  ISBN 80-7179-922-X.</w:t>
      </w:r>
    </w:p>
    <w:p w:rsidR="00BD143D" w:rsidRPr="00BD5863" w:rsidRDefault="00BD143D" w:rsidP="003A666E">
      <w:pPr>
        <w:jc w:val="both"/>
        <w:rPr>
          <w:rFonts w:ascii="Times New Roman" w:hAnsi="Times New Roman" w:cs="Times New Roman"/>
          <w:sz w:val="20"/>
          <w:szCs w:val="20"/>
          <w:shd w:val="clear" w:color="auto" w:fill="FFFFFF"/>
        </w:rPr>
      </w:pPr>
    </w:p>
    <w:p w:rsidR="00BD143D" w:rsidRPr="00BD5863" w:rsidRDefault="003A666E" w:rsidP="003A666E">
      <w:pPr>
        <w:jc w:val="both"/>
        <w:rPr>
          <w:rFonts w:ascii="Times New Roman" w:hAnsi="Times New Roman" w:cs="Times New Roman"/>
          <w:b/>
          <w:sz w:val="24"/>
          <w:szCs w:val="20"/>
          <w:shd w:val="clear" w:color="auto" w:fill="FFFFFF"/>
        </w:rPr>
      </w:pPr>
      <w:r w:rsidRPr="00BD5863">
        <w:rPr>
          <w:rFonts w:ascii="Times New Roman" w:hAnsi="Times New Roman" w:cs="Times New Roman"/>
          <w:b/>
          <w:sz w:val="24"/>
          <w:szCs w:val="20"/>
          <w:shd w:val="clear" w:color="auto" w:fill="FFFFFF"/>
        </w:rPr>
        <w:t>Elektronické zdroje</w:t>
      </w:r>
    </w:p>
    <w:p w:rsidR="00BD143D" w:rsidRPr="00BD5863" w:rsidRDefault="00BD143D" w:rsidP="00C2526E">
      <w:pPr>
        <w:pStyle w:val="seznam"/>
        <w:rPr>
          <w:color w:val="auto"/>
          <w:szCs w:val="24"/>
        </w:rPr>
      </w:pPr>
      <w:r w:rsidRPr="00BD5863">
        <w:rPr>
          <w:color w:val="auto"/>
          <w:szCs w:val="24"/>
        </w:rPr>
        <w:t xml:space="preserve">BUREŠ, Jan. ČNB nemůže jít hlavou proti zdi. </w:t>
      </w:r>
      <w:r w:rsidRPr="00BD5863">
        <w:rPr>
          <w:i/>
          <w:color w:val="auto"/>
          <w:szCs w:val="24"/>
        </w:rPr>
        <w:t>Hospodářské noviny</w:t>
      </w:r>
      <w:r w:rsidRPr="00BD5863">
        <w:rPr>
          <w:color w:val="auto"/>
          <w:szCs w:val="24"/>
        </w:rPr>
        <w:t xml:space="preserve"> [online]. Publikováno 10. 12. 2015 [cit. 2015-12-23]. Dostupné z: </w:t>
      </w:r>
      <w:hyperlink r:id="rId13" w:history="1">
        <w:r w:rsidRPr="00BD5863">
          <w:rPr>
            <w:rStyle w:val="Hypertextovodkaz"/>
            <w:color w:val="auto"/>
            <w:szCs w:val="24"/>
          </w:rPr>
          <w:t>http://byznys.ihned.cz/c1-64960570-cnb-nemuze-jit-hlavou-proti-zdi</w:t>
        </w:r>
      </w:hyperlink>
      <w:r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lastRenderedPageBreak/>
        <w:t xml:space="preserve">ČERMÁK, Petr. V krizi dokáže ČNB ovlivňovat úrokové sazby jen obtížně. </w:t>
      </w:r>
      <w:r w:rsidRPr="00BD5863">
        <w:rPr>
          <w:i/>
          <w:color w:val="auto"/>
          <w:szCs w:val="24"/>
        </w:rPr>
        <w:t>Peníze.cz</w:t>
      </w:r>
      <w:r w:rsidRPr="00BD5863">
        <w:rPr>
          <w:color w:val="auto"/>
          <w:szCs w:val="24"/>
        </w:rPr>
        <w:t xml:space="preserve"> [online]. Publikováno 9. 2. 2009 [cit. 2015-11-23]. Dostupné z: </w:t>
      </w:r>
      <w:hyperlink r:id="rId14" w:history="1">
        <w:r w:rsidRPr="00BD5863">
          <w:rPr>
            <w:rStyle w:val="Hypertextovodkaz"/>
            <w:color w:val="auto"/>
            <w:szCs w:val="24"/>
          </w:rPr>
          <w:t>http://www.penize.cz/dan-z-prijmu-fyzickych-osob/49182-v-krizi-dokaze-cnb-ovlivnovat-urokove-sazby-jen-obtizne</w:t>
        </w:r>
      </w:hyperlink>
      <w:r w:rsidRPr="00BD5863">
        <w:rPr>
          <w:color w:val="auto"/>
          <w:szCs w:val="24"/>
        </w:rPr>
        <w:t xml:space="preserve">. </w:t>
      </w:r>
    </w:p>
    <w:p w:rsidR="003A666E" w:rsidRPr="00BD5863" w:rsidRDefault="00BD143D" w:rsidP="00C2526E">
      <w:pPr>
        <w:pStyle w:val="seznam"/>
        <w:spacing w:before="0" w:after="0"/>
        <w:rPr>
          <w:color w:val="auto"/>
          <w:szCs w:val="24"/>
        </w:rPr>
      </w:pPr>
      <w:r w:rsidRPr="00BD5863">
        <w:rPr>
          <w:color w:val="auto"/>
          <w:szCs w:val="24"/>
        </w:rPr>
        <w:t xml:space="preserve">DĚDEK, Oldřich. Maastrichtská kritéria. </w:t>
      </w:r>
      <w:r w:rsidRPr="00BD5863">
        <w:rPr>
          <w:i/>
          <w:color w:val="auto"/>
          <w:szCs w:val="24"/>
        </w:rPr>
        <w:t>Zavedení eura v České republice</w:t>
      </w:r>
      <w:r w:rsidRPr="00BD5863">
        <w:rPr>
          <w:color w:val="auto"/>
          <w:szCs w:val="24"/>
        </w:rPr>
        <w:t xml:space="preserve"> [online]. Publikováno 1. 12. 2013 [cit. 2015-11-19]. Dostupné z:</w:t>
      </w:r>
    </w:p>
    <w:p w:rsidR="003A666E" w:rsidRPr="00BD5863" w:rsidRDefault="00704598" w:rsidP="00C2526E">
      <w:pPr>
        <w:pStyle w:val="seznam"/>
        <w:numPr>
          <w:ilvl w:val="0"/>
          <w:numId w:val="0"/>
        </w:numPr>
        <w:spacing w:before="0"/>
        <w:ind w:left="714"/>
        <w:rPr>
          <w:color w:val="auto"/>
          <w:szCs w:val="24"/>
        </w:rPr>
      </w:pPr>
      <w:hyperlink r:id="rId15" w:anchor="MaKr_2" w:history="1">
        <w:r w:rsidR="00BD143D" w:rsidRPr="00BD5863">
          <w:rPr>
            <w:rStyle w:val="Hypertextovodkaz"/>
            <w:color w:val="auto"/>
            <w:szCs w:val="24"/>
          </w:rPr>
          <w:t>http://www.zavedenieura.cz/cs/euro/eurozona/maastrichtska-kriteria#MaKr_2</w:t>
        </w:r>
      </w:hyperlink>
      <w:r w:rsidR="00BD143D" w:rsidRPr="00BD5863">
        <w:rPr>
          <w:color w:val="auto"/>
          <w:szCs w:val="24"/>
        </w:rPr>
        <w:t xml:space="preserve">. </w:t>
      </w:r>
    </w:p>
    <w:p w:rsidR="003A666E" w:rsidRPr="00BD5863" w:rsidRDefault="00BD143D" w:rsidP="00C2526E">
      <w:pPr>
        <w:pStyle w:val="seznam"/>
        <w:spacing w:after="0"/>
        <w:rPr>
          <w:color w:val="auto"/>
          <w:szCs w:val="24"/>
        </w:rPr>
      </w:pPr>
      <w:r w:rsidRPr="00BD5863">
        <w:rPr>
          <w:color w:val="auto"/>
          <w:szCs w:val="24"/>
        </w:rPr>
        <w:t xml:space="preserve">DOLIAK, Michal; KARMAŽÍN; Branislav. </w:t>
      </w:r>
      <w:proofErr w:type="spellStart"/>
      <w:r w:rsidRPr="00BD5863">
        <w:rPr>
          <w:color w:val="auto"/>
          <w:szCs w:val="24"/>
        </w:rPr>
        <w:t>Udržateĺnosťinflácie</w:t>
      </w:r>
      <w:proofErr w:type="spellEnd"/>
      <w:r w:rsidRPr="00BD5863">
        <w:rPr>
          <w:color w:val="auto"/>
          <w:szCs w:val="24"/>
        </w:rPr>
        <w:t xml:space="preserve">. </w:t>
      </w:r>
      <w:r w:rsidRPr="00BD5863">
        <w:rPr>
          <w:i/>
          <w:color w:val="auto"/>
          <w:szCs w:val="24"/>
        </w:rPr>
        <w:t xml:space="preserve">Na </w:t>
      </w:r>
      <w:proofErr w:type="spellStart"/>
      <w:r w:rsidRPr="00BD5863">
        <w:rPr>
          <w:i/>
          <w:color w:val="auto"/>
          <w:szCs w:val="24"/>
        </w:rPr>
        <w:t>aktuálnutému</w:t>
      </w:r>
      <w:proofErr w:type="spellEnd"/>
      <w:r w:rsidRPr="00BD5863">
        <w:rPr>
          <w:color w:val="auto"/>
          <w:szCs w:val="24"/>
        </w:rPr>
        <w:t xml:space="preserve"> [online]. 2008, roč. 16, č. 5, s. 2 – 5. Dostupné z:</w:t>
      </w:r>
    </w:p>
    <w:p w:rsidR="003A666E" w:rsidRPr="00BD5863" w:rsidRDefault="00704598" w:rsidP="00C2526E">
      <w:pPr>
        <w:pStyle w:val="seznam"/>
        <w:numPr>
          <w:ilvl w:val="0"/>
          <w:numId w:val="0"/>
        </w:numPr>
        <w:spacing w:before="0"/>
        <w:ind w:left="714"/>
        <w:rPr>
          <w:color w:val="auto"/>
          <w:szCs w:val="24"/>
        </w:rPr>
      </w:pPr>
      <w:hyperlink r:id="rId16" w:history="1">
        <w:r w:rsidR="00BD143D" w:rsidRPr="00BD5863">
          <w:rPr>
            <w:rStyle w:val="Hypertextovodkaz"/>
            <w:color w:val="auto"/>
            <w:szCs w:val="24"/>
          </w:rPr>
          <w:t>http://www.nbs.sk/_img/Documents/PUBLIK/MU/08_03.PDF</w:t>
        </w:r>
      </w:hyperlink>
      <w:r w:rsidR="00BD143D"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t xml:space="preserve">DUBSKÁ, Drahomíra. </w:t>
      </w:r>
      <w:r w:rsidRPr="00BD5863">
        <w:rPr>
          <w:i/>
          <w:color w:val="auto"/>
          <w:szCs w:val="24"/>
        </w:rPr>
        <w:t>Dopady světové finanční a hospodářské krize na ekonomiku České republiky</w:t>
      </w:r>
      <w:r w:rsidRPr="00BD5863">
        <w:rPr>
          <w:color w:val="auto"/>
          <w:szCs w:val="24"/>
        </w:rPr>
        <w:t xml:space="preserve"> [online]. 2011 [cit. 2015-09-08]. Dostupné z: </w:t>
      </w:r>
      <w:hyperlink r:id="rId17" w:history="1">
        <w:r w:rsidRPr="00BD5863">
          <w:rPr>
            <w:rStyle w:val="Hypertextovodkaz"/>
            <w:color w:val="auto"/>
            <w:szCs w:val="24"/>
          </w:rPr>
          <w:t>http://www.apic-ak.cz/data_ak/11/k/Stat/DopadyKrizeCR.pdf</w:t>
        </w:r>
      </w:hyperlink>
      <w:r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t xml:space="preserve">DVOROKOVÁ, Kateřina; HODULA, Martin. Modelling </w:t>
      </w:r>
      <w:proofErr w:type="spellStart"/>
      <w:r w:rsidRPr="00BD5863">
        <w:rPr>
          <w:color w:val="auto"/>
          <w:szCs w:val="24"/>
        </w:rPr>
        <w:t>of</w:t>
      </w:r>
      <w:proofErr w:type="spellEnd"/>
      <w:r w:rsidRPr="00BD5863">
        <w:rPr>
          <w:color w:val="auto"/>
          <w:szCs w:val="24"/>
        </w:rPr>
        <w:t xml:space="preserve"> Maastricht </w:t>
      </w:r>
      <w:proofErr w:type="spellStart"/>
      <w:r w:rsidRPr="00BD5863">
        <w:rPr>
          <w:color w:val="auto"/>
          <w:szCs w:val="24"/>
        </w:rPr>
        <w:t>ConvergenceCriteria</w:t>
      </w:r>
      <w:proofErr w:type="spellEnd"/>
      <w:r w:rsidRPr="00BD5863">
        <w:rPr>
          <w:color w:val="auto"/>
          <w:szCs w:val="24"/>
        </w:rPr>
        <w:t xml:space="preserve"> Influence on </w:t>
      </w:r>
      <w:proofErr w:type="spellStart"/>
      <w:r w:rsidRPr="00BD5863">
        <w:rPr>
          <w:color w:val="auto"/>
          <w:szCs w:val="24"/>
        </w:rPr>
        <w:t>EconomicGrowth</w:t>
      </w:r>
      <w:proofErr w:type="spellEnd"/>
      <w:r w:rsidRPr="00BD5863">
        <w:rPr>
          <w:color w:val="auto"/>
          <w:szCs w:val="24"/>
        </w:rPr>
        <w:t xml:space="preserve">: </w:t>
      </w:r>
      <w:proofErr w:type="spellStart"/>
      <w:r w:rsidRPr="00BD5863">
        <w:rPr>
          <w:color w:val="auto"/>
          <w:szCs w:val="24"/>
        </w:rPr>
        <w:t>anempirical</w:t>
      </w:r>
      <w:proofErr w:type="spellEnd"/>
      <w:r w:rsidRPr="00BD5863">
        <w:rPr>
          <w:color w:val="auto"/>
          <w:szCs w:val="24"/>
        </w:rPr>
        <w:t xml:space="preserve"> study </w:t>
      </w:r>
      <w:proofErr w:type="spellStart"/>
      <w:r w:rsidRPr="00BD5863">
        <w:rPr>
          <w:color w:val="auto"/>
          <w:szCs w:val="24"/>
        </w:rPr>
        <w:t>ofVisegrad</w:t>
      </w:r>
      <w:proofErr w:type="spellEnd"/>
      <w:r w:rsidRPr="00BD5863">
        <w:rPr>
          <w:color w:val="auto"/>
          <w:szCs w:val="24"/>
        </w:rPr>
        <w:t xml:space="preserve"> Group </w:t>
      </w:r>
      <w:proofErr w:type="spellStart"/>
      <w:r w:rsidRPr="00BD5863">
        <w:rPr>
          <w:color w:val="auto"/>
          <w:szCs w:val="24"/>
        </w:rPr>
        <w:t>countries</w:t>
      </w:r>
      <w:proofErr w:type="spellEnd"/>
      <w:r w:rsidRPr="00BD5863">
        <w:rPr>
          <w:color w:val="auto"/>
          <w:szCs w:val="24"/>
        </w:rPr>
        <w:t xml:space="preserve">. </w:t>
      </w:r>
      <w:r w:rsidRPr="00BD5863">
        <w:rPr>
          <w:i/>
          <w:color w:val="auto"/>
          <w:szCs w:val="24"/>
        </w:rPr>
        <w:t xml:space="preserve">WSEAS TRANSACTIONS on BUSINESS and ECONOMICS </w:t>
      </w:r>
      <w:r w:rsidRPr="00BD5863">
        <w:rPr>
          <w:color w:val="auto"/>
          <w:szCs w:val="24"/>
        </w:rPr>
        <w:t>[online]</w:t>
      </w:r>
      <w:r w:rsidRPr="00BD5863">
        <w:rPr>
          <w:i/>
          <w:color w:val="auto"/>
          <w:szCs w:val="24"/>
        </w:rPr>
        <w:t>.</w:t>
      </w:r>
      <w:r w:rsidRPr="00BD5863">
        <w:rPr>
          <w:color w:val="auto"/>
          <w:szCs w:val="24"/>
        </w:rPr>
        <w:t xml:space="preserve"> 2014, vol. 11, s. 350-358. Dostupné z: </w:t>
      </w:r>
      <w:hyperlink r:id="rId18" w:history="1">
        <w:r w:rsidRPr="00BD5863">
          <w:rPr>
            <w:rStyle w:val="Hypertextovodkaz"/>
            <w:color w:val="auto"/>
            <w:szCs w:val="24"/>
          </w:rPr>
          <w:t>http://www.wseas.org/multimedia/journals/economics/2014/a265707-227.pdf</w:t>
        </w:r>
      </w:hyperlink>
      <w:r w:rsidRPr="00BD5863">
        <w:rPr>
          <w:color w:val="auto"/>
          <w:szCs w:val="24"/>
        </w:rPr>
        <w:t xml:space="preserve">. </w:t>
      </w:r>
    </w:p>
    <w:p w:rsidR="00C2526E" w:rsidRPr="00BD5863" w:rsidRDefault="00BD143D" w:rsidP="00C2526E">
      <w:pPr>
        <w:pStyle w:val="seznam"/>
        <w:spacing w:after="0"/>
        <w:rPr>
          <w:color w:val="auto"/>
          <w:szCs w:val="24"/>
        </w:rPr>
      </w:pPr>
      <w:r w:rsidRPr="00BD5863">
        <w:rPr>
          <w:color w:val="auto"/>
          <w:szCs w:val="24"/>
        </w:rPr>
        <w:t xml:space="preserve">HLAVATÝ, Jakub. </w:t>
      </w:r>
      <w:r w:rsidRPr="00BD5863">
        <w:rPr>
          <w:i/>
          <w:color w:val="auto"/>
          <w:szCs w:val="24"/>
        </w:rPr>
        <w:t>Analýza účinnosti fiskální a monetární politiky v ČR</w:t>
      </w:r>
      <w:r w:rsidRPr="00BD5863">
        <w:rPr>
          <w:color w:val="auto"/>
          <w:szCs w:val="24"/>
        </w:rPr>
        <w:t xml:space="preserve"> [online]. Praha, 2010 [cit. 2015-08-27]. Diplomová práce. Bankovní institut vysoká škola Praha. Dostupné z:</w:t>
      </w:r>
    </w:p>
    <w:p w:rsidR="00BD143D" w:rsidRPr="00BD5863" w:rsidRDefault="00704598" w:rsidP="00C2526E">
      <w:pPr>
        <w:pStyle w:val="seznam"/>
        <w:numPr>
          <w:ilvl w:val="0"/>
          <w:numId w:val="0"/>
        </w:numPr>
        <w:spacing w:before="0"/>
        <w:ind w:left="714"/>
        <w:rPr>
          <w:color w:val="auto"/>
          <w:szCs w:val="24"/>
        </w:rPr>
      </w:pPr>
      <w:hyperlink r:id="rId19" w:history="1">
        <w:r w:rsidR="00BD143D" w:rsidRPr="00BD5863">
          <w:rPr>
            <w:rStyle w:val="Hypertextovodkaz"/>
            <w:color w:val="auto"/>
            <w:szCs w:val="24"/>
          </w:rPr>
          <w:t>https://is.bivs.cz/th/6626/bivs_m/HlavatyJ-Diplom.prace.pdf</w:t>
        </w:r>
      </w:hyperlink>
      <w:r w:rsidR="00BD143D" w:rsidRPr="00BD5863">
        <w:rPr>
          <w:color w:val="auto"/>
          <w:szCs w:val="24"/>
        </w:rPr>
        <w:t>.</w:t>
      </w:r>
    </w:p>
    <w:p w:rsidR="003A666E" w:rsidRPr="00BD5863" w:rsidRDefault="00BD143D" w:rsidP="00C2526E">
      <w:pPr>
        <w:pStyle w:val="seznam"/>
        <w:spacing w:after="0"/>
        <w:rPr>
          <w:color w:val="auto"/>
          <w:szCs w:val="24"/>
        </w:rPr>
      </w:pPr>
      <w:r w:rsidRPr="00BD5863">
        <w:rPr>
          <w:color w:val="auto"/>
          <w:szCs w:val="24"/>
        </w:rPr>
        <w:t xml:space="preserve">HOLUB, Tomáš. Příčiny odchylek inflace od cílů ČNB – empirická analýza. In: </w:t>
      </w:r>
      <w:r w:rsidRPr="00BD5863">
        <w:rPr>
          <w:i/>
          <w:color w:val="auto"/>
          <w:szCs w:val="24"/>
        </w:rPr>
        <w:t>Vyhodnocení plnění inflačních cílů ČNB v letech 1998–2007</w:t>
      </w:r>
      <w:r w:rsidRPr="00BD5863">
        <w:rPr>
          <w:color w:val="auto"/>
          <w:szCs w:val="24"/>
        </w:rPr>
        <w:t xml:space="preserve"> [online]. Praha: Česká národní banka, 2008, s. 44-52 [cit. 2015-12-21]. Dostupné z:</w:t>
      </w:r>
    </w:p>
    <w:p w:rsidR="003A666E" w:rsidRPr="00BD5863" w:rsidRDefault="00704598" w:rsidP="00C2526E">
      <w:pPr>
        <w:pStyle w:val="seznam"/>
        <w:numPr>
          <w:ilvl w:val="0"/>
          <w:numId w:val="0"/>
        </w:numPr>
        <w:spacing w:before="0"/>
        <w:ind w:left="714"/>
        <w:rPr>
          <w:color w:val="auto"/>
          <w:szCs w:val="24"/>
        </w:rPr>
      </w:pPr>
      <w:hyperlink r:id="rId20" w:history="1">
        <w:r w:rsidR="00BD143D" w:rsidRPr="00BD5863">
          <w:rPr>
            <w:rStyle w:val="Hypertextovodkaz"/>
            <w:color w:val="auto"/>
            <w:szCs w:val="24"/>
          </w:rPr>
          <w:t>http://www.cnb.cz/miranda2/export/sites/www.cnb.cz/cs/vyzkum/vyzkum_publikace/plneni_infl_cilu/download/vyhodnoceni_plneni_infl_cilu_CNB_1998-2007.pdf</w:t>
        </w:r>
      </w:hyperlink>
      <w:r w:rsidR="00BD143D"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t xml:space="preserve">MACH, Petr. Měnová krize z hlediska změn devizových rezerv. </w:t>
      </w:r>
      <w:proofErr w:type="gramStart"/>
      <w:r w:rsidRPr="00BD5863">
        <w:rPr>
          <w:i/>
          <w:color w:val="auto"/>
          <w:szCs w:val="24"/>
        </w:rPr>
        <w:t>cep</w:t>
      </w:r>
      <w:proofErr w:type="gramEnd"/>
      <w:r w:rsidRPr="00BD5863">
        <w:rPr>
          <w:color w:val="auto"/>
          <w:szCs w:val="24"/>
        </w:rPr>
        <w:t xml:space="preserve"> [online]. Publikováno 21. 2. 2002 [cit. 2015-12-04]. Dostupné z: </w:t>
      </w:r>
      <w:hyperlink r:id="rId21" w:history="1">
        <w:r w:rsidRPr="00BD5863">
          <w:rPr>
            <w:rStyle w:val="Hypertextovodkaz"/>
            <w:color w:val="auto"/>
            <w:szCs w:val="24"/>
          </w:rPr>
          <w:t>http://cepin.cz/cze/prednaska.php?ID=146</w:t>
        </w:r>
      </w:hyperlink>
      <w:r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lastRenderedPageBreak/>
        <w:t xml:space="preserve">ŘEŽÁBEK, Pavel. Česko mezi dvěma </w:t>
      </w:r>
      <w:proofErr w:type="spellStart"/>
      <w:proofErr w:type="gramStart"/>
      <w:r w:rsidRPr="00BD5863">
        <w:rPr>
          <w:color w:val="auto"/>
          <w:szCs w:val="24"/>
        </w:rPr>
        <w:t>koni.</w:t>
      </w:r>
      <w:r w:rsidRPr="00BD5863">
        <w:rPr>
          <w:i/>
          <w:color w:val="auto"/>
          <w:szCs w:val="24"/>
        </w:rPr>
        <w:t>Euro</w:t>
      </w:r>
      <w:proofErr w:type="spellEnd"/>
      <w:proofErr w:type="gramEnd"/>
      <w:r w:rsidRPr="00BD5863">
        <w:rPr>
          <w:color w:val="auto"/>
          <w:szCs w:val="24"/>
        </w:rPr>
        <w:t xml:space="preserve"> [online]. Mladá fronta, publikováno 3. 6. 2010 [cit. 2015-09-08]. Dostupné z: </w:t>
      </w:r>
      <w:hyperlink r:id="rId22" w:history="1">
        <w:r w:rsidRPr="00BD5863">
          <w:rPr>
            <w:rStyle w:val="Hypertextovodkaz"/>
            <w:color w:val="auto"/>
            <w:szCs w:val="24"/>
          </w:rPr>
          <w:t>http://euro.e15.cz/archiv/cesko-mezi-dvema-koni-820697</w:t>
        </w:r>
      </w:hyperlink>
      <w:r w:rsidRPr="00BD5863">
        <w:rPr>
          <w:color w:val="auto"/>
          <w:szCs w:val="24"/>
        </w:rPr>
        <w:t xml:space="preserve">. </w:t>
      </w:r>
    </w:p>
    <w:p w:rsidR="003A666E" w:rsidRPr="00BD5863" w:rsidRDefault="00BD143D" w:rsidP="00C2526E">
      <w:pPr>
        <w:pStyle w:val="seznam"/>
        <w:spacing w:after="0"/>
        <w:rPr>
          <w:color w:val="auto"/>
          <w:szCs w:val="24"/>
        </w:rPr>
      </w:pPr>
      <w:r w:rsidRPr="00BD5863">
        <w:rPr>
          <w:color w:val="auto"/>
          <w:szCs w:val="24"/>
        </w:rPr>
        <w:t xml:space="preserve">SINGER, Miroslav. Současné akcenty politiky ČNB. </w:t>
      </w:r>
      <w:r w:rsidRPr="00BD5863">
        <w:rPr>
          <w:i/>
          <w:color w:val="auto"/>
          <w:szCs w:val="24"/>
        </w:rPr>
        <w:t>Česká národní banka</w:t>
      </w:r>
      <w:r w:rsidRPr="00BD5863">
        <w:rPr>
          <w:color w:val="auto"/>
          <w:szCs w:val="24"/>
        </w:rPr>
        <w:t xml:space="preserve"> [online]. Publikováno 7. 4. 2008 [cit. 2016-02-25]. Dostupné z:</w:t>
      </w:r>
    </w:p>
    <w:p w:rsidR="003A666E" w:rsidRPr="00BD5863" w:rsidRDefault="00704598" w:rsidP="00C2526E">
      <w:pPr>
        <w:pStyle w:val="seznam"/>
        <w:numPr>
          <w:ilvl w:val="0"/>
          <w:numId w:val="0"/>
        </w:numPr>
        <w:spacing w:before="0"/>
        <w:ind w:left="714"/>
        <w:rPr>
          <w:color w:val="auto"/>
          <w:szCs w:val="24"/>
        </w:rPr>
      </w:pPr>
      <w:hyperlink r:id="rId23" w:history="1">
        <w:r w:rsidR="00BD143D" w:rsidRPr="00BD5863">
          <w:rPr>
            <w:rStyle w:val="Hypertextovodkaz"/>
            <w:color w:val="auto"/>
            <w:szCs w:val="24"/>
          </w:rPr>
          <w:t>http://www.cnb.cz/miranda2/export/sites/www.cnb.cz/cs/verejnost/pro_media/konference_projevy/vystoupeni_projevy/download/singer_20080407_brno.pdf</w:t>
        </w:r>
      </w:hyperlink>
      <w:r w:rsidR="00BD143D"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t>SPÁČILOVÁ, Tereza.</w:t>
      </w:r>
      <w:r w:rsidRPr="00BD5863">
        <w:rPr>
          <w:rStyle w:val="apple-converted-space"/>
          <w:color w:val="auto"/>
          <w:szCs w:val="24"/>
        </w:rPr>
        <w:t> </w:t>
      </w:r>
      <w:r w:rsidRPr="00BD5863">
        <w:rPr>
          <w:rStyle w:val="Zvraznn"/>
          <w:color w:val="auto"/>
          <w:szCs w:val="24"/>
        </w:rPr>
        <w:t>Analýza účinnosti monetární politiky ČNB (ekonomické a právní souvislosti) [online]</w:t>
      </w:r>
      <w:r w:rsidRPr="00BD5863">
        <w:rPr>
          <w:color w:val="auto"/>
          <w:szCs w:val="24"/>
        </w:rPr>
        <w:t xml:space="preserve">. Brno, 2010 [cit. 2015-08-26]. Diplomová práce. Masarykova univerzita, Právnická fakulta. Dostupné z: </w:t>
      </w:r>
      <w:hyperlink r:id="rId24" w:history="1">
        <w:r w:rsidRPr="00BD5863">
          <w:rPr>
            <w:rStyle w:val="Hypertextovodkaz"/>
            <w:color w:val="auto"/>
            <w:szCs w:val="24"/>
          </w:rPr>
          <w:t>https://is.muni.cz/auth/th/199255/pravf_m/Diplomova_prace.pdf</w:t>
        </w:r>
      </w:hyperlink>
      <w:r w:rsidRPr="00BD5863">
        <w:rPr>
          <w:color w:val="auto"/>
          <w:szCs w:val="24"/>
        </w:rPr>
        <w:t xml:space="preserve">. </w:t>
      </w:r>
    </w:p>
    <w:p w:rsidR="003A666E" w:rsidRPr="00BD5863" w:rsidRDefault="00BD143D" w:rsidP="00C2526E">
      <w:pPr>
        <w:pStyle w:val="seznam"/>
        <w:spacing w:after="0"/>
        <w:rPr>
          <w:color w:val="auto"/>
          <w:szCs w:val="24"/>
        </w:rPr>
      </w:pPr>
      <w:r w:rsidRPr="00BD5863">
        <w:rPr>
          <w:color w:val="auto"/>
          <w:szCs w:val="24"/>
        </w:rPr>
        <w:t xml:space="preserve">ŠMÍDKOVÁ, Kateřina. Vyhodnocení plnění inflačních cílů ČNB v letech 1998 - 2007. In: </w:t>
      </w:r>
      <w:r w:rsidRPr="00BD5863">
        <w:rPr>
          <w:i/>
          <w:color w:val="auto"/>
          <w:szCs w:val="24"/>
        </w:rPr>
        <w:t>Vyhodnocení plnění inflačních cílů ČNB v letech 1998–2007</w:t>
      </w:r>
      <w:r w:rsidRPr="00BD5863">
        <w:rPr>
          <w:color w:val="auto"/>
          <w:szCs w:val="24"/>
        </w:rPr>
        <w:t xml:space="preserve"> [online]. Praha: Česká národní banka, 2008, s. 10-17 [cit. 2015-12-21]. Dostupné z:</w:t>
      </w:r>
    </w:p>
    <w:p w:rsidR="003A666E" w:rsidRPr="00BD5863" w:rsidRDefault="00704598" w:rsidP="00C2526E">
      <w:pPr>
        <w:pStyle w:val="seznam"/>
        <w:numPr>
          <w:ilvl w:val="0"/>
          <w:numId w:val="0"/>
        </w:numPr>
        <w:spacing w:before="0"/>
        <w:ind w:left="714"/>
        <w:rPr>
          <w:color w:val="auto"/>
          <w:szCs w:val="24"/>
        </w:rPr>
      </w:pPr>
      <w:hyperlink r:id="rId25" w:history="1">
        <w:r w:rsidR="00BD143D" w:rsidRPr="00BD5863">
          <w:rPr>
            <w:rStyle w:val="Hypertextovodkaz"/>
            <w:color w:val="auto"/>
            <w:szCs w:val="24"/>
          </w:rPr>
          <w:t>http://www.cnb.cz/miranda2/export/sites/www.cnb.cz/cs/vyzkum/vyzkum_publikace/plneni_infl_cilu/download/vyhodnoceni_plneni_infl_cilu_CNB_1998-2007.pdf</w:t>
        </w:r>
      </w:hyperlink>
      <w:r w:rsidR="00BD143D" w:rsidRPr="00BD5863">
        <w:rPr>
          <w:color w:val="auto"/>
          <w:szCs w:val="24"/>
        </w:rPr>
        <w:t>.</w:t>
      </w:r>
    </w:p>
    <w:p w:rsidR="00BD143D" w:rsidRPr="00BD5863" w:rsidRDefault="00BD143D" w:rsidP="00C2526E">
      <w:pPr>
        <w:pStyle w:val="seznam"/>
        <w:rPr>
          <w:color w:val="auto"/>
          <w:szCs w:val="24"/>
        </w:rPr>
      </w:pPr>
      <w:r w:rsidRPr="00BD5863">
        <w:rPr>
          <w:color w:val="auto"/>
          <w:szCs w:val="24"/>
        </w:rPr>
        <w:t xml:space="preserve">TŮMA, Ondřej. Očima expertů: Měnová intervence ČNB. Komu pomůže a komu ublíží? </w:t>
      </w:r>
      <w:r w:rsidRPr="00BD5863">
        <w:rPr>
          <w:i/>
          <w:color w:val="auto"/>
          <w:szCs w:val="24"/>
        </w:rPr>
        <w:t>Peníze.cz</w:t>
      </w:r>
      <w:r w:rsidRPr="00BD5863">
        <w:rPr>
          <w:color w:val="auto"/>
          <w:szCs w:val="24"/>
        </w:rPr>
        <w:t xml:space="preserve"> [online]. Publikováno 15. 11. 2013 [cit. 2015-12-23]. Dostupné z: </w:t>
      </w:r>
      <w:hyperlink r:id="rId26" w:history="1">
        <w:r w:rsidRPr="00BD5863">
          <w:rPr>
            <w:rStyle w:val="Hypertextovodkaz"/>
            <w:color w:val="auto"/>
            <w:szCs w:val="24"/>
          </w:rPr>
          <w:t>http://www.penize.cz/makroekonomika/275985-ocima-expertu-menova-intervence-cnb-komu-pomuze-a-komu-ublizi</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10 let cílování inflace 1998 – 2007</w:t>
      </w:r>
      <w:r w:rsidRPr="00BD5863">
        <w:rPr>
          <w:color w:val="auto"/>
          <w:szCs w:val="24"/>
        </w:rPr>
        <w:t xml:space="preserve">. Praha: Česká národní banka, 2008, 4 s. Dostupné z: </w:t>
      </w:r>
      <w:hyperlink r:id="rId27" w:history="1">
        <w:r w:rsidRPr="00BD5863">
          <w:rPr>
            <w:rStyle w:val="Hypertextovodkaz"/>
            <w:color w:val="auto"/>
            <w:szCs w:val="24"/>
          </w:rPr>
          <w:t>http://www.cnb.cz/miranda2/export/sites/www.cnb.cz/cs/o_cnb/publikace/download/10_let_inflacni_cileni_cz.pdf</w:t>
        </w:r>
      </w:hyperlink>
      <w:r w:rsidRPr="00BD5863">
        <w:rPr>
          <w:color w:val="auto"/>
          <w:szCs w:val="24"/>
        </w:rPr>
        <w:t xml:space="preserve">. </w:t>
      </w:r>
    </w:p>
    <w:p w:rsidR="004E7289" w:rsidRPr="00BD5863" w:rsidRDefault="00BD143D" w:rsidP="00C2526E">
      <w:pPr>
        <w:pStyle w:val="seznam"/>
        <w:rPr>
          <w:color w:val="auto"/>
          <w:szCs w:val="24"/>
        </w:rPr>
      </w:pPr>
      <w:r w:rsidRPr="00BD5863">
        <w:rPr>
          <w:i/>
          <w:color w:val="auto"/>
          <w:szCs w:val="24"/>
        </w:rPr>
        <w:t>1993-1999 (nezávislá MP NBS)</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[cit. 2016-01-22]. Dostupné z: </w:t>
      </w:r>
      <w:hyperlink r:id="rId28" w:history="1">
        <w:r w:rsidRPr="00BD5863">
          <w:rPr>
            <w:rStyle w:val="Hypertextovodkaz"/>
            <w:color w:val="auto"/>
            <w:szCs w:val="24"/>
          </w:rPr>
          <w:t>http://www.nbs.sk/sk/menova-politika/menova-politika-nbs-do-roku-2009/1993-1999-nezavisla-mp-nbs</w:t>
        </w:r>
      </w:hyperlink>
      <w:r w:rsidRPr="00BD5863">
        <w:rPr>
          <w:color w:val="auto"/>
          <w:szCs w:val="24"/>
        </w:rPr>
        <w:t>.</w:t>
      </w:r>
    </w:p>
    <w:p w:rsidR="004E7289" w:rsidRPr="00BD5863" w:rsidRDefault="00BD143D" w:rsidP="004E7289">
      <w:pPr>
        <w:pStyle w:val="seznam"/>
        <w:spacing w:after="0"/>
        <w:rPr>
          <w:color w:val="auto"/>
          <w:szCs w:val="24"/>
        </w:rPr>
      </w:pPr>
      <w:r w:rsidRPr="00BD5863">
        <w:rPr>
          <w:i/>
          <w:color w:val="auto"/>
          <w:szCs w:val="24"/>
        </w:rPr>
        <w:t>2000-2004 (</w:t>
      </w:r>
      <w:proofErr w:type="spellStart"/>
      <w:r w:rsidRPr="00BD5863">
        <w:rPr>
          <w:i/>
          <w:color w:val="auto"/>
          <w:szCs w:val="24"/>
        </w:rPr>
        <w:t>implicitnéinflačnécielenie</w:t>
      </w:r>
      <w:proofErr w:type="spellEnd"/>
      <w:r w:rsidRPr="00BD5863">
        <w:rPr>
          <w:i/>
          <w:color w:val="auto"/>
          <w:szCs w:val="24"/>
        </w:rPr>
        <w:t>)</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[cit. 2016-01-22]. Dostupné z:</w:t>
      </w:r>
    </w:p>
    <w:p w:rsidR="00BD143D" w:rsidRPr="00BD5863" w:rsidRDefault="00704598" w:rsidP="004E7289">
      <w:pPr>
        <w:pStyle w:val="seznam"/>
        <w:numPr>
          <w:ilvl w:val="0"/>
          <w:numId w:val="0"/>
        </w:numPr>
        <w:spacing w:before="0"/>
        <w:ind w:left="714"/>
        <w:rPr>
          <w:color w:val="auto"/>
          <w:szCs w:val="24"/>
        </w:rPr>
      </w:pPr>
      <w:hyperlink r:id="rId29" w:history="1">
        <w:r w:rsidR="00BD143D" w:rsidRPr="00BD5863">
          <w:rPr>
            <w:rStyle w:val="Hypertextovodkaz"/>
            <w:color w:val="auto"/>
            <w:szCs w:val="24"/>
          </w:rPr>
          <w:t>http://www.nbs.sk/sk/menova-politika/menova-politika-nbs-do-roku-2009/2000-2004-implicitne-inflacne-cielenie</w:t>
        </w:r>
      </w:hyperlink>
      <w:r w:rsidR="00BD143D" w:rsidRPr="00BD5863">
        <w:rPr>
          <w:color w:val="auto"/>
          <w:szCs w:val="24"/>
        </w:rPr>
        <w:t xml:space="preserve">. </w:t>
      </w:r>
    </w:p>
    <w:p w:rsidR="004E7289" w:rsidRPr="00BD5863" w:rsidRDefault="00BD143D" w:rsidP="004E7289">
      <w:pPr>
        <w:pStyle w:val="seznam"/>
        <w:spacing w:after="0"/>
        <w:rPr>
          <w:color w:val="auto"/>
          <w:szCs w:val="24"/>
        </w:rPr>
      </w:pPr>
      <w:r w:rsidRPr="00BD5863">
        <w:rPr>
          <w:i/>
          <w:color w:val="auto"/>
          <w:szCs w:val="24"/>
        </w:rPr>
        <w:lastRenderedPageBreak/>
        <w:t>2005-2008 (</w:t>
      </w:r>
      <w:proofErr w:type="spellStart"/>
      <w:r w:rsidRPr="00BD5863">
        <w:rPr>
          <w:i/>
          <w:color w:val="auto"/>
          <w:szCs w:val="24"/>
        </w:rPr>
        <w:t>inflačnécielenie</w:t>
      </w:r>
      <w:proofErr w:type="spellEnd"/>
      <w:r w:rsidRPr="00BD5863">
        <w:rPr>
          <w:i/>
          <w:color w:val="auto"/>
          <w:szCs w:val="24"/>
        </w:rPr>
        <w:t xml:space="preserve"> v ERM II)</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[cit. 2016-01-22]. Dostupné z:</w:t>
      </w:r>
    </w:p>
    <w:p w:rsidR="00BD143D" w:rsidRPr="00BD5863" w:rsidRDefault="00704598" w:rsidP="004E7289">
      <w:pPr>
        <w:pStyle w:val="seznam"/>
        <w:numPr>
          <w:ilvl w:val="0"/>
          <w:numId w:val="0"/>
        </w:numPr>
        <w:spacing w:before="0"/>
        <w:ind w:left="714"/>
        <w:rPr>
          <w:color w:val="auto"/>
          <w:szCs w:val="24"/>
        </w:rPr>
      </w:pPr>
      <w:hyperlink r:id="rId30" w:history="1">
        <w:r w:rsidR="00BD143D" w:rsidRPr="00BD5863">
          <w:rPr>
            <w:rStyle w:val="Hypertextovodkaz"/>
            <w:color w:val="auto"/>
            <w:szCs w:val="24"/>
          </w:rPr>
          <w:t>http://www.nbs.sk/sk/menova-politika/menova-politika-nbs-do-roku-2009/2005-2008-inflacne-cielenie-v-erm-ii</w:t>
        </w:r>
      </w:hyperlink>
      <w:r w:rsidR="00BD143D"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Analýza vývoje ekonomiky ČR za rok 2013</w:t>
      </w:r>
      <w:r w:rsidRPr="00BD5863">
        <w:rPr>
          <w:color w:val="auto"/>
          <w:szCs w:val="24"/>
        </w:rPr>
        <w:t xml:space="preserve"> [online]. Praha: Ministerstvo průmyslu a obchodu, publikováno 26. 5. 2014 [cit. 2015-12-23]. Dostupné z:</w:t>
      </w:r>
      <w:hyperlink r:id="rId31" w:history="1">
        <w:r w:rsidRPr="00BD5863">
          <w:rPr>
            <w:rStyle w:val="Hypertextovodkaz"/>
            <w:color w:val="auto"/>
            <w:szCs w:val="24"/>
          </w:rPr>
          <w:t>http://www.mpo.cz/dokument149564.html</w:t>
        </w:r>
      </w:hyperlink>
      <w:r w:rsidRPr="00BD5863">
        <w:rPr>
          <w:color w:val="auto"/>
          <w:szCs w:val="24"/>
        </w:rPr>
        <w:t>.</w:t>
      </w:r>
    </w:p>
    <w:p w:rsidR="003A666E" w:rsidRPr="00BD5863" w:rsidRDefault="00BD143D" w:rsidP="00C2526E">
      <w:pPr>
        <w:pStyle w:val="seznam"/>
        <w:rPr>
          <w:color w:val="auto"/>
          <w:szCs w:val="24"/>
        </w:rPr>
      </w:pPr>
      <w:r w:rsidRPr="00BD5863">
        <w:rPr>
          <w:i/>
          <w:color w:val="auto"/>
          <w:szCs w:val="24"/>
        </w:rPr>
        <w:t>Analýza vývoje ekonomiky ČR za rok 2014</w:t>
      </w:r>
      <w:r w:rsidRPr="00BD5863">
        <w:rPr>
          <w:color w:val="auto"/>
          <w:szCs w:val="24"/>
        </w:rPr>
        <w:t xml:space="preserve"> [online]. Praha: Ministerstvo průmyslu a obchodu, publikováno 13. 7. 2015 [cit. 2015-12-23]. Dostupné z: </w:t>
      </w:r>
      <w:hyperlink r:id="rId32" w:history="1">
        <w:r w:rsidRPr="00BD5863">
          <w:rPr>
            <w:rStyle w:val="Hypertextovodkaz"/>
            <w:color w:val="auto"/>
            <w:szCs w:val="24"/>
          </w:rPr>
          <w:t>http://www.mpo.cz/dokument160232.html</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Bankovky a mince</w:t>
      </w:r>
      <w:r w:rsidRPr="00BD5863">
        <w:rPr>
          <w:color w:val="auto"/>
          <w:szCs w:val="24"/>
        </w:rPr>
        <w:t xml:space="preserve"> [online]. Praha: Česká národní banka [cit. 2016-02-10]. Dostupné z: </w:t>
      </w:r>
      <w:hyperlink r:id="rId33" w:history="1">
        <w:r w:rsidRPr="00BD5863">
          <w:rPr>
            <w:rStyle w:val="Hypertextovodkaz"/>
            <w:color w:val="auto"/>
            <w:szCs w:val="24"/>
          </w:rPr>
          <w:t>http://www.cnb.cz/cs/platidla/</w:t>
        </w:r>
      </w:hyperlink>
      <w:r w:rsidRPr="00BD5863">
        <w:rPr>
          <w:color w:val="auto"/>
          <w:szCs w:val="24"/>
        </w:rPr>
        <w:t xml:space="preserve">. </w:t>
      </w:r>
    </w:p>
    <w:p w:rsidR="00D71035" w:rsidRPr="00BD5863" w:rsidRDefault="00BD143D" w:rsidP="00D71035">
      <w:pPr>
        <w:pStyle w:val="seznam"/>
        <w:spacing w:after="0"/>
        <w:rPr>
          <w:color w:val="auto"/>
          <w:szCs w:val="24"/>
        </w:rPr>
      </w:pPr>
      <w:r w:rsidRPr="00BD5863">
        <w:rPr>
          <w:i/>
          <w:color w:val="auto"/>
          <w:szCs w:val="24"/>
        </w:rPr>
        <w:t>Cílování inflace v ČR</w:t>
      </w:r>
      <w:r w:rsidRPr="00BD5863">
        <w:rPr>
          <w:color w:val="auto"/>
          <w:szCs w:val="24"/>
        </w:rPr>
        <w:t xml:space="preserve"> [online]. Praha: Česká národní banka [cit. 2015-12-22]. Dostupné z:</w:t>
      </w:r>
    </w:p>
    <w:p w:rsidR="00BD143D" w:rsidRPr="00BD5863" w:rsidRDefault="00704598" w:rsidP="00D71035">
      <w:pPr>
        <w:pStyle w:val="seznam"/>
        <w:numPr>
          <w:ilvl w:val="0"/>
          <w:numId w:val="0"/>
        </w:numPr>
        <w:spacing w:before="0"/>
        <w:ind w:left="714"/>
        <w:rPr>
          <w:color w:val="auto"/>
          <w:szCs w:val="24"/>
        </w:rPr>
      </w:pPr>
      <w:hyperlink r:id="rId34" w:anchor="vyjimky" w:history="1">
        <w:r w:rsidR="00BD143D" w:rsidRPr="00BD5863">
          <w:rPr>
            <w:rStyle w:val="Hypertextovodkaz"/>
            <w:color w:val="auto"/>
            <w:szCs w:val="24"/>
          </w:rPr>
          <w:t>http://www.cnb.cz/cs/menova_politika/cilovani.html#vyjimky</w:t>
        </w:r>
      </w:hyperlink>
      <w:r w:rsidR="00BD143D" w:rsidRPr="00BD5863">
        <w:rPr>
          <w:color w:val="auto"/>
          <w:szCs w:val="24"/>
        </w:rPr>
        <w:t xml:space="preserve">. </w:t>
      </w:r>
    </w:p>
    <w:p w:rsidR="00B2597F" w:rsidRPr="00BD5863" w:rsidRDefault="00B2597F" w:rsidP="00B2597F">
      <w:pPr>
        <w:pStyle w:val="seznam"/>
        <w:rPr>
          <w:color w:val="auto"/>
        </w:rPr>
      </w:pPr>
      <w:r w:rsidRPr="00BD5863">
        <w:rPr>
          <w:color w:val="auto"/>
        </w:rPr>
        <w:t xml:space="preserve">ČNB má být nezávislá, zlobí se </w:t>
      </w:r>
      <w:proofErr w:type="spellStart"/>
      <w:r w:rsidRPr="00BD5863">
        <w:rPr>
          <w:color w:val="auto"/>
        </w:rPr>
        <w:t>Babiš</w:t>
      </w:r>
      <w:proofErr w:type="spellEnd"/>
      <w:r w:rsidRPr="00BD5863">
        <w:rPr>
          <w:color w:val="auto"/>
        </w:rPr>
        <w:t xml:space="preserve"> nad výroky Zemana. </w:t>
      </w:r>
      <w:r w:rsidRPr="00BD5863">
        <w:rPr>
          <w:i/>
          <w:color w:val="auto"/>
        </w:rPr>
        <w:t xml:space="preserve">Týden.cz </w:t>
      </w:r>
      <w:r w:rsidRPr="00BD5863">
        <w:rPr>
          <w:color w:val="auto"/>
        </w:rPr>
        <w:t xml:space="preserve">[online]. Publikováno 19. 2. 2015 [cit. 2016-03-09]. Dostupné z: </w:t>
      </w:r>
      <w:hyperlink r:id="rId35" w:history="1">
        <w:r w:rsidRPr="00BD5863">
          <w:rPr>
            <w:rStyle w:val="Hypertextovodkaz"/>
            <w:color w:val="auto"/>
          </w:rPr>
          <w:t>http://www.tyden.cz/rubriky/domaci/politika/cnb-ma-byt-nezavisla-zlobi-se-babis-nad-vyroky-zemana_333858.html</w:t>
        </w:r>
      </w:hyperlink>
      <w:r w:rsidRPr="00BD5863">
        <w:rPr>
          <w:color w:val="auto"/>
        </w:rPr>
        <w:t xml:space="preserve">. </w:t>
      </w:r>
    </w:p>
    <w:p w:rsidR="003A666E" w:rsidRPr="00BD5863" w:rsidRDefault="00BD143D" w:rsidP="00C2526E">
      <w:pPr>
        <w:pStyle w:val="seznam"/>
        <w:spacing w:after="0"/>
        <w:rPr>
          <w:color w:val="auto"/>
          <w:szCs w:val="24"/>
        </w:rPr>
      </w:pPr>
      <w:r w:rsidRPr="00BD5863">
        <w:rPr>
          <w:i/>
          <w:color w:val="auto"/>
          <w:szCs w:val="24"/>
        </w:rPr>
        <w:t>ČNB ponechává úrokové sazby beze změny, potvrdila kurzový závazek</w:t>
      </w:r>
      <w:r w:rsidRPr="00BD5863">
        <w:rPr>
          <w:color w:val="auto"/>
          <w:szCs w:val="24"/>
        </w:rPr>
        <w:t xml:space="preserve"> [online]. Praha: Česká národní banka [cit. 2015-09-08]. Dostupné z: </w:t>
      </w:r>
    </w:p>
    <w:p w:rsidR="003A666E" w:rsidRPr="00BD5863" w:rsidRDefault="00704598" w:rsidP="00C2526E">
      <w:pPr>
        <w:pStyle w:val="seznam"/>
        <w:numPr>
          <w:ilvl w:val="0"/>
          <w:numId w:val="0"/>
        </w:numPr>
        <w:spacing w:before="0"/>
        <w:ind w:left="714"/>
        <w:rPr>
          <w:color w:val="auto"/>
          <w:szCs w:val="24"/>
        </w:rPr>
      </w:pPr>
      <w:hyperlink r:id="rId36" w:history="1">
        <w:r w:rsidR="00BD143D" w:rsidRPr="00BD5863">
          <w:rPr>
            <w:rStyle w:val="Hypertextovodkaz"/>
            <w:color w:val="auto"/>
            <w:szCs w:val="24"/>
          </w:rPr>
          <w:t>http://www.cnb.cz/cs/verejnost/pro_media/tiskove_zpravy_cnb/2015/20150806_menove_rozhodnuti.html</w:t>
        </w:r>
      </w:hyperlink>
      <w:r w:rsidR="00BD143D" w:rsidRPr="00BD5863">
        <w:rPr>
          <w:color w:val="auto"/>
          <w:szCs w:val="24"/>
        </w:rPr>
        <w:t xml:space="preserve">. </w:t>
      </w:r>
    </w:p>
    <w:p w:rsidR="003A666E" w:rsidRPr="00BD5863" w:rsidRDefault="00BD143D" w:rsidP="00C2526E">
      <w:pPr>
        <w:pStyle w:val="seznam"/>
        <w:rPr>
          <w:color w:val="auto"/>
          <w:szCs w:val="24"/>
        </w:rPr>
      </w:pPr>
      <w:r w:rsidRPr="00BD5863">
        <w:rPr>
          <w:i/>
          <w:color w:val="auto"/>
          <w:szCs w:val="24"/>
        </w:rPr>
        <w:t>ČNB získala prestižní ocenění za otevřenost v komunikaci</w:t>
      </w:r>
      <w:r w:rsidRPr="00BD5863">
        <w:rPr>
          <w:color w:val="auto"/>
          <w:szCs w:val="24"/>
        </w:rPr>
        <w:t xml:space="preserve"> [online]. Praha: Česká národní banka, publikováno 12. 1. 2015 [cit. 2016-02-25]. Dostupné z:</w:t>
      </w:r>
      <w:hyperlink r:id="rId37" w:history="1">
        <w:r w:rsidRPr="00BD5863">
          <w:rPr>
            <w:rStyle w:val="Hypertextovodkaz"/>
            <w:color w:val="auto"/>
            <w:szCs w:val="24"/>
          </w:rPr>
          <w:t>https://www.cnb.cz/cs/verejnost/pro_media/tiskove_zpravy_cnb/2015/20150112_oceneni.html</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Dohled nad finančním trhem</w:t>
      </w:r>
      <w:r w:rsidRPr="00BD5863">
        <w:rPr>
          <w:color w:val="auto"/>
          <w:szCs w:val="24"/>
        </w:rPr>
        <w:t xml:space="preserve"> [online]. Praha: Česká národní banka [cit. 2016-02-10]. Dostupné z: </w:t>
      </w:r>
      <w:hyperlink r:id="rId38" w:history="1">
        <w:r w:rsidRPr="00BD5863">
          <w:rPr>
            <w:rStyle w:val="Hypertextovodkaz"/>
            <w:color w:val="auto"/>
            <w:szCs w:val="24"/>
          </w:rPr>
          <w:t>http://www.cnb.cz/cs/dohled_financni_trh/</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 xml:space="preserve">Finanční stabilita </w:t>
      </w:r>
      <w:r w:rsidRPr="00BD5863">
        <w:rPr>
          <w:color w:val="auto"/>
          <w:szCs w:val="24"/>
        </w:rPr>
        <w:t xml:space="preserve">[online]. Praha: Česká národní banka [cit. 2016-02-10]. Dostupné z: </w:t>
      </w:r>
      <w:hyperlink r:id="rId39" w:history="1">
        <w:r w:rsidRPr="00BD5863">
          <w:rPr>
            <w:rStyle w:val="Hypertextovodkaz"/>
            <w:color w:val="auto"/>
            <w:szCs w:val="24"/>
          </w:rPr>
          <w:t>http://www.cnb.cz/cs/financni_stabilita/</w:t>
        </w:r>
      </w:hyperlink>
      <w:r w:rsidRPr="00BD5863">
        <w:rPr>
          <w:color w:val="auto"/>
          <w:szCs w:val="24"/>
        </w:rPr>
        <w:t xml:space="preserve">.  </w:t>
      </w:r>
    </w:p>
    <w:p w:rsidR="00BD143D" w:rsidRPr="00BD5863" w:rsidRDefault="00BD143D" w:rsidP="00C2526E">
      <w:pPr>
        <w:pStyle w:val="seznam"/>
        <w:rPr>
          <w:color w:val="auto"/>
          <w:szCs w:val="24"/>
        </w:rPr>
      </w:pPr>
      <w:r w:rsidRPr="00BD5863">
        <w:rPr>
          <w:color w:val="auto"/>
          <w:szCs w:val="24"/>
        </w:rPr>
        <w:lastRenderedPageBreak/>
        <w:t xml:space="preserve">Hospodaření ČNB spadlo loni do ztráty 468 milionů korun. </w:t>
      </w:r>
      <w:r w:rsidRPr="00BD5863">
        <w:rPr>
          <w:i/>
          <w:color w:val="auto"/>
          <w:szCs w:val="24"/>
        </w:rPr>
        <w:t>Finanční noviny</w:t>
      </w:r>
      <w:r w:rsidRPr="00BD5863">
        <w:rPr>
          <w:color w:val="auto"/>
          <w:szCs w:val="24"/>
        </w:rPr>
        <w:t xml:space="preserve"> [online]. Publikováno 13. 1. 2016 [cit. 2016-02-20]. Dostupné z: </w:t>
      </w:r>
      <w:hyperlink r:id="rId40" w:history="1">
        <w:r w:rsidRPr="00BD5863">
          <w:rPr>
            <w:rStyle w:val="Hypertextovodkaz"/>
            <w:color w:val="auto"/>
            <w:szCs w:val="24"/>
          </w:rPr>
          <w:t>http://www.financninoviny.cz/zpravy/hospodareni-cnb-spadlo-loni-do-ztraty-468-milionu-korun/1302249</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Inflace - druhy, definice, tabulky</w:t>
      </w:r>
      <w:r w:rsidRPr="00BD5863">
        <w:rPr>
          <w:color w:val="auto"/>
          <w:szCs w:val="24"/>
        </w:rPr>
        <w:t xml:space="preserve"> [online]. Praha: Český statistický úřad [cit. 2015-11-14]. Dostupné z: </w:t>
      </w:r>
      <w:hyperlink r:id="rId41" w:history="1">
        <w:r w:rsidRPr="00BD5863">
          <w:rPr>
            <w:rStyle w:val="Hypertextovodkaz"/>
            <w:color w:val="auto"/>
            <w:szCs w:val="24"/>
          </w:rPr>
          <w:t>https://www.czso.cz/csu/czso/mira_inflace</w:t>
        </w:r>
      </w:hyperlink>
      <w:r w:rsidRPr="00BD5863">
        <w:rPr>
          <w:color w:val="auto"/>
          <w:szCs w:val="24"/>
        </w:rPr>
        <w:t>.</w:t>
      </w:r>
    </w:p>
    <w:p w:rsidR="00C2526E" w:rsidRPr="00BD5863" w:rsidRDefault="00BD143D" w:rsidP="00C2526E">
      <w:pPr>
        <w:pStyle w:val="seznam"/>
        <w:spacing w:after="0"/>
        <w:rPr>
          <w:color w:val="auto"/>
          <w:szCs w:val="24"/>
        </w:rPr>
      </w:pPr>
      <w:r w:rsidRPr="00BD5863">
        <w:rPr>
          <w:i/>
          <w:color w:val="auto"/>
          <w:szCs w:val="24"/>
        </w:rPr>
        <w:t>Inflační cíl ČNB od ledna 2006</w:t>
      </w:r>
      <w:r w:rsidRPr="00BD5863">
        <w:rPr>
          <w:color w:val="auto"/>
          <w:szCs w:val="24"/>
        </w:rPr>
        <w:t xml:space="preserve"> [online]. Praha: Česká národní banka, 2004 [cit. 2015-09-06]. Dostupné z:</w:t>
      </w:r>
    </w:p>
    <w:p w:rsidR="00BD143D" w:rsidRPr="00BD5863" w:rsidRDefault="00704598" w:rsidP="00C2526E">
      <w:pPr>
        <w:pStyle w:val="seznam"/>
        <w:numPr>
          <w:ilvl w:val="0"/>
          <w:numId w:val="0"/>
        </w:numPr>
        <w:spacing w:before="0"/>
        <w:ind w:left="709"/>
        <w:rPr>
          <w:color w:val="auto"/>
          <w:szCs w:val="24"/>
        </w:rPr>
      </w:pPr>
      <w:hyperlink r:id="rId42" w:history="1">
        <w:r w:rsidR="00BD143D" w:rsidRPr="00BD5863">
          <w:rPr>
            <w:rStyle w:val="Hypertextovodkaz"/>
            <w:color w:val="auto"/>
            <w:szCs w:val="24"/>
          </w:rPr>
          <w:t>http://www.cnb.cz/miranda2/export/sites/www.cnb.cz/cs/menova_politika/strategicke_dokumenty/download/inflacni_cil_2006.pdf</w:t>
        </w:r>
      </w:hyperlink>
      <w:r w:rsidR="00BD143D" w:rsidRPr="00BD5863">
        <w:rPr>
          <w:color w:val="auto"/>
          <w:szCs w:val="24"/>
        </w:rPr>
        <w:t xml:space="preserve">. </w:t>
      </w:r>
    </w:p>
    <w:p w:rsidR="003A666E" w:rsidRPr="00BD5863" w:rsidRDefault="00BD143D" w:rsidP="00C2526E">
      <w:pPr>
        <w:pStyle w:val="seznam"/>
        <w:spacing w:after="0"/>
        <w:rPr>
          <w:color w:val="auto"/>
          <w:szCs w:val="24"/>
        </w:rPr>
      </w:pPr>
      <w:r w:rsidRPr="00BD5863">
        <w:rPr>
          <w:i/>
          <w:color w:val="auto"/>
          <w:szCs w:val="24"/>
        </w:rPr>
        <w:t xml:space="preserve">Konvergenční zpráva 2012 </w:t>
      </w:r>
      <w:r w:rsidRPr="00BD5863">
        <w:rPr>
          <w:color w:val="auto"/>
          <w:szCs w:val="24"/>
        </w:rPr>
        <w:t xml:space="preserve">[online]. </w:t>
      </w:r>
      <w:proofErr w:type="spellStart"/>
      <w:r w:rsidRPr="00BD5863">
        <w:rPr>
          <w:color w:val="auto"/>
          <w:szCs w:val="24"/>
        </w:rPr>
        <w:t>Frankfukt</w:t>
      </w:r>
      <w:proofErr w:type="spellEnd"/>
      <w:r w:rsidRPr="00BD5863">
        <w:rPr>
          <w:color w:val="auto"/>
          <w:szCs w:val="24"/>
        </w:rPr>
        <w:t xml:space="preserve"> nad Mohanem: Evropská centrální banka, 2012 [cit. 2015-11-14]. Dostupné z:</w:t>
      </w:r>
    </w:p>
    <w:p w:rsidR="003A666E" w:rsidRPr="00BD5863" w:rsidRDefault="00704598" w:rsidP="00C2526E">
      <w:pPr>
        <w:pStyle w:val="seznam"/>
        <w:numPr>
          <w:ilvl w:val="0"/>
          <w:numId w:val="0"/>
        </w:numPr>
        <w:spacing w:before="0"/>
        <w:ind w:left="714"/>
        <w:rPr>
          <w:rStyle w:val="Hypertextovodkaz"/>
          <w:color w:val="auto"/>
          <w:szCs w:val="24"/>
        </w:rPr>
      </w:pPr>
      <w:hyperlink r:id="rId43" w:history="1">
        <w:r w:rsidR="00BD143D" w:rsidRPr="00BD5863">
          <w:rPr>
            <w:rStyle w:val="Hypertextovodkaz"/>
            <w:color w:val="auto"/>
            <w:szCs w:val="24"/>
          </w:rPr>
          <w:t>https://www.ecb.europa.eu/pub/pdf/conrep/cr201205cs.pdf?2c848beb92732c7465ac4c47cca448bd</w:t>
        </w:r>
      </w:hyperlink>
    </w:p>
    <w:p w:rsidR="003A666E" w:rsidRPr="00BD5863" w:rsidRDefault="00BD143D" w:rsidP="00C2526E">
      <w:pPr>
        <w:pStyle w:val="seznam"/>
        <w:spacing w:after="0"/>
        <w:rPr>
          <w:color w:val="auto"/>
          <w:szCs w:val="24"/>
        </w:rPr>
      </w:pPr>
      <w:r w:rsidRPr="00BD5863">
        <w:rPr>
          <w:i/>
          <w:color w:val="auto"/>
          <w:szCs w:val="24"/>
        </w:rPr>
        <w:t xml:space="preserve">Konvergenční zpráva 2014 </w:t>
      </w:r>
      <w:r w:rsidRPr="00BD5863">
        <w:rPr>
          <w:color w:val="auto"/>
          <w:szCs w:val="24"/>
        </w:rPr>
        <w:t xml:space="preserve">[online]. </w:t>
      </w:r>
      <w:proofErr w:type="spellStart"/>
      <w:r w:rsidRPr="00BD5863">
        <w:rPr>
          <w:color w:val="auto"/>
          <w:szCs w:val="24"/>
        </w:rPr>
        <w:t>Frankfukt</w:t>
      </w:r>
      <w:proofErr w:type="spellEnd"/>
      <w:r w:rsidRPr="00BD5863">
        <w:rPr>
          <w:color w:val="auto"/>
          <w:szCs w:val="24"/>
        </w:rPr>
        <w:t xml:space="preserve"> nad Mohanem: Evropská centrální banka, 2014 [cit. 2015-11-22]. Dostupné z:</w:t>
      </w:r>
    </w:p>
    <w:p w:rsidR="003A666E" w:rsidRPr="00BD5863" w:rsidRDefault="00704598" w:rsidP="00C2526E">
      <w:pPr>
        <w:pStyle w:val="seznam"/>
        <w:numPr>
          <w:ilvl w:val="0"/>
          <w:numId w:val="0"/>
        </w:numPr>
        <w:spacing w:before="0"/>
        <w:ind w:left="714"/>
        <w:rPr>
          <w:color w:val="auto"/>
          <w:szCs w:val="24"/>
        </w:rPr>
      </w:pPr>
      <w:hyperlink r:id="rId44" w:history="1">
        <w:r w:rsidR="00BD143D" w:rsidRPr="00BD5863">
          <w:rPr>
            <w:rStyle w:val="Hypertextovodkaz"/>
            <w:color w:val="auto"/>
            <w:szCs w:val="24"/>
          </w:rPr>
          <w:t>https://www.ecb.europa.eu/pub/pdf/conrep/cr201406cs.pdf?cb7b4d35bebab59fc9e570191d55b866</w:t>
        </w:r>
      </w:hyperlink>
    </w:p>
    <w:p w:rsidR="00BD143D" w:rsidRPr="00BD5863" w:rsidRDefault="00BD143D" w:rsidP="00C2526E">
      <w:pPr>
        <w:pStyle w:val="seznam"/>
        <w:rPr>
          <w:color w:val="auto"/>
          <w:szCs w:val="24"/>
        </w:rPr>
      </w:pPr>
      <w:proofErr w:type="spellStart"/>
      <w:r w:rsidRPr="00BD5863">
        <w:rPr>
          <w:i/>
          <w:color w:val="auto"/>
          <w:szCs w:val="24"/>
        </w:rPr>
        <w:t>Menová</w:t>
      </w:r>
      <w:proofErr w:type="spellEnd"/>
      <w:r w:rsidRPr="00BD5863">
        <w:rPr>
          <w:i/>
          <w:color w:val="auto"/>
          <w:szCs w:val="24"/>
        </w:rPr>
        <w:t xml:space="preserve"> politika ECB (od roku 2009)</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[cit. 2016-01-22]. Dostupné z: </w:t>
      </w:r>
      <w:hyperlink r:id="rId45" w:history="1">
        <w:r w:rsidRPr="00BD5863">
          <w:rPr>
            <w:rStyle w:val="Hypertextovodkaz"/>
            <w:color w:val="auto"/>
            <w:szCs w:val="24"/>
          </w:rPr>
          <w:t>http://www.nbs.sk/sk/menova-politika/menova-politika-ecb-od-roku-2009</w:t>
        </w:r>
      </w:hyperlink>
      <w:r w:rsidRPr="00BD5863">
        <w:rPr>
          <w:color w:val="auto"/>
          <w:szCs w:val="24"/>
        </w:rPr>
        <w:t xml:space="preserve">. </w:t>
      </w:r>
    </w:p>
    <w:p w:rsidR="00BD143D" w:rsidRPr="00BD5863" w:rsidRDefault="00BD143D" w:rsidP="00C2526E">
      <w:pPr>
        <w:pStyle w:val="seznam"/>
        <w:rPr>
          <w:color w:val="auto"/>
          <w:szCs w:val="24"/>
        </w:rPr>
      </w:pPr>
      <w:proofErr w:type="spellStart"/>
      <w:r w:rsidRPr="00BD5863">
        <w:rPr>
          <w:i/>
          <w:color w:val="auto"/>
          <w:szCs w:val="24"/>
        </w:rPr>
        <w:t>Měnověpolitické</w:t>
      </w:r>
      <w:proofErr w:type="spellEnd"/>
      <w:r w:rsidRPr="00BD5863">
        <w:rPr>
          <w:i/>
          <w:color w:val="auto"/>
          <w:szCs w:val="24"/>
        </w:rPr>
        <w:t xml:space="preserve"> nástroje </w:t>
      </w:r>
      <w:r w:rsidRPr="00BD5863">
        <w:rPr>
          <w:color w:val="auto"/>
          <w:szCs w:val="24"/>
        </w:rPr>
        <w:t xml:space="preserve">[online]. Praha: Česká národní banka [cit. 2016-02-23]. Dostupné z: </w:t>
      </w:r>
      <w:hyperlink r:id="rId46" w:history="1">
        <w:r w:rsidRPr="00BD5863">
          <w:rPr>
            <w:rStyle w:val="Hypertextovodkaz"/>
            <w:color w:val="auto"/>
            <w:szCs w:val="24"/>
          </w:rPr>
          <w:t>https://www.cnb.cz/cs/menova_politika/mp_nastroje/</w:t>
        </w:r>
      </w:hyperlink>
      <w:r w:rsidRPr="00BD5863">
        <w:rPr>
          <w:color w:val="auto"/>
          <w:szCs w:val="24"/>
        </w:rPr>
        <w:t xml:space="preserve">. </w:t>
      </w:r>
    </w:p>
    <w:p w:rsidR="003A666E" w:rsidRPr="00BD5863" w:rsidRDefault="00BD143D" w:rsidP="00C2526E">
      <w:pPr>
        <w:pStyle w:val="seznam"/>
        <w:spacing w:after="0"/>
        <w:rPr>
          <w:color w:val="auto"/>
          <w:szCs w:val="24"/>
        </w:rPr>
      </w:pPr>
      <w:r w:rsidRPr="00BD5863">
        <w:rPr>
          <w:i/>
          <w:color w:val="auto"/>
          <w:szCs w:val="24"/>
        </w:rPr>
        <w:t>Nový inflační cí</w:t>
      </w:r>
      <w:r w:rsidR="009615BA" w:rsidRPr="00BD5863">
        <w:rPr>
          <w:i/>
          <w:color w:val="auto"/>
          <w:szCs w:val="24"/>
        </w:rPr>
        <w:t xml:space="preserve">l </w:t>
      </w:r>
      <w:r w:rsidRPr="00BD5863">
        <w:rPr>
          <w:i/>
          <w:color w:val="auto"/>
          <w:szCs w:val="24"/>
        </w:rPr>
        <w:t>ČNB a změny v komunikaci měnové politiky</w:t>
      </w:r>
      <w:r w:rsidRPr="00BD5863">
        <w:rPr>
          <w:color w:val="auto"/>
          <w:szCs w:val="24"/>
        </w:rPr>
        <w:t xml:space="preserve"> [online]. Praha: Česká národní banka, 2007 [cit. 2015-09-06]. Dostupné z:</w:t>
      </w:r>
    </w:p>
    <w:p w:rsidR="003A666E" w:rsidRPr="00BD5863" w:rsidRDefault="00704598" w:rsidP="00C2526E">
      <w:pPr>
        <w:pStyle w:val="seznam"/>
        <w:numPr>
          <w:ilvl w:val="0"/>
          <w:numId w:val="0"/>
        </w:numPr>
        <w:spacing w:before="0"/>
        <w:ind w:left="714"/>
        <w:rPr>
          <w:color w:val="auto"/>
          <w:szCs w:val="24"/>
        </w:rPr>
      </w:pPr>
      <w:hyperlink r:id="rId47" w:history="1">
        <w:r w:rsidR="00BD143D" w:rsidRPr="00BD5863">
          <w:rPr>
            <w:rStyle w:val="Hypertextovodkaz"/>
            <w:color w:val="auto"/>
            <w:szCs w:val="24"/>
          </w:rPr>
          <w:t>http://www.cnb.cz/miranda2/export/sites/www.cnb.cz/cs/menova_politika/strategicke_dokumenty/download/inflacni_cil_cnb_2010.pdf</w:t>
        </w:r>
      </w:hyperlink>
      <w:r w:rsidR="00BD143D" w:rsidRPr="00BD5863">
        <w:rPr>
          <w:color w:val="auto"/>
          <w:szCs w:val="24"/>
        </w:rPr>
        <w:t xml:space="preserve">. </w:t>
      </w:r>
    </w:p>
    <w:p w:rsidR="00E97BA0" w:rsidRPr="00BD5863" w:rsidRDefault="00BD143D" w:rsidP="00C2526E">
      <w:pPr>
        <w:pStyle w:val="seznam"/>
        <w:rPr>
          <w:color w:val="auto"/>
          <w:szCs w:val="24"/>
        </w:rPr>
      </w:pPr>
      <w:r w:rsidRPr="00BD5863">
        <w:rPr>
          <w:i/>
          <w:color w:val="auto"/>
          <w:szCs w:val="24"/>
        </w:rPr>
        <w:t>Platební styk</w:t>
      </w:r>
      <w:r w:rsidRPr="00BD5863">
        <w:rPr>
          <w:color w:val="auto"/>
          <w:szCs w:val="24"/>
        </w:rPr>
        <w:t xml:space="preserve"> [online]. Praha: Česká národní banka [cit. 2016-02-10]. Dostupné z: </w:t>
      </w:r>
      <w:hyperlink r:id="rId48" w:history="1">
        <w:r w:rsidRPr="00BD5863">
          <w:rPr>
            <w:rStyle w:val="Hypertextovodkaz"/>
            <w:color w:val="auto"/>
            <w:szCs w:val="24"/>
          </w:rPr>
          <w:t>http://www.cnb.cz/cs/platebni_styk/</w:t>
        </w:r>
      </w:hyperlink>
      <w:r w:rsidRPr="00BD5863">
        <w:rPr>
          <w:color w:val="auto"/>
          <w:szCs w:val="24"/>
        </w:rPr>
        <w:t>.</w:t>
      </w:r>
    </w:p>
    <w:p w:rsidR="00C2526E" w:rsidRPr="00BD5863" w:rsidRDefault="00BD143D" w:rsidP="00E97BA0">
      <w:pPr>
        <w:pStyle w:val="seznam"/>
        <w:spacing w:after="0"/>
        <w:rPr>
          <w:color w:val="auto"/>
          <w:szCs w:val="24"/>
        </w:rPr>
      </w:pPr>
      <w:r w:rsidRPr="00BD5863">
        <w:rPr>
          <w:i/>
          <w:color w:val="auto"/>
          <w:szCs w:val="24"/>
        </w:rPr>
        <w:t xml:space="preserve">Pravomoci bankovního dohledu </w:t>
      </w:r>
      <w:r w:rsidRPr="00BD5863">
        <w:rPr>
          <w:color w:val="auto"/>
          <w:szCs w:val="24"/>
        </w:rPr>
        <w:t>[online]. Praha: Česká národní banka [cit. 2016-02-10]. Dostupné z:</w:t>
      </w:r>
    </w:p>
    <w:p w:rsidR="00BD143D" w:rsidRPr="00BD5863" w:rsidRDefault="00704598" w:rsidP="00E97BA0">
      <w:pPr>
        <w:pStyle w:val="seznam"/>
        <w:numPr>
          <w:ilvl w:val="0"/>
          <w:numId w:val="0"/>
        </w:numPr>
        <w:spacing w:before="0"/>
        <w:ind w:left="714"/>
        <w:rPr>
          <w:color w:val="auto"/>
          <w:szCs w:val="24"/>
        </w:rPr>
      </w:pPr>
      <w:hyperlink r:id="rId49" w:history="1">
        <w:r w:rsidR="00BD143D" w:rsidRPr="00BD5863">
          <w:rPr>
            <w:rStyle w:val="Hypertextovodkaz"/>
            <w:color w:val="auto"/>
            <w:szCs w:val="24"/>
          </w:rPr>
          <w:t>https://www.cnb.cz/cs/dohled_financni_trh/vykon_dohledu/postaveni_dohledu/uverove_instituce/pravomoci_bd.html</w:t>
        </w:r>
      </w:hyperlink>
      <w:r w:rsidR="00BD143D" w:rsidRPr="00BD5863">
        <w:rPr>
          <w:color w:val="auto"/>
          <w:szCs w:val="24"/>
        </w:rPr>
        <w:t xml:space="preserve">.   </w:t>
      </w:r>
    </w:p>
    <w:p w:rsidR="00D71035" w:rsidRPr="00BD5863" w:rsidRDefault="00BD143D" w:rsidP="00D71035">
      <w:pPr>
        <w:pStyle w:val="seznam"/>
        <w:spacing w:after="0"/>
        <w:rPr>
          <w:color w:val="auto"/>
          <w:szCs w:val="24"/>
        </w:rPr>
      </w:pPr>
      <w:r w:rsidRPr="00BD5863">
        <w:rPr>
          <w:i/>
          <w:color w:val="auto"/>
          <w:szCs w:val="24"/>
        </w:rPr>
        <w:lastRenderedPageBreak/>
        <w:t xml:space="preserve">Proč je ČNB nezávislá? </w:t>
      </w:r>
      <w:r w:rsidRPr="00BD5863">
        <w:rPr>
          <w:color w:val="auto"/>
          <w:szCs w:val="24"/>
        </w:rPr>
        <w:t>[online]. Praha: Česká národní banka [cit. 2016-02-18]. Dostupné z:</w:t>
      </w:r>
    </w:p>
    <w:p w:rsidR="00226D79" w:rsidRPr="00BD5863" w:rsidRDefault="00704598" w:rsidP="00D71035">
      <w:pPr>
        <w:pStyle w:val="seznam"/>
        <w:numPr>
          <w:ilvl w:val="0"/>
          <w:numId w:val="0"/>
        </w:numPr>
        <w:spacing w:before="0"/>
        <w:ind w:left="714"/>
        <w:rPr>
          <w:color w:val="auto"/>
          <w:szCs w:val="24"/>
        </w:rPr>
      </w:pPr>
      <w:hyperlink r:id="rId50" w:history="1">
        <w:r w:rsidR="00BD143D" w:rsidRPr="00BD5863">
          <w:rPr>
            <w:rStyle w:val="Hypertextovodkaz"/>
            <w:color w:val="auto"/>
            <w:szCs w:val="24"/>
          </w:rPr>
          <w:t>https://www.cnb.cz/cs/faq/proc_je_cnb_nezavisla.html</w:t>
        </w:r>
      </w:hyperlink>
      <w:r w:rsidR="00BD143D" w:rsidRPr="00BD5863">
        <w:rPr>
          <w:color w:val="auto"/>
          <w:szCs w:val="24"/>
        </w:rPr>
        <w:t>.</w:t>
      </w:r>
    </w:p>
    <w:p w:rsidR="00AD5160" w:rsidRPr="00BD5863" w:rsidRDefault="00AD5160" w:rsidP="00AD5160">
      <w:pPr>
        <w:pStyle w:val="seznam"/>
        <w:spacing w:after="0"/>
        <w:rPr>
          <w:color w:val="auto"/>
        </w:rPr>
      </w:pPr>
      <w:r w:rsidRPr="00BD5863">
        <w:rPr>
          <w:i/>
          <w:color w:val="auto"/>
        </w:rPr>
        <w:t>Prohlášení bankovní rady na tiskové konferenci po skončení měnového zasedání</w:t>
      </w:r>
      <w:r w:rsidRPr="00BD5863">
        <w:rPr>
          <w:color w:val="auto"/>
        </w:rPr>
        <w:t xml:space="preserve"> [online]. Praha: Česká národní banka, 4. 2. 2016 [cit. 2016-03-16]. Dostupné z:</w:t>
      </w:r>
    </w:p>
    <w:p w:rsidR="00AD5160" w:rsidRPr="00BD5863" w:rsidRDefault="00704598" w:rsidP="00AD5160">
      <w:pPr>
        <w:pStyle w:val="seznam"/>
        <w:numPr>
          <w:ilvl w:val="0"/>
          <w:numId w:val="0"/>
        </w:numPr>
        <w:spacing w:before="0"/>
        <w:ind w:left="714"/>
        <w:rPr>
          <w:color w:val="auto"/>
        </w:rPr>
      </w:pPr>
      <w:hyperlink r:id="rId51" w:history="1">
        <w:r w:rsidR="00AD5160" w:rsidRPr="00BD5863">
          <w:rPr>
            <w:rStyle w:val="Hypertextovodkaz"/>
            <w:color w:val="auto"/>
          </w:rPr>
          <w:t>http://www.cnb.cz/cs/menova_politika/br_zapisy_z_jednani/2016/160204_prohlaseni.html</w:t>
        </w:r>
      </w:hyperlink>
      <w:r w:rsidR="00AD5160" w:rsidRPr="00BD5863">
        <w:rPr>
          <w:color w:val="auto"/>
        </w:rPr>
        <w:t xml:space="preserve">.  </w:t>
      </w:r>
    </w:p>
    <w:p w:rsidR="00226D79" w:rsidRPr="00BD5863" w:rsidRDefault="00226D79" w:rsidP="00226D79">
      <w:pPr>
        <w:pStyle w:val="seznam"/>
        <w:spacing w:after="0"/>
        <w:rPr>
          <w:i/>
          <w:color w:val="auto"/>
        </w:rPr>
      </w:pPr>
      <w:r w:rsidRPr="00BD5863">
        <w:rPr>
          <w:i/>
          <w:color w:val="auto"/>
        </w:rPr>
        <w:t>Roční zpráva o výsledku hospodaření České národní banky 1999</w:t>
      </w:r>
      <w:r w:rsidRPr="00BD5863">
        <w:rPr>
          <w:color w:val="auto"/>
        </w:rPr>
        <w:t xml:space="preserve"> [online]. Praha: Česká národní banka, 2000 [cit. 2016-03-10]. Dostupné z:</w:t>
      </w:r>
    </w:p>
    <w:p w:rsidR="00226D79" w:rsidRPr="00BD5863" w:rsidRDefault="00704598" w:rsidP="00226D79">
      <w:pPr>
        <w:pStyle w:val="seznam"/>
        <w:numPr>
          <w:ilvl w:val="0"/>
          <w:numId w:val="0"/>
        </w:numPr>
        <w:spacing w:before="0"/>
        <w:ind w:left="714"/>
        <w:rPr>
          <w:color w:val="auto"/>
        </w:rPr>
      </w:pPr>
      <w:hyperlink r:id="rId52" w:history="1">
        <w:r w:rsidR="00226D79" w:rsidRPr="00BD5863">
          <w:rPr>
            <w:rStyle w:val="Hypertextovodkaz"/>
            <w:color w:val="auto"/>
          </w:rPr>
          <w:t>https://www.cnb.cz/miranda2/export/sites/www.cnb.cz/cs/o_cnb/hospodareni/download/cnb_vysledky_hospodareni_1999.pdf</w:t>
        </w:r>
      </w:hyperlink>
      <w:r w:rsidR="00226D79"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2000</w:t>
      </w:r>
      <w:r w:rsidRPr="00BD5863">
        <w:rPr>
          <w:color w:val="auto"/>
        </w:rPr>
        <w:t xml:space="preserve"> [online]. Praha: Česká národní banka, 2001 [cit. 2016-03-10]. Dostupné z:</w:t>
      </w:r>
    </w:p>
    <w:p w:rsidR="00226D79" w:rsidRPr="00BD5863" w:rsidRDefault="00704598" w:rsidP="003650F0">
      <w:pPr>
        <w:pStyle w:val="seznam"/>
        <w:numPr>
          <w:ilvl w:val="0"/>
          <w:numId w:val="0"/>
        </w:numPr>
        <w:spacing w:before="0"/>
        <w:ind w:left="714"/>
        <w:rPr>
          <w:color w:val="auto"/>
        </w:rPr>
      </w:pPr>
      <w:hyperlink r:id="rId53" w:history="1">
        <w:r w:rsidR="003650F0" w:rsidRPr="00BD5863">
          <w:rPr>
            <w:rStyle w:val="Hypertextovodkaz"/>
            <w:color w:val="auto"/>
          </w:rPr>
          <w:t>https://www.cnb.cz/miranda2/export/sites/www.cnb.cz/cs/o_cnb/hospodareni/download/cnb_vysledky_hospodareni_2000.pdf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2001</w:t>
      </w:r>
      <w:r w:rsidRPr="00BD5863">
        <w:rPr>
          <w:color w:val="auto"/>
        </w:rPr>
        <w:t xml:space="preserve"> [online]. Praha: Česká národní banka, 2002 [cit. 2016-03-10]. Dostupné z:</w:t>
      </w:r>
    </w:p>
    <w:p w:rsidR="00226D79" w:rsidRPr="00BD5863" w:rsidRDefault="00704598" w:rsidP="003650F0">
      <w:pPr>
        <w:pStyle w:val="seznam"/>
        <w:numPr>
          <w:ilvl w:val="0"/>
          <w:numId w:val="0"/>
        </w:numPr>
        <w:spacing w:before="0"/>
        <w:ind w:left="714"/>
        <w:rPr>
          <w:i/>
          <w:color w:val="auto"/>
        </w:rPr>
      </w:pPr>
      <w:hyperlink r:id="rId54" w:history="1">
        <w:r w:rsidR="003650F0" w:rsidRPr="00BD5863">
          <w:rPr>
            <w:rStyle w:val="Hypertextovodkaz"/>
            <w:color w:val="auto"/>
          </w:rPr>
          <w:t>https://www.cnb.cz/miranda2/export/sites/www.cnb.cz/cs/o_cnb/hospodareni/download/cnb_vysledky_hospodareni_2001.pdf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2002</w:t>
      </w:r>
      <w:r w:rsidRPr="00BD5863">
        <w:rPr>
          <w:color w:val="auto"/>
        </w:rPr>
        <w:t xml:space="preserve"> [online]. Praha: Česká národní banka, 2003 [cit. 2016-03-10]. Dostupné z:</w:t>
      </w:r>
    </w:p>
    <w:p w:rsidR="00226D79" w:rsidRPr="00BD5863" w:rsidRDefault="00704598" w:rsidP="003650F0">
      <w:pPr>
        <w:pStyle w:val="seznam"/>
        <w:numPr>
          <w:ilvl w:val="0"/>
          <w:numId w:val="0"/>
        </w:numPr>
        <w:spacing w:before="0"/>
        <w:ind w:left="714"/>
        <w:rPr>
          <w:i/>
          <w:color w:val="auto"/>
        </w:rPr>
      </w:pPr>
      <w:hyperlink r:id="rId55" w:history="1">
        <w:r w:rsidR="003650F0" w:rsidRPr="00BD5863">
          <w:rPr>
            <w:rStyle w:val="Hypertextovodkaz"/>
            <w:color w:val="auto"/>
          </w:rPr>
          <w:t>https://www.cnb.cz/miranda2/export/sites/www.cnb.cz/cs/o_cnb/hospodareni/download/cnb_vysledky_hospodareni_2002.pdf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2003</w:t>
      </w:r>
      <w:r w:rsidRPr="00BD5863">
        <w:rPr>
          <w:color w:val="auto"/>
        </w:rPr>
        <w:t xml:space="preserve"> [online]. Praha: Česká národní banka, 2004 [cit. 2016-03-10]. Dostupné z:</w:t>
      </w:r>
    </w:p>
    <w:p w:rsidR="00226D79" w:rsidRPr="00BD5863" w:rsidRDefault="00704598" w:rsidP="003650F0">
      <w:pPr>
        <w:pStyle w:val="seznam"/>
        <w:numPr>
          <w:ilvl w:val="0"/>
          <w:numId w:val="0"/>
        </w:numPr>
        <w:spacing w:before="0"/>
        <w:ind w:left="714"/>
        <w:rPr>
          <w:i/>
          <w:color w:val="auto"/>
        </w:rPr>
      </w:pPr>
      <w:hyperlink r:id="rId56" w:history="1">
        <w:r w:rsidR="003650F0" w:rsidRPr="00BD5863">
          <w:rPr>
            <w:rStyle w:val="Hypertextovodkaz"/>
            <w:color w:val="auto"/>
          </w:rPr>
          <w:t>https://www.cnb.cz/miranda2/export/sites/www.cnb.cz/cs/o_cnb/hospodareni/download/cnb_vysledky_hospodareni_2003.pdf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2004</w:t>
      </w:r>
      <w:r w:rsidRPr="00BD5863">
        <w:rPr>
          <w:color w:val="auto"/>
        </w:rPr>
        <w:t xml:space="preserve"> [online]. Praha: Česká národní banka, 2005 [cit. 2016-03-10]. Dostupné z:</w:t>
      </w:r>
    </w:p>
    <w:p w:rsidR="00226D79" w:rsidRPr="00BD5863" w:rsidRDefault="00704598" w:rsidP="003650F0">
      <w:pPr>
        <w:pStyle w:val="seznam"/>
        <w:numPr>
          <w:ilvl w:val="0"/>
          <w:numId w:val="0"/>
        </w:numPr>
        <w:spacing w:before="0"/>
        <w:ind w:left="714"/>
        <w:rPr>
          <w:color w:val="auto"/>
        </w:rPr>
      </w:pPr>
      <w:hyperlink r:id="rId57" w:history="1">
        <w:r w:rsidR="003650F0" w:rsidRPr="00BD5863">
          <w:rPr>
            <w:rStyle w:val="Hypertextovodkaz"/>
            <w:color w:val="auto"/>
          </w:rPr>
          <w:t>https://www.cnb.cz/miranda2/export/sites/www.cnb.cz/cs/o_cnb/hospodareni/download/CNB_vysledky_hospodareni_2004.pdf</w:t>
        </w:r>
      </w:hyperlink>
      <w:r w:rsidR="003650F0" w:rsidRPr="00BD5863">
        <w:rPr>
          <w:color w:val="auto"/>
        </w:rPr>
        <w:t xml:space="preserve">. </w:t>
      </w:r>
    </w:p>
    <w:p w:rsidR="008405E4" w:rsidRPr="00BD5863" w:rsidRDefault="008405E4" w:rsidP="003650F0">
      <w:pPr>
        <w:pStyle w:val="seznam"/>
        <w:numPr>
          <w:ilvl w:val="0"/>
          <w:numId w:val="0"/>
        </w:numPr>
        <w:spacing w:before="0"/>
        <w:ind w:left="714"/>
        <w:rPr>
          <w:i/>
          <w:color w:val="auto"/>
        </w:rPr>
      </w:pPr>
    </w:p>
    <w:p w:rsidR="003650F0" w:rsidRPr="00BD5863" w:rsidRDefault="00226D79" w:rsidP="003650F0">
      <w:pPr>
        <w:pStyle w:val="seznam"/>
        <w:spacing w:after="0"/>
        <w:rPr>
          <w:i/>
          <w:color w:val="auto"/>
        </w:rPr>
      </w:pPr>
      <w:r w:rsidRPr="00BD5863">
        <w:rPr>
          <w:i/>
          <w:color w:val="auto"/>
        </w:rPr>
        <w:lastRenderedPageBreak/>
        <w:t>Roční zpráva o výsledku hospodaření České národní banky 2005</w:t>
      </w:r>
      <w:r w:rsidRPr="00BD5863">
        <w:rPr>
          <w:color w:val="auto"/>
        </w:rPr>
        <w:t xml:space="preserve"> [online]. Praha: Česká národní banka, 2006 [cit. 2016-03-10]. Dostupné z:</w:t>
      </w:r>
    </w:p>
    <w:p w:rsidR="00226D79" w:rsidRPr="00BD5863" w:rsidRDefault="00704598" w:rsidP="003650F0">
      <w:pPr>
        <w:pStyle w:val="seznam"/>
        <w:numPr>
          <w:ilvl w:val="0"/>
          <w:numId w:val="0"/>
        </w:numPr>
        <w:spacing w:before="0" w:after="0"/>
        <w:ind w:left="714"/>
        <w:rPr>
          <w:i/>
          <w:color w:val="auto"/>
        </w:rPr>
      </w:pPr>
      <w:hyperlink r:id="rId58" w:history="1">
        <w:r w:rsidR="003650F0" w:rsidRPr="00BD5863">
          <w:rPr>
            <w:rStyle w:val="Hypertextovodkaz"/>
            <w:color w:val="auto"/>
          </w:rPr>
          <w:t>https://www.cnb.cz/miranda2/export/sites/www.cnb.cz/cs/o_cnb/hospodareni/download/cnb_vysledky_hospodareni_2005.pdf</w:t>
        </w:r>
      </w:hyperlink>
      <w:r w:rsidR="003650F0" w:rsidRPr="00BD5863">
        <w:rPr>
          <w:color w:val="auto"/>
        </w:rPr>
        <w:t>.</w:t>
      </w:r>
    </w:p>
    <w:p w:rsidR="003650F0" w:rsidRPr="00BD5863" w:rsidRDefault="00226D79" w:rsidP="003650F0">
      <w:pPr>
        <w:pStyle w:val="seznam"/>
        <w:spacing w:after="0"/>
        <w:rPr>
          <w:i/>
          <w:color w:val="auto"/>
        </w:rPr>
      </w:pPr>
      <w:r w:rsidRPr="00BD5863">
        <w:rPr>
          <w:i/>
          <w:color w:val="auto"/>
        </w:rPr>
        <w:t>Roční zpráva o výsledku hospodaření České národní banky 2006</w:t>
      </w:r>
      <w:r w:rsidRPr="00BD5863">
        <w:rPr>
          <w:color w:val="auto"/>
        </w:rPr>
        <w:t xml:space="preserve"> [online]. Praha: Česká národní banka, 2007 [cit. 2016-03-10]. Dostupné z:</w:t>
      </w:r>
    </w:p>
    <w:p w:rsidR="00226D79" w:rsidRPr="00BD5863" w:rsidRDefault="00704598" w:rsidP="003650F0">
      <w:pPr>
        <w:pStyle w:val="seznam"/>
        <w:numPr>
          <w:ilvl w:val="0"/>
          <w:numId w:val="0"/>
        </w:numPr>
        <w:spacing w:before="0"/>
        <w:ind w:left="714"/>
        <w:rPr>
          <w:i/>
          <w:color w:val="auto"/>
        </w:rPr>
      </w:pPr>
      <w:hyperlink r:id="rId59" w:history="1">
        <w:r w:rsidR="003650F0" w:rsidRPr="00BD5863">
          <w:rPr>
            <w:rStyle w:val="Hypertextovodkaz"/>
            <w:color w:val="auto"/>
          </w:rPr>
          <w:t>https://www.cnb.cz/miranda2/export/sites/www.cnb.cz/cs/o_cnb/hospodareni/download/cnb_vysledky_hospodareni_2006.pdf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2007</w:t>
      </w:r>
      <w:r w:rsidRPr="00BD5863">
        <w:rPr>
          <w:color w:val="auto"/>
        </w:rPr>
        <w:t xml:space="preserve"> [online]. Praha: Česká národní banka, 2008 [cit. 2016-03-10]. Dostupné z:</w:t>
      </w:r>
    </w:p>
    <w:p w:rsidR="00226D79" w:rsidRPr="00BD5863" w:rsidRDefault="00704598" w:rsidP="003650F0">
      <w:pPr>
        <w:pStyle w:val="seznam"/>
        <w:numPr>
          <w:ilvl w:val="0"/>
          <w:numId w:val="0"/>
        </w:numPr>
        <w:spacing w:before="0"/>
        <w:ind w:left="714"/>
        <w:rPr>
          <w:i/>
          <w:color w:val="auto"/>
        </w:rPr>
      </w:pPr>
      <w:hyperlink r:id="rId60" w:history="1">
        <w:r w:rsidR="003650F0" w:rsidRPr="00BD5863">
          <w:rPr>
            <w:rStyle w:val="Hypertextovodkaz"/>
            <w:color w:val="auto"/>
          </w:rPr>
          <w:t>https://www.cnb.cz/miranda2/export/sites/www.cnb.cz/cs/o_cnb/hospodareni/download/cnb_vysledky_hospodareni_2007.pdf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2008</w:t>
      </w:r>
      <w:r w:rsidRPr="00BD5863">
        <w:rPr>
          <w:color w:val="auto"/>
        </w:rPr>
        <w:t xml:space="preserve"> [online]. Praha: Česká národní banka, 2009 [cit. 2016-03-10]. Dostupné z:</w:t>
      </w:r>
    </w:p>
    <w:p w:rsidR="00226D79" w:rsidRPr="00BD5863" w:rsidRDefault="00704598" w:rsidP="003650F0">
      <w:pPr>
        <w:pStyle w:val="seznam"/>
        <w:numPr>
          <w:ilvl w:val="0"/>
          <w:numId w:val="0"/>
        </w:numPr>
        <w:spacing w:before="0"/>
        <w:ind w:left="714"/>
        <w:rPr>
          <w:i/>
          <w:color w:val="auto"/>
        </w:rPr>
      </w:pPr>
      <w:hyperlink r:id="rId61" w:history="1">
        <w:r w:rsidR="003650F0" w:rsidRPr="00BD5863">
          <w:rPr>
            <w:rStyle w:val="Hypertextovodkaz"/>
            <w:color w:val="auto"/>
          </w:rPr>
          <w:t>https://www.cnb.cz/miranda2/export/sites/www.cnb.cz/cs/o_cnb/hospodareni/download/cnb_vysledky_hospodareni_2008.pdf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2009</w:t>
      </w:r>
      <w:r w:rsidRPr="00BD5863">
        <w:rPr>
          <w:color w:val="auto"/>
        </w:rPr>
        <w:t xml:space="preserve"> [online]. Praha: Česká národní banka, 2010 [cit. 2016-03-10]. Dostupné z: </w:t>
      </w:r>
    </w:p>
    <w:p w:rsidR="00226D79" w:rsidRPr="00BD5863" w:rsidRDefault="00704598" w:rsidP="003650F0">
      <w:pPr>
        <w:pStyle w:val="seznam"/>
        <w:numPr>
          <w:ilvl w:val="0"/>
          <w:numId w:val="0"/>
        </w:numPr>
        <w:spacing w:before="0"/>
        <w:ind w:left="714"/>
        <w:rPr>
          <w:color w:val="auto"/>
        </w:rPr>
      </w:pPr>
      <w:hyperlink r:id="rId62" w:history="1">
        <w:r w:rsidR="003650F0" w:rsidRPr="00BD5863">
          <w:rPr>
            <w:rStyle w:val="Hypertextovodkaz"/>
            <w:color w:val="auto"/>
          </w:rPr>
          <w:t>https://www.cnb.cz/miranda2/export/sites/www.cnb.cz/cs/o_cnb/hospodareni/download/cnb_vysledky_hospodareni_2009.pdf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2010</w:t>
      </w:r>
      <w:r w:rsidRPr="00BD5863">
        <w:rPr>
          <w:color w:val="auto"/>
        </w:rPr>
        <w:t xml:space="preserve"> [online]. Praha: Česká národní banka, 2011 [cit. 2016-03-10]. Dostupné z: </w:t>
      </w:r>
    </w:p>
    <w:p w:rsidR="00226D79" w:rsidRPr="00BD5863" w:rsidRDefault="00704598" w:rsidP="003650F0">
      <w:pPr>
        <w:pStyle w:val="seznam"/>
        <w:numPr>
          <w:ilvl w:val="0"/>
          <w:numId w:val="0"/>
        </w:numPr>
        <w:spacing w:before="0"/>
        <w:ind w:left="714"/>
        <w:rPr>
          <w:color w:val="auto"/>
        </w:rPr>
      </w:pPr>
      <w:hyperlink r:id="rId63" w:history="1">
        <w:r w:rsidR="003650F0" w:rsidRPr="00BD5863">
          <w:rPr>
            <w:rStyle w:val="Hypertextovodkaz"/>
            <w:color w:val="auto"/>
          </w:rPr>
          <w:t>https://www.cnb.cz/miranda2/export/sites/www.cnb.cz/cs/o_cnb/hospodareni/download/cnb_vysledky_hospodareni_2010.pdf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2011</w:t>
      </w:r>
      <w:r w:rsidRPr="00BD5863">
        <w:rPr>
          <w:color w:val="auto"/>
        </w:rPr>
        <w:t xml:space="preserve"> [online]. Praha: Česká národní banka, 2012 [cit. 2016-03-10]. Dostupné z: </w:t>
      </w:r>
    </w:p>
    <w:p w:rsidR="00226D79" w:rsidRPr="00BD5863" w:rsidRDefault="00704598" w:rsidP="003650F0">
      <w:pPr>
        <w:pStyle w:val="seznam"/>
        <w:numPr>
          <w:ilvl w:val="0"/>
          <w:numId w:val="0"/>
        </w:numPr>
        <w:spacing w:before="0"/>
        <w:ind w:left="714"/>
        <w:rPr>
          <w:color w:val="auto"/>
        </w:rPr>
      </w:pPr>
      <w:hyperlink r:id="rId64" w:history="1">
        <w:r w:rsidR="003650F0" w:rsidRPr="00BD5863">
          <w:rPr>
            <w:rStyle w:val="Hypertextovodkaz"/>
            <w:color w:val="auto"/>
          </w:rPr>
          <w:t>https://www.cnb.cz/miranda2/export/sites/www.cnb.cz/cs/o_cnb/hospodareni/download/cnb_vysledky_hospodareni_2011.pdf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2012</w:t>
      </w:r>
      <w:r w:rsidRPr="00BD5863">
        <w:rPr>
          <w:color w:val="auto"/>
        </w:rPr>
        <w:t xml:space="preserve"> [online]. Praha: Česká národní banka, 2013 [cit. 2016-03-10]. Dostupné z:</w:t>
      </w:r>
    </w:p>
    <w:p w:rsidR="00E418A6" w:rsidRPr="00BD5863" w:rsidRDefault="00704598" w:rsidP="003650F0">
      <w:pPr>
        <w:pStyle w:val="seznam"/>
        <w:numPr>
          <w:ilvl w:val="0"/>
          <w:numId w:val="0"/>
        </w:numPr>
        <w:spacing w:before="0"/>
        <w:ind w:left="714"/>
        <w:rPr>
          <w:color w:val="auto"/>
        </w:rPr>
      </w:pPr>
      <w:hyperlink r:id="rId65" w:history="1">
        <w:r w:rsidR="003650F0" w:rsidRPr="00BD5863">
          <w:rPr>
            <w:rStyle w:val="Hypertextovodkaz"/>
            <w:color w:val="auto"/>
          </w:rPr>
          <w:t>https://www.cnb.cz/miranda2/export/sites/www.cnb.cz/cs/o_cnb/hospodareni/download/cnb_vysledky_hospodareni_2012.pdf</w:t>
        </w:r>
      </w:hyperlink>
      <w:r w:rsidR="003650F0" w:rsidRPr="00BD5863">
        <w:rPr>
          <w:color w:val="auto"/>
        </w:rPr>
        <w:t>.</w:t>
      </w:r>
    </w:p>
    <w:p w:rsidR="008405E4" w:rsidRPr="00BD5863" w:rsidRDefault="008405E4" w:rsidP="003650F0">
      <w:pPr>
        <w:pStyle w:val="seznam"/>
        <w:numPr>
          <w:ilvl w:val="0"/>
          <w:numId w:val="0"/>
        </w:numPr>
        <w:spacing w:before="0"/>
        <w:ind w:left="714"/>
        <w:rPr>
          <w:i/>
          <w:color w:val="auto"/>
        </w:rPr>
      </w:pPr>
    </w:p>
    <w:p w:rsidR="003650F0" w:rsidRPr="00BD5863" w:rsidRDefault="00226D79" w:rsidP="003650F0">
      <w:pPr>
        <w:pStyle w:val="seznam"/>
        <w:spacing w:after="0"/>
        <w:rPr>
          <w:i/>
          <w:color w:val="auto"/>
        </w:rPr>
      </w:pPr>
      <w:r w:rsidRPr="00BD5863">
        <w:rPr>
          <w:i/>
          <w:color w:val="auto"/>
        </w:rPr>
        <w:lastRenderedPageBreak/>
        <w:t>Roční zpráva o výsledku hospodaření České národní banky 2013</w:t>
      </w:r>
      <w:r w:rsidRPr="00BD5863">
        <w:rPr>
          <w:color w:val="auto"/>
        </w:rPr>
        <w:t xml:space="preserve"> [online]. Praha: Česká národní banka, 2014 [cit. 2016-03-10]. Dostupné z:</w:t>
      </w:r>
    </w:p>
    <w:p w:rsidR="00226D79" w:rsidRPr="00BD5863" w:rsidRDefault="00704598" w:rsidP="003650F0">
      <w:pPr>
        <w:pStyle w:val="seznam"/>
        <w:numPr>
          <w:ilvl w:val="0"/>
          <w:numId w:val="0"/>
        </w:numPr>
        <w:spacing w:before="0"/>
        <w:ind w:left="714"/>
        <w:rPr>
          <w:i/>
          <w:color w:val="auto"/>
        </w:rPr>
      </w:pPr>
      <w:hyperlink r:id="rId66" w:history="1">
        <w:r w:rsidR="003650F0" w:rsidRPr="00BD5863">
          <w:rPr>
            <w:rStyle w:val="Hypertextovodkaz"/>
            <w:color w:val="auto"/>
          </w:rPr>
          <w:t>https://www.cnb.cz/miranda2/export/sites/www.cnb.cz/cs/o_cnb/hospodareni/download/cnb_vysledky_hospodareni_2013.pdf</w:t>
        </w:r>
      </w:hyperlink>
      <w:r w:rsidR="003650F0" w:rsidRPr="00BD5863">
        <w:rPr>
          <w:color w:val="auto"/>
        </w:rPr>
        <w:t xml:space="preserve">. </w:t>
      </w:r>
    </w:p>
    <w:p w:rsidR="003650F0" w:rsidRPr="00BD5863" w:rsidRDefault="00226D79" w:rsidP="003650F0">
      <w:pPr>
        <w:pStyle w:val="seznam"/>
        <w:spacing w:after="0"/>
        <w:rPr>
          <w:i/>
          <w:color w:val="auto"/>
        </w:rPr>
      </w:pPr>
      <w:r w:rsidRPr="00BD5863">
        <w:rPr>
          <w:i/>
          <w:color w:val="auto"/>
        </w:rPr>
        <w:t>Roční zpráva o výsledku hospodaření České národní banky 2014</w:t>
      </w:r>
      <w:r w:rsidRPr="00BD5863">
        <w:rPr>
          <w:color w:val="auto"/>
        </w:rPr>
        <w:t xml:space="preserve"> [online]. Praha: Česká národní banka, 2015 [cit. 2016-03-10]. Dostupné z:</w:t>
      </w:r>
    </w:p>
    <w:p w:rsidR="00BD143D" w:rsidRPr="00BD5863" w:rsidRDefault="00704598" w:rsidP="003650F0">
      <w:pPr>
        <w:pStyle w:val="seznam"/>
        <w:numPr>
          <w:ilvl w:val="0"/>
          <w:numId w:val="0"/>
        </w:numPr>
        <w:spacing w:before="0"/>
        <w:ind w:left="714"/>
        <w:rPr>
          <w:i/>
          <w:color w:val="auto"/>
        </w:rPr>
      </w:pPr>
      <w:hyperlink r:id="rId67" w:history="1">
        <w:r w:rsidR="003650F0" w:rsidRPr="00BD5863">
          <w:rPr>
            <w:rStyle w:val="Hypertextovodkaz"/>
            <w:color w:val="auto"/>
          </w:rPr>
          <w:t>https://www.cnb.cz/miranda2/export/sites/www.cnb.cz/cs/o_cnb/hospodareni/download/cnb_vysledky_hospodareni_2014.pdf</w:t>
        </w:r>
      </w:hyperlink>
      <w:r w:rsidR="003650F0" w:rsidRPr="00BD5863">
        <w:rPr>
          <w:color w:val="auto"/>
        </w:rPr>
        <w:t xml:space="preserve">. </w:t>
      </w:r>
    </w:p>
    <w:p w:rsidR="003650F0" w:rsidRPr="00BD5863" w:rsidRDefault="00BD143D" w:rsidP="003650F0">
      <w:pPr>
        <w:pStyle w:val="seznam"/>
        <w:spacing w:after="0"/>
        <w:rPr>
          <w:color w:val="auto"/>
          <w:szCs w:val="24"/>
          <w:u w:val="single"/>
        </w:rPr>
      </w:pPr>
      <w:r w:rsidRPr="00BD5863">
        <w:rPr>
          <w:i/>
          <w:color w:val="auto"/>
          <w:szCs w:val="24"/>
        </w:rPr>
        <w:t>Stanovení inflačního cíle pro období 2002 – 2005</w:t>
      </w:r>
      <w:r w:rsidRPr="00BD5863">
        <w:rPr>
          <w:color w:val="auto"/>
          <w:szCs w:val="24"/>
        </w:rPr>
        <w:t xml:space="preserve"> [online]. Praha: Česká národní banka, 2001 [cit. 2015-09-06]. Dostupné z:</w:t>
      </w:r>
    </w:p>
    <w:p w:rsidR="00BD143D" w:rsidRPr="00BD5863" w:rsidRDefault="00704598" w:rsidP="003650F0">
      <w:pPr>
        <w:pStyle w:val="seznam"/>
        <w:numPr>
          <w:ilvl w:val="0"/>
          <w:numId w:val="0"/>
        </w:numPr>
        <w:spacing w:before="0"/>
        <w:ind w:left="714"/>
        <w:rPr>
          <w:rStyle w:val="Hypertextovodkaz"/>
          <w:color w:val="auto"/>
          <w:szCs w:val="24"/>
        </w:rPr>
      </w:pPr>
      <w:hyperlink r:id="rId68" w:history="1">
        <w:r w:rsidR="00BD143D" w:rsidRPr="00BD5863">
          <w:rPr>
            <w:rStyle w:val="Hypertextovodkaz"/>
            <w:color w:val="auto"/>
            <w:szCs w:val="24"/>
          </w:rPr>
          <w:t>http://www.cnb.cz/miranda2/export/sites/www.cnb.cz/cs/menova_politika/strategicke_dokumenty/download/inflacni_cil_2002_05.pdf</w:t>
        </w:r>
      </w:hyperlink>
      <w:r w:rsidR="00BD143D" w:rsidRPr="00BD5863">
        <w:rPr>
          <w:rStyle w:val="Hypertextovodkaz"/>
          <w:color w:val="auto"/>
          <w:szCs w:val="24"/>
        </w:rPr>
        <w:t xml:space="preserve">. </w:t>
      </w:r>
    </w:p>
    <w:p w:rsidR="00BD143D" w:rsidRPr="00BD5863" w:rsidRDefault="00BD143D" w:rsidP="00C2526E">
      <w:pPr>
        <w:pStyle w:val="seznam"/>
        <w:rPr>
          <w:color w:val="auto"/>
          <w:szCs w:val="24"/>
        </w:rPr>
      </w:pPr>
      <w:r w:rsidRPr="00BD5863">
        <w:rPr>
          <w:i/>
          <w:color w:val="auto"/>
          <w:szCs w:val="24"/>
        </w:rPr>
        <w:t xml:space="preserve">Úrokové </w:t>
      </w:r>
      <w:proofErr w:type="spellStart"/>
      <w:r w:rsidRPr="00BD5863">
        <w:rPr>
          <w:i/>
          <w:color w:val="auto"/>
          <w:szCs w:val="24"/>
        </w:rPr>
        <w:t>sadzby</w:t>
      </w:r>
      <w:proofErr w:type="spellEnd"/>
      <w:r w:rsidRPr="00BD5863">
        <w:rPr>
          <w:i/>
          <w:color w:val="auto"/>
          <w:szCs w:val="24"/>
        </w:rPr>
        <w:t xml:space="preserve"> ECB</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[cit. 2016-01-22]. Dostupné z: </w:t>
      </w:r>
      <w:hyperlink r:id="rId69" w:history="1">
        <w:r w:rsidRPr="00BD5863">
          <w:rPr>
            <w:rStyle w:val="Hypertextovodkaz"/>
            <w:color w:val="auto"/>
            <w:szCs w:val="24"/>
          </w:rPr>
          <w:t>http://www.nbs.sk/sk/statisticke-udaje/udajove-kategorie-sdds/urokove-sadzby/urokove-sadzby-ecb</w:t>
        </w:r>
      </w:hyperlink>
      <w:r w:rsidRPr="00BD5863">
        <w:rPr>
          <w:color w:val="auto"/>
          <w:szCs w:val="24"/>
        </w:rPr>
        <w:t xml:space="preserve">. </w:t>
      </w:r>
    </w:p>
    <w:p w:rsidR="00AD5160" w:rsidRPr="00BD5863" w:rsidRDefault="00BD143D" w:rsidP="00AD5160">
      <w:pPr>
        <w:pStyle w:val="seznam"/>
        <w:numPr>
          <w:ilvl w:val="0"/>
          <w:numId w:val="0"/>
        </w:numPr>
        <w:ind w:left="714"/>
        <w:rPr>
          <w:color w:val="auto"/>
          <w:szCs w:val="24"/>
        </w:rPr>
      </w:pPr>
      <w:r w:rsidRPr="00BD5863">
        <w:rPr>
          <w:i/>
          <w:color w:val="auto"/>
          <w:szCs w:val="24"/>
        </w:rPr>
        <w:t>Vyhodnocení plnění maastrichtských konvergenčních kritérií a stupně ekonomické sladěnosti ČR s eurozónou</w:t>
      </w:r>
      <w:r w:rsidRPr="00BD5863">
        <w:rPr>
          <w:color w:val="auto"/>
          <w:szCs w:val="24"/>
        </w:rPr>
        <w:t xml:space="preserve"> [online]. Praha: Česká národní banka a Ministerstvo financí ČR, leden 2005 [cit. 2015-11-13]. Dostupné z: </w:t>
      </w:r>
      <w:hyperlink r:id="rId70" w:history="1">
        <w:r w:rsidRPr="00BD5863">
          <w:rPr>
            <w:rStyle w:val="Hypertextovodkaz"/>
            <w:color w:val="auto"/>
            <w:szCs w:val="24"/>
          </w:rPr>
          <w:t>https://www.cnb.cz/cs/menova_politika/strategicke_dokumenty/download/maastricht_sladenost_cr.pdf</w:t>
        </w:r>
      </w:hyperlink>
      <w:r w:rsidRPr="00BD5863">
        <w:rPr>
          <w:color w:val="auto"/>
          <w:szCs w:val="24"/>
        </w:rPr>
        <w:t>.</w:t>
      </w:r>
    </w:p>
    <w:p w:rsidR="00D71035" w:rsidRPr="00BD5863" w:rsidRDefault="00BD143D" w:rsidP="00D71035">
      <w:pPr>
        <w:pStyle w:val="seznam"/>
        <w:spacing w:after="0"/>
        <w:rPr>
          <w:color w:val="auto"/>
          <w:szCs w:val="24"/>
        </w:rPr>
      </w:pPr>
      <w:r w:rsidRPr="00BD5863">
        <w:rPr>
          <w:i/>
          <w:color w:val="auto"/>
          <w:szCs w:val="24"/>
        </w:rPr>
        <w:t>Vyhodnocení plnění maastrichtských konvergenčních kritérií a stupně ekonomické sladěnosti ČR s eurozónou</w:t>
      </w:r>
      <w:r w:rsidRPr="00BD5863">
        <w:rPr>
          <w:color w:val="auto"/>
          <w:szCs w:val="24"/>
        </w:rPr>
        <w:t xml:space="preserve"> [online]. Praha: Česká národní banka a Ministerstvo financí ČR, listopad 2005 [cit. 2015-11-13]. Dostupné z:</w:t>
      </w:r>
    </w:p>
    <w:p w:rsidR="00BD143D" w:rsidRPr="00BD5863" w:rsidRDefault="00704598" w:rsidP="00D71035">
      <w:pPr>
        <w:pStyle w:val="seznam"/>
        <w:numPr>
          <w:ilvl w:val="0"/>
          <w:numId w:val="0"/>
        </w:numPr>
        <w:spacing w:before="0"/>
        <w:ind w:left="714"/>
        <w:rPr>
          <w:color w:val="auto"/>
          <w:szCs w:val="24"/>
        </w:rPr>
      </w:pPr>
      <w:hyperlink r:id="rId71" w:history="1">
        <w:r w:rsidR="00BD143D" w:rsidRPr="00BD5863">
          <w:rPr>
            <w:rStyle w:val="Hypertextovodkaz"/>
            <w:color w:val="auto"/>
            <w:szCs w:val="24"/>
          </w:rPr>
          <w:t>http://www.cnb.cz/miranda2/export/sites/www.cnb.cz/cs/menova_politika/strategicke_dokumenty/download/maastricht_vyhodnoceni_2005.pdf</w:t>
        </w:r>
      </w:hyperlink>
      <w:r w:rsidR="00BD143D"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Vyhodnocení plnění maastrichtských konvergenčních kritérií a stupně ekonomické sladěnosti ČR s eurozónou</w:t>
      </w:r>
      <w:r w:rsidRPr="00BD5863">
        <w:rPr>
          <w:color w:val="auto"/>
          <w:szCs w:val="24"/>
        </w:rPr>
        <w:t xml:space="preserve"> [online]. Praha: Česká národní banka a Ministerstvo financí ČR, 2008 [cit. 2015-11-13]. Dostupné z: </w:t>
      </w:r>
      <w:hyperlink r:id="rId72" w:history="1">
        <w:r w:rsidRPr="00BD5863">
          <w:rPr>
            <w:rStyle w:val="Hypertextovodkaz"/>
            <w:color w:val="auto"/>
            <w:szCs w:val="24"/>
          </w:rPr>
          <w:t>http://www.cnb.cz/miranda2/export/sites/www.cnb.cz/cs/menova_politika/strategicke_dokumenty/download/maastricht_vyhodnoceni_2008.pdf</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lastRenderedPageBreak/>
        <w:t>Vyhodnocení plnění maastrichtských konvergenčních kritérií a stupně ekonomické sladěnosti ČR s eurozónou</w:t>
      </w:r>
      <w:r w:rsidRPr="00BD5863">
        <w:rPr>
          <w:color w:val="auto"/>
          <w:szCs w:val="24"/>
        </w:rPr>
        <w:t xml:space="preserve"> [online]. Praha: Česká národní banka a Ministerstvo financí ČR, 2010 [cit. 2015-11-13]. Dostupné z: </w:t>
      </w:r>
      <w:hyperlink r:id="rId73" w:history="1">
        <w:r w:rsidRPr="00BD5863">
          <w:rPr>
            <w:rStyle w:val="Hypertextovodkaz"/>
            <w:color w:val="auto"/>
            <w:szCs w:val="24"/>
          </w:rPr>
          <w:t>http://www.cnb.cz/miranda2/export/sites/www.cnb.cz/cs/menova_politika/strategicke_dokumenty/download/maastricht_vyhodnoceni_2010.pdf</w:t>
        </w:r>
      </w:hyperlink>
      <w:r w:rsidRPr="00BD5863">
        <w:rPr>
          <w:color w:val="auto"/>
          <w:szCs w:val="24"/>
        </w:rPr>
        <w:t>.</w:t>
      </w:r>
    </w:p>
    <w:p w:rsidR="00BD143D" w:rsidRPr="00BD5863" w:rsidRDefault="00BD143D" w:rsidP="00C2526E">
      <w:pPr>
        <w:pStyle w:val="seznam"/>
        <w:rPr>
          <w:color w:val="auto"/>
          <w:szCs w:val="24"/>
        </w:rPr>
      </w:pPr>
      <w:r w:rsidRPr="00BD5863">
        <w:rPr>
          <w:i/>
          <w:color w:val="auto"/>
          <w:szCs w:val="24"/>
        </w:rPr>
        <w:t>Vyhodnocení plnění maastrichtských konvergenčních kritérií a stupně ekonomické sladěnosti ČR s eurozónou</w:t>
      </w:r>
      <w:r w:rsidRPr="00BD5863">
        <w:rPr>
          <w:color w:val="auto"/>
          <w:szCs w:val="24"/>
        </w:rPr>
        <w:t xml:space="preserve"> [online]. Praha: Česká národní banka a Ministerstvo financí ČR, 2014 [cit. 2015-11-13]. Dostupné z: </w:t>
      </w:r>
      <w:hyperlink r:id="rId74" w:history="1">
        <w:r w:rsidRPr="00BD5863">
          <w:rPr>
            <w:rStyle w:val="Hypertextovodkaz"/>
            <w:color w:val="auto"/>
            <w:szCs w:val="24"/>
          </w:rPr>
          <w:t>https://www.cnb.cz/miranda2/export/sites/www.cnb.cz/cs/menova_politika/strategicke_dokumenty/download/maastricht_vyhodnoceni_2014.pdf</w:t>
        </w:r>
      </w:hyperlink>
      <w:r w:rsidRPr="00BD5863">
        <w:rPr>
          <w:color w:val="auto"/>
          <w:szCs w:val="24"/>
        </w:rPr>
        <w:t xml:space="preserve">. </w:t>
      </w:r>
    </w:p>
    <w:p w:rsidR="00C2526E" w:rsidRPr="00BD5863" w:rsidRDefault="00BD143D" w:rsidP="00C2526E">
      <w:pPr>
        <w:pStyle w:val="seznam"/>
        <w:spacing w:after="0"/>
        <w:rPr>
          <w:color w:val="auto"/>
          <w:szCs w:val="24"/>
        </w:rPr>
      </w:pPr>
      <w:r w:rsidRPr="00BD5863">
        <w:rPr>
          <w:i/>
          <w:color w:val="auto"/>
          <w:szCs w:val="24"/>
        </w:rPr>
        <w:t>Výročná správa 2005</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2006 [cit. 2016-03-02]. Dostupné z:</w:t>
      </w:r>
    </w:p>
    <w:p w:rsidR="00BD143D" w:rsidRPr="00BD5863" w:rsidRDefault="00704598" w:rsidP="00C2526E">
      <w:pPr>
        <w:pStyle w:val="seznam"/>
        <w:numPr>
          <w:ilvl w:val="0"/>
          <w:numId w:val="0"/>
        </w:numPr>
        <w:spacing w:before="0"/>
        <w:ind w:left="714"/>
        <w:rPr>
          <w:color w:val="auto"/>
          <w:szCs w:val="24"/>
        </w:rPr>
      </w:pPr>
      <w:hyperlink r:id="rId75" w:history="1">
        <w:r w:rsidR="00BD143D" w:rsidRPr="00BD5863">
          <w:rPr>
            <w:rStyle w:val="Hypertextovodkaz"/>
            <w:color w:val="auto"/>
            <w:szCs w:val="24"/>
          </w:rPr>
          <w:t>http://www.nbs.sk/_img/Documents/_Publikacie/VyrocnaSprava/VSNBS05.pdf</w:t>
        </w:r>
      </w:hyperlink>
      <w:r w:rsidR="00BD143D" w:rsidRPr="00BD5863">
        <w:rPr>
          <w:color w:val="auto"/>
          <w:szCs w:val="24"/>
        </w:rPr>
        <w:t xml:space="preserve">. </w:t>
      </w:r>
    </w:p>
    <w:p w:rsidR="00C2526E" w:rsidRPr="00BD5863" w:rsidRDefault="00BD143D" w:rsidP="00C2526E">
      <w:pPr>
        <w:pStyle w:val="seznam"/>
        <w:spacing w:after="0"/>
        <w:rPr>
          <w:i/>
          <w:color w:val="auto"/>
          <w:szCs w:val="24"/>
        </w:rPr>
      </w:pPr>
      <w:r w:rsidRPr="00BD5863">
        <w:rPr>
          <w:i/>
          <w:color w:val="auto"/>
          <w:szCs w:val="24"/>
        </w:rPr>
        <w:t>Výročná správa 2006</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2007 [cit. 2016-03-02]. Dostupné z:</w:t>
      </w:r>
    </w:p>
    <w:p w:rsidR="00BD143D" w:rsidRPr="00BD5863" w:rsidRDefault="00704598" w:rsidP="00C2526E">
      <w:pPr>
        <w:pStyle w:val="seznam"/>
        <w:numPr>
          <w:ilvl w:val="0"/>
          <w:numId w:val="0"/>
        </w:numPr>
        <w:spacing w:before="0"/>
        <w:ind w:left="714"/>
        <w:rPr>
          <w:i/>
          <w:color w:val="auto"/>
          <w:szCs w:val="24"/>
        </w:rPr>
      </w:pPr>
      <w:hyperlink r:id="rId76" w:history="1">
        <w:r w:rsidR="00BD143D" w:rsidRPr="00BD5863">
          <w:rPr>
            <w:rStyle w:val="Hypertextovodkaz"/>
            <w:color w:val="auto"/>
            <w:szCs w:val="24"/>
          </w:rPr>
          <w:t>http://www.nbs.sk/_img/Documents/_Publikacie/VyrocnaSprava/VSNBS06.pdf</w:t>
        </w:r>
      </w:hyperlink>
      <w:r w:rsidR="00BD143D" w:rsidRPr="00BD5863">
        <w:rPr>
          <w:color w:val="auto"/>
          <w:szCs w:val="24"/>
        </w:rPr>
        <w:t xml:space="preserve">. </w:t>
      </w:r>
      <w:r w:rsidR="00BD143D" w:rsidRPr="00BD5863">
        <w:rPr>
          <w:i/>
          <w:color w:val="auto"/>
          <w:szCs w:val="24"/>
        </w:rPr>
        <w:tab/>
      </w:r>
    </w:p>
    <w:p w:rsidR="00C2526E" w:rsidRPr="00BD5863" w:rsidRDefault="00BD143D" w:rsidP="00C2526E">
      <w:pPr>
        <w:pStyle w:val="seznam"/>
        <w:spacing w:after="0"/>
        <w:rPr>
          <w:color w:val="auto"/>
          <w:szCs w:val="24"/>
        </w:rPr>
      </w:pPr>
      <w:r w:rsidRPr="00BD5863">
        <w:rPr>
          <w:i/>
          <w:color w:val="auto"/>
          <w:szCs w:val="24"/>
        </w:rPr>
        <w:t>Výročná správa 2007</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2008 [cit. 2016-03-02]. Dostupné z:</w:t>
      </w:r>
    </w:p>
    <w:p w:rsidR="00BD143D" w:rsidRPr="00BD5863" w:rsidRDefault="00704598" w:rsidP="00C2526E">
      <w:pPr>
        <w:pStyle w:val="seznam"/>
        <w:numPr>
          <w:ilvl w:val="0"/>
          <w:numId w:val="0"/>
        </w:numPr>
        <w:spacing w:before="0"/>
        <w:ind w:left="714"/>
        <w:rPr>
          <w:color w:val="auto"/>
          <w:szCs w:val="24"/>
        </w:rPr>
      </w:pPr>
      <w:hyperlink r:id="rId77" w:history="1">
        <w:r w:rsidR="00BD143D" w:rsidRPr="00BD5863">
          <w:rPr>
            <w:rStyle w:val="Hypertextovodkaz"/>
            <w:color w:val="auto"/>
            <w:szCs w:val="24"/>
          </w:rPr>
          <w:t>http://www.nbs.sk/_img/Documents/_Publikacie/VyrocnaSprava/VSNBS07.pdf</w:t>
        </w:r>
      </w:hyperlink>
      <w:r w:rsidR="00BD143D" w:rsidRPr="00BD5863">
        <w:rPr>
          <w:color w:val="auto"/>
          <w:szCs w:val="24"/>
        </w:rPr>
        <w:t xml:space="preserve">. </w:t>
      </w:r>
    </w:p>
    <w:p w:rsidR="00C2526E" w:rsidRPr="00BD5863" w:rsidRDefault="00BD143D" w:rsidP="00C2526E">
      <w:pPr>
        <w:pStyle w:val="seznam"/>
        <w:spacing w:after="0"/>
        <w:rPr>
          <w:color w:val="auto"/>
          <w:szCs w:val="24"/>
        </w:rPr>
      </w:pPr>
      <w:r w:rsidRPr="00BD5863">
        <w:rPr>
          <w:i/>
          <w:color w:val="auto"/>
          <w:szCs w:val="24"/>
        </w:rPr>
        <w:t>Výročná správa 2008</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2009 [cit. 2016-03-02]. Dostupné z:</w:t>
      </w:r>
    </w:p>
    <w:p w:rsidR="00E052DF" w:rsidRPr="00BD5863" w:rsidRDefault="00704598" w:rsidP="00C2526E">
      <w:pPr>
        <w:pStyle w:val="seznam"/>
        <w:numPr>
          <w:ilvl w:val="0"/>
          <w:numId w:val="0"/>
        </w:numPr>
        <w:spacing w:before="0"/>
        <w:ind w:left="714"/>
        <w:rPr>
          <w:color w:val="auto"/>
          <w:szCs w:val="24"/>
        </w:rPr>
      </w:pPr>
      <w:hyperlink r:id="rId78" w:history="1">
        <w:r w:rsidR="00BD143D" w:rsidRPr="00BD5863">
          <w:rPr>
            <w:rStyle w:val="Hypertextovodkaz"/>
            <w:color w:val="auto"/>
            <w:szCs w:val="24"/>
          </w:rPr>
          <w:t>http://www.nbs.sk/_img/Documents/_Publikacie/VyrocnaSprava/VSNBS08.pdf</w:t>
        </w:r>
      </w:hyperlink>
      <w:r w:rsidR="00BD143D" w:rsidRPr="00BD5863">
        <w:rPr>
          <w:color w:val="auto"/>
          <w:szCs w:val="24"/>
        </w:rPr>
        <w:t>.</w:t>
      </w:r>
    </w:p>
    <w:p w:rsidR="00C2526E" w:rsidRPr="00BD5863" w:rsidRDefault="00BD143D" w:rsidP="004E7289">
      <w:pPr>
        <w:pStyle w:val="seznam"/>
        <w:spacing w:after="0"/>
        <w:rPr>
          <w:color w:val="auto"/>
        </w:rPr>
      </w:pPr>
      <w:r w:rsidRPr="00BD5863">
        <w:rPr>
          <w:i/>
          <w:color w:val="auto"/>
        </w:rPr>
        <w:t xml:space="preserve">Výroční zpráva ČNB 1995 </w:t>
      </w:r>
      <w:r w:rsidRPr="00BD5863">
        <w:rPr>
          <w:color w:val="auto"/>
        </w:rPr>
        <w:t>[online]. Praha: Česká národní banka, 1996 [cit. 2015-12-04]. Dostupné z:</w:t>
      </w:r>
    </w:p>
    <w:p w:rsidR="00BD143D" w:rsidRPr="00BD5863" w:rsidRDefault="00704598" w:rsidP="00E052DF">
      <w:pPr>
        <w:pStyle w:val="seznam"/>
        <w:numPr>
          <w:ilvl w:val="0"/>
          <w:numId w:val="0"/>
        </w:numPr>
        <w:spacing w:before="0"/>
        <w:ind w:left="714"/>
        <w:rPr>
          <w:color w:val="auto"/>
          <w:szCs w:val="24"/>
        </w:rPr>
      </w:pPr>
      <w:hyperlink r:id="rId79" w:history="1">
        <w:r w:rsidR="00BD143D" w:rsidRPr="00BD5863">
          <w:rPr>
            <w:rStyle w:val="Hypertextovodkaz"/>
            <w:color w:val="auto"/>
            <w:szCs w:val="24"/>
          </w:rPr>
          <w:t>http://www.cnb.cz/miranda2/export/sites/www.cnb.cz/cs/o_cnb/hospodareni/vyrocni_zpravy/download/vyrocni_zprava_1995.pdf</w:t>
        </w:r>
      </w:hyperlink>
      <w:r w:rsidR="00E052DF" w:rsidRPr="00BD5863">
        <w:rPr>
          <w:color w:val="auto"/>
          <w:szCs w:val="24"/>
        </w:rPr>
        <w:t>.</w:t>
      </w:r>
    </w:p>
    <w:p w:rsidR="00C2526E" w:rsidRPr="00BD5863" w:rsidRDefault="00BD143D" w:rsidP="00C2526E">
      <w:pPr>
        <w:pStyle w:val="seznam"/>
        <w:spacing w:after="0"/>
        <w:rPr>
          <w:color w:val="auto"/>
          <w:szCs w:val="24"/>
        </w:rPr>
      </w:pPr>
      <w:r w:rsidRPr="00BD5863">
        <w:rPr>
          <w:i/>
          <w:color w:val="auto"/>
          <w:szCs w:val="24"/>
        </w:rPr>
        <w:t xml:space="preserve">Výroční zpráva ČNB 1997 </w:t>
      </w:r>
      <w:r w:rsidRPr="00BD5863">
        <w:rPr>
          <w:color w:val="auto"/>
          <w:szCs w:val="24"/>
        </w:rPr>
        <w:t>[online]. Praha: Česká národní banka, 1998 [cit. 2015-12-04]. Dostupné z:</w:t>
      </w:r>
    </w:p>
    <w:p w:rsidR="00BD143D" w:rsidRPr="00BD5863" w:rsidRDefault="00704598" w:rsidP="00C2526E">
      <w:pPr>
        <w:pStyle w:val="seznam"/>
        <w:numPr>
          <w:ilvl w:val="0"/>
          <w:numId w:val="0"/>
        </w:numPr>
        <w:spacing w:before="0"/>
        <w:ind w:left="714"/>
        <w:rPr>
          <w:color w:val="auto"/>
          <w:szCs w:val="24"/>
        </w:rPr>
      </w:pPr>
      <w:hyperlink r:id="rId80" w:history="1">
        <w:r w:rsidR="00BD143D" w:rsidRPr="00BD5863">
          <w:rPr>
            <w:rStyle w:val="Hypertextovodkaz"/>
            <w:color w:val="auto"/>
            <w:szCs w:val="24"/>
          </w:rPr>
          <w:t>http://www.cnb.cz/miranda2/export/sites/www.cnb.cz/cs/o_cnb/hospodareni/vyrocni_zpravy/download/vyrocni_zprava_1997.pdf</w:t>
        </w:r>
      </w:hyperlink>
      <w:r w:rsidR="00BD143D" w:rsidRPr="00BD5863">
        <w:rPr>
          <w:color w:val="auto"/>
          <w:szCs w:val="24"/>
        </w:rPr>
        <w:t xml:space="preserve">. </w:t>
      </w:r>
    </w:p>
    <w:p w:rsidR="00C2526E" w:rsidRPr="00BD5863" w:rsidRDefault="00BD143D" w:rsidP="00C2526E">
      <w:pPr>
        <w:pStyle w:val="seznam"/>
        <w:spacing w:after="0"/>
        <w:rPr>
          <w:color w:val="auto"/>
          <w:szCs w:val="24"/>
        </w:rPr>
      </w:pPr>
      <w:r w:rsidRPr="00BD5863">
        <w:rPr>
          <w:i/>
          <w:color w:val="auto"/>
          <w:szCs w:val="24"/>
        </w:rPr>
        <w:lastRenderedPageBreak/>
        <w:t xml:space="preserve">Výroční zpráva ČNB 1998 </w:t>
      </w:r>
      <w:r w:rsidRPr="00BD5863">
        <w:rPr>
          <w:color w:val="auto"/>
          <w:szCs w:val="24"/>
        </w:rPr>
        <w:t>[online]. Praha: Česká národní banka, 1999 [cit. 2015-12-04]. Dostupné z:</w:t>
      </w:r>
    </w:p>
    <w:p w:rsidR="00BD143D" w:rsidRPr="00BD5863" w:rsidRDefault="00704598" w:rsidP="00C2526E">
      <w:pPr>
        <w:pStyle w:val="seznam"/>
        <w:numPr>
          <w:ilvl w:val="0"/>
          <w:numId w:val="0"/>
        </w:numPr>
        <w:spacing w:before="0"/>
        <w:ind w:left="714"/>
        <w:rPr>
          <w:color w:val="auto"/>
          <w:szCs w:val="24"/>
        </w:rPr>
      </w:pPr>
      <w:hyperlink r:id="rId81" w:history="1">
        <w:r w:rsidR="00BD143D" w:rsidRPr="00BD5863">
          <w:rPr>
            <w:rStyle w:val="Hypertextovodkaz"/>
            <w:color w:val="auto"/>
            <w:szCs w:val="24"/>
          </w:rPr>
          <w:t>http://www.cnb.cz/miranda2/export/sites/www.cnb.cz/cs/o_cnb/hospodareni/vyrocni_zpravy/download/vyrocni_zprava_1998.pdf</w:t>
        </w:r>
      </w:hyperlink>
      <w:r w:rsidR="00BD143D" w:rsidRPr="00BD5863">
        <w:rPr>
          <w:color w:val="auto"/>
          <w:szCs w:val="24"/>
        </w:rPr>
        <w:t xml:space="preserve">. </w:t>
      </w:r>
    </w:p>
    <w:p w:rsidR="00C2526E" w:rsidRPr="00BD5863" w:rsidRDefault="00BD143D" w:rsidP="00C2526E">
      <w:pPr>
        <w:pStyle w:val="seznam"/>
        <w:spacing w:after="0"/>
        <w:rPr>
          <w:color w:val="auto"/>
          <w:szCs w:val="24"/>
        </w:rPr>
      </w:pPr>
      <w:r w:rsidRPr="00BD5863">
        <w:rPr>
          <w:i/>
          <w:color w:val="auto"/>
          <w:szCs w:val="24"/>
        </w:rPr>
        <w:t>Výroční zpráva ČNB 2001</w:t>
      </w:r>
      <w:r w:rsidRPr="00BD5863">
        <w:rPr>
          <w:color w:val="auto"/>
          <w:szCs w:val="24"/>
        </w:rPr>
        <w:t xml:space="preserve"> [online]. Praha: Česká národní banka, 2002 [cit. 2015-12-21]. Dostupné z:</w:t>
      </w:r>
    </w:p>
    <w:p w:rsidR="00BD143D" w:rsidRPr="00BD5863" w:rsidRDefault="00704598" w:rsidP="00C2526E">
      <w:pPr>
        <w:pStyle w:val="seznam"/>
        <w:numPr>
          <w:ilvl w:val="0"/>
          <w:numId w:val="0"/>
        </w:numPr>
        <w:spacing w:before="0"/>
        <w:ind w:left="714"/>
        <w:rPr>
          <w:color w:val="auto"/>
          <w:szCs w:val="24"/>
        </w:rPr>
      </w:pPr>
      <w:hyperlink r:id="rId82" w:history="1">
        <w:r w:rsidR="00BD143D" w:rsidRPr="00BD5863">
          <w:rPr>
            <w:rStyle w:val="Hypertextovodkaz"/>
            <w:color w:val="auto"/>
            <w:szCs w:val="24"/>
          </w:rPr>
          <w:t>http://www.cnb.cz/miranda2/export/sites/www.cnb.cz/cs/o_cnb/hospodareni/vyrocni_zpravy/download/vyrocni_zprava_2001.pdf</w:t>
        </w:r>
      </w:hyperlink>
      <w:r w:rsidR="00BD143D" w:rsidRPr="00BD5863">
        <w:rPr>
          <w:color w:val="auto"/>
          <w:szCs w:val="24"/>
        </w:rPr>
        <w:t xml:space="preserve">. </w:t>
      </w:r>
    </w:p>
    <w:p w:rsidR="00C2526E" w:rsidRPr="00BD5863" w:rsidRDefault="00BD143D" w:rsidP="00C2526E">
      <w:pPr>
        <w:pStyle w:val="seznam"/>
        <w:spacing w:after="0"/>
        <w:rPr>
          <w:color w:val="auto"/>
          <w:szCs w:val="24"/>
        </w:rPr>
      </w:pPr>
      <w:r w:rsidRPr="00BD5863">
        <w:rPr>
          <w:i/>
          <w:color w:val="auto"/>
          <w:szCs w:val="24"/>
        </w:rPr>
        <w:t>Výroční zpráva ČNB 2002</w:t>
      </w:r>
      <w:r w:rsidRPr="00BD5863">
        <w:rPr>
          <w:color w:val="auto"/>
          <w:szCs w:val="24"/>
        </w:rPr>
        <w:t xml:space="preserve"> [online]. Praha: Česká národní banka, 2003 [cit. 2015-12-04]. Dostupné z:</w:t>
      </w:r>
    </w:p>
    <w:p w:rsidR="00BD143D" w:rsidRPr="00BD5863" w:rsidRDefault="00704598" w:rsidP="00C2526E">
      <w:pPr>
        <w:pStyle w:val="seznam"/>
        <w:numPr>
          <w:ilvl w:val="0"/>
          <w:numId w:val="0"/>
        </w:numPr>
        <w:spacing w:before="0"/>
        <w:ind w:left="714"/>
        <w:rPr>
          <w:color w:val="auto"/>
          <w:szCs w:val="24"/>
        </w:rPr>
      </w:pPr>
      <w:hyperlink r:id="rId83" w:history="1">
        <w:r w:rsidR="00BD143D" w:rsidRPr="00BD5863">
          <w:rPr>
            <w:rStyle w:val="Hypertextovodkaz"/>
            <w:color w:val="auto"/>
            <w:szCs w:val="24"/>
          </w:rPr>
          <w:t>http://www.cnb.cz/miranda2/export/sites/www.cnb.cz/cs/o_cnb/hospodareni/vyrocni_zpravy/download/vyrocni_zprava_2002.pdf</w:t>
        </w:r>
      </w:hyperlink>
      <w:r w:rsidR="00BD143D" w:rsidRPr="00BD5863">
        <w:rPr>
          <w:color w:val="auto"/>
          <w:szCs w:val="24"/>
        </w:rPr>
        <w:t xml:space="preserve">. </w:t>
      </w:r>
    </w:p>
    <w:p w:rsidR="00C2526E" w:rsidRPr="00BD5863" w:rsidRDefault="00BD143D" w:rsidP="00C2526E">
      <w:pPr>
        <w:pStyle w:val="seznam"/>
        <w:spacing w:after="0"/>
        <w:rPr>
          <w:color w:val="auto"/>
          <w:szCs w:val="24"/>
        </w:rPr>
      </w:pPr>
      <w:r w:rsidRPr="00BD5863">
        <w:rPr>
          <w:i/>
          <w:color w:val="auto"/>
          <w:szCs w:val="24"/>
        </w:rPr>
        <w:t>Výroční zpráva ČNB 2003</w:t>
      </w:r>
      <w:r w:rsidRPr="00BD5863">
        <w:rPr>
          <w:color w:val="auto"/>
          <w:szCs w:val="24"/>
        </w:rPr>
        <w:t xml:space="preserve"> [online]. Praha: Česká národní banka, 2004 [cit. 2015-12-21]. Dostupné z:</w:t>
      </w:r>
    </w:p>
    <w:p w:rsidR="00BD143D" w:rsidRPr="00BD5863" w:rsidRDefault="00704598" w:rsidP="00C2526E">
      <w:pPr>
        <w:pStyle w:val="seznam"/>
        <w:numPr>
          <w:ilvl w:val="0"/>
          <w:numId w:val="0"/>
        </w:numPr>
        <w:spacing w:before="0"/>
        <w:ind w:left="714"/>
        <w:rPr>
          <w:color w:val="auto"/>
          <w:szCs w:val="24"/>
        </w:rPr>
      </w:pPr>
      <w:hyperlink r:id="rId84" w:history="1">
        <w:r w:rsidR="00BD143D" w:rsidRPr="00BD5863">
          <w:rPr>
            <w:rStyle w:val="Hypertextovodkaz"/>
            <w:color w:val="auto"/>
            <w:szCs w:val="24"/>
          </w:rPr>
          <w:t>http://www.cnb.cz/miranda2/export/sites/www.cnb.cz/cs/o_cnb/hospodareni/vyrocni_zpravy/download/vyrocni_zprava_2003.pdf</w:t>
        </w:r>
      </w:hyperlink>
      <w:r w:rsidR="00BD143D" w:rsidRPr="00BD5863">
        <w:rPr>
          <w:color w:val="auto"/>
          <w:szCs w:val="24"/>
        </w:rPr>
        <w:t xml:space="preserve">. </w:t>
      </w:r>
    </w:p>
    <w:p w:rsidR="002328B9" w:rsidRPr="00BD5863" w:rsidRDefault="002328B9" w:rsidP="002328B9">
      <w:pPr>
        <w:pStyle w:val="seznam"/>
        <w:spacing w:after="0"/>
        <w:rPr>
          <w:color w:val="auto"/>
        </w:rPr>
      </w:pPr>
      <w:r w:rsidRPr="00BD5863">
        <w:rPr>
          <w:i/>
          <w:color w:val="auto"/>
        </w:rPr>
        <w:t>Výroční zpráva ČNB 2009</w:t>
      </w:r>
      <w:r w:rsidRPr="00BD5863">
        <w:rPr>
          <w:color w:val="auto"/>
        </w:rPr>
        <w:t xml:space="preserve"> [online]. Praha: Česká národní banka, 2010 [cit. 2015-12-21]. Dostupné z:</w:t>
      </w:r>
    </w:p>
    <w:p w:rsidR="002328B9" w:rsidRPr="00BD5863" w:rsidRDefault="00704598" w:rsidP="002328B9">
      <w:pPr>
        <w:pStyle w:val="seznam"/>
        <w:numPr>
          <w:ilvl w:val="0"/>
          <w:numId w:val="0"/>
        </w:numPr>
        <w:spacing w:before="0"/>
        <w:ind w:left="714"/>
        <w:rPr>
          <w:color w:val="auto"/>
        </w:rPr>
      </w:pPr>
      <w:hyperlink r:id="rId85" w:history="1">
        <w:r w:rsidR="002328B9" w:rsidRPr="00BD5863">
          <w:rPr>
            <w:rStyle w:val="Hypertextovodkaz"/>
            <w:color w:val="auto"/>
          </w:rPr>
          <w:t>https://www.cnb.cz/miranda2/export/sites/www.cnb.cz/cs/o_cnb/hospodareni/vyrocni_zpravy/download/vyrocni_zprava_2009.pdf</w:t>
        </w:r>
      </w:hyperlink>
      <w:r w:rsidR="002328B9" w:rsidRPr="00BD5863">
        <w:rPr>
          <w:color w:val="auto"/>
        </w:rPr>
        <w:t xml:space="preserve">. </w:t>
      </w:r>
    </w:p>
    <w:p w:rsidR="002328B9" w:rsidRPr="00BD5863" w:rsidRDefault="002328B9" w:rsidP="002328B9">
      <w:pPr>
        <w:pStyle w:val="seznam"/>
        <w:spacing w:after="0"/>
        <w:rPr>
          <w:color w:val="auto"/>
        </w:rPr>
      </w:pPr>
      <w:r w:rsidRPr="00BD5863">
        <w:rPr>
          <w:i/>
          <w:color w:val="auto"/>
          <w:szCs w:val="24"/>
        </w:rPr>
        <w:t>Výroční zpráva ČNB 2010</w:t>
      </w:r>
      <w:r w:rsidRPr="00BD5863">
        <w:rPr>
          <w:color w:val="auto"/>
          <w:szCs w:val="24"/>
        </w:rPr>
        <w:t xml:space="preserve"> [online]. Praha: Česká národní banka, 2011 [cit. 2015-12-21]. Dostupné z:</w:t>
      </w:r>
    </w:p>
    <w:p w:rsidR="002328B9" w:rsidRPr="00BD5863" w:rsidRDefault="00704598" w:rsidP="002328B9">
      <w:pPr>
        <w:pStyle w:val="seznam"/>
        <w:numPr>
          <w:ilvl w:val="0"/>
          <w:numId w:val="0"/>
        </w:numPr>
        <w:spacing w:before="0"/>
        <w:ind w:left="714"/>
        <w:rPr>
          <w:color w:val="auto"/>
        </w:rPr>
      </w:pPr>
      <w:hyperlink r:id="rId86" w:history="1">
        <w:r w:rsidR="002328B9" w:rsidRPr="00BD5863">
          <w:rPr>
            <w:rStyle w:val="Hypertextovodkaz"/>
            <w:color w:val="auto"/>
          </w:rPr>
          <w:t>https://www.cnb.cz/miranda2/export/sites/www.cnb.cz/cs/o_cnb/hospodareni/vyrocni_zpravy/download/vyrocni_zprava_2010.pdf</w:t>
        </w:r>
      </w:hyperlink>
      <w:r w:rsidR="002328B9" w:rsidRPr="00BD5863">
        <w:rPr>
          <w:color w:val="auto"/>
        </w:rPr>
        <w:t xml:space="preserve">. </w:t>
      </w:r>
    </w:p>
    <w:p w:rsidR="002328B9" w:rsidRPr="00BD5863" w:rsidRDefault="002328B9" w:rsidP="002328B9">
      <w:pPr>
        <w:pStyle w:val="seznam"/>
        <w:spacing w:after="0"/>
        <w:rPr>
          <w:color w:val="auto"/>
        </w:rPr>
      </w:pPr>
      <w:r w:rsidRPr="00BD5863">
        <w:rPr>
          <w:i/>
          <w:color w:val="auto"/>
          <w:szCs w:val="24"/>
        </w:rPr>
        <w:t>Výroční zpráva ČNB 2011</w:t>
      </w:r>
      <w:r w:rsidRPr="00BD5863">
        <w:rPr>
          <w:color w:val="auto"/>
          <w:szCs w:val="24"/>
        </w:rPr>
        <w:t xml:space="preserve"> [online]. Praha: Česká národní banka, 2012 [cit. 2015-12-21]. Dostupné z:</w:t>
      </w:r>
    </w:p>
    <w:p w:rsidR="002328B9" w:rsidRPr="00BD5863" w:rsidRDefault="00704598" w:rsidP="002328B9">
      <w:pPr>
        <w:pStyle w:val="seznam"/>
        <w:numPr>
          <w:ilvl w:val="0"/>
          <w:numId w:val="0"/>
        </w:numPr>
        <w:spacing w:before="0"/>
        <w:ind w:left="714"/>
        <w:rPr>
          <w:color w:val="auto"/>
        </w:rPr>
      </w:pPr>
      <w:hyperlink r:id="rId87" w:history="1">
        <w:r w:rsidR="002328B9" w:rsidRPr="00BD5863">
          <w:rPr>
            <w:rStyle w:val="Hypertextovodkaz"/>
            <w:color w:val="auto"/>
          </w:rPr>
          <w:t>https://www.cnb.cz/miranda2/export/sites/www.cnb.cz/cs/o_cnb/hospodareni/vyrocni_zpravy/download/vyrocni_zprava_2011.pdf</w:t>
        </w:r>
      </w:hyperlink>
      <w:r w:rsidR="002328B9" w:rsidRPr="00BD5863">
        <w:rPr>
          <w:color w:val="auto"/>
        </w:rPr>
        <w:t xml:space="preserve">. </w:t>
      </w:r>
    </w:p>
    <w:p w:rsidR="002328B9" w:rsidRPr="00BD5863" w:rsidRDefault="002328B9" w:rsidP="002328B9">
      <w:pPr>
        <w:pStyle w:val="seznam"/>
        <w:spacing w:after="0"/>
        <w:rPr>
          <w:color w:val="auto"/>
        </w:rPr>
      </w:pPr>
      <w:r w:rsidRPr="00BD5863">
        <w:rPr>
          <w:i/>
          <w:color w:val="auto"/>
          <w:szCs w:val="24"/>
        </w:rPr>
        <w:t>Výroční zpráva ČNB 2012</w:t>
      </w:r>
      <w:r w:rsidRPr="00BD5863">
        <w:rPr>
          <w:color w:val="auto"/>
          <w:szCs w:val="24"/>
        </w:rPr>
        <w:t xml:space="preserve"> [online]. Praha: Česká národní banka, 2013 [cit. 2015-12-21]. Dostupné z:</w:t>
      </w:r>
    </w:p>
    <w:p w:rsidR="00E97BA0" w:rsidRPr="00BD5863" w:rsidRDefault="00704598" w:rsidP="002328B9">
      <w:pPr>
        <w:pStyle w:val="seznam"/>
        <w:numPr>
          <w:ilvl w:val="0"/>
          <w:numId w:val="0"/>
        </w:numPr>
        <w:spacing w:before="0"/>
        <w:ind w:left="714"/>
        <w:rPr>
          <w:color w:val="auto"/>
        </w:rPr>
      </w:pPr>
      <w:hyperlink r:id="rId88" w:history="1">
        <w:r w:rsidR="002328B9" w:rsidRPr="00BD5863">
          <w:rPr>
            <w:rStyle w:val="Hypertextovodkaz"/>
            <w:color w:val="auto"/>
          </w:rPr>
          <w:t>https://www.cnb.cz/miranda2/export/sites/www.cnb.cz/cs/o_cnb/hospodareni/vyrocni_zpravy/download/vyrocni_zprava_2012.pdf</w:t>
        </w:r>
      </w:hyperlink>
      <w:r w:rsidR="00E97BA0" w:rsidRPr="00BD5863">
        <w:rPr>
          <w:color w:val="auto"/>
        </w:rPr>
        <w:t>.</w:t>
      </w:r>
    </w:p>
    <w:p w:rsidR="008405E4" w:rsidRPr="00BD5863" w:rsidRDefault="008405E4" w:rsidP="002328B9">
      <w:pPr>
        <w:pStyle w:val="seznam"/>
        <w:numPr>
          <w:ilvl w:val="0"/>
          <w:numId w:val="0"/>
        </w:numPr>
        <w:spacing w:before="0"/>
        <w:ind w:left="714"/>
        <w:rPr>
          <w:color w:val="auto"/>
        </w:rPr>
      </w:pPr>
    </w:p>
    <w:p w:rsidR="002328B9" w:rsidRPr="00BD5863" w:rsidRDefault="002328B9" w:rsidP="002328B9">
      <w:pPr>
        <w:pStyle w:val="seznam"/>
        <w:spacing w:after="0"/>
        <w:rPr>
          <w:color w:val="auto"/>
        </w:rPr>
      </w:pPr>
      <w:r w:rsidRPr="00BD5863">
        <w:rPr>
          <w:i/>
          <w:color w:val="auto"/>
          <w:szCs w:val="24"/>
        </w:rPr>
        <w:lastRenderedPageBreak/>
        <w:t>Výroční zpráva ČNB 2013</w:t>
      </w:r>
      <w:r w:rsidRPr="00BD5863">
        <w:rPr>
          <w:color w:val="auto"/>
          <w:szCs w:val="24"/>
        </w:rPr>
        <w:t xml:space="preserve"> [online]. Praha: Česká národní banka, 2014 [cit. 2015-12-21]. Dostupné z:</w:t>
      </w:r>
    </w:p>
    <w:p w:rsidR="002328B9" w:rsidRPr="00BD5863" w:rsidRDefault="00704598" w:rsidP="002328B9">
      <w:pPr>
        <w:pStyle w:val="seznam"/>
        <w:numPr>
          <w:ilvl w:val="0"/>
          <w:numId w:val="0"/>
        </w:numPr>
        <w:spacing w:before="0"/>
        <w:ind w:left="714"/>
        <w:rPr>
          <w:color w:val="auto"/>
        </w:rPr>
      </w:pPr>
      <w:hyperlink r:id="rId89" w:history="1">
        <w:r w:rsidR="002328B9" w:rsidRPr="00BD5863">
          <w:rPr>
            <w:rStyle w:val="Hypertextovodkaz"/>
            <w:color w:val="auto"/>
          </w:rPr>
          <w:t>https://www.cnb.cz/miranda2/export/sites/www.cnb.cz/cs/o_cnb/hospodareni/vyrocni_zpravy/download/vyrocni_zprava_2013.pdf</w:t>
        </w:r>
      </w:hyperlink>
      <w:r w:rsidR="002328B9" w:rsidRPr="00BD5863">
        <w:rPr>
          <w:color w:val="auto"/>
        </w:rPr>
        <w:t xml:space="preserve">. </w:t>
      </w:r>
    </w:p>
    <w:p w:rsidR="00BD143D" w:rsidRPr="00BD5863" w:rsidRDefault="00BD143D" w:rsidP="00C2526E">
      <w:pPr>
        <w:pStyle w:val="seznam"/>
        <w:rPr>
          <w:color w:val="auto"/>
          <w:szCs w:val="24"/>
        </w:rPr>
      </w:pPr>
      <w:r w:rsidRPr="00BD5863">
        <w:rPr>
          <w:i/>
          <w:color w:val="auto"/>
          <w:szCs w:val="24"/>
        </w:rPr>
        <w:t xml:space="preserve">Základná úroková </w:t>
      </w:r>
      <w:proofErr w:type="spellStart"/>
      <w:r w:rsidRPr="00BD5863">
        <w:rPr>
          <w:i/>
          <w:color w:val="auto"/>
          <w:szCs w:val="24"/>
        </w:rPr>
        <w:t>sadzba</w:t>
      </w:r>
      <w:proofErr w:type="spellEnd"/>
      <w:r w:rsidRPr="00BD5863">
        <w:rPr>
          <w:i/>
          <w:color w:val="auto"/>
          <w:szCs w:val="24"/>
        </w:rPr>
        <w:t xml:space="preserve"> NBS\</w:t>
      </w:r>
      <w:proofErr w:type="spellStart"/>
      <w:r w:rsidRPr="00BD5863">
        <w:rPr>
          <w:i/>
          <w:color w:val="auto"/>
          <w:szCs w:val="24"/>
        </w:rPr>
        <w:t>Limitná</w:t>
      </w:r>
      <w:proofErr w:type="spellEnd"/>
      <w:r w:rsidRPr="00BD5863">
        <w:rPr>
          <w:i/>
          <w:color w:val="auto"/>
          <w:szCs w:val="24"/>
        </w:rPr>
        <w:t xml:space="preserve"> úroková </w:t>
      </w:r>
      <w:proofErr w:type="spellStart"/>
      <w:r w:rsidRPr="00BD5863">
        <w:rPr>
          <w:i/>
          <w:color w:val="auto"/>
          <w:szCs w:val="24"/>
        </w:rPr>
        <w:t>sadzbapredvojtýždňové</w:t>
      </w:r>
      <w:proofErr w:type="spellEnd"/>
      <w:r w:rsidRPr="00BD5863">
        <w:rPr>
          <w:i/>
          <w:color w:val="auto"/>
          <w:szCs w:val="24"/>
        </w:rPr>
        <w:t xml:space="preserve"> REPO tendre</w:t>
      </w:r>
      <w:r w:rsidRPr="00BD5863">
        <w:rPr>
          <w:color w:val="auto"/>
          <w:szCs w:val="24"/>
        </w:rPr>
        <w:t xml:space="preserve"> [online]. Bratislava: </w:t>
      </w:r>
      <w:proofErr w:type="spellStart"/>
      <w:r w:rsidRPr="00BD5863">
        <w:rPr>
          <w:color w:val="auto"/>
          <w:szCs w:val="24"/>
        </w:rPr>
        <w:t>Národná</w:t>
      </w:r>
      <w:proofErr w:type="spellEnd"/>
      <w:r w:rsidRPr="00BD5863">
        <w:rPr>
          <w:color w:val="auto"/>
          <w:szCs w:val="24"/>
        </w:rPr>
        <w:t xml:space="preserve"> banka Slovenska [cit. 2016-01-22]. Dostupné z: </w:t>
      </w:r>
      <w:hyperlink r:id="rId90" w:history="1">
        <w:r w:rsidRPr="00BD5863">
          <w:rPr>
            <w:rStyle w:val="Hypertextovodkaz"/>
            <w:color w:val="auto"/>
            <w:szCs w:val="24"/>
          </w:rPr>
          <w:t>http://www.nbs.sk/sk/statisticke-udaje/udajove-kategorie-sdds/urokove-sadzby/urokove-sadzby-nbs/zakladna-urokova-sadzba-nbs-limitna-urokova-sadzba-pre-dvojtyzdnove-repo</w:t>
        </w:r>
      </w:hyperlink>
      <w:r w:rsidRPr="00BD5863">
        <w:rPr>
          <w:color w:val="auto"/>
          <w:szCs w:val="24"/>
        </w:rPr>
        <w:t xml:space="preserve">. </w:t>
      </w:r>
    </w:p>
    <w:p w:rsidR="00BD143D" w:rsidRPr="00BD5863" w:rsidRDefault="00BD143D" w:rsidP="00C2526E">
      <w:pPr>
        <w:pStyle w:val="seznam"/>
        <w:rPr>
          <w:color w:val="auto"/>
          <w:szCs w:val="24"/>
        </w:rPr>
      </w:pPr>
      <w:r w:rsidRPr="00BD5863">
        <w:rPr>
          <w:i/>
          <w:color w:val="auto"/>
          <w:szCs w:val="24"/>
        </w:rPr>
        <w:t xml:space="preserve">Zastoupení na území ČR </w:t>
      </w:r>
      <w:r w:rsidRPr="00BD5863">
        <w:rPr>
          <w:color w:val="auto"/>
          <w:szCs w:val="24"/>
        </w:rPr>
        <w:t xml:space="preserve">[online]. Praha: Česká národní banka [cit. 2016-02-18]. Dostupné z: </w:t>
      </w:r>
      <w:hyperlink r:id="rId91" w:history="1">
        <w:r w:rsidRPr="00BD5863">
          <w:rPr>
            <w:rStyle w:val="Hypertextovodkaz"/>
            <w:color w:val="auto"/>
            <w:szCs w:val="24"/>
          </w:rPr>
          <w:t>http://www.cnb.cz/cs/o_cnb/zastoupeni_cnb.html</w:t>
        </w:r>
      </w:hyperlink>
      <w:r w:rsidRPr="00BD5863">
        <w:rPr>
          <w:color w:val="auto"/>
          <w:szCs w:val="24"/>
        </w:rPr>
        <w:t xml:space="preserve">.    </w:t>
      </w:r>
    </w:p>
    <w:p w:rsidR="00BD143D" w:rsidRPr="00BD5863" w:rsidRDefault="00BD143D" w:rsidP="003A666E">
      <w:pPr>
        <w:jc w:val="both"/>
        <w:rPr>
          <w:rFonts w:ascii="Times New Roman" w:hAnsi="Times New Roman" w:cs="Times New Roman"/>
          <w:sz w:val="20"/>
          <w:szCs w:val="20"/>
        </w:rPr>
      </w:pPr>
      <w:r w:rsidRPr="00BD5863">
        <w:rPr>
          <w:rFonts w:ascii="Times New Roman" w:hAnsi="Times New Roman" w:cs="Times New Roman"/>
          <w:sz w:val="20"/>
          <w:szCs w:val="20"/>
        </w:rPr>
        <w:tab/>
      </w:r>
    </w:p>
    <w:p w:rsidR="00BD143D" w:rsidRPr="00BD5863" w:rsidRDefault="003A666E" w:rsidP="003A666E">
      <w:pPr>
        <w:jc w:val="both"/>
        <w:rPr>
          <w:rFonts w:ascii="Times New Roman" w:hAnsi="Times New Roman" w:cs="Times New Roman"/>
          <w:b/>
          <w:sz w:val="24"/>
          <w:szCs w:val="20"/>
        </w:rPr>
      </w:pPr>
      <w:r w:rsidRPr="00BD5863">
        <w:rPr>
          <w:rFonts w:ascii="Times New Roman" w:hAnsi="Times New Roman" w:cs="Times New Roman"/>
          <w:b/>
          <w:sz w:val="24"/>
          <w:szCs w:val="20"/>
        </w:rPr>
        <w:t>Právní předpisy, soudní rozhodnutí a další právní zdroje</w:t>
      </w:r>
    </w:p>
    <w:p w:rsidR="00BD143D" w:rsidRPr="00BD5863" w:rsidRDefault="00BD143D" w:rsidP="00D71035">
      <w:pPr>
        <w:pStyle w:val="seznam"/>
        <w:rPr>
          <w:color w:val="auto"/>
          <w:szCs w:val="24"/>
        </w:rPr>
      </w:pPr>
      <w:r w:rsidRPr="00BD5863">
        <w:rPr>
          <w:color w:val="auto"/>
          <w:szCs w:val="24"/>
        </w:rPr>
        <w:t xml:space="preserve">Konsolidované znění Smlouvy o fungování Evropské unie č. 2012/C 326/01 ze dne 26. října 2012. In: </w:t>
      </w:r>
      <w:r w:rsidRPr="00BD5863">
        <w:rPr>
          <w:i/>
          <w:color w:val="auto"/>
          <w:szCs w:val="24"/>
        </w:rPr>
        <w:t>EUR-lex</w:t>
      </w:r>
      <w:r w:rsidRPr="00BD5863">
        <w:rPr>
          <w:color w:val="auto"/>
          <w:szCs w:val="24"/>
        </w:rPr>
        <w:t xml:space="preserve"> [právní informační systém]. Úřad pro publikace Evropské unie [cit. 2015-11-14]. Dostupné z: </w:t>
      </w:r>
      <w:hyperlink r:id="rId92" w:history="1">
        <w:r w:rsidRPr="00BD5863">
          <w:rPr>
            <w:rStyle w:val="Hypertextovodkaz"/>
            <w:color w:val="auto"/>
            <w:szCs w:val="24"/>
          </w:rPr>
          <w:t>http://eur-lex.europa.eu/legal-content/CS/TXT/?uri=CELEX:12012E/TXT</w:t>
        </w:r>
      </w:hyperlink>
      <w:r w:rsidRPr="00BD5863">
        <w:rPr>
          <w:color w:val="auto"/>
          <w:szCs w:val="24"/>
        </w:rPr>
        <w:t xml:space="preserve">. </w:t>
      </w:r>
    </w:p>
    <w:p w:rsidR="00D71035" w:rsidRPr="00BD5863" w:rsidRDefault="00BD143D" w:rsidP="002328B9">
      <w:pPr>
        <w:pStyle w:val="seznam"/>
        <w:spacing w:after="0"/>
        <w:rPr>
          <w:color w:val="auto"/>
          <w:szCs w:val="24"/>
        </w:rPr>
      </w:pPr>
      <w:r w:rsidRPr="00BD5863">
        <w:rPr>
          <w:color w:val="auto"/>
          <w:szCs w:val="24"/>
        </w:rPr>
        <w:t xml:space="preserve">Protokol č. 13 o kritériích konvergence ke Smlouvě o fungování Evropské unie č. 2012/C 326/01 ze dne 26. října 2012. In: </w:t>
      </w:r>
      <w:r w:rsidRPr="00BD5863">
        <w:rPr>
          <w:i/>
          <w:color w:val="auto"/>
          <w:szCs w:val="24"/>
        </w:rPr>
        <w:t>EUR-lex</w:t>
      </w:r>
      <w:r w:rsidRPr="00BD5863">
        <w:rPr>
          <w:color w:val="auto"/>
          <w:szCs w:val="24"/>
        </w:rPr>
        <w:t xml:space="preserve"> [právní informační systém]. Úřad pro publikace Evropské unie [cit. 2015-11-14]. Dostupné z:</w:t>
      </w:r>
    </w:p>
    <w:p w:rsidR="00BD143D" w:rsidRPr="00BD5863" w:rsidRDefault="00704598" w:rsidP="002328B9">
      <w:pPr>
        <w:pStyle w:val="seznam"/>
        <w:numPr>
          <w:ilvl w:val="0"/>
          <w:numId w:val="0"/>
        </w:numPr>
        <w:spacing w:before="0"/>
        <w:ind w:left="714"/>
        <w:rPr>
          <w:color w:val="auto"/>
          <w:szCs w:val="24"/>
        </w:rPr>
      </w:pPr>
      <w:hyperlink r:id="rId93" w:history="1">
        <w:r w:rsidR="00BD143D" w:rsidRPr="00BD5863">
          <w:rPr>
            <w:rStyle w:val="Hypertextovodkaz"/>
            <w:color w:val="auto"/>
            <w:szCs w:val="24"/>
          </w:rPr>
          <w:t>http://eur-lex.europa.eu/legal-content/CS/TXT/?uri=CELEX:12012E/TXT</w:t>
        </w:r>
      </w:hyperlink>
      <w:r w:rsidR="00BD143D" w:rsidRPr="00BD5863">
        <w:rPr>
          <w:color w:val="auto"/>
          <w:szCs w:val="24"/>
        </w:rPr>
        <w:t xml:space="preserve">. </w:t>
      </w:r>
    </w:p>
    <w:p w:rsidR="00BD143D" w:rsidRPr="00BD5863" w:rsidRDefault="00BD143D" w:rsidP="00D71035">
      <w:pPr>
        <w:pStyle w:val="seznam"/>
        <w:rPr>
          <w:color w:val="auto"/>
          <w:szCs w:val="24"/>
        </w:rPr>
      </w:pPr>
      <w:r w:rsidRPr="00BD5863">
        <w:rPr>
          <w:color w:val="auto"/>
          <w:szCs w:val="24"/>
        </w:rPr>
        <w:t xml:space="preserve">Nález Ústavního soudu ČR ze dne 20. 6. 2001, </w:t>
      </w:r>
      <w:proofErr w:type="spellStart"/>
      <w:r w:rsidRPr="00BD5863">
        <w:rPr>
          <w:color w:val="auto"/>
          <w:szCs w:val="24"/>
        </w:rPr>
        <w:t>sp</w:t>
      </w:r>
      <w:proofErr w:type="spellEnd"/>
      <w:r w:rsidRPr="00BD5863">
        <w:rPr>
          <w:color w:val="auto"/>
          <w:szCs w:val="24"/>
        </w:rPr>
        <w:t xml:space="preserve">. zn. </w:t>
      </w:r>
      <w:proofErr w:type="spellStart"/>
      <w:r w:rsidRPr="00BD5863">
        <w:rPr>
          <w:color w:val="auto"/>
          <w:szCs w:val="24"/>
        </w:rPr>
        <w:t>Pl</w:t>
      </w:r>
      <w:proofErr w:type="spellEnd"/>
      <w:r w:rsidRPr="00BD5863">
        <w:rPr>
          <w:color w:val="auto"/>
          <w:szCs w:val="24"/>
        </w:rPr>
        <w:t xml:space="preserve">. ÚS 59/2000.  In: </w:t>
      </w:r>
      <w:r w:rsidRPr="00BD5863">
        <w:rPr>
          <w:i/>
          <w:color w:val="auto"/>
          <w:szCs w:val="24"/>
        </w:rPr>
        <w:t>CODEXIS ACADEMIA</w:t>
      </w:r>
      <w:r w:rsidRPr="00BD5863">
        <w:rPr>
          <w:color w:val="auto"/>
          <w:szCs w:val="24"/>
        </w:rPr>
        <w:t xml:space="preserve"> [právní informační systém]. ATLAS </w:t>
      </w:r>
      <w:proofErr w:type="spellStart"/>
      <w:r w:rsidRPr="00BD5863">
        <w:rPr>
          <w:color w:val="auto"/>
          <w:szCs w:val="24"/>
        </w:rPr>
        <w:t>consulting</w:t>
      </w:r>
      <w:proofErr w:type="spellEnd"/>
      <w:r w:rsidRPr="00BD5863">
        <w:rPr>
          <w:color w:val="auto"/>
          <w:szCs w:val="24"/>
        </w:rPr>
        <w:t xml:space="preserve"> [cit. 2016-02-25].</w:t>
      </w:r>
    </w:p>
    <w:p w:rsidR="00D71035" w:rsidRPr="00BD5863" w:rsidRDefault="00BD143D" w:rsidP="00D71035">
      <w:pPr>
        <w:pStyle w:val="seznam"/>
        <w:spacing w:after="0"/>
        <w:rPr>
          <w:color w:val="auto"/>
          <w:szCs w:val="24"/>
        </w:rPr>
      </w:pPr>
      <w:r w:rsidRPr="00BD5863">
        <w:rPr>
          <w:color w:val="auto"/>
          <w:szCs w:val="24"/>
        </w:rPr>
        <w:t>Stanovisko Evropské centrální banky CON/2012/44 ze dne 31. května 2012 k zákonu o České národní bance. Frankfurt nad Mohanem: Evropská centrální banka. Dostupné z:</w:t>
      </w:r>
    </w:p>
    <w:p w:rsidR="00BD143D" w:rsidRPr="00BD5863" w:rsidRDefault="00704598" w:rsidP="00D71035">
      <w:pPr>
        <w:pStyle w:val="seznam"/>
        <w:numPr>
          <w:ilvl w:val="0"/>
          <w:numId w:val="0"/>
        </w:numPr>
        <w:spacing w:before="0"/>
        <w:ind w:left="714"/>
        <w:rPr>
          <w:color w:val="auto"/>
          <w:szCs w:val="24"/>
        </w:rPr>
      </w:pPr>
      <w:hyperlink r:id="rId94" w:history="1">
        <w:r w:rsidR="00BD143D" w:rsidRPr="00BD5863">
          <w:rPr>
            <w:rStyle w:val="Hypertextovodkaz"/>
            <w:color w:val="auto"/>
            <w:szCs w:val="24"/>
          </w:rPr>
          <w:t>https://www.ecb.europa.eu/ecb/legal/pdf/cs_con_2015_28_f_sign.pdf</w:t>
        </w:r>
      </w:hyperlink>
      <w:r w:rsidR="00BD143D" w:rsidRPr="00BD5863">
        <w:rPr>
          <w:color w:val="auto"/>
          <w:szCs w:val="24"/>
        </w:rPr>
        <w:t xml:space="preserve">. </w:t>
      </w:r>
    </w:p>
    <w:p w:rsidR="003A666E" w:rsidRPr="00BD5863" w:rsidRDefault="00BD143D" w:rsidP="00D71035">
      <w:pPr>
        <w:pStyle w:val="seznam"/>
        <w:spacing w:after="0"/>
        <w:rPr>
          <w:color w:val="auto"/>
          <w:szCs w:val="24"/>
        </w:rPr>
      </w:pPr>
      <w:r w:rsidRPr="00BD5863">
        <w:rPr>
          <w:color w:val="auto"/>
          <w:szCs w:val="24"/>
        </w:rPr>
        <w:t xml:space="preserve">Stanovisko prezidenta republiky </w:t>
      </w:r>
      <w:proofErr w:type="gramStart"/>
      <w:r w:rsidRPr="00BD5863">
        <w:rPr>
          <w:color w:val="auto"/>
          <w:szCs w:val="24"/>
        </w:rPr>
        <w:t>č.j.</w:t>
      </w:r>
      <w:proofErr w:type="gramEnd"/>
      <w:r w:rsidRPr="00BD5863">
        <w:rPr>
          <w:color w:val="auto"/>
          <w:szCs w:val="24"/>
        </w:rPr>
        <w:t xml:space="preserve"> KPR 3640/2010 ze dne 3. června 2010. </w:t>
      </w:r>
      <w:r w:rsidRPr="00BD5863">
        <w:rPr>
          <w:i/>
          <w:color w:val="auto"/>
          <w:szCs w:val="24"/>
        </w:rPr>
        <w:t>Poslanecká sněmovna Parlamentu České republiky</w:t>
      </w:r>
      <w:r w:rsidRPr="00BD5863">
        <w:rPr>
          <w:color w:val="auto"/>
          <w:szCs w:val="24"/>
        </w:rPr>
        <w:t xml:space="preserve"> [online]. [cit. 2016-02-21]. Dostupné z:</w:t>
      </w:r>
    </w:p>
    <w:p w:rsidR="003A666E" w:rsidRPr="00BD5863" w:rsidRDefault="00704598" w:rsidP="00D71035">
      <w:pPr>
        <w:pStyle w:val="seznam"/>
        <w:numPr>
          <w:ilvl w:val="0"/>
          <w:numId w:val="0"/>
        </w:numPr>
        <w:spacing w:before="0"/>
        <w:ind w:left="714"/>
        <w:rPr>
          <w:color w:val="auto"/>
          <w:szCs w:val="24"/>
        </w:rPr>
      </w:pPr>
      <w:hyperlink r:id="rId95" w:history="1">
        <w:r w:rsidR="00BD143D" w:rsidRPr="00BD5863">
          <w:rPr>
            <w:rStyle w:val="Hypertextovodkaz"/>
            <w:color w:val="auto"/>
            <w:szCs w:val="24"/>
          </w:rPr>
          <w:t>http://www.psp.cz/sqw/text/tiskt.sqw?o=5&amp;ct=800&amp;ct1=6</w:t>
        </w:r>
      </w:hyperlink>
      <w:r w:rsidR="00BD143D" w:rsidRPr="00BD5863">
        <w:rPr>
          <w:color w:val="auto"/>
          <w:szCs w:val="24"/>
        </w:rPr>
        <w:t xml:space="preserve">. </w:t>
      </w:r>
    </w:p>
    <w:p w:rsidR="00994413" w:rsidRPr="001E7829" w:rsidRDefault="00BD143D" w:rsidP="00994413">
      <w:pPr>
        <w:pStyle w:val="seznam"/>
        <w:rPr>
          <w:szCs w:val="24"/>
        </w:rPr>
      </w:pPr>
      <w:r w:rsidRPr="001E7829">
        <w:rPr>
          <w:szCs w:val="24"/>
        </w:rPr>
        <w:lastRenderedPageBreak/>
        <w:t xml:space="preserve">Ústavní zákon č. 493/1992 Sb., kterým se mění a doplňují ústavní zákon č. 143/1968 Sb., o československé federaci, ve znění pozdějších ústavních zákonů, a některé další ústavní zákony. In: </w:t>
      </w:r>
      <w:r w:rsidRPr="001E7829">
        <w:rPr>
          <w:i/>
          <w:szCs w:val="24"/>
        </w:rPr>
        <w:t>CODEXIS ACADEMIA</w:t>
      </w:r>
      <w:r w:rsidRPr="001E7829">
        <w:rPr>
          <w:szCs w:val="24"/>
        </w:rPr>
        <w:t xml:space="preserve"> [právní informační systém]. ATLAS </w:t>
      </w:r>
      <w:proofErr w:type="spellStart"/>
      <w:r w:rsidRPr="001E7829">
        <w:rPr>
          <w:szCs w:val="24"/>
        </w:rPr>
        <w:t>consulting</w:t>
      </w:r>
      <w:proofErr w:type="spellEnd"/>
      <w:r w:rsidRPr="001E7829">
        <w:rPr>
          <w:szCs w:val="24"/>
        </w:rPr>
        <w:t xml:space="preserve"> [cit. 2015-11-28].</w:t>
      </w:r>
      <w:r w:rsidR="00994413" w:rsidRPr="001E7829">
        <w:rPr>
          <w:szCs w:val="24"/>
        </w:rPr>
        <w:t xml:space="preserve"> </w:t>
      </w:r>
    </w:p>
    <w:p w:rsidR="00994413" w:rsidRPr="001E7829" w:rsidRDefault="00994413" w:rsidP="00994413">
      <w:pPr>
        <w:pStyle w:val="seznam"/>
        <w:rPr>
          <w:szCs w:val="24"/>
        </w:rPr>
      </w:pPr>
      <w:r w:rsidRPr="001E7829">
        <w:rPr>
          <w:szCs w:val="24"/>
        </w:rPr>
        <w:t xml:space="preserve">Ústavní zákon č. 1/1993 Sb., Ústava České republiky, ve znění pozdějších předpisů. In: </w:t>
      </w:r>
      <w:r w:rsidRPr="001E7829">
        <w:rPr>
          <w:i/>
          <w:szCs w:val="24"/>
        </w:rPr>
        <w:t>CODEXIS ACADEMIA</w:t>
      </w:r>
      <w:r w:rsidRPr="001E7829">
        <w:rPr>
          <w:szCs w:val="24"/>
        </w:rPr>
        <w:t xml:space="preserve"> [právní informační systém]. ATLAS </w:t>
      </w:r>
      <w:proofErr w:type="spellStart"/>
      <w:r w:rsidRPr="001E7829">
        <w:rPr>
          <w:szCs w:val="24"/>
        </w:rPr>
        <w:t>consulting</w:t>
      </w:r>
      <w:proofErr w:type="spellEnd"/>
      <w:r w:rsidRPr="001E7829">
        <w:rPr>
          <w:szCs w:val="24"/>
        </w:rPr>
        <w:t xml:space="preserve"> [cit. 2015-11-28].</w:t>
      </w:r>
    </w:p>
    <w:p w:rsidR="00994413" w:rsidRPr="001E7829" w:rsidRDefault="00994413" w:rsidP="00994413">
      <w:pPr>
        <w:pStyle w:val="seznam"/>
        <w:rPr>
          <w:szCs w:val="24"/>
        </w:rPr>
      </w:pPr>
      <w:r w:rsidRPr="001E7829">
        <w:rPr>
          <w:szCs w:val="24"/>
        </w:rPr>
        <w:t xml:space="preserve">Zákon č. 6/1993 Sb., o České národní bance, ve znění pozdějších předpisů. In: </w:t>
      </w:r>
      <w:r w:rsidRPr="001E7829">
        <w:rPr>
          <w:i/>
          <w:szCs w:val="24"/>
        </w:rPr>
        <w:t>CODEXIS ACADEMIA</w:t>
      </w:r>
      <w:r w:rsidRPr="001E7829">
        <w:rPr>
          <w:szCs w:val="24"/>
        </w:rPr>
        <w:t xml:space="preserve"> [právní informační systém]. ATLAS </w:t>
      </w:r>
      <w:proofErr w:type="spellStart"/>
      <w:r w:rsidRPr="001E7829">
        <w:rPr>
          <w:szCs w:val="24"/>
        </w:rPr>
        <w:t>consulting</w:t>
      </w:r>
      <w:proofErr w:type="spellEnd"/>
      <w:r w:rsidRPr="001E7829">
        <w:rPr>
          <w:szCs w:val="24"/>
        </w:rPr>
        <w:t xml:space="preserve"> [cit. 2015-11-28].</w:t>
      </w:r>
    </w:p>
    <w:p w:rsidR="001B6B1B" w:rsidRPr="001E7829" w:rsidRDefault="001B6B1B" w:rsidP="00D71035">
      <w:pPr>
        <w:pStyle w:val="seznam"/>
        <w:rPr>
          <w:szCs w:val="24"/>
        </w:rPr>
      </w:pPr>
      <w:r w:rsidRPr="001E7829">
        <w:rPr>
          <w:szCs w:val="24"/>
        </w:rPr>
        <w:t xml:space="preserve">Zákon č. 166/1993 Sb., o Nejvyšším kontrolním úřadu, ve znění pozdějších předpisů. In: </w:t>
      </w:r>
      <w:r w:rsidRPr="001E7829">
        <w:rPr>
          <w:i/>
          <w:szCs w:val="24"/>
        </w:rPr>
        <w:t>CODEXIS ACADEMIA</w:t>
      </w:r>
      <w:r w:rsidRPr="001E7829">
        <w:rPr>
          <w:szCs w:val="24"/>
        </w:rPr>
        <w:t xml:space="preserve"> [právní informační systém]. ATLAS </w:t>
      </w:r>
      <w:proofErr w:type="spellStart"/>
      <w:r w:rsidRPr="001E7829">
        <w:rPr>
          <w:szCs w:val="24"/>
        </w:rPr>
        <w:t>consulting</w:t>
      </w:r>
      <w:proofErr w:type="spellEnd"/>
      <w:r w:rsidRPr="001E7829">
        <w:rPr>
          <w:szCs w:val="24"/>
        </w:rPr>
        <w:t xml:space="preserve"> [cit. 2016-02-20].</w:t>
      </w:r>
    </w:p>
    <w:p w:rsidR="001B6B1B" w:rsidRPr="001E7829" w:rsidRDefault="001B6B1B" w:rsidP="002328B9">
      <w:pPr>
        <w:pStyle w:val="seznam"/>
        <w:rPr>
          <w:szCs w:val="24"/>
        </w:rPr>
      </w:pPr>
      <w:r w:rsidRPr="001E7829">
        <w:rPr>
          <w:szCs w:val="24"/>
        </w:rPr>
        <w:t xml:space="preserve">Zákon č. 40/2009 Sb., trestní zákoník, ve znění pozdějších předpisů. In: </w:t>
      </w:r>
      <w:r w:rsidRPr="001E7829">
        <w:rPr>
          <w:i/>
          <w:szCs w:val="24"/>
        </w:rPr>
        <w:t>CODEXIS ACADEMIA</w:t>
      </w:r>
      <w:r w:rsidRPr="001E7829">
        <w:rPr>
          <w:szCs w:val="24"/>
        </w:rPr>
        <w:t xml:space="preserve"> [právní informační systém]. ATLAS </w:t>
      </w:r>
      <w:proofErr w:type="spellStart"/>
      <w:r w:rsidRPr="001E7829">
        <w:rPr>
          <w:szCs w:val="24"/>
        </w:rPr>
        <w:t>consulting</w:t>
      </w:r>
      <w:proofErr w:type="spellEnd"/>
      <w:r w:rsidRPr="001E7829">
        <w:rPr>
          <w:szCs w:val="24"/>
        </w:rPr>
        <w:t xml:space="preserve"> [cit. 2015-11-28]. </w:t>
      </w:r>
    </w:p>
    <w:p w:rsidR="001B6B1B" w:rsidRPr="001E7829" w:rsidRDefault="001B6B1B" w:rsidP="00D71035">
      <w:pPr>
        <w:pStyle w:val="seznam"/>
        <w:rPr>
          <w:szCs w:val="24"/>
        </w:rPr>
      </w:pPr>
      <w:r w:rsidRPr="001E7829">
        <w:rPr>
          <w:szCs w:val="24"/>
        </w:rPr>
        <w:t xml:space="preserve">Zákon č. 227/2013 Sb., kterým se mění zákon č. 6/1993 Sb., o České národní bance, ve znění pozdějších předpisů, a další související zákony. In: </w:t>
      </w:r>
      <w:r w:rsidRPr="001E7829">
        <w:rPr>
          <w:i/>
          <w:szCs w:val="24"/>
        </w:rPr>
        <w:t>CODEXIS ACADEMIA</w:t>
      </w:r>
      <w:r w:rsidRPr="001E7829">
        <w:rPr>
          <w:szCs w:val="24"/>
        </w:rPr>
        <w:t xml:space="preserve"> [právní informační systém]. ATLAS </w:t>
      </w:r>
      <w:proofErr w:type="spellStart"/>
      <w:r w:rsidRPr="001E7829">
        <w:rPr>
          <w:szCs w:val="24"/>
        </w:rPr>
        <w:t>consulting</w:t>
      </w:r>
      <w:proofErr w:type="spellEnd"/>
      <w:r w:rsidRPr="001E7829">
        <w:rPr>
          <w:szCs w:val="24"/>
        </w:rPr>
        <w:t xml:space="preserve"> [cit. 2016-02-21].</w:t>
      </w:r>
    </w:p>
    <w:sectPr w:rsidR="001B6B1B" w:rsidRPr="001E7829" w:rsidSect="00A8485D">
      <w:footerReference w:type="first" r:id="rId96"/>
      <w:type w:val="continuous"/>
      <w:pgSz w:w="11906" w:h="16838"/>
      <w:pgMar w:top="1701" w:right="1701" w:bottom="2268"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598" w:rsidRDefault="00704598" w:rsidP="00B60C4F">
      <w:pPr>
        <w:spacing w:after="0" w:line="240" w:lineRule="auto"/>
      </w:pPr>
      <w:r>
        <w:separator/>
      </w:r>
    </w:p>
  </w:endnote>
  <w:endnote w:type="continuationSeparator" w:id="0">
    <w:p w:rsidR="00704598" w:rsidRDefault="00704598" w:rsidP="00B60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5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670596"/>
      <w:docPartObj>
        <w:docPartGallery w:val="Page Numbers (Bottom of Page)"/>
        <w:docPartUnique/>
      </w:docPartObj>
    </w:sdtPr>
    <w:sdtEndPr/>
    <w:sdtContent>
      <w:p w:rsidR="00E36923" w:rsidRDefault="00E36923">
        <w:pPr>
          <w:pStyle w:val="Zpat"/>
          <w:jc w:val="center"/>
        </w:pPr>
        <w:r>
          <w:fldChar w:fldCharType="begin"/>
        </w:r>
        <w:r>
          <w:instrText>PAGE   \* MERGEFORMAT</w:instrText>
        </w:r>
        <w:r>
          <w:fldChar w:fldCharType="separate"/>
        </w:r>
        <w:r w:rsidR="008E3A7D">
          <w:rPr>
            <w:noProof/>
          </w:rPr>
          <w:t>84</w:t>
        </w:r>
        <w:r>
          <w:rPr>
            <w:noProof/>
          </w:rPr>
          <w:fldChar w:fldCharType="end"/>
        </w:r>
      </w:p>
    </w:sdtContent>
  </w:sdt>
  <w:p w:rsidR="00E36923" w:rsidRDefault="00E36923">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23" w:rsidRDefault="00E36923">
    <w:pPr>
      <w:pStyle w:val="Zpat"/>
      <w:jc w:val="center"/>
    </w:pPr>
  </w:p>
  <w:p w:rsidR="00E36923" w:rsidRDefault="00E36923">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23" w:rsidRDefault="00E36923">
    <w:pPr>
      <w:pStyle w:val="Zpat"/>
      <w:jc w:val="center"/>
    </w:pPr>
    <w:r>
      <w:fldChar w:fldCharType="begin"/>
    </w:r>
    <w:r>
      <w:instrText>PAGE   \* MERGEFORMAT</w:instrText>
    </w:r>
    <w:r>
      <w:fldChar w:fldCharType="separate"/>
    </w:r>
    <w:r w:rsidR="008E3A7D">
      <w:rPr>
        <w:noProof/>
      </w:rPr>
      <w:t>3</w:t>
    </w:r>
    <w:r>
      <w:rPr>
        <w:noProof/>
      </w:rPr>
      <w:fldChar w:fldCharType="end"/>
    </w:r>
  </w:p>
  <w:p w:rsidR="00E36923" w:rsidRDefault="00E3692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598" w:rsidRDefault="00704598" w:rsidP="00B60C4F">
      <w:pPr>
        <w:spacing w:after="0" w:line="240" w:lineRule="auto"/>
      </w:pPr>
      <w:r>
        <w:separator/>
      </w:r>
    </w:p>
  </w:footnote>
  <w:footnote w:type="continuationSeparator" w:id="0">
    <w:p w:rsidR="00704598" w:rsidRDefault="00704598" w:rsidP="00B60C4F">
      <w:pPr>
        <w:spacing w:after="0" w:line="240" w:lineRule="auto"/>
      </w:pPr>
      <w:r>
        <w:continuationSeparator/>
      </w:r>
    </w:p>
  </w:footnote>
  <w:footnote w:id="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Christiana; KOTLÁN, Igor a kol. </w:t>
      </w:r>
      <w:r w:rsidRPr="00CE1B46">
        <w:rPr>
          <w:rFonts w:ascii="Times New Roman" w:hAnsi="Times New Roman" w:cs="Times New Roman"/>
          <w:i/>
          <w:color w:val="000000"/>
          <w:shd w:val="clear" w:color="auto" w:fill="FFFFFF"/>
        </w:rPr>
        <w:t>Hospodářská politika</w:t>
      </w:r>
      <w:r w:rsidRPr="00CE1B46">
        <w:rPr>
          <w:rFonts w:ascii="Times New Roman" w:hAnsi="Times New Roman" w:cs="Times New Roman"/>
          <w:color w:val="000000"/>
          <w:shd w:val="clear" w:color="auto" w:fill="FFFFFF"/>
        </w:rPr>
        <w:t>. 3. vyd., Ostrava: SOKRATES, 2012, s. 9.</w:t>
      </w:r>
    </w:p>
  </w:footnote>
  <w:footnote w:id="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77.</w:t>
      </w:r>
    </w:p>
  </w:footnote>
  <w:footnote w:id="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143-252.</w:t>
      </w:r>
    </w:p>
  </w:footnote>
  <w:footnote w:id="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Zbyněk a kol. </w:t>
      </w:r>
      <w:r w:rsidRPr="00CE1B46">
        <w:rPr>
          <w:rFonts w:ascii="Times New Roman" w:hAnsi="Times New Roman" w:cs="Times New Roman"/>
          <w:i/>
        </w:rPr>
        <w:t>Peněžní ekonomie a bankovnictví</w:t>
      </w:r>
      <w:r w:rsidRPr="00CE1B46">
        <w:rPr>
          <w:rFonts w:ascii="Times New Roman" w:hAnsi="Times New Roman" w:cs="Times New Roman"/>
        </w:rPr>
        <w:t xml:space="preserve">. Praha: Management </w:t>
      </w:r>
      <w:proofErr w:type="spellStart"/>
      <w:r w:rsidRPr="00CE1B46">
        <w:rPr>
          <w:rFonts w:ascii="Times New Roman" w:hAnsi="Times New Roman" w:cs="Times New Roman"/>
        </w:rPr>
        <w:t>Press</w:t>
      </w:r>
      <w:proofErr w:type="spellEnd"/>
      <w:r w:rsidRPr="00CE1B46">
        <w:rPr>
          <w:rFonts w:ascii="Times New Roman" w:hAnsi="Times New Roman" w:cs="Times New Roman"/>
        </w:rPr>
        <w:t>, 2012, s. 444 – 446.</w:t>
      </w:r>
    </w:p>
  </w:footnote>
  <w:footnote w:id="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Zbyněk. </w:t>
      </w:r>
      <w:r w:rsidRPr="00CE1B46">
        <w:rPr>
          <w:rFonts w:ascii="Times New Roman" w:hAnsi="Times New Roman" w:cs="Times New Roman"/>
          <w:i/>
        </w:rPr>
        <w:t>Centrální bankovnictví</w:t>
      </w:r>
      <w:r w:rsidRPr="00CE1B46">
        <w:rPr>
          <w:rFonts w:ascii="Times New Roman" w:hAnsi="Times New Roman" w:cs="Times New Roman"/>
        </w:rPr>
        <w:t xml:space="preserve">. 3. vyd. Praha: Management </w:t>
      </w:r>
      <w:proofErr w:type="spellStart"/>
      <w:r w:rsidRPr="00CE1B46">
        <w:rPr>
          <w:rFonts w:ascii="Times New Roman" w:hAnsi="Times New Roman" w:cs="Times New Roman"/>
        </w:rPr>
        <w:t>Press</w:t>
      </w:r>
      <w:proofErr w:type="spellEnd"/>
      <w:r w:rsidRPr="00CE1B46">
        <w:rPr>
          <w:rFonts w:ascii="Times New Roman" w:hAnsi="Times New Roman" w:cs="Times New Roman"/>
        </w:rPr>
        <w:t>, 2011, s. 26.</w:t>
      </w:r>
    </w:p>
  </w:footnote>
  <w:footnote w:id="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Josef; SEKERKA, Bohumil; STARÁ, Dana. </w:t>
      </w:r>
      <w:r w:rsidRPr="00CE1B46">
        <w:rPr>
          <w:rFonts w:ascii="Times New Roman" w:hAnsi="Times New Roman" w:cs="Times New Roman"/>
          <w:i/>
          <w:color w:val="000000"/>
          <w:shd w:val="clear" w:color="auto" w:fill="FFFFFF"/>
        </w:rPr>
        <w:t>Makroekonomie – teorie a praxe</w:t>
      </w:r>
      <w:r w:rsidRPr="00CE1B46">
        <w:rPr>
          <w:rFonts w:ascii="Times New Roman" w:hAnsi="Times New Roman" w:cs="Times New Roman"/>
          <w:color w:val="000000"/>
          <w:shd w:val="clear" w:color="auto" w:fill="FFFFFF"/>
        </w:rPr>
        <w:t>. Plzeň: Vydavatelství a nakladatelství Aleš Čeněk, 2014, s. 206.</w:t>
      </w:r>
    </w:p>
  </w:footnote>
  <w:footnote w:id="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220.</w:t>
      </w:r>
    </w:p>
  </w:footnote>
  <w:footnote w:id="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209.</w:t>
      </w:r>
    </w:p>
  </w:footnote>
  <w:footnote w:id="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220 – 221.</w:t>
      </w:r>
    </w:p>
  </w:footnote>
  <w:footnote w:id="1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210.</w:t>
      </w:r>
    </w:p>
  </w:footnote>
  <w:footnote w:id="1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165.</w:t>
      </w:r>
    </w:p>
  </w:footnote>
  <w:footnote w:id="1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VLČEK, Josef. </w:t>
      </w:r>
      <w:r w:rsidRPr="00CE1B46">
        <w:rPr>
          <w:rFonts w:ascii="Times New Roman" w:hAnsi="Times New Roman" w:cs="Times New Roman"/>
          <w:i/>
          <w:color w:val="000000"/>
          <w:shd w:val="clear" w:color="auto" w:fill="FFFFFF"/>
        </w:rPr>
        <w:t>Ekonomie a ekonomika</w:t>
      </w:r>
      <w:r w:rsidRPr="00CE1B46">
        <w:rPr>
          <w:rFonts w:ascii="Times New Roman" w:hAnsi="Times New Roman" w:cs="Times New Roman"/>
          <w:color w:val="000000"/>
          <w:shd w:val="clear" w:color="auto" w:fill="FFFFFF"/>
        </w:rPr>
        <w:t xml:space="preserve">. 4. vyd. Praha: </w:t>
      </w:r>
      <w:proofErr w:type="spellStart"/>
      <w:r w:rsidRPr="00CE1B46">
        <w:rPr>
          <w:rFonts w:ascii="Times New Roman" w:hAnsi="Times New Roman" w:cs="Times New Roman"/>
          <w:color w:val="000000"/>
          <w:shd w:val="clear" w:color="auto" w:fill="FFFFFF"/>
        </w:rPr>
        <w:t>Wolters</w:t>
      </w:r>
      <w:proofErr w:type="spellEnd"/>
      <w:r>
        <w:rPr>
          <w:rFonts w:ascii="Times New Roman" w:hAnsi="Times New Roman" w:cs="Times New Roman"/>
          <w:color w:val="000000"/>
          <w:shd w:val="clear" w:color="auto" w:fill="FFFFFF"/>
        </w:rPr>
        <w:t xml:space="preserve"> </w:t>
      </w:r>
      <w:proofErr w:type="spellStart"/>
      <w:r w:rsidRPr="00CE1B46">
        <w:rPr>
          <w:rFonts w:ascii="Times New Roman" w:hAnsi="Times New Roman" w:cs="Times New Roman"/>
          <w:color w:val="000000"/>
          <w:shd w:val="clear" w:color="auto" w:fill="FFFFFF"/>
        </w:rPr>
        <w:t>Kluwer</w:t>
      </w:r>
      <w:proofErr w:type="spellEnd"/>
      <w:r w:rsidRPr="00CE1B46">
        <w:rPr>
          <w:rFonts w:ascii="Times New Roman" w:hAnsi="Times New Roman" w:cs="Times New Roman"/>
          <w:color w:val="000000"/>
          <w:shd w:val="clear" w:color="auto" w:fill="FFFFFF"/>
        </w:rPr>
        <w:t xml:space="preserve"> ČR, 2009, s. 428.</w:t>
      </w:r>
    </w:p>
  </w:footnote>
  <w:footnote w:id="1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165.</w:t>
      </w:r>
    </w:p>
  </w:footnote>
  <w:footnote w:id="1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VLČEK, 2009,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429.</w:t>
      </w:r>
    </w:p>
  </w:footnote>
  <w:footnote w:id="1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REVENDA,</w:t>
      </w:r>
      <w:r w:rsidRPr="00CE1B46">
        <w:rPr>
          <w:rFonts w:ascii="Times New Roman" w:hAnsi="Times New Roman" w:cs="Times New Roman"/>
        </w:rPr>
        <w:t xml:space="preserve">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231.</w:t>
      </w:r>
    </w:p>
  </w:footnote>
  <w:footnote w:id="1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239 – 240.</w:t>
      </w:r>
    </w:p>
  </w:footnote>
  <w:footnote w:id="1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164.</w:t>
      </w:r>
    </w:p>
  </w:footnote>
  <w:footnote w:id="1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170 – 171.</w:t>
      </w:r>
    </w:p>
  </w:footnote>
  <w:footnote w:id="1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165.</w:t>
      </w:r>
    </w:p>
  </w:footnote>
  <w:footnote w:id="2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VLČEK, 2009,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xml:space="preserve">., s. 425 – 428. </w:t>
      </w:r>
    </w:p>
  </w:footnote>
  <w:footnote w:id="2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221.</w:t>
      </w:r>
    </w:p>
  </w:footnote>
  <w:footnote w:id="2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247 – 248.</w:t>
      </w:r>
    </w:p>
  </w:footnote>
  <w:footnote w:id="2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164.</w:t>
      </w:r>
    </w:p>
  </w:footnote>
  <w:footnote w:id="2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248 – 249.</w:t>
      </w:r>
    </w:p>
  </w:footnote>
  <w:footnote w:id="2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249 – 250.</w:t>
      </w:r>
    </w:p>
  </w:footnote>
  <w:footnote w:id="2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250.</w:t>
      </w:r>
    </w:p>
  </w:footnote>
  <w:footnote w:id="2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164.</w:t>
      </w:r>
    </w:p>
  </w:footnote>
  <w:footnote w:id="2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250.</w:t>
      </w:r>
    </w:p>
  </w:footnote>
  <w:footnote w:id="2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251.</w:t>
      </w:r>
    </w:p>
  </w:footnote>
  <w:footnote w:id="3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VLČEK, 2009,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425.</w:t>
      </w:r>
    </w:p>
  </w:footnote>
  <w:footnote w:id="3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251.</w:t>
      </w:r>
    </w:p>
  </w:footnote>
  <w:footnote w:id="3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Josef. </w:t>
      </w:r>
      <w:r w:rsidRPr="00CE1B46">
        <w:rPr>
          <w:rFonts w:ascii="Times New Roman" w:hAnsi="Times New Roman" w:cs="Times New Roman"/>
          <w:i/>
          <w:color w:val="000000"/>
          <w:shd w:val="clear" w:color="auto" w:fill="FFFFFF"/>
        </w:rPr>
        <w:t>Peníze a měnová politika</w:t>
      </w:r>
      <w:r w:rsidRPr="00CE1B46">
        <w:rPr>
          <w:rFonts w:ascii="Times New Roman" w:hAnsi="Times New Roman" w:cs="Times New Roman"/>
          <w:color w:val="000000"/>
          <w:shd w:val="clear" w:color="auto" w:fill="FFFFFF"/>
        </w:rPr>
        <w:t xml:space="preserve">. Praha: GRADA </w:t>
      </w:r>
      <w:proofErr w:type="spellStart"/>
      <w:r w:rsidRPr="00CE1B46">
        <w:rPr>
          <w:rFonts w:ascii="Times New Roman" w:hAnsi="Times New Roman" w:cs="Times New Roman"/>
          <w:color w:val="000000"/>
          <w:shd w:val="clear" w:color="auto" w:fill="FFFFFF"/>
        </w:rPr>
        <w:t>Publishing</w:t>
      </w:r>
      <w:proofErr w:type="spellEnd"/>
      <w:r w:rsidRPr="00CE1B46">
        <w:rPr>
          <w:rFonts w:ascii="Times New Roman" w:hAnsi="Times New Roman" w:cs="Times New Roman"/>
          <w:color w:val="000000"/>
          <w:shd w:val="clear" w:color="auto" w:fill="FFFFFF"/>
        </w:rPr>
        <w:t>, a.s., 2004, s. 459.</w:t>
      </w:r>
    </w:p>
  </w:footnote>
  <w:footnote w:id="3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167.</w:t>
      </w:r>
    </w:p>
  </w:footnote>
  <w:footnote w:id="3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2004,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460 – 461.</w:t>
      </w:r>
    </w:p>
  </w:footnote>
  <w:footnote w:id="3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2004,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463 – 465.</w:t>
      </w:r>
    </w:p>
  </w:footnote>
  <w:footnote w:id="3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167.</w:t>
      </w:r>
    </w:p>
  </w:footnote>
  <w:footnote w:id="3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68 – 69.</w:t>
      </w:r>
    </w:p>
  </w:footnote>
  <w:footnote w:id="3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167.</w:t>
      </w:r>
    </w:p>
  </w:footnote>
  <w:footnote w:id="3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23.</w:t>
      </w:r>
    </w:p>
  </w:footnote>
  <w:footnote w:id="4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539 - 540.</w:t>
      </w:r>
    </w:p>
  </w:footnote>
  <w:footnote w:id="4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528.</w:t>
      </w:r>
    </w:p>
  </w:footnote>
  <w:footnote w:id="4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 – 26.</w:t>
      </w:r>
    </w:p>
  </w:footnote>
  <w:footnote w:id="4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150 – 151.</w:t>
      </w:r>
      <w:r w:rsidRPr="00CE1B46">
        <w:rPr>
          <w:rFonts w:ascii="Times New Roman" w:hAnsi="Times New Roman" w:cs="Times New Roman"/>
        </w:rPr>
        <w:tab/>
      </w:r>
    </w:p>
  </w:footnote>
  <w:footnote w:id="4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168.</w:t>
      </w:r>
    </w:p>
  </w:footnote>
  <w:footnote w:id="4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172 – 177.</w:t>
      </w:r>
    </w:p>
  </w:footnote>
  <w:footnote w:id="4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168 – 169.</w:t>
      </w:r>
    </w:p>
  </w:footnote>
  <w:footnote w:id="4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202.</w:t>
      </w:r>
    </w:p>
  </w:footnote>
  <w:footnote w:id="4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170.</w:t>
      </w:r>
    </w:p>
  </w:footnote>
  <w:footnote w:id="4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2004,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449 – 450.</w:t>
      </w:r>
    </w:p>
  </w:footnote>
  <w:footnote w:id="5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s. 170.</w:t>
      </w:r>
    </w:p>
  </w:footnote>
  <w:footnote w:id="5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477.</w:t>
      </w:r>
    </w:p>
  </w:footnote>
  <w:footnote w:id="5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Ústavní zákon č. 1/1993 Sb., Ústava České republiky, ve znění pozdějších předpisů.</w:t>
      </w:r>
    </w:p>
  </w:footnote>
  <w:footnote w:id="5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CIMBUREK, Jan; ŘEŽÁBEK, Pavel. Centrální bankovnictví v kontextu právního řádu na území České republiky. </w:t>
      </w:r>
      <w:r w:rsidRPr="00CE1B46">
        <w:rPr>
          <w:rFonts w:ascii="Times New Roman" w:hAnsi="Times New Roman" w:cs="Times New Roman"/>
          <w:i/>
          <w:color w:val="000000"/>
          <w:shd w:val="clear" w:color="auto" w:fill="FFFFFF"/>
        </w:rPr>
        <w:t>Český finanční a účetní časopis</w:t>
      </w:r>
      <w:r w:rsidRPr="00CE1B46">
        <w:rPr>
          <w:rFonts w:ascii="Times New Roman" w:hAnsi="Times New Roman" w:cs="Times New Roman"/>
          <w:color w:val="000000"/>
          <w:shd w:val="clear" w:color="auto" w:fill="FFFFFF"/>
        </w:rPr>
        <w:t>. 2010, roč. 5, č. 2, s. 21.</w:t>
      </w:r>
    </w:p>
  </w:footnote>
  <w:footnote w:id="5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1 odst. 2 ZČNB</w:t>
      </w:r>
    </w:p>
  </w:footnote>
  <w:footnote w:id="5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RYCHETSKÝ, Pavel; LANGÁŠEK, Tomáš; HERC, Tomáš; MLSNA, Petr a kol. </w:t>
      </w:r>
      <w:r w:rsidRPr="00CE1B46">
        <w:rPr>
          <w:rFonts w:ascii="Times New Roman" w:hAnsi="Times New Roman" w:cs="Times New Roman"/>
          <w:i/>
        </w:rPr>
        <w:t>Ústava České republiky. Ústavní zákon o bezpečnosti České republiky. Komentář</w:t>
      </w:r>
      <w:r w:rsidRPr="00CE1B46">
        <w:rPr>
          <w:rFonts w:ascii="Times New Roman" w:hAnsi="Times New Roman" w:cs="Times New Roman"/>
        </w:rPr>
        <w:t xml:space="preserve">. Praha: </w:t>
      </w:r>
      <w:proofErr w:type="spellStart"/>
      <w:r w:rsidRPr="00CE1B46">
        <w:rPr>
          <w:rFonts w:ascii="Times New Roman" w:hAnsi="Times New Roman" w:cs="Times New Roman"/>
        </w:rPr>
        <w:t>Wolters</w:t>
      </w:r>
      <w:proofErr w:type="spellEnd"/>
      <w:r>
        <w:rPr>
          <w:rFonts w:ascii="Times New Roman" w:hAnsi="Times New Roman" w:cs="Times New Roman"/>
        </w:rPr>
        <w:t xml:space="preserve"> </w:t>
      </w:r>
      <w:proofErr w:type="spellStart"/>
      <w:r w:rsidRPr="00CE1B46">
        <w:rPr>
          <w:rFonts w:ascii="Times New Roman" w:hAnsi="Times New Roman" w:cs="Times New Roman"/>
        </w:rPr>
        <w:t>Kluwer</w:t>
      </w:r>
      <w:proofErr w:type="spellEnd"/>
      <w:r w:rsidRPr="00CE1B46">
        <w:rPr>
          <w:rFonts w:ascii="Times New Roman" w:hAnsi="Times New Roman" w:cs="Times New Roman"/>
        </w:rPr>
        <w:t>, a.s., 2015, s. 1037.</w:t>
      </w:r>
    </w:p>
  </w:footnote>
  <w:footnote w:id="56">
    <w:p w:rsidR="00E36923" w:rsidRPr="00CE1B46" w:rsidRDefault="00E36923" w:rsidP="001E7829">
      <w:pPr>
        <w:spacing w:after="0" w:line="240" w:lineRule="auto"/>
        <w:jc w:val="both"/>
        <w:rPr>
          <w:rFonts w:ascii="Times New Roman" w:hAnsi="Times New Roman" w:cs="Times New Roman"/>
        </w:rPr>
      </w:pPr>
      <w:r w:rsidRPr="00CE1B46">
        <w:rPr>
          <w:rFonts w:ascii="Times New Roman" w:hAnsi="Times New Roman" w:cs="Times New Roman"/>
          <w:sz w:val="20"/>
          <w:szCs w:val="20"/>
          <w:vertAlign w:val="superscript"/>
        </w:rPr>
        <w:footnoteRef/>
      </w:r>
      <w:r w:rsidRPr="00CE1B46">
        <w:rPr>
          <w:rFonts w:ascii="Times New Roman" w:hAnsi="Times New Roman" w:cs="Times New Roman"/>
          <w:sz w:val="20"/>
          <w:szCs w:val="20"/>
        </w:rPr>
        <w:t xml:space="preserve"> Ústavní zákon č. 493/1992 Sb., kterým se mění a doplňují ústavní zákon č. 143/1968 Sb., o československé federaci, ve znění pozdějších ústavních zákonů, a některé další ústavní zákony.</w:t>
      </w:r>
    </w:p>
  </w:footnote>
  <w:footnote w:id="5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Z</w:t>
      </w:r>
      <w:r w:rsidRPr="00CE1B46">
        <w:rPr>
          <w:rFonts w:ascii="Times New Roman" w:hAnsi="Times New Roman" w:cs="Times New Roman"/>
        </w:rPr>
        <w:t>ákon č. 22/1992 Sb., ve znění pozdějších předpisů.</w:t>
      </w:r>
    </w:p>
  </w:footnote>
  <w:footnote w:id="5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CIMBUREK; ŘEŽÁBEK,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22 – 23.</w:t>
      </w:r>
    </w:p>
  </w:footnote>
  <w:footnote w:id="5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RÝDL, Tomáš; BARÁK, Josef; SAŇA, Luděk; VÝBORNÝ, Petr. </w:t>
      </w:r>
      <w:r w:rsidRPr="00CE1B46">
        <w:rPr>
          <w:rFonts w:ascii="Times New Roman" w:hAnsi="Times New Roman" w:cs="Times New Roman"/>
          <w:i/>
        </w:rPr>
        <w:t>ZČNB o České národní bance. Komentář</w:t>
      </w:r>
      <w:r w:rsidRPr="00CE1B46">
        <w:rPr>
          <w:rFonts w:ascii="Times New Roman" w:hAnsi="Times New Roman" w:cs="Times New Roman"/>
        </w:rPr>
        <w:t xml:space="preserve">. 1. vyd. Praha: </w:t>
      </w:r>
      <w:proofErr w:type="spellStart"/>
      <w:r w:rsidRPr="00CE1B46">
        <w:rPr>
          <w:rFonts w:ascii="Times New Roman" w:hAnsi="Times New Roman" w:cs="Times New Roman"/>
        </w:rPr>
        <w:t>Wolters</w:t>
      </w:r>
      <w:proofErr w:type="spellEnd"/>
      <w:r>
        <w:rPr>
          <w:rFonts w:ascii="Times New Roman" w:hAnsi="Times New Roman" w:cs="Times New Roman"/>
        </w:rPr>
        <w:t xml:space="preserve"> </w:t>
      </w:r>
      <w:proofErr w:type="spellStart"/>
      <w:r w:rsidRPr="00CE1B46">
        <w:rPr>
          <w:rFonts w:ascii="Times New Roman" w:hAnsi="Times New Roman" w:cs="Times New Roman"/>
        </w:rPr>
        <w:t>Kluwer</w:t>
      </w:r>
      <w:proofErr w:type="spellEnd"/>
      <w:r w:rsidRPr="00CE1B46">
        <w:rPr>
          <w:rFonts w:ascii="Times New Roman" w:hAnsi="Times New Roman" w:cs="Times New Roman"/>
        </w:rPr>
        <w:t>, 2014, s. 18.</w:t>
      </w:r>
    </w:p>
  </w:footnote>
  <w:footnote w:id="6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RÝDL; BARÁK; SAŇA; VÝBORNÝ, 2014, op. </w:t>
      </w:r>
      <w:proofErr w:type="gramStart"/>
      <w:r w:rsidRPr="00CE1B46">
        <w:rPr>
          <w:rFonts w:ascii="Times New Roman" w:hAnsi="Times New Roman" w:cs="Times New Roman"/>
        </w:rPr>
        <w:t>cit</w:t>
      </w:r>
      <w:proofErr w:type="gramEnd"/>
      <w:r w:rsidRPr="00CE1B46">
        <w:rPr>
          <w:rFonts w:ascii="Times New Roman" w:hAnsi="Times New Roman" w:cs="Times New Roman"/>
        </w:rPr>
        <w:t>., s. 90 – 93.</w:t>
      </w:r>
    </w:p>
  </w:footnote>
  <w:footnote w:id="6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RÝDL; BARÁK; SAŇA; VÝBORNÝ, 2014, op. </w:t>
      </w:r>
      <w:proofErr w:type="gramStart"/>
      <w:r w:rsidRPr="00CE1B46">
        <w:rPr>
          <w:rFonts w:ascii="Times New Roman" w:hAnsi="Times New Roman" w:cs="Times New Roman"/>
        </w:rPr>
        <w:t>cit</w:t>
      </w:r>
      <w:proofErr w:type="gramEnd"/>
      <w:r w:rsidRPr="00CE1B46">
        <w:rPr>
          <w:rFonts w:ascii="Times New Roman" w:hAnsi="Times New Roman" w:cs="Times New Roman"/>
        </w:rPr>
        <w:t>., s. 95.</w:t>
      </w:r>
    </w:p>
  </w:footnote>
  <w:footnote w:id="6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49.</w:t>
      </w:r>
    </w:p>
  </w:footnote>
  <w:footnote w:id="6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Bankovky a mince</w:t>
      </w:r>
      <w:r w:rsidRPr="00CE1B46">
        <w:rPr>
          <w:rFonts w:ascii="Times New Roman" w:hAnsi="Times New Roman" w:cs="Times New Roman"/>
        </w:rPr>
        <w:t xml:space="preserve"> [online]. Praha: Česká národní banka [cit. 2016-02-10].</w:t>
      </w:r>
    </w:p>
  </w:footnote>
  <w:footnote w:id="6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Platební styk</w:t>
      </w:r>
      <w:r w:rsidRPr="00CE1B46">
        <w:rPr>
          <w:rFonts w:ascii="Times New Roman" w:hAnsi="Times New Roman" w:cs="Times New Roman"/>
        </w:rPr>
        <w:t xml:space="preserve"> [online]. Praha: Česká národní banka [cit. 2016-02-10].</w:t>
      </w:r>
    </w:p>
  </w:footnote>
  <w:footnote w:id="6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Dohled nad finančním trhem</w:t>
      </w:r>
      <w:r w:rsidRPr="00CE1B46">
        <w:rPr>
          <w:rFonts w:ascii="Times New Roman" w:hAnsi="Times New Roman" w:cs="Times New Roman"/>
        </w:rPr>
        <w:t xml:space="preserve"> [online]. Praha: Česká národní banka [cit. 2016-02-10].</w:t>
      </w:r>
    </w:p>
  </w:footnote>
  <w:footnote w:id="6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Finanční stabilita </w:t>
      </w:r>
      <w:r w:rsidRPr="00CE1B46">
        <w:rPr>
          <w:rFonts w:ascii="Times New Roman" w:hAnsi="Times New Roman" w:cs="Times New Roman"/>
        </w:rPr>
        <w:t>[online]. Praha: Česká národní banka [cit. 2016-02-10].</w:t>
      </w:r>
    </w:p>
  </w:footnote>
  <w:footnote w:id="6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CIMBUREK; ŘEŽÁBEK,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24.</w:t>
      </w:r>
    </w:p>
  </w:footnote>
  <w:footnote w:id="6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Novelou č. 227/2013 Sb.</w:t>
      </w:r>
    </w:p>
  </w:footnote>
  <w:footnote w:id="6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Pravomoci bankovního dohledu </w:t>
      </w:r>
      <w:r w:rsidRPr="00CE1B46">
        <w:rPr>
          <w:rFonts w:ascii="Times New Roman" w:hAnsi="Times New Roman" w:cs="Times New Roman"/>
        </w:rPr>
        <w:t>[online]. Praha: Česká národní banka [cit. 2016-02-10].</w:t>
      </w:r>
    </w:p>
  </w:footnote>
  <w:footnote w:id="7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49a odst. 3 ZČNB.</w:t>
      </w:r>
    </w:p>
  </w:footnote>
  <w:footnote w:id="7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4 ZČNB</w:t>
      </w:r>
    </w:p>
  </w:footnote>
  <w:footnote w:id="7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Zastoupení na území ČR </w:t>
      </w:r>
      <w:r w:rsidRPr="00CE1B46">
        <w:rPr>
          <w:rFonts w:ascii="Times New Roman" w:hAnsi="Times New Roman" w:cs="Times New Roman"/>
        </w:rPr>
        <w:t>[online]. Praha: Česká národní banka [cit. 2016-02-18].</w:t>
      </w:r>
    </w:p>
  </w:footnote>
  <w:footnote w:id="7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w:t>
      </w:r>
      <w:proofErr w:type="spellStart"/>
      <w:r w:rsidRPr="00CE1B46">
        <w:rPr>
          <w:rFonts w:ascii="Times New Roman" w:hAnsi="Times New Roman" w:cs="Times New Roman"/>
        </w:rPr>
        <w:t>Ibid</w:t>
      </w:r>
      <w:proofErr w:type="spellEnd"/>
      <w:r w:rsidRPr="00CE1B46">
        <w:rPr>
          <w:rFonts w:ascii="Times New Roman" w:hAnsi="Times New Roman" w:cs="Times New Roman"/>
        </w:rPr>
        <w:t>.</w:t>
      </w:r>
    </w:p>
  </w:footnote>
  <w:footnote w:id="7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5 a 6 ZČNB.</w:t>
      </w:r>
    </w:p>
  </w:footnote>
  <w:footnote w:id="7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5 ZČNB.</w:t>
      </w:r>
    </w:p>
  </w:footnote>
  <w:footnote w:id="7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7 ZČNB.</w:t>
      </w:r>
    </w:p>
  </w:footnote>
  <w:footnote w:id="77">
    <w:p w:rsidR="00E36923" w:rsidRPr="004A1EF7" w:rsidRDefault="00E36923" w:rsidP="001E7829">
      <w:pPr>
        <w:pStyle w:val="Textpoznpodarou"/>
        <w:jc w:val="both"/>
        <w:rPr>
          <w:rFonts w:ascii="Times New Roman" w:hAnsi="Times New Roman" w:cs="Times New Roman"/>
        </w:rPr>
      </w:pPr>
      <w:r>
        <w:rPr>
          <w:rStyle w:val="Znakapoznpodarou"/>
        </w:rPr>
        <w:footnoteRef/>
      </w:r>
      <w:r>
        <w:t xml:space="preserve"> </w:t>
      </w:r>
      <w:r>
        <w:rPr>
          <w:rFonts w:ascii="Times New Roman" w:hAnsi="Times New Roman" w:cs="Times New Roman"/>
        </w:rPr>
        <w:t xml:space="preserve">Tento fakt však nezbytně nehovoří pro závěr, že důvodem nízké inflace je vždy sama nezávislost centrální banky. Je např. možné, že za oběma proměnnými může stát jiný faktor, zejména vnímání inflace ze strany veřejnosti konkrétního státu. Viz k tomu </w:t>
      </w:r>
      <w:r w:rsidRPr="00BA52BB">
        <w:rPr>
          <w:rFonts w:ascii="Times New Roman" w:hAnsi="Times New Roman" w:cs="Times New Roman"/>
        </w:rPr>
        <w:t xml:space="preserve">ROMER, David. </w:t>
      </w:r>
      <w:proofErr w:type="spellStart"/>
      <w:r w:rsidRPr="00BA52BB">
        <w:rPr>
          <w:rFonts w:ascii="Times New Roman" w:hAnsi="Times New Roman" w:cs="Times New Roman"/>
          <w:i/>
        </w:rPr>
        <w:t>Advanced</w:t>
      </w:r>
      <w:proofErr w:type="spellEnd"/>
      <w:r w:rsidRPr="00BA52BB">
        <w:rPr>
          <w:rFonts w:ascii="Times New Roman" w:hAnsi="Times New Roman" w:cs="Times New Roman"/>
          <w:i/>
        </w:rPr>
        <w:t xml:space="preserve"> </w:t>
      </w:r>
      <w:proofErr w:type="spellStart"/>
      <w:r w:rsidRPr="00BA52BB">
        <w:rPr>
          <w:rFonts w:ascii="Times New Roman" w:hAnsi="Times New Roman" w:cs="Times New Roman"/>
          <w:i/>
        </w:rPr>
        <w:t>macroeconomics</w:t>
      </w:r>
      <w:proofErr w:type="spellEnd"/>
      <w:r w:rsidRPr="00BA52BB">
        <w:rPr>
          <w:rFonts w:ascii="Times New Roman" w:hAnsi="Times New Roman" w:cs="Times New Roman"/>
        </w:rPr>
        <w:t xml:space="preserve">. 3rd </w:t>
      </w:r>
      <w:proofErr w:type="spellStart"/>
      <w:r w:rsidRPr="00BA52BB">
        <w:rPr>
          <w:rFonts w:ascii="Times New Roman" w:hAnsi="Times New Roman" w:cs="Times New Roman"/>
        </w:rPr>
        <w:t>ed</w:t>
      </w:r>
      <w:proofErr w:type="spellEnd"/>
      <w:r w:rsidRPr="00BA52BB">
        <w:rPr>
          <w:rFonts w:ascii="Times New Roman" w:hAnsi="Times New Roman" w:cs="Times New Roman"/>
        </w:rPr>
        <w:t xml:space="preserve">. Boston: </w:t>
      </w:r>
      <w:proofErr w:type="spellStart"/>
      <w:r w:rsidRPr="00BA52BB">
        <w:rPr>
          <w:rFonts w:ascii="Times New Roman" w:hAnsi="Times New Roman" w:cs="Times New Roman"/>
        </w:rPr>
        <w:t>McGraw-Hill</w:t>
      </w:r>
      <w:proofErr w:type="spellEnd"/>
      <w:r w:rsidRPr="00BA52BB">
        <w:rPr>
          <w:rFonts w:ascii="Times New Roman" w:hAnsi="Times New Roman" w:cs="Times New Roman"/>
        </w:rPr>
        <w:t xml:space="preserve">, 2006, </w:t>
      </w:r>
      <w:r>
        <w:rPr>
          <w:rFonts w:ascii="Times New Roman" w:hAnsi="Times New Roman" w:cs="Times New Roman"/>
        </w:rPr>
        <w:t>s. 518.</w:t>
      </w:r>
    </w:p>
  </w:footnote>
  <w:footnote w:id="7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239 – 241.</w:t>
      </w:r>
    </w:p>
  </w:footnote>
  <w:footnote w:id="7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9 ZČNB.</w:t>
      </w:r>
    </w:p>
  </w:footnote>
  <w:footnote w:id="8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241.</w:t>
      </w:r>
    </w:p>
  </w:footnote>
  <w:footnote w:id="8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3 odst. 1 ZČNB</w:t>
      </w:r>
    </w:p>
  </w:footnote>
  <w:footnote w:id="8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Proč je ČNB nezávislá? </w:t>
      </w:r>
      <w:r w:rsidRPr="00CE1B46">
        <w:rPr>
          <w:rFonts w:ascii="Times New Roman" w:hAnsi="Times New Roman" w:cs="Times New Roman"/>
        </w:rPr>
        <w:t>[online]. Praha: Česká národní banka [cit. 2016-02-18].</w:t>
      </w:r>
    </w:p>
  </w:footnote>
  <w:footnote w:id="8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239.</w:t>
      </w:r>
    </w:p>
  </w:footnote>
  <w:footnote w:id="8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Proč je ČNB nezávislá? </w:t>
      </w:r>
      <w:r w:rsidRPr="00CE1B46">
        <w:rPr>
          <w:rFonts w:ascii="Times New Roman" w:hAnsi="Times New Roman" w:cs="Times New Roman"/>
        </w:rPr>
        <w:t>[online]. Praha: Česká národní banka [cit. 2016-02-18].</w:t>
      </w:r>
    </w:p>
  </w:footnote>
  <w:footnote w:id="8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241.</w:t>
      </w:r>
    </w:p>
  </w:footnote>
  <w:footnote w:id="8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11 ZČNB.</w:t>
      </w:r>
    </w:p>
  </w:footnote>
  <w:footnote w:id="8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241 – 242. V ZČNB zakotveno v § 34a.</w:t>
      </w:r>
    </w:p>
  </w:footnote>
  <w:footnote w:id="8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Proč je ČNB nezávislá? </w:t>
      </w:r>
      <w:r w:rsidRPr="00CE1B46">
        <w:rPr>
          <w:rFonts w:ascii="Times New Roman" w:hAnsi="Times New Roman" w:cs="Times New Roman"/>
        </w:rPr>
        <w:t>[online]. Praha: Česká národní banka [cit. 2016-02-18].</w:t>
      </w:r>
    </w:p>
  </w:footnote>
  <w:footnote w:id="8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Stanovisko Evropské centrální banky CON/2012/44 ze dne 31. května 2012 k zákonu o České národní bance. Frankfurt nad Mohanem: Evropská centrální banka.</w:t>
      </w:r>
    </w:p>
  </w:footnote>
  <w:footnote w:id="9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Konvergenční zpráva 2014 </w:t>
      </w:r>
      <w:r w:rsidRPr="00CE1B46">
        <w:rPr>
          <w:rFonts w:ascii="Times New Roman" w:hAnsi="Times New Roman" w:cs="Times New Roman"/>
        </w:rPr>
        <w:t xml:space="preserve">[online]. </w:t>
      </w:r>
      <w:proofErr w:type="spellStart"/>
      <w:r w:rsidRPr="00CE1B46">
        <w:rPr>
          <w:rFonts w:ascii="Times New Roman" w:hAnsi="Times New Roman" w:cs="Times New Roman"/>
        </w:rPr>
        <w:t>Frankfukt</w:t>
      </w:r>
      <w:proofErr w:type="spellEnd"/>
      <w:r w:rsidRPr="00CE1B46">
        <w:rPr>
          <w:rFonts w:ascii="Times New Roman" w:hAnsi="Times New Roman" w:cs="Times New Roman"/>
        </w:rPr>
        <w:t xml:space="preserve"> nad Mohanem: Evropská centrální banka, 2014 [cit. 2015-11-22].</w:t>
      </w:r>
    </w:p>
  </w:footnote>
  <w:footnote w:id="9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ČNB má být nezávislá, zlobí se </w:t>
      </w:r>
      <w:proofErr w:type="spellStart"/>
      <w:r w:rsidRPr="00CE1B46">
        <w:rPr>
          <w:rFonts w:ascii="Times New Roman" w:hAnsi="Times New Roman" w:cs="Times New Roman"/>
        </w:rPr>
        <w:t>Babiš</w:t>
      </w:r>
      <w:proofErr w:type="spellEnd"/>
      <w:r w:rsidRPr="00CE1B46">
        <w:rPr>
          <w:rFonts w:ascii="Times New Roman" w:hAnsi="Times New Roman" w:cs="Times New Roman"/>
        </w:rPr>
        <w:t xml:space="preserve"> nad výroky Zemana. </w:t>
      </w:r>
      <w:r w:rsidRPr="00CE1B46">
        <w:rPr>
          <w:rFonts w:ascii="Times New Roman" w:hAnsi="Times New Roman" w:cs="Times New Roman"/>
          <w:i/>
        </w:rPr>
        <w:t xml:space="preserve">Týden.cz </w:t>
      </w:r>
      <w:r w:rsidRPr="00CE1B46">
        <w:rPr>
          <w:rFonts w:ascii="Times New Roman" w:hAnsi="Times New Roman" w:cs="Times New Roman"/>
        </w:rPr>
        <w:t>[online]. Publikováno 19. 2. 2015 [cit. 2016-03-09].</w:t>
      </w:r>
    </w:p>
  </w:footnote>
  <w:footnote w:id="9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47 odst. 1 ZČNB.</w:t>
      </w:r>
    </w:p>
  </w:footnote>
  <w:footnote w:id="9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3 odst. 3 zákona o Nejvyšším kontrolním úřadu.</w:t>
      </w:r>
    </w:p>
  </w:footnote>
  <w:footnote w:id="9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242.</w:t>
      </w:r>
    </w:p>
  </w:footnote>
  <w:footnote w:id="9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47 ZČNB.</w:t>
      </w:r>
    </w:p>
  </w:footnote>
  <w:footnote w:id="9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Roční zprávy o výsledku hospodaření ČNB z let 1999 až 2014.</w:t>
      </w:r>
    </w:p>
  </w:footnote>
  <w:footnote w:id="9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Hospodaření ČNB spadlo loni do ztráty 468 milionů korun. </w:t>
      </w:r>
      <w:r w:rsidRPr="00CE1B46">
        <w:rPr>
          <w:rFonts w:ascii="Times New Roman" w:hAnsi="Times New Roman" w:cs="Times New Roman"/>
          <w:i/>
        </w:rPr>
        <w:t>Finanční noviny</w:t>
      </w:r>
      <w:r w:rsidRPr="00CE1B46">
        <w:rPr>
          <w:rFonts w:ascii="Times New Roman" w:hAnsi="Times New Roman" w:cs="Times New Roman"/>
        </w:rPr>
        <w:t xml:space="preserve"> [online]. Publikováno 13. 1. 2016 [cit. 2016-02-20].</w:t>
      </w:r>
    </w:p>
  </w:footnote>
  <w:footnote w:id="9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CIMBUREK; ŘEŽÁBEK,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21.</w:t>
      </w:r>
    </w:p>
  </w:footnote>
  <w:footnote w:id="9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I odst. 4 zákona č. 277/2013 Sb.</w:t>
      </w:r>
    </w:p>
  </w:footnote>
  <w:footnote w:id="10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I odst. 25 zákona č. 277/2013 Sb.</w:t>
      </w:r>
    </w:p>
  </w:footnote>
  <w:footnote w:id="10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I odst. 37 zákona č. 277/2013 Sb.</w:t>
      </w:r>
    </w:p>
  </w:footnote>
  <w:footnote w:id="10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I odst. 14 zákona č. 277/2013 Sb.</w:t>
      </w:r>
    </w:p>
  </w:footnote>
  <w:footnote w:id="10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CIMBUREK; ŘEŽÁBEK,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26.</w:t>
      </w:r>
    </w:p>
  </w:footnote>
  <w:footnote w:id="10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2004,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512 – 513.</w:t>
      </w:r>
    </w:p>
  </w:footnote>
  <w:footnote w:id="10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Detaily legislativního procesu návrhu ZČNB jsou dostupné na internetových stránkách Poslanecké sněmovny, a to ke sněmovnímu tisku 800 z roku 2009.</w:t>
      </w:r>
    </w:p>
  </w:footnote>
  <w:footnote w:id="10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Stanovisko prezidenta republiky </w:t>
      </w:r>
      <w:proofErr w:type="gramStart"/>
      <w:r w:rsidRPr="00CE1B46">
        <w:rPr>
          <w:rFonts w:ascii="Times New Roman" w:hAnsi="Times New Roman" w:cs="Times New Roman"/>
        </w:rPr>
        <w:t>č.j.</w:t>
      </w:r>
      <w:proofErr w:type="gramEnd"/>
      <w:r w:rsidRPr="00CE1B46">
        <w:rPr>
          <w:rFonts w:ascii="Times New Roman" w:hAnsi="Times New Roman" w:cs="Times New Roman"/>
        </w:rPr>
        <w:t xml:space="preserve"> KPR 3640/2010 ze dne 3. června 2010. </w:t>
      </w:r>
      <w:r w:rsidRPr="00CE1B46">
        <w:rPr>
          <w:rFonts w:ascii="Times New Roman" w:hAnsi="Times New Roman" w:cs="Times New Roman"/>
          <w:i/>
        </w:rPr>
        <w:t>Poslanecká sněmovna Parlamentu České republiky</w:t>
      </w:r>
      <w:r w:rsidRPr="00CE1B46">
        <w:rPr>
          <w:rFonts w:ascii="Times New Roman" w:hAnsi="Times New Roman" w:cs="Times New Roman"/>
        </w:rPr>
        <w:t xml:space="preserve"> [online]. [cit. 2016-02-21].</w:t>
      </w:r>
    </w:p>
  </w:footnote>
  <w:footnote w:id="10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RÝDL; BARÁK; SAŇA; VÝBORNÝ, 2014, op. </w:t>
      </w:r>
      <w:proofErr w:type="gramStart"/>
      <w:r w:rsidRPr="00CE1B46">
        <w:rPr>
          <w:rFonts w:ascii="Times New Roman" w:hAnsi="Times New Roman" w:cs="Times New Roman"/>
        </w:rPr>
        <w:t>cit</w:t>
      </w:r>
      <w:proofErr w:type="gramEnd"/>
      <w:r w:rsidRPr="00CE1B46">
        <w:rPr>
          <w:rFonts w:ascii="Times New Roman" w:hAnsi="Times New Roman" w:cs="Times New Roman"/>
        </w:rPr>
        <w:t>., s. 62.</w:t>
      </w:r>
    </w:p>
  </w:footnote>
  <w:footnote w:id="10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Nález ÚS ČR </w:t>
      </w:r>
      <w:proofErr w:type="spellStart"/>
      <w:r w:rsidRPr="00CE1B46">
        <w:rPr>
          <w:rFonts w:ascii="Times New Roman" w:hAnsi="Times New Roman" w:cs="Times New Roman"/>
        </w:rPr>
        <w:t>sp</w:t>
      </w:r>
      <w:proofErr w:type="spellEnd"/>
      <w:r w:rsidRPr="00CE1B46">
        <w:rPr>
          <w:rFonts w:ascii="Times New Roman" w:hAnsi="Times New Roman" w:cs="Times New Roman"/>
        </w:rPr>
        <w:t xml:space="preserve">. zn. </w:t>
      </w:r>
      <w:proofErr w:type="spellStart"/>
      <w:r w:rsidRPr="00CE1B46">
        <w:rPr>
          <w:rFonts w:ascii="Times New Roman" w:hAnsi="Times New Roman" w:cs="Times New Roman"/>
        </w:rPr>
        <w:t>Pl</w:t>
      </w:r>
      <w:proofErr w:type="spellEnd"/>
      <w:r w:rsidRPr="00CE1B46">
        <w:rPr>
          <w:rFonts w:ascii="Times New Roman" w:hAnsi="Times New Roman" w:cs="Times New Roman"/>
        </w:rPr>
        <w:t>. ÚS 59/2000.</w:t>
      </w:r>
    </w:p>
  </w:footnote>
  <w:footnote w:id="10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ČNB získala prestižní ocenění za otevřenost v komunikaci [online]. Praha: Česká národní banka, publikováno 12. 1. 2015 [cit. 2016-02-25].</w:t>
      </w:r>
    </w:p>
  </w:footnote>
  <w:footnote w:id="11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SINGER, Miroslav. Současné akcenty politiky ČNB. </w:t>
      </w:r>
      <w:r w:rsidRPr="00CE1B46">
        <w:rPr>
          <w:rFonts w:ascii="Times New Roman" w:hAnsi="Times New Roman" w:cs="Times New Roman"/>
          <w:i/>
          <w:color w:val="000000"/>
          <w:shd w:val="clear" w:color="auto" w:fill="FFFFFF"/>
        </w:rPr>
        <w:t>Česká národní banka</w:t>
      </w:r>
      <w:r w:rsidRPr="00CE1B46">
        <w:rPr>
          <w:rFonts w:ascii="Times New Roman" w:hAnsi="Times New Roman" w:cs="Times New Roman"/>
          <w:color w:val="000000"/>
          <w:shd w:val="clear" w:color="auto" w:fill="FFFFFF"/>
        </w:rPr>
        <w:t xml:space="preserve"> [online]. Publikováno 7. 4. 2008 [cit. 2016-02-25].</w:t>
      </w:r>
    </w:p>
  </w:footnote>
  <w:footnote w:id="11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ČNB získala prestižní ocenění za otevřenost v komunikaci [online]. Praha: Česká národní banka, publikováno 12. 1. 2015 [cit. 2016-02-25].</w:t>
      </w:r>
    </w:p>
  </w:footnote>
  <w:footnote w:id="11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RYCHETSKÝ, Pavel; LANGÁŠEK, Tomáš; HERC, Tomáš; MLSNA, Petr a kol., 2015, op. </w:t>
      </w:r>
      <w:proofErr w:type="gramStart"/>
      <w:r w:rsidRPr="00CE1B46">
        <w:rPr>
          <w:rFonts w:ascii="Times New Roman" w:hAnsi="Times New Roman" w:cs="Times New Roman"/>
        </w:rPr>
        <w:t>cit</w:t>
      </w:r>
      <w:proofErr w:type="gramEnd"/>
      <w:r w:rsidRPr="00CE1B46">
        <w:rPr>
          <w:rFonts w:ascii="Times New Roman" w:hAnsi="Times New Roman" w:cs="Times New Roman"/>
        </w:rPr>
        <w:t>., s</w:t>
      </w:r>
      <w:r>
        <w:rPr>
          <w:rFonts w:ascii="Times New Roman" w:hAnsi="Times New Roman" w:cs="Times New Roman"/>
        </w:rPr>
        <w:t>.</w:t>
      </w:r>
      <w:r w:rsidRPr="00CE1B46">
        <w:rPr>
          <w:rFonts w:ascii="Times New Roman" w:hAnsi="Times New Roman" w:cs="Times New Roman"/>
        </w:rPr>
        <w:t> 1034.</w:t>
      </w:r>
    </w:p>
  </w:footnote>
  <w:footnote w:id="11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SPÁČILOVÁ, Tereza.</w:t>
      </w:r>
      <w:r w:rsidRPr="00CE1B46">
        <w:rPr>
          <w:rStyle w:val="apple-converted-space"/>
          <w:rFonts w:ascii="Times New Roman" w:hAnsi="Times New Roman" w:cs="Times New Roman"/>
          <w:color w:val="000000"/>
          <w:shd w:val="clear" w:color="auto" w:fill="FFFFFF"/>
        </w:rPr>
        <w:t> </w:t>
      </w:r>
      <w:r w:rsidRPr="00CE1B46">
        <w:rPr>
          <w:rStyle w:val="Zvraznn"/>
          <w:rFonts w:ascii="Times New Roman" w:hAnsi="Times New Roman" w:cs="Times New Roman"/>
          <w:color w:val="000000"/>
          <w:shd w:val="clear" w:color="auto" w:fill="FFFFFF"/>
        </w:rPr>
        <w:t xml:space="preserve">Analýza účinnosti monetární politiky ČNB (ekonomické a právní souvislosti) </w:t>
      </w:r>
      <w:r w:rsidRPr="00CE1B46">
        <w:rPr>
          <w:rStyle w:val="Zvraznn"/>
          <w:rFonts w:ascii="Times New Roman" w:hAnsi="Times New Roman" w:cs="Times New Roman"/>
          <w:i w:val="0"/>
          <w:color w:val="000000"/>
          <w:shd w:val="clear" w:color="auto" w:fill="FFFFFF"/>
        </w:rPr>
        <w:t>[online]</w:t>
      </w:r>
      <w:r w:rsidRPr="00CE1B46">
        <w:rPr>
          <w:rFonts w:ascii="Times New Roman" w:hAnsi="Times New Roman" w:cs="Times New Roman"/>
          <w:color w:val="000000"/>
          <w:shd w:val="clear" w:color="auto" w:fill="FFFFFF"/>
        </w:rPr>
        <w:t xml:space="preserve">. Brno, 2010, s. 27 [cit. 2015-08-26]. </w:t>
      </w:r>
    </w:p>
  </w:footnote>
  <w:footnote w:id="11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iCs/>
          <w:color w:val="000000"/>
          <w:shd w:val="clear" w:color="auto" w:fill="FFFFFF"/>
        </w:rPr>
        <w:t xml:space="preserve"> </w:t>
      </w:r>
      <w:r w:rsidRPr="00CE1B46">
        <w:rPr>
          <w:rFonts w:ascii="Times New Roman" w:hAnsi="Times New Roman" w:cs="Times New Roman"/>
          <w:i/>
          <w:iCs/>
          <w:color w:val="000000"/>
          <w:shd w:val="clear" w:color="auto" w:fill="FFFFFF"/>
        </w:rPr>
        <w:t xml:space="preserve">Česká národní banka 1993-2003: Czech </w:t>
      </w:r>
      <w:proofErr w:type="spellStart"/>
      <w:r w:rsidRPr="00CE1B46">
        <w:rPr>
          <w:rFonts w:ascii="Times New Roman" w:hAnsi="Times New Roman" w:cs="Times New Roman"/>
          <w:i/>
          <w:iCs/>
          <w:color w:val="000000"/>
          <w:shd w:val="clear" w:color="auto" w:fill="FFFFFF"/>
        </w:rPr>
        <w:t>National</w:t>
      </w:r>
      <w:proofErr w:type="spellEnd"/>
      <w:r w:rsidRPr="00CE1B46">
        <w:rPr>
          <w:rFonts w:ascii="Times New Roman" w:hAnsi="Times New Roman" w:cs="Times New Roman"/>
          <w:i/>
          <w:iCs/>
          <w:color w:val="000000"/>
          <w:shd w:val="clear" w:color="auto" w:fill="FFFFFF"/>
        </w:rPr>
        <w:t xml:space="preserve"> Bank 1993-2003</w:t>
      </w:r>
      <w:r w:rsidRPr="00CE1B46">
        <w:rPr>
          <w:rFonts w:ascii="Times New Roman" w:hAnsi="Times New Roman" w:cs="Times New Roman"/>
          <w:color w:val="000000"/>
          <w:shd w:val="clear" w:color="auto" w:fill="FFFFFF"/>
        </w:rPr>
        <w:t>. Praha: Česká národní banka, 2003, s. 4-5.</w:t>
      </w:r>
    </w:p>
  </w:footnote>
  <w:footnote w:id="11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SPÁČILOVÁ,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29.</w:t>
      </w:r>
    </w:p>
  </w:footnote>
  <w:footnote w:id="11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5.</w:t>
      </w:r>
    </w:p>
  </w:footnote>
  <w:footnote w:id="11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7.</w:t>
      </w:r>
    </w:p>
  </w:footnote>
  <w:footnote w:id="11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SPÁČILOVÁ,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30.</w:t>
      </w:r>
    </w:p>
  </w:footnote>
  <w:footnote w:id="11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7-8.</w:t>
      </w:r>
    </w:p>
  </w:footnote>
  <w:footnote w:id="12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10.</w:t>
      </w:r>
    </w:p>
  </w:footnote>
  <w:footnote w:id="12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SPÁČILOVÁ,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30.</w:t>
      </w:r>
    </w:p>
  </w:footnote>
  <w:footnote w:id="12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JONÁŠ, Jiří.</w:t>
      </w:r>
      <w:r w:rsidRPr="00CE1B46">
        <w:rPr>
          <w:rStyle w:val="apple-converted-space"/>
          <w:rFonts w:ascii="Times New Roman" w:hAnsi="Times New Roman" w:cs="Times New Roman"/>
          <w:color w:val="000000"/>
          <w:shd w:val="clear" w:color="auto" w:fill="FFFFFF"/>
        </w:rPr>
        <w:t> </w:t>
      </w:r>
      <w:r w:rsidRPr="00CE1B46">
        <w:rPr>
          <w:rFonts w:ascii="Times New Roman" w:hAnsi="Times New Roman" w:cs="Times New Roman"/>
          <w:i/>
          <w:iCs/>
          <w:color w:val="000000"/>
          <w:shd w:val="clear" w:color="auto" w:fill="FFFFFF"/>
        </w:rPr>
        <w:t>Vybrané otázky měnové politiky v ČR</w:t>
      </w:r>
      <w:r w:rsidRPr="00CE1B46">
        <w:rPr>
          <w:rFonts w:ascii="Times New Roman" w:hAnsi="Times New Roman" w:cs="Times New Roman"/>
          <w:color w:val="000000"/>
          <w:shd w:val="clear" w:color="auto" w:fill="FFFFFF"/>
        </w:rPr>
        <w:t>. Praha: Česká národní banka, Sekce měnová, 2001, s. 31.</w:t>
      </w:r>
    </w:p>
  </w:footnote>
  <w:footnote w:id="12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HLAVATÝ, Jakub. </w:t>
      </w:r>
      <w:r w:rsidRPr="00CE1B46">
        <w:rPr>
          <w:rFonts w:ascii="Times New Roman" w:hAnsi="Times New Roman" w:cs="Times New Roman"/>
          <w:i/>
          <w:color w:val="000000"/>
          <w:szCs w:val="19"/>
          <w:shd w:val="clear" w:color="auto" w:fill="FFFFFF"/>
        </w:rPr>
        <w:t>Analýza účinnosti fiskální a monetární politiky v ČR</w:t>
      </w:r>
      <w:r w:rsidRPr="00CE1B46">
        <w:rPr>
          <w:rFonts w:ascii="Times New Roman" w:hAnsi="Times New Roman" w:cs="Times New Roman"/>
          <w:color w:val="000000"/>
          <w:szCs w:val="19"/>
          <w:shd w:val="clear" w:color="auto" w:fill="FFFFFF"/>
        </w:rPr>
        <w:t xml:space="preserve"> [online]. Praha, 2010, s. 57-58 [cit. 2015-08-27].</w:t>
      </w:r>
    </w:p>
  </w:footnote>
  <w:footnote w:id="12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JONÁŠ, 2001,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10-17.</w:t>
      </w:r>
    </w:p>
  </w:footnote>
  <w:footnote w:id="12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w:t>
      </w:r>
    </w:p>
  </w:footnote>
  <w:footnote w:id="12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JONÁŠ, 2001,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xml:space="preserve">., s. 15-17. </w:t>
      </w:r>
    </w:p>
  </w:footnote>
  <w:footnote w:id="12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19.</w:t>
      </w:r>
    </w:p>
  </w:footnote>
  <w:footnote w:id="12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HLAVATÝ, 2010, op. </w:t>
      </w:r>
      <w:proofErr w:type="gramStart"/>
      <w:r w:rsidRPr="00CE1B46">
        <w:rPr>
          <w:rFonts w:ascii="Times New Roman" w:hAnsi="Times New Roman" w:cs="Times New Roman"/>
          <w:color w:val="000000"/>
          <w:szCs w:val="19"/>
          <w:shd w:val="clear" w:color="auto" w:fill="FFFFFF"/>
        </w:rPr>
        <w:t>cit</w:t>
      </w:r>
      <w:proofErr w:type="gramEnd"/>
      <w:r w:rsidRPr="00CE1B46">
        <w:rPr>
          <w:rFonts w:ascii="Times New Roman" w:hAnsi="Times New Roman" w:cs="Times New Roman"/>
          <w:color w:val="000000"/>
          <w:szCs w:val="19"/>
          <w:shd w:val="clear" w:color="auto" w:fill="FFFFFF"/>
        </w:rPr>
        <w:t>., s. 59.</w:t>
      </w:r>
    </w:p>
  </w:footnote>
  <w:footnote w:id="12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19.</w:t>
      </w:r>
    </w:p>
  </w:footnote>
  <w:footnote w:id="13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JONÁŠ, 2001,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31-34.</w:t>
      </w:r>
    </w:p>
  </w:footnote>
  <w:footnote w:id="13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color w:val="000000"/>
          <w:szCs w:val="19"/>
          <w:shd w:val="clear" w:color="auto" w:fill="FFFFFF"/>
        </w:rPr>
        <w:t xml:space="preserve"> </w:t>
      </w:r>
      <w:r w:rsidRPr="00CE1B46">
        <w:rPr>
          <w:rFonts w:ascii="Times New Roman" w:hAnsi="Times New Roman" w:cs="Times New Roman"/>
          <w:i/>
          <w:color w:val="000000"/>
          <w:szCs w:val="19"/>
          <w:shd w:val="clear" w:color="auto" w:fill="FFFFFF"/>
        </w:rPr>
        <w:t>10 let cílování inflace 1998 – 2007</w:t>
      </w:r>
      <w:r w:rsidRPr="00CE1B46">
        <w:rPr>
          <w:rFonts w:ascii="Times New Roman" w:hAnsi="Times New Roman" w:cs="Times New Roman"/>
          <w:color w:val="000000"/>
          <w:szCs w:val="19"/>
          <w:shd w:val="clear" w:color="auto" w:fill="FFFFFF"/>
        </w:rPr>
        <w:t>. Praha: Česká národní banka, 2008, s. 2.</w:t>
      </w:r>
    </w:p>
  </w:footnote>
  <w:footnote w:id="13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HLAVATÝ, 2010, op. </w:t>
      </w:r>
      <w:proofErr w:type="gramStart"/>
      <w:r w:rsidRPr="00CE1B46">
        <w:rPr>
          <w:rFonts w:ascii="Times New Roman" w:hAnsi="Times New Roman" w:cs="Times New Roman"/>
          <w:color w:val="000000"/>
          <w:szCs w:val="19"/>
          <w:shd w:val="clear" w:color="auto" w:fill="FFFFFF"/>
        </w:rPr>
        <w:t>cit</w:t>
      </w:r>
      <w:proofErr w:type="gramEnd"/>
      <w:r w:rsidRPr="00CE1B46">
        <w:rPr>
          <w:rFonts w:ascii="Times New Roman" w:hAnsi="Times New Roman" w:cs="Times New Roman"/>
          <w:color w:val="000000"/>
          <w:szCs w:val="19"/>
          <w:shd w:val="clear" w:color="auto" w:fill="FFFFFF"/>
        </w:rPr>
        <w:t>., s. 60.</w:t>
      </w:r>
    </w:p>
  </w:footnote>
  <w:footnote w:id="13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22.</w:t>
      </w:r>
    </w:p>
  </w:footnote>
  <w:footnote w:id="13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23-24.</w:t>
      </w:r>
    </w:p>
  </w:footnote>
  <w:footnote w:id="13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HLAVATÝ, 2010, op. </w:t>
      </w:r>
      <w:proofErr w:type="gramStart"/>
      <w:r w:rsidRPr="00CE1B46">
        <w:rPr>
          <w:rFonts w:ascii="Times New Roman" w:hAnsi="Times New Roman" w:cs="Times New Roman"/>
          <w:color w:val="000000"/>
          <w:szCs w:val="19"/>
          <w:shd w:val="clear" w:color="auto" w:fill="FFFFFF"/>
        </w:rPr>
        <w:t>cit</w:t>
      </w:r>
      <w:proofErr w:type="gramEnd"/>
      <w:r w:rsidRPr="00CE1B46">
        <w:rPr>
          <w:rFonts w:ascii="Times New Roman" w:hAnsi="Times New Roman" w:cs="Times New Roman"/>
          <w:color w:val="000000"/>
          <w:szCs w:val="19"/>
          <w:shd w:val="clear" w:color="auto" w:fill="FFFFFF"/>
        </w:rPr>
        <w:t>., s. 60-61.</w:t>
      </w:r>
    </w:p>
  </w:footnote>
  <w:footnote w:id="13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SPÁČILOVÁ, 2010,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35.</w:t>
      </w:r>
    </w:p>
  </w:footnote>
  <w:footnote w:id="13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22.</w:t>
      </w:r>
    </w:p>
  </w:footnote>
  <w:footnote w:id="13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HLAVATÝ, 2010, op. </w:t>
      </w:r>
      <w:proofErr w:type="gramStart"/>
      <w:r w:rsidRPr="00CE1B46">
        <w:rPr>
          <w:rFonts w:ascii="Times New Roman" w:hAnsi="Times New Roman" w:cs="Times New Roman"/>
          <w:color w:val="000000"/>
          <w:szCs w:val="19"/>
          <w:shd w:val="clear" w:color="auto" w:fill="FFFFFF"/>
        </w:rPr>
        <w:t>cit</w:t>
      </w:r>
      <w:proofErr w:type="gramEnd"/>
      <w:r w:rsidRPr="00CE1B46">
        <w:rPr>
          <w:rFonts w:ascii="Times New Roman" w:hAnsi="Times New Roman" w:cs="Times New Roman"/>
          <w:color w:val="000000"/>
          <w:szCs w:val="19"/>
          <w:shd w:val="clear" w:color="auto" w:fill="FFFFFF"/>
        </w:rPr>
        <w:t>., s. 61.</w:t>
      </w:r>
    </w:p>
  </w:footnote>
  <w:footnote w:id="13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color w:val="000000"/>
          <w:szCs w:val="19"/>
          <w:shd w:val="clear" w:color="auto" w:fill="FFFFFF"/>
        </w:rPr>
        <w:t xml:space="preserve"> </w:t>
      </w:r>
      <w:r w:rsidRPr="00CE1B46">
        <w:rPr>
          <w:rFonts w:ascii="Times New Roman" w:hAnsi="Times New Roman" w:cs="Times New Roman"/>
          <w:i/>
          <w:color w:val="000000"/>
          <w:szCs w:val="19"/>
          <w:shd w:val="clear" w:color="auto" w:fill="FFFFFF"/>
        </w:rPr>
        <w:t>Stanovení inflačního cíle pro období 2002 – 2005</w:t>
      </w:r>
      <w:r w:rsidRPr="00CE1B46">
        <w:rPr>
          <w:rFonts w:ascii="Times New Roman" w:hAnsi="Times New Roman" w:cs="Times New Roman"/>
          <w:color w:val="000000"/>
          <w:szCs w:val="19"/>
          <w:shd w:val="clear" w:color="auto" w:fill="FFFFFF"/>
        </w:rPr>
        <w:t xml:space="preserve"> [online]. Praha: Česká národní banka, 2001 [cit. 2015-09-06].</w:t>
      </w:r>
    </w:p>
  </w:footnote>
  <w:footnote w:id="14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Inflační cíl ČNB od ledna 2006</w:t>
      </w:r>
      <w:r w:rsidRPr="00CE1B46">
        <w:rPr>
          <w:rFonts w:ascii="Times New Roman" w:hAnsi="Times New Roman" w:cs="Times New Roman"/>
        </w:rPr>
        <w:t xml:space="preserve"> [online]. Praha: Česká národní banka, 2004 [cit. 2015-09-06].</w:t>
      </w:r>
    </w:p>
  </w:footnote>
  <w:footnote w:id="14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Nový inflační cíl ČNB a změny v komunikaci měnové politiky</w:t>
      </w:r>
      <w:r w:rsidRPr="00CE1B46">
        <w:rPr>
          <w:rFonts w:ascii="Times New Roman" w:hAnsi="Times New Roman" w:cs="Times New Roman"/>
        </w:rPr>
        <w:t xml:space="preserve"> [online]. Praha: Česká národní banka, 2007 [cit. 2015-09-06].</w:t>
      </w:r>
    </w:p>
  </w:footnote>
  <w:footnote w:id="14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DUBSKÁ, Drahomíra. </w:t>
      </w:r>
      <w:r w:rsidRPr="00CE1B46">
        <w:rPr>
          <w:rFonts w:ascii="Times New Roman" w:hAnsi="Times New Roman" w:cs="Times New Roman"/>
          <w:i/>
          <w:color w:val="000000"/>
          <w:szCs w:val="19"/>
          <w:shd w:val="clear" w:color="auto" w:fill="FFFFFF"/>
        </w:rPr>
        <w:t>Dopady světové finanční a hospodářské krize na ekonomiku České republiky</w:t>
      </w:r>
      <w:r w:rsidRPr="00CE1B46">
        <w:rPr>
          <w:rFonts w:ascii="Times New Roman" w:hAnsi="Times New Roman" w:cs="Times New Roman"/>
          <w:color w:val="000000"/>
          <w:szCs w:val="19"/>
          <w:shd w:val="clear" w:color="auto" w:fill="FFFFFF"/>
        </w:rPr>
        <w:t xml:space="preserve"> [online]. 2011 [cit. 2015-09-08].</w:t>
      </w:r>
    </w:p>
  </w:footnote>
  <w:footnote w:id="14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w:t>
      </w:r>
      <w:proofErr w:type="spellStart"/>
      <w:r w:rsidRPr="00CE1B46">
        <w:rPr>
          <w:rFonts w:ascii="Times New Roman" w:hAnsi="Times New Roman" w:cs="Times New Roman"/>
        </w:rPr>
        <w:t>Ibid</w:t>
      </w:r>
      <w:proofErr w:type="spellEnd"/>
      <w:r w:rsidRPr="00CE1B46">
        <w:rPr>
          <w:rFonts w:ascii="Times New Roman" w:hAnsi="Times New Roman" w:cs="Times New Roman"/>
        </w:rPr>
        <w:t>.</w:t>
      </w:r>
    </w:p>
  </w:footnote>
  <w:footnote w:id="14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ŘEŽÁBEK, Pavel. Česko </w:t>
      </w:r>
      <w:proofErr w:type="gramStart"/>
      <w:r w:rsidRPr="00CE1B46">
        <w:rPr>
          <w:rFonts w:ascii="Times New Roman" w:hAnsi="Times New Roman" w:cs="Times New Roman"/>
          <w:color w:val="000000"/>
          <w:szCs w:val="19"/>
          <w:shd w:val="clear" w:color="auto" w:fill="FFFFFF"/>
        </w:rPr>
        <w:t>mezi</w:t>
      </w:r>
      <w:proofErr w:type="gramEnd"/>
      <w:r w:rsidRPr="00CE1B46">
        <w:rPr>
          <w:rFonts w:ascii="Times New Roman" w:hAnsi="Times New Roman" w:cs="Times New Roman"/>
          <w:color w:val="000000"/>
          <w:szCs w:val="19"/>
          <w:shd w:val="clear" w:color="auto" w:fill="FFFFFF"/>
        </w:rPr>
        <w:t xml:space="preserve"> dvěma </w:t>
      </w:r>
      <w:proofErr w:type="gramStart"/>
      <w:r w:rsidRPr="00CE1B46">
        <w:rPr>
          <w:rFonts w:ascii="Times New Roman" w:hAnsi="Times New Roman" w:cs="Times New Roman"/>
          <w:color w:val="000000"/>
          <w:szCs w:val="19"/>
          <w:shd w:val="clear" w:color="auto" w:fill="FFFFFF"/>
        </w:rPr>
        <w:t>koni.</w:t>
      </w:r>
      <w:proofErr w:type="gramEnd"/>
      <w:r>
        <w:rPr>
          <w:rFonts w:ascii="Times New Roman" w:hAnsi="Times New Roman" w:cs="Times New Roman"/>
          <w:color w:val="000000"/>
          <w:szCs w:val="19"/>
          <w:shd w:val="clear" w:color="auto" w:fill="FFFFFF"/>
        </w:rPr>
        <w:t xml:space="preserve"> </w:t>
      </w:r>
      <w:r w:rsidRPr="00CE1B46">
        <w:rPr>
          <w:rFonts w:ascii="Times New Roman" w:hAnsi="Times New Roman" w:cs="Times New Roman"/>
          <w:i/>
          <w:color w:val="000000"/>
          <w:szCs w:val="19"/>
          <w:shd w:val="clear" w:color="auto" w:fill="FFFFFF"/>
        </w:rPr>
        <w:t>Euro</w:t>
      </w:r>
      <w:r w:rsidRPr="00CE1B46">
        <w:rPr>
          <w:rFonts w:ascii="Times New Roman" w:hAnsi="Times New Roman" w:cs="Times New Roman"/>
          <w:color w:val="000000"/>
          <w:szCs w:val="19"/>
          <w:shd w:val="clear" w:color="auto" w:fill="FFFFFF"/>
        </w:rPr>
        <w:t xml:space="preserve"> [online]. Mladá fronta, publikováno 3. 6. 2010 [cit. 2015-09-08].</w:t>
      </w:r>
    </w:p>
  </w:footnote>
  <w:footnote w:id="14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Výroční zprávy ČNB z let 2009 – 2013.</w:t>
      </w:r>
    </w:p>
  </w:footnote>
  <w:footnote w:id="14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Kurzový závazek ČNB</w:t>
      </w:r>
      <w:r w:rsidRPr="00CE1B46">
        <w:rPr>
          <w:rFonts w:ascii="Times New Roman" w:hAnsi="Times New Roman" w:cs="Times New Roman"/>
        </w:rPr>
        <w:t xml:space="preserve"> [online]. Praha: Česká národní banka [cit. 2015-09-08].</w:t>
      </w:r>
    </w:p>
  </w:footnote>
  <w:footnote w:id="14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AD5160">
        <w:rPr>
          <w:rFonts w:ascii="Times New Roman" w:hAnsi="Times New Roman" w:cs="Times New Roman"/>
          <w:i/>
        </w:rPr>
        <w:t>Prohlášení bankovní rady na tiskové konferenci po skončení měnového zasedání</w:t>
      </w:r>
      <w:r w:rsidRPr="00AD5160">
        <w:rPr>
          <w:rFonts w:ascii="Times New Roman" w:hAnsi="Times New Roman" w:cs="Times New Roman"/>
        </w:rPr>
        <w:t xml:space="preserve"> [online]. Praha: Česká národní banka, 4. 2. 2016 [cit. 2016-03-16].</w:t>
      </w:r>
    </w:p>
  </w:footnote>
  <w:footnote w:id="14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244.</w:t>
      </w:r>
    </w:p>
  </w:footnote>
  <w:footnote w:id="14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proofErr w:type="spellStart"/>
      <w:r w:rsidRPr="00CE1B46">
        <w:rPr>
          <w:rFonts w:ascii="Times New Roman" w:hAnsi="Times New Roman" w:cs="Times New Roman"/>
          <w:i/>
        </w:rPr>
        <w:t>Měnověpolitické</w:t>
      </w:r>
      <w:proofErr w:type="spellEnd"/>
      <w:r w:rsidRPr="00CE1B46">
        <w:rPr>
          <w:rFonts w:ascii="Times New Roman" w:hAnsi="Times New Roman" w:cs="Times New Roman"/>
          <w:i/>
        </w:rPr>
        <w:t xml:space="preserve"> nástroje </w:t>
      </w:r>
      <w:r w:rsidRPr="00CE1B46">
        <w:rPr>
          <w:rFonts w:ascii="Times New Roman" w:hAnsi="Times New Roman" w:cs="Times New Roman"/>
        </w:rPr>
        <w:t>[online]. Praha: Česká národní banka [cit. 2016-02-23].</w:t>
      </w:r>
    </w:p>
  </w:footnote>
  <w:footnote w:id="15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244.</w:t>
      </w:r>
    </w:p>
  </w:footnote>
  <w:footnote w:id="15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proofErr w:type="spellStart"/>
      <w:r w:rsidRPr="00CE1B46">
        <w:rPr>
          <w:rFonts w:ascii="Times New Roman" w:hAnsi="Times New Roman" w:cs="Times New Roman"/>
          <w:i/>
        </w:rPr>
        <w:t>Měnověpolitické</w:t>
      </w:r>
      <w:proofErr w:type="spellEnd"/>
      <w:r w:rsidRPr="00CE1B46">
        <w:rPr>
          <w:rFonts w:ascii="Times New Roman" w:hAnsi="Times New Roman" w:cs="Times New Roman"/>
          <w:i/>
        </w:rPr>
        <w:t xml:space="preserve"> nástroje </w:t>
      </w:r>
      <w:r w:rsidRPr="00CE1B46">
        <w:rPr>
          <w:rFonts w:ascii="Times New Roman" w:hAnsi="Times New Roman" w:cs="Times New Roman"/>
        </w:rPr>
        <w:t>[online]. Praha: Česká národní banka [cit. 2016-02-23].</w:t>
      </w:r>
    </w:p>
  </w:footnote>
  <w:footnote w:id="15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245.</w:t>
      </w:r>
    </w:p>
  </w:footnote>
  <w:footnote w:id="15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ŽÍDEK, Libor. </w:t>
      </w:r>
      <w:r w:rsidRPr="00CE1B46">
        <w:rPr>
          <w:rFonts w:ascii="Times New Roman" w:hAnsi="Times New Roman" w:cs="Times New Roman"/>
          <w:i/>
          <w:color w:val="000000"/>
          <w:shd w:val="clear" w:color="auto" w:fill="FFFFFF"/>
        </w:rPr>
        <w:t>Transformace české ekonomiky: 1989 – 2004</w:t>
      </w:r>
      <w:r w:rsidRPr="00CE1B46">
        <w:rPr>
          <w:rFonts w:ascii="Times New Roman" w:hAnsi="Times New Roman" w:cs="Times New Roman"/>
          <w:color w:val="000000"/>
          <w:shd w:val="clear" w:color="auto" w:fill="FFFFFF"/>
        </w:rPr>
        <w:t>. 1. vyd. Praha: C. H. Beck, 2006, s. 77 – 78.</w:t>
      </w:r>
    </w:p>
  </w:footnote>
  <w:footnote w:id="15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2011, op. </w:t>
      </w:r>
      <w:proofErr w:type="gramStart"/>
      <w:r w:rsidRPr="00CE1B46">
        <w:rPr>
          <w:rFonts w:ascii="Times New Roman" w:hAnsi="Times New Roman" w:cs="Times New Roman"/>
        </w:rPr>
        <w:t>cit</w:t>
      </w:r>
      <w:proofErr w:type="gramEnd"/>
      <w:r w:rsidRPr="00CE1B46">
        <w:rPr>
          <w:rFonts w:ascii="Times New Roman" w:hAnsi="Times New Roman" w:cs="Times New Roman"/>
        </w:rPr>
        <w:t>., s. 460.</w:t>
      </w:r>
    </w:p>
  </w:footnote>
  <w:footnote w:id="15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REVENDA a kol., 2012, op. </w:t>
      </w:r>
      <w:proofErr w:type="gramStart"/>
      <w:r w:rsidRPr="00CE1B46">
        <w:rPr>
          <w:rFonts w:ascii="Times New Roman" w:hAnsi="Times New Roman" w:cs="Times New Roman"/>
        </w:rPr>
        <w:t>cit</w:t>
      </w:r>
      <w:proofErr w:type="gramEnd"/>
      <w:r w:rsidRPr="00CE1B46">
        <w:rPr>
          <w:rFonts w:ascii="Times New Roman" w:hAnsi="Times New Roman" w:cs="Times New Roman"/>
        </w:rPr>
        <w:t>., s. 245.</w:t>
      </w:r>
    </w:p>
  </w:footnote>
  <w:footnote w:id="15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2 zákona č. 6/1993 Sb., o České národní bance</w:t>
      </w:r>
    </w:p>
  </w:footnote>
  <w:footnote w:id="15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98 zákona č. 1/1993 Sb., Ústava České republiky, v původním znění.</w:t>
      </w:r>
    </w:p>
  </w:footnote>
  <w:footnote w:id="15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16.</w:t>
      </w:r>
    </w:p>
  </w:footnote>
  <w:footnote w:id="15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JONÁŠ, 2001,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23.</w:t>
      </w:r>
    </w:p>
  </w:footnote>
  <w:footnote w:id="16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Josef. </w:t>
      </w:r>
      <w:r w:rsidRPr="00CE1B46">
        <w:rPr>
          <w:rFonts w:ascii="Times New Roman" w:hAnsi="Times New Roman" w:cs="Times New Roman"/>
          <w:i/>
          <w:color w:val="000000"/>
          <w:shd w:val="clear" w:color="auto" w:fill="FFFFFF"/>
        </w:rPr>
        <w:t>Finance v globální ekonomice II: Měnová a kurzová politika</w:t>
      </w:r>
      <w:r w:rsidRPr="00CE1B46">
        <w:rPr>
          <w:rFonts w:ascii="Times New Roman" w:hAnsi="Times New Roman" w:cs="Times New Roman"/>
          <w:color w:val="000000"/>
          <w:shd w:val="clear" w:color="auto" w:fill="FFFFFF"/>
        </w:rPr>
        <w:t xml:space="preserve">. Praha: GRADA </w:t>
      </w:r>
      <w:proofErr w:type="spellStart"/>
      <w:r w:rsidRPr="00CE1B46">
        <w:rPr>
          <w:rFonts w:ascii="Times New Roman" w:hAnsi="Times New Roman" w:cs="Times New Roman"/>
          <w:color w:val="000000"/>
          <w:shd w:val="clear" w:color="auto" w:fill="FFFFFF"/>
        </w:rPr>
        <w:t>Publishing</w:t>
      </w:r>
      <w:proofErr w:type="spellEnd"/>
      <w:r w:rsidRPr="00CE1B46">
        <w:rPr>
          <w:rFonts w:ascii="Times New Roman" w:hAnsi="Times New Roman" w:cs="Times New Roman"/>
          <w:color w:val="000000"/>
          <w:shd w:val="clear" w:color="auto" w:fill="FFFFFF"/>
        </w:rPr>
        <w:t>, a.s., 2013, s. 459.</w:t>
      </w:r>
    </w:p>
  </w:footnote>
  <w:footnote w:id="16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MACH, Petr. Měnová krize z hlediska změn devizových rezerv. </w:t>
      </w:r>
      <w:proofErr w:type="gramStart"/>
      <w:r w:rsidRPr="00CE1B46">
        <w:rPr>
          <w:rFonts w:ascii="Times New Roman" w:hAnsi="Times New Roman" w:cs="Times New Roman"/>
          <w:i/>
        </w:rPr>
        <w:t>cep</w:t>
      </w:r>
      <w:proofErr w:type="gramEnd"/>
      <w:r w:rsidRPr="00CE1B46">
        <w:rPr>
          <w:rFonts w:ascii="Times New Roman" w:hAnsi="Times New Roman" w:cs="Times New Roman"/>
        </w:rPr>
        <w:t xml:space="preserve"> [online]. Publikováno 21. 2. 2002 [cit. 2015-12-04].</w:t>
      </w:r>
    </w:p>
  </w:footnote>
  <w:footnote w:id="16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Česká národní banka, 2003,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20.</w:t>
      </w:r>
    </w:p>
  </w:footnote>
  <w:footnote w:id="16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MACH, 2002, op. </w:t>
      </w:r>
      <w:proofErr w:type="gramStart"/>
      <w:r w:rsidRPr="00CE1B46">
        <w:rPr>
          <w:rFonts w:ascii="Times New Roman" w:hAnsi="Times New Roman" w:cs="Times New Roman"/>
        </w:rPr>
        <w:t>cit</w:t>
      </w:r>
      <w:proofErr w:type="gramEnd"/>
      <w:r w:rsidRPr="00CE1B46">
        <w:rPr>
          <w:rFonts w:ascii="Times New Roman" w:hAnsi="Times New Roman" w:cs="Times New Roman"/>
        </w:rPr>
        <w:t>.</w:t>
      </w:r>
    </w:p>
  </w:footnote>
  <w:footnote w:id="16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Výroční zpráva ČNB 2002</w:t>
      </w:r>
      <w:r w:rsidRPr="00CE1B46">
        <w:rPr>
          <w:rFonts w:ascii="Times New Roman" w:hAnsi="Times New Roman" w:cs="Times New Roman"/>
        </w:rPr>
        <w:t xml:space="preserve"> [online]. Praha: Česká národní banka, 2003 [cit. 2015-12-04].</w:t>
      </w:r>
    </w:p>
  </w:footnote>
  <w:footnote w:id="16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MACH, 2002, op. </w:t>
      </w:r>
      <w:proofErr w:type="gramStart"/>
      <w:r w:rsidRPr="00CE1B46">
        <w:rPr>
          <w:rFonts w:ascii="Times New Roman" w:hAnsi="Times New Roman" w:cs="Times New Roman"/>
        </w:rPr>
        <w:t>cit</w:t>
      </w:r>
      <w:proofErr w:type="gramEnd"/>
      <w:r w:rsidRPr="00CE1B46">
        <w:rPr>
          <w:rFonts w:ascii="Times New Roman" w:hAnsi="Times New Roman" w:cs="Times New Roman"/>
        </w:rPr>
        <w:t>.</w:t>
      </w:r>
    </w:p>
  </w:footnote>
  <w:footnote w:id="166">
    <w:p w:rsidR="00E36923" w:rsidRPr="00CE1B46" w:rsidRDefault="00E36923" w:rsidP="001E7829">
      <w:pPr>
        <w:pStyle w:val="Textpoznpodarou"/>
        <w:jc w:val="both"/>
        <w:rPr>
          <w:rFonts w:ascii="Times New Roman" w:hAnsi="Times New Roman" w:cs="Times New Roman"/>
          <w:b/>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Nový inflační cíl ČNB a změny v komunikaci měnové politiky</w:t>
      </w:r>
      <w:r w:rsidRPr="00CE1B46">
        <w:rPr>
          <w:rFonts w:ascii="Times New Roman" w:hAnsi="Times New Roman" w:cs="Times New Roman"/>
        </w:rPr>
        <w:t xml:space="preserve"> [online]. Praha: Česká národní banka, 2007 [cit. 2015-09-06].</w:t>
      </w:r>
    </w:p>
  </w:footnote>
  <w:footnote w:id="16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Výroční zprávy ČNB z let 1995 – 1997.</w:t>
      </w:r>
    </w:p>
  </w:footnote>
  <w:footnote w:id="16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Vývoj nastavení diskontních nástrojů je dostupný ke stažení na webových stránkách ČNB v sekci </w:t>
      </w:r>
      <w:proofErr w:type="spellStart"/>
      <w:r>
        <w:rPr>
          <w:rFonts w:ascii="Times New Roman" w:hAnsi="Times New Roman" w:cs="Times New Roman"/>
        </w:rPr>
        <w:t>Měnověpolitické</w:t>
      </w:r>
      <w:proofErr w:type="spellEnd"/>
      <w:r>
        <w:rPr>
          <w:rFonts w:ascii="Times New Roman" w:hAnsi="Times New Roman" w:cs="Times New Roman"/>
        </w:rPr>
        <w:t xml:space="preserve"> nástroje.</w:t>
      </w:r>
    </w:p>
  </w:footnote>
  <w:footnote w:id="16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JONÁŠ, 2001, op. </w:t>
      </w:r>
      <w:proofErr w:type="gramStart"/>
      <w:r w:rsidRPr="00CE1B46">
        <w:rPr>
          <w:rFonts w:ascii="Times New Roman" w:hAnsi="Times New Roman" w:cs="Times New Roman"/>
        </w:rPr>
        <w:t>cit</w:t>
      </w:r>
      <w:proofErr w:type="gramEnd"/>
      <w:r w:rsidRPr="00CE1B46">
        <w:rPr>
          <w:rFonts w:ascii="Times New Roman" w:hAnsi="Times New Roman" w:cs="Times New Roman"/>
        </w:rPr>
        <w:t>., s . 17-21.</w:t>
      </w:r>
    </w:p>
  </w:footnote>
  <w:footnote w:id="17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JONÁŠ, 2001, op. </w:t>
      </w:r>
      <w:proofErr w:type="gramStart"/>
      <w:r w:rsidRPr="00CE1B46">
        <w:rPr>
          <w:rFonts w:ascii="Times New Roman" w:hAnsi="Times New Roman" w:cs="Times New Roman"/>
        </w:rPr>
        <w:t>cit</w:t>
      </w:r>
      <w:proofErr w:type="gramEnd"/>
      <w:r w:rsidRPr="00CE1B46">
        <w:rPr>
          <w:rFonts w:ascii="Times New Roman" w:hAnsi="Times New Roman" w:cs="Times New Roman"/>
        </w:rPr>
        <w:t>., s . 30</w:t>
      </w:r>
    </w:p>
  </w:footnote>
  <w:footnote w:id="17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Výroční zpráva ČNB 1997 </w:t>
      </w:r>
      <w:r w:rsidRPr="00CE1B46">
        <w:rPr>
          <w:rFonts w:ascii="Times New Roman" w:hAnsi="Times New Roman" w:cs="Times New Roman"/>
        </w:rPr>
        <w:t>[online]. Praha: Česká národní banka, 1998 [cit. 2015-12-04].</w:t>
      </w:r>
    </w:p>
  </w:footnote>
  <w:footnote w:id="17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HOLUB, Tomáš. Příčiny odchylek inflace od cílů ČNB – empirická analýza. In: </w:t>
      </w:r>
      <w:r w:rsidRPr="00CE1B46">
        <w:rPr>
          <w:rFonts w:ascii="Times New Roman" w:hAnsi="Times New Roman" w:cs="Times New Roman"/>
          <w:i/>
        </w:rPr>
        <w:t>Vyhodnocení plnění inflačních cílů ČNB v letech 1998–2007</w:t>
      </w:r>
      <w:r w:rsidRPr="00CE1B46">
        <w:rPr>
          <w:rFonts w:ascii="Times New Roman" w:hAnsi="Times New Roman" w:cs="Times New Roman"/>
        </w:rPr>
        <w:t xml:space="preserve"> [online]. Praha: Česká národní banka, 2008, s. 51 [cit. 2015-12-21].</w:t>
      </w:r>
    </w:p>
  </w:footnote>
  <w:footnote w:id="17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Výroční zpráva ČNB 2001</w:t>
      </w:r>
      <w:r w:rsidRPr="00CE1B46">
        <w:rPr>
          <w:rFonts w:ascii="Times New Roman" w:hAnsi="Times New Roman" w:cs="Times New Roman"/>
        </w:rPr>
        <w:t xml:space="preserve"> [online]. Praha: Česká národní banka, 2002 [cit. 2015-12-21].</w:t>
      </w:r>
    </w:p>
  </w:footnote>
  <w:footnote w:id="17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Výroční zpráva ČNB 2003</w:t>
      </w:r>
      <w:r w:rsidRPr="00CE1B46">
        <w:rPr>
          <w:rFonts w:ascii="Times New Roman" w:hAnsi="Times New Roman" w:cs="Times New Roman"/>
        </w:rPr>
        <w:t xml:space="preserve"> [online]. Praha: Česká národní banka, 2004 [cit. 2015-12-21].</w:t>
      </w:r>
    </w:p>
  </w:footnote>
  <w:footnote w:id="17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ŠMÍDKOVÁ, Kateřina. Vyhodnocení plnění inflačních cílů ČNB v letech 1998 - 2007. In: </w:t>
      </w:r>
      <w:r w:rsidRPr="00CE1B46">
        <w:rPr>
          <w:rFonts w:ascii="Times New Roman" w:hAnsi="Times New Roman" w:cs="Times New Roman"/>
          <w:i/>
        </w:rPr>
        <w:t>Vyhodnocení plnění inflačních cílů ČNB v letech 1998–2007</w:t>
      </w:r>
      <w:r w:rsidRPr="00CE1B46">
        <w:rPr>
          <w:rFonts w:ascii="Times New Roman" w:hAnsi="Times New Roman" w:cs="Times New Roman"/>
        </w:rPr>
        <w:t xml:space="preserve"> [online]. Praha: Česká národní banka, 2008, s. 11-15 [cit. 2015-12-21].</w:t>
      </w:r>
    </w:p>
  </w:footnote>
  <w:footnote w:id="17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w:t>
      </w:r>
      <w:proofErr w:type="spellStart"/>
      <w:r w:rsidRPr="00CE1B46">
        <w:rPr>
          <w:rFonts w:ascii="Times New Roman" w:hAnsi="Times New Roman" w:cs="Times New Roman"/>
        </w:rPr>
        <w:t>Ibid</w:t>
      </w:r>
      <w:proofErr w:type="spellEnd"/>
      <w:r w:rsidRPr="00CE1B46">
        <w:rPr>
          <w:rFonts w:ascii="Times New Roman" w:hAnsi="Times New Roman" w:cs="Times New Roman"/>
        </w:rPr>
        <w:t>.</w:t>
      </w:r>
    </w:p>
  </w:footnote>
  <w:footnote w:id="17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JÍLEK, 2004,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510.</w:t>
      </w:r>
    </w:p>
  </w:footnote>
  <w:footnote w:id="17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Cílování inflace v ČR</w:t>
      </w:r>
      <w:r w:rsidRPr="00CE1B46">
        <w:rPr>
          <w:rFonts w:ascii="Times New Roman" w:hAnsi="Times New Roman" w:cs="Times New Roman"/>
        </w:rPr>
        <w:t xml:space="preserve"> [online]. Praha: Česká národní banka [cit. 2015-12-22].</w:t>
      </w:r>
    </w:p>
  </w:footnote>
  <w:footnote w:id="17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TŮMA, Ondřej. Očima expertů: Měnová intervence ČNB. Komu pomůže a komu ublíží? </w:t>
      </w:r>
      <w:r w:rsidRPr="00CE1B46">
        <w:rPr>
          <w:rFonts w:ascii="Times New Roman" w:hAnsi="Times New Roman" w:cs="Times New Roman"/>
          <w:i/>
        </w:rPr>
        <w:t>Peníze.cz</w:t>
      </w:r>
      <w:r w:rsidRPr="00CE1B46">
        <w:rPr>
          <w:rFonts w:ascii="Times New Roman" w:hAnsi="Times New Roman" w:cs="Times New Roman"/>
        </w:rPr>
        <w:t xml:space="preserve"> [online]. Publikováno 15. 11. 2013 [cit. 2015-12-23].</w:t>
      </w:r>
    </w:p>
  </w:footnote>
  <w:footnote w:id="18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Analýza vývoje ekonomiky ČR za rok 2014</w:t>
      </w:r>
      <w:r w:rsidRPr="00CE1B46">
        <w:rPr>
          <w:rFonts w:ascii="Times New Roman" w:hAnsi="Times New Roman" w:cs="Times New Roman"/>
        </w:rPr>
        <w:t xml:space="preserve"> [online]. Praha: Ministerstvo průmyslu a obchodu, publikováno 13. 7. 2015 [cit. 2015-12-23].</w:t>
      </w:r>
    </w:p>
  </w:footnote>
  <w:footnote w:id="18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Analýza vývoje ekonomiky ČR za rok 2013</w:t>
      </w:r>
      <w:r w:rsidRPr="00CE1B46">
        <w:rPr>
          <w:rFonts w:ascii="Times New Roman" w:hAnsi="Times New Roman" w:cs="Times New Roman"/>
        </w:rPr>
        <w:t xml:space="preserve"> [online]. Praha: Ministerstvo průmyslu a obchodu, publikováno 26. 5. 2014 [cit. 2015-12-23].</w:t>
      </w:r>
    </w:p>
  </w:footnote>
  <w:footnote w:id="18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BUREŠ, Jan. ČNB nemůže jít hlavou proti zdi. </w:t>
      </w:r>
      <w:r w:rsidRPr="00CE1B46">
        <w:rPr>
          <w:rFonts w:ascii="Times New Roman" w:hAnsi="Times New Roman" w:cs="Times New Roman"/>
          <w:i/>
        </w:rPr>
        <w:t>Hospodářské noviny</w:t>
      </w:r>
      <w:r w:rsidRPr="00CE1B46">
        <w:rPr>
          <w:rFonts w:ascii="Times New Roman" w:hAnsi="Times New Roman" w:cs="Times New Roman"/>
        </w:rPr>
        <w:t xml:space="preserve"> [online].</w:t>
      </w:r>
    </w:p>
  </w:footnote>
  <w:footnote w:id="18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DOLIAK, Michal; KARMAŽÍN; Branislav. </w:t>
      </w:r>
      <w:proofErr w:type="spellStart"/>
      <w:r w:rsidRPr="00CE1B46">
        <w:rPr>
          <w:rFonts w:ascii="Times New Roman" w:hAnsi="Times New Roman" w:cs="Times New Roman"/>
        </w:rPr>
        <w:t>Udržateĺnosť</w:t>
      </w:r>
      <w:proofErr w:type="spellEnd"/>
      <w:r>
        <w:rPr>
          <w:rFonts w:ascii="Times New Roman" w:hAnsi="Times New Roman" w:cs="Times New Roman"/>
        </w:rPr>
        <w:t xml:space="preserve"> </w:t>
      </w:r>
      <w:proofErr w:type="spellStart"/>
      <w:r w:rsidRPr="00CE1B46">
        <w:rPr>
          <w:rFonts w:ascii="Times New Roman" w:hAnsi="Times New Roman" w:cs="Times New Roman"/>
        </w:rPr>
        <w:t>inflácie</w:t>
      </w:r>
      <w:proofErr w:type="spellEnd"/>
      <w:r w:rsidRPr="00CE1B46">
        <w:rPr>
          <w:rFonts w:ascii="Times New Roman" w:hAnsi="Times New Roman" w:cs="Times New Roman"/>
        </w:rPr>
        <w:t xml:space="preserve">. </w:t>
      </w:r>
      <w:r w:rsidRPr="00CE1B46">
        <w:rPr>
          <w:rFonts w:ascii="Times New Roman" w:hAnsi="Times New Roman" w:cs="Times New Roman"/>
          <w:i/>
        </w:rPr>
        <w:t xml:space="preserve">Na </w:t>
      </w:r>
      <w:proofErr w:type="spellStart"/>
      <w:r w:rsidRPr="00CE1B46">
        <w:rPr>
          <w:rFonts w:ascii="Times New Roman" w:hAnsi="Times New Roman" w:cs="Times New Roman"/>
          <w:i/>
        </w:rPr>
        <w:t>aktuálnu</w:t>
      </w:r>
      <w:proofErr w:type="spellEnd"/>
      <w:r>
        <w:rPr>
          <w:rFonts w:ascii="Times New Roman" w:hAnsi="Times New Roman" w:cs="Times New Roman"/>
          <w:i/>
        </w:rPr>
        <w:t xml:space="preserve"> </w:t>
      </w:r>
      <w:proofErr w:type="spellStart"/>
      <w:r w:rsidRPr="00CE1B46">
        <w:rPr>
          <w:rFonts w:ascii="Times New Roman" w:hAnsi="Times New Roman" w:cs="Times New Roman"/>
          <w:i/>
        </w:rPr>
        <w:t>tému</w:t>
      </w:r>
      <w:proofErr w:type="spellEnd"/>
      <w:r w:rsidRPr="00CE1B46">
        <w:rPr>
          <w:rFonts w:ascii="Times New Roman" w:hAnsi="Times New Roman" w:cs="Times New Roman"/>
        </w:rPr>
        <w:t xml:space="preserve"> [online]. 2008, roč. 16, č. 5, s. 3.</w:t>
      </w:r>
    </w:p>
  </w:footnote>
  <w:footnote w:id="18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 2 ZČNB.</w:t>
      </w:r>
    </w:p>
  </w:footnote>
  <w:footnote w:id="185">
    <w:p w:rsidR="00E36923" w:rsidRPr="00CB745E" w:rsidRDefault="00E36923" w:rsidP="001E7829">
      <w:pPr>
        <w:pStyle w:val="Textpoznpodarou"/>
        <w:rPr>
          <w:rFonts w:ascii="Times New Roman" w:hAnsi="Times New Roman" w:cs="Times New Roman"/>
        </w:rPr>
      </w:pPr>
      <w:r>
        <w:rPr>
          <w:rStyle w:val="Znakapoznpodarou"/>
        </w:rPr>
        <w:footnoteRef/>
      </w:r>
      <w:r>
        <w:t xml:space="preserve"> </w:t>
      </w:r>
      <w:r>
        <w:rPr>
          <w:rFonts w:ascii="Times New Roman" w:hAnsi="Times New Roman" w:cs="Times New Roman"/>
        </w:rPr>
        <w:t>Každý z těchto ukazatelů lze také chápat jako samostatný vedlejší cíl.</w:t>
      </w:r>
    </w:p>
  </w:footnote>
  <w:footnote w:id="18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KLIKOVÁ; KOTLÁN a kol., 2012,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80.</w:t>
      </w:r>
    </w:p>
  </w:footnote>
  <w:footnote w:id="18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s. 32.</w:t>
      </w:r>
    </w:p>
  </w:footnote>
  <w:footnote w:id="18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PAVELKA, Tomáš. </w:t>
      </w:r>
      <w:r w:rsidRPr="00CE1B46">
        <w:rPr>
          <w:rFonts w:ascii="Times New Roman" w:hAnsi="Times New Roman" w:cs="Times New Roman"/>
          <w:i/>
        </w:rPr>
        <w:t>Makroekonomie: základní kurz</w:t>
      </w:r>
      <w:r w:rsidRPr="00CE1B46">
        <w:rPr>
          <w:rFonts w:ascii="Times New Roman" w:hAnsi="Times New Roman" w:cs="Times New Roman"/>
        </w:rPr>
        <w:t>. Praha: MELANDRIUM, 2007, s. 211-214.</w:t>
      </w:r>
    </w:p>
  </w:footnote>
  <w:footnote w:id="18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Výroční zpráva ČNB 1995</w:t>
      </w:r>
      <w:r w:rsidRPr="00CE1B46">
        <w:rPr>
          <w:rFonts w:ascii="Times New Roman" w:hAnsi="Times New Roman" w:cs="Times New Roman"/>
        </w:rPr>
        <w:t xml:space="preserve"> [online]. Praha: Česká národní banka, 1996 [cit. 2015-12-21].</w:t>
      </w:r>
    </w:p>
  </w:footnote>
  <w:footnote w:id="19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w:t>
      </w:r>
      <w:r w:rsidRPr="00CE1B46">
        <w:rPr>
          <w:rFonts w:ascii="Times New Roman" w:hAnsi="Times New Roman" w:cs="Times New Roman"/>
        </w:rPr>
        <w:t>Výroční zprávy z let 1996 a 1997.</w:t>
      </w:r>
    </w:p>
  </w:footnote>
  <w:footnote w:id="19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1993-1999 (nezávislá MP NBS)</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Základná úroková </w:t>
      </w:r>
      <w:proofErr w:type="spellStart"/>
      <w:r w:rsidRPr="00CE1B46">
        <w:rPr>
          <w:rFonts w:ascii="Times New Roman" w:hAnsi="Times New Roman" w:cs="Times New Roman"/>
          <w:i/>
        </w:rPr>
        <w:t>sadzba</w:t>
      </w:r>
      <w:proofErr w:type="spellEnd"/>
      <w:r w:rsidRPr="00CE1B46">
        <w:rPr>
          <w:rFonts w:ascii="Times New Roman" w:hAnsi="Times New Roman" w:cs="Times New Roman"/>
          <w:i/>
        </w:rPr>
        <w:t xml:space="preserve"> NBS\</w:t>
      </w:r>
      <w:proofErr w:type="spellStart"/>
      <w:r w:rsidRPr="00CE1B46">
        <w:rPr>
          <w:rFonts w:ascii="Times New Roman" w:hAnsi="Times New Roman" w:cs="Times New Roman"/>
          <w:i/>
        </w:rPr>
        <w:t>Limitná</w:t>
      </w:r>
      <w:proofErr w:type="spellEnd"/>
      <w:r w:rsidRPr="00CE1B46">
        <w:rPr>
          <w:rFonts w:ascii="Times New Roman" w:hAnsi="Times New Roman" w:cs="Times New Roman"/>
          <w:i/>
        </w:rPr>
        <w:t xml:space="preserve"> úroková </w:t>
      </w:r>
      <w:proofErr w:type="spellStart"/>
      <w:r w:rsidRPr="00CE1B46">
        <w:rPr>
          <w:rFonts w:ascii="Times New Roman" w:hAnsi="Times New Roman" w:cs="Times New Roman"/>
          <w:i/>
        </w:rPr>
        <w:t>sadzba</w:t>
      </w:r>
      <w:proofErr w:type="spellEnd"/>
      <w:r>
        <w:rPr>
          <w:rFonts w:ascii="Times New Roman" w:hAnsi="Times New Roman" w:cs="Times New Roman"/>
          <w:i/>
        </w:rPr>
        <w:t xml:space="preserve"> </w:t>
      </w:r>
      <w:proofErr w:type="spellStart"/>
      <w:r w:rsidRPr="00CE1B46">
        <w:rPr>
          <w:rFonts w:ascii="Times New Roman" w:hAnsi="Times New Roman" w:cs="Times New Roman"/>
          <w:i/>
        </w:rPr>
        <w:t>pre</w:t>
      </w:r>
      <w:proofErr w:type="spellEnd"/>
      <w:r>
        <w:rPr>
          <w:rFonts w:ascii="Times New Roman" w:hAnsi="Times New Roman" w:cs="Times New Roman"/>
          <w:i/>
        </w:rPr>
        <w:t xml:space="preserve"> </w:t>
      </w:r>
      <w:proofErr w:type="spellStart"/>
      <w:r w:rsidRPr="00CE1B46">
        <w:rPr>
          <w:rFonts w:ascii="Times New Roman" w:hAnsi="Times New Roman" w:cs="Times New Roman"/>
          <w:i/>
        </w:rPr>
        <w:t>dvojtýždňové</w:t>
      </w:r>
      <w:proofErr w:type="spellEnd"/>
      <w:r w:rsidRPr="00CE1B46">
        <w:rPr>
          <w:rFonts w:ascii="Times New Roman" w:hAnsi="Times New Roman" w:cs="Times New Roman"/>
          <w:i/>
        </w:rPr>
        <w:t xml:space="preserve"> REPO tendre</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Výroční zpráva ČNB 2002</w:t>
      </w:r>
      <w:r w:rsidRPr="00CE1B46">
        <w:rPr>
          <w:rFonts w:ascii="Times New Roman" w:hAnsi="Times New Roman" w:cs="Times New Roman"/>
        </w:rPr>
        <w:t xml:space="preserve"> [online]. Praha: Česká národní banka, 2003 [cit. 2015-12-04].</w:t>
      </w:r>
    </w:p>
  </w:footnote>
  <w:footnote w:id="19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1993-1999 (nezávislá MP NBS)</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2000-2004 (</w:t>
      </w:r>
      <w:proofErr w:type="spellStart"/>
      <w:r w:rsidRPr="00CE1B46">
        <w:rPr>
          <w:rFonts w:ascii="Times New Roman" w:hAnsi="Times New Roman" w:cs="Times New Roman"/>
          <w:i/>
        </w:rPr>
        <w:t>implicitné</w:t>
      </w:r>
      <w:proofErr w:type="spellEnd"/>
      <w:r>
        <w:rPr>
          <w:rFonts w:ascii="Times New Roman" w:hAnsi="Times New Roman" w:cs="Times New Roman"/>
          <w:i/>
        </w:rPr>
        <w:t xml:space="preserve"> </w:t>
      </w:r>
      <w:proofErr w:type="spellStart"/>
      <w:r w:rsidRPr="00CE1B46">
        <w:rPr>
          <w:rFonts w:ascii="Times New Roman" w:hAnsi="Times New Roman" w:cs="Times New Roman"/>
          <w:i/>
        </w:rPr>
        <w:t>inflačné</w:t>
      </w:r>
      <w:proofErr w:type="spellEnd"/>
      <w:r>
        <w:rPr>
          <w:rFonts w:ascii="Times New Roman" w:hAnsi="Times New Roman" w:cs="Times New Roman"/>
          <w:i/>
        </w:rPr>
        <w:t xml:space="preserve"> </w:t>
      </w:r>
      <w:proofErr w:type="spellStart"/>
      <w:r w:rsidRPr="00CE1B46">
        <w:rPr>
          <w:rFonts w:ascii="Times New Roman" w:hAnsi="Times New Roman" w:cs="Times New Roman"/>
          <w:i/>
        </w:rPr>
        <w:t>cielenie</w:t>
      </w:r>
      <w:proofErr w:type="spellEnd"/>
      <w:r w:rsidRPr="00CE1B46">
        <w:rPr>
          <w:rFonts w:ascii="Times New Roman" w:hAnsi="Times New Roman" w:cs="Times New Roman"/>
          <w:i/>
        </w:rPr>
        <w:t>)</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2005-2008 (</w:t>
      </w:r>
      <w:proofErr w:type="spellStart"/>
      <w:r w:rsidRPr="00CE1B46">
        <w:rPr>
          <w:rFonts w:ascii="Times New Roman" w:hAnsi="Times New Roman" w:cs="Times New Roman"/>
          <w:i/>
        </w:rPr>
        <w:t>inflačné</w:t>
      </w:r>
      <w:proofErr w:type="spellEnd"/>
      <w:r>
        <w:rPr>
          <w:rFonts w:ascii="Times New Roman" w:hAnsi="Times New Roman" w:cs="Times New Roman"/>
          <w:i/>
        </w:rPr>
        <w:t xml:space="preserve"> </w:t>
      </w:r>
      <w:proofErr w:type="spellStart"/>
      <w:r w:rsidRPr="00CE1B46">
        <w:rPr>
          <w:rFonts w:ascii="Times New Roman" w:hAnsi="Times New Roman" w:cs="Times New Roman"/>
          <w:i/>
        </w:rPr>
        <w:t>cielenie</w:t>
      </w:r>
      <w:proofErr w:type="spellEnd"/>
      <w:r w:rsidRPr="00CE1B46">
        <w:rPr>
          <w:rFonts w:ascii="Times New Roman" w:hAnsi="Times New Roman" w:cs="Times New Roman"/>
          <w:i/>
        </w:rPr>
        <w:t xml:space="preserve"> v ERM II)</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proofErr w:type="spellStart"/>
      <w:r w:rsidRPr="00CE1B46">
        <w:rPr>
          <w:rFonts w:ascii="Times New Roman" w:hAnsi="Times New Roman" w:cs="Times New Roman"/>
          <w:i/>
        </w:rPr>
        <w:t>Menová</w:t>
      </w:r>
      <w:proofErr w:type="spellEnd"/>
      <w:r w:rsidRPr="00CE1B46">
        <w:rPr>
          <w:rFonts w:ascii="Times New Roman" w:hAnsi="Times New Roman" w:cs="Times New Roman"/>
          <w:i/>
        </w:rPr>
        <w:t xml:space="preserve"> politika ECB (od roku 2009)</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Základná úroková </w:t>
      </w:r>
      <w:proofErr w:type="spellStart"/>
      <w:r w:rsidRPr="00CE1B46">
        <w:rPr>
          <w:rFonts w:ascii="Times New Roman" w:hAnsi="Times New Roman" w:cs="Times New Roman"/>
          <w:i/>
        </w:rPr>
        <w:t>sadzba</w:t>
      </w:r>
      <w:proofErr w:type="spellEnd"/>
      <w:r w:rsidRPr="00CE1B46">
        <w:rPr>
          <w:rFonts w:ascii="Times New Roman" w:hAnsi="Times New Roman" w:cs="Times New Roman"/>
          <w:i/>
        </w:rPr>
        <w:t xml:space="preserve"> NBS\</w:t>
      </w:r>
      <w:proofErr w:type="spellStart"/>
      <w:r w:rsidRPr="00CE1B46">
        <w:rPr>
          <w:rFonts w:ascii="Times New Roman" w:hAnsi="Times New Roman" w:cs="Times New Roman"/>
          <w:i/>
        </w:rPr>
        <w:t>Limitná</w:t>
      </w:r>
      <w:proofErr w:type="spellEnd"/>
      <w:r w:rsidRPr="00CE1B46">
        <w:rPr>
          <w:rFonts w:ascii="Times New Roman" w:hAnsi="Times New Roman" w:cs="Times New Roman"/>
          <w:i/>
        </w:rPr>
        <w:t xml:space="preserve"> úroková </w:t>
      </w:r>
      <w:proofErr w:type="spellStart"/>
      <w:r w:rsidRPr="00CE1B46">
        <w:rPr>
          <w:rFonts w:ascii="Times New Roman" w:hAnsi="Times New Roman" w:cs="Times New Roman"/>
          <w:i/>
        </w:rPr>
        <w:t>sadzba</w:t>
      </w:r>
      <w:proofErr w:type="spellEnd"/>
      <w:r>
        <w:rPr>
          <w:rFonts w:ascii="Times New Roman" w:hAnsi="Times New Roman" w:cs="Times New Roman"/>
          <w:i/>
        </w:rPr>
        <w:t xml:space="preserve"> </w:t>
      </w:r>
      <w:proofErr w:type="spellStart"/>
      <w:r w:rsidRPr="00CE1B46">
        <w:rPr>
          <w:rFonts w:ascii="Times New Roman" w:hAnsi="Times New Roman" w:cs="Times New Roman"/>
          <w:i/>
        </w:rPr>
        <w:t>pre</w:t>
      </w:r>
      <w:proofErr w:type="spellEnd"/>
      <w:r>
        <w:rPr>
          <w:rFonts w:ascii="Times New Roman" w:hAnsi="Times New Roman" w:cs="Times New Roman"/>
          <w:i/>
        </w:rPr>
        <w:t xml:space="preserve"> </w:t>
      </w:r>
      <w:proofErr w:type="spellStart"/>
      <w:r w:rsidRPr="00CE1B46">
        <w:rPr>
          <w:rFonts w:ascii="Times New Roman" w:hAnsi="Times New Roman" w:cs="Times New Roman"/>
          <w:i/>
        </w:rPr>
        <w:t>dvojtýždňové</w:t>
      </w:r>
      <w:proofErr w:type="spellEnd"/>
      <w:r w:rsidRPr="00CE1B46">
        <w:rPr>
          <w:rFonts w:ascii="Times New Roman" w:hAnsi="Times New Roman" w:cs="Times New Roman"/>
          <w:i/>
        </w:rPr>
        <w:t xml:space="preserve"> REPO tendre</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19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Úrokové </w:t>
      </w:r>
      <w:proofErr w:type="spellStart"/>
      <w:r w:rsidRPr="00CE1B46">
        <w:rPr>
          <w:rFonts w:ascii="Times New Roman" w:hAnsi="Times New Roman" w:cs="Times New Roman"/>
          <w:i/>
        </w:rPr>
        <w:t>sadzby</w:t>
      </w:r>
      <w:proofErr w:type="spellEnd"/>
      <w:r w:rsidRPr="00CE1B46">
        <w:rPr>
          <w:rFonts w:ascii="Times New Roman" w:hAnsi="Times New Roman" w:cs="Times New Roman"/>
          <w:i/>
        </w:rPr>
        <w:t xml:space="preserve"> ECB</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20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Jako ukazatel nezaměstnanosti jsem u všech tabulek v této části práce použil tzv. obecnou nezaměstnanost používanou jak </w:t>
      </w:r>
      <w:proofErr w:type="spellStart"/>
      <w:r w:rsidRPr="00CE1B46">
        <w:rPr>
          <w:rFonts w:ascii="Times New Roman" w:hAnsi="Times New Roman" w:cs="Times New Roman"/>
        </w:rPr>
        <w:t>Eurostatem</w:t>
      </w:r>
      <w:proofErr w:type="spellEnd"/>
      <w:r w:rsidRPr="00CE1B46">
        <w:rPr>
          <w:rFonts w:ascii="Times New Roman" w:hAnsi="Times New Roman" w:cs="Times New Roman"/>
        </w:rPr>
        <w:t xml:space="preserve"> a </w:t>
      </w:r>
      <w:proofErr w:type="spellStart"/>
      <w:r w:rsidRPr="00CE1B46">
        <w:rPr>
          <w:rFonts w:ascii="Times New Roman" w:hAnsi="Times New Roman" w:cs="Times New Roman"/>
        </w:rPr>
        <w:t>World</w:t>
      </w:r>
      <w:proofErr w:type="spellEnd"/>
      <w:r w:rsidRPr="00CE1B46">
        <w:rPr>
          <w:rFonts w:ascii="Times New Roman" w:hAnsi="Times New Roman" w:cs="Times New Roman"/>
        </w:rPr>
        <w:t xml:space="preserve"> bank, tak ČSÚ. Důvodem je vhodnost tohoto ukazatele pro mezinárodní srovnávání.</w:t>
      </w:r>
    </w:p>
  </w:footnote>
  <w:footnote w:id="20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Výroční zpráva ČNB 1997 </w:t>
      </w:r>
      <w:r w:rsidRPr="00CE1B46">
        <w:rPr>
          <w:rFonts w:ascii="Times New Roman" w:hAnsi="Times New Roman" w:cs="Times New Roman"/>
        </w:rPr>
        <w:t>[online]. Praha: Česká národní banka, 1998 [cit. 2015-12-04].</w:t>
      </w:r>
    </w:p>
  </w:footnote>
  <w:footnote w:id="20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Základná úroková </w:t>
      </w:r>
      <w:proofErr w:type="spellStart"/>
      <w:r w:rsidRPr="00CE1B46">
        <w:rPr>
          <w:rFonts w:ascii="Times New Roman" w:hAnsi="Times New Roman" w:cs="Times New Roman"/>
          <w:i/>
        </w:rPr>
        <w:t>sadzba</w:t>
      </w:r>
      <w:proofErr w:type="spellEnd"/>
      <w:r w:rsidRPr="00CE1B46">
        <w:rPr>
          <w:rFonts w:ascii="Times New Roman" w:hAnsi="Times New Roman" w:cs="Times New Roman"/>
          <w:i/>
        </w:rPr>
        <w:t xml:space="preserve"> NBS\</w:t>
      </w:r>
      <w:proofErr w:type="spellStart"/>
      <w:r w:rsidRPr="00CE1B46">
        <w:rPr>
          <w:rFonts w:ascii="Times New Roman" w:hAnsi="Times New Roman" w:cs="Times New Roman"/>
          <w:i/>
        </w:rPr>
        <w:t>Limitná</w:t>
      </w:r>
      <w:proofErr w:type="spellEnd"/>
      <w:r w:rsidRPr="00CE1B46">
        <w:rPr>
          <w:rFonts w:ascii="Times New Roman" w:hAnsi="Times New Roman" w:cs="Times New Roman"/>
          <w:i/>
        </w:rPr>
        <w:t xml:space="preserve"> úroková </w:t>
      </w:r>
      <w:proofErr w:type="spellStart"/>
      <w:r w:rsidRPr="00CE1B46">
        <w:rPr>
          <w:rFonts w:ascii="Times New Roman" w:hAnsi="Times New Roman" w:cs="Times New Roman"/>
          <w:i/>
        </w:rPr>
        <w:t>sadzba</w:t>
      </w:r>
      <w:proofErr w:type="spellEnd"/>
      <w:r>
        <w:rPr>
          <w:rFonts w:ascii="Times New Roman" w:hAnsi="Times New Roman" w:cs="Times New Roman"/>
          <w:i/>
        </w:rPr>
        <w:t xml:space="preserve"> </w:t>
      </w:r>
      <w:proofErr w:type="spellStart"/>
      <w:r w:rsidRPr="00CE1B46">
        <w:rPr>
          <w:rFonts w:ascii="Times New Roman" w:hAnsi="Times New Roman" w:cs="Times New Roman"/>
          <w:i/>
        </w:rPr>
        <w:t>pre</w:t>
      </w:r>
      <w:proofErr w:type="spellEnd"/>
      <w:r>
        <w:rPr>
          <w:rFonts w:ascii="Times New Roman" w:hAnsi="Times New Roman" w:cs="Times New Roman"/>
          <w:i/>
        </w:rPr>
        <w:t xml:space="preserve"> </w:t>
      </w:r>
      <w:proofErr w:type="spellStart"/>
      <w:r w:rsidRPr="00CE1B46">
        <w:rPr>
          <w:rFonts w:ascii="Times New Roman" w:hAnsi="Times New Roman" w:cs="Times New Roman"/>
          <w:i/>
        </w:rPr>
        <w:t>dvojtýždňové</w:t>
      </w:r>
      <w:proofErr w:type="spellEnd"/>
      <w:r w:rsidRPr="00CE1B46">
        <w:rPr>
          <w:rFonts w:ascii="Times New Roman" w:hAnsi="Times New Roman" w:cs="Times New Roman"/>
          <w:i/>
        </w:rPr>
        <w:t xml:space="preserve"> REPO tendre</w:t>
      </w:r>
      <w:r w:rsidRPr="00CE1B46">
        <w:rPr>
          <w:rFonts w:ascii="Times New Roman" w:hAnsi="Times New Roman" w:cs="Times New Roman"/>
        </w:rPr>
        <w:t xml:space="preserve"> [online]. Bratislava: </w:t>
      </w:r>
      <w:proofErr w:type="spellStart"/>
      <w:r w:rsidRPr="00CE1B46">
        <w:rPr>
          <w:rFonts w:ascii="Times New Roman" w:hAnsi="Times New Roman" w:cs="Times New Roman"/>
        </w:rPr>
        <w:t>Národná</w:t>
      </w:r>
      <w:proofErr w:type="spellEnd"/>
      <w:r w:rsidRPr="00CE1B46">
        <w:rPr>
          <w:rFonts w:ascii="Times New Roman" w:hAnsi="Times New Roman" w:cs="Times New Roman"/>
        </w:rPr>
        <w:t xml:space="preserve"> banka Slovenska [cit. 2016-01-22].</w:t>
      </w:r>
    </w:p>
  </w:footnote>
  <w:footnote w:id="20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w:t>
      </w:r>
      <w:proofErr w:type="spellStart"/>
      <w:proofErr w:type="gramStart"/>
      <w:r w:rsidRPr="00CE1B46">
        <w:rPr>
          <w:rFonts w:ascii="Times New Roman" w:hAnsi="Times New Roman" w:cs="Times New Roman"/>
          <w:color w:val="000000"/>
          <w:shd w:val="clear" w:color="auto" w:fill="FFFFFF"/>
        </w:rPr>
        <w:t>op</w:t>
      </w:r>
      <w:proofErr w:type="gramEnd"/>
      <w:r w:rsidRPr="00CE1B46">
        <w:rPr>
          <w:rFonts w:ascii="Times New Roman" w:hAnsi="Times New Roman" w:cs="Times New Roman"/>
          <w:color w:val="000000"/>
          <w:shd w:val="clear" w:color="auto" w:fill="FFFFFF"/>
        </w:rPr>
        <w:t>.</w:t>
      </w:r>
      <w:proofErr w:type="gramStart"/>
      <w:r w:rsidRPr="00CE1B46">
        <w:rPr>
          <w:rFonts w:ascii="Times New Roman" w:hAnsi="Times New Roman" w:cs="Times New Roman"/>
          <w:color w:val="000000"/>
          <w:shd w:val="clear" w:color="auto" w:fill="FFFFFF"/>
        </w:rPr>
        <w:t>cit</w:t>
      </w:r>
      <w:proofErr w:type="spellEnd"/>
      <w:proofErr w:type="gramEnd"/>
      <w:r w:rsidRPr="00CE1B46">
        <w:rPr>
          <w:rFonts w:ascii="Times New Roman" w:hAnsi="Times New Roman" w:cs="Times New Roman"/>
          <w:color w:val="000000"/>
          <w:shd w:val="clear" w:color="auto" w:fill="FFFFFF"/>
        </w:rPr>
        <w:t>., s. 32.</w:t>
      </w:r>
    </w:p>
  </w:footnote>
  <w:footnote w:id="20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BRČÁK; SEKERKA; STARÁ, 2014, </w:t>
      </w:r>
      <w:proofErr w:type="spellStart"/>
      <w:proofErr w:type="gramStart"/>
      <w:r w:rsidRPr="00CE1B46">
        <w:rPr>
          <w:rFonts w:ascii="Times New Roman" w:hAnsi="Times New Roman" w:cs="Times New Roman"/>
          <w:color w:val="000000"/>
          <w:shd w:val="clear" w:color="auto" w:fill="FFFFFF"/>
        </w:rPr>
        <w:t>op</w:t>
      </w:r>
      <w:proofErr w:type="gramEnd"/>
      <w:r w:rsidRPr="00CE1B46">
        <w:rPr>
          <w:rFonts w:ascii="Times New Roman" w:hAnsi="Times New Roman" w:cs="Times New Roman"/>
          <w:color w:val="000000"/>
          <w:shd w:val="clear" w:color="auto" w:fill="FFFFFF"/>
        </w:rPr>
        <w:t>.</w:t>
      </w:r>
      <w:proofErr w:type="gramStart"/>
      <w:r w:rsidRPr="00CE1B46">
        <w:rPr>
          <w:rFonts w:ascii="Times New Roman" w:hAnsi="Times New Roman" w:cs="Times New Roman"/>
          <w:color w:val="000000"/>
          <w:shd w:val="clear" w:color="auto" w:fill="FFFFFF"/>
        </w:rPr>
        <w:t>cit</w:t>
      </w:r>
      <w:proofErr w:type="spellEnd"/>
      <w:proofErr w:type="gramEnd"/>
      <w:r w:rsidRPr="00CE1B46">
        <w:rPr>
          <w:rFonts w:ascii="Times New Roman" w:hAnsi="Times New Roman" w:cs="Times New Roman"/>
          <w:color w:val="000000"/>
          <w:shd w:val="clear" w:color="auto" w:fill="FFFFFF"/>
        </w:rPr>
        <w:t>., s. 33.</w:t>
      </w:r>
    </w:p>
  </w:footnote>
  <w:footnote w:id="20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SOUKUP, Jindřich a kol. </w:t>
      </w:r>
      <w:r w:rsidRPr="00CE1B46">
        <w:rPr>
          <w:rFonts w:ascii="Times New Roman" w:hAnsi="Times New Roman" w:cs="Times New Roman"/>
          <w:i/>
          <w:color w:val="000000"/>
          <w:shd w:val="clear" w:color="auto" w:fill="FFFFFF"/>
        </w:rPr>
        <w:t>Makroekonomie: Moderní přístup</w:t>
      </w:r>
      <w:r w:rsidRPr="00CE1B46">
        <w:rPr>
          <w:rFonts w:ascii="Times New Roman" w:hAnsi="Times New Roman" w:cs="Times New Roman"/>
          <w:color w:val="000000"/>
          <w:shd w:val="clear" w:color="auto" w:fill="FFFFFF"/>
        </w:rPr>
        <w:t xml:space="preserve">. Praha: Management </w:t>
      </w:r>
      <w:proofErr w:type="spellStart"/>
      <w:r w:rsidRPr="00CE1B46">
        <w:rPr>
          <w:rFonts w:ascii="Times New Roman" w:hAnsi="Times New Roman" w:cs="Times New Roman"/>
          <w:color w:val="000000"/>
          <w:shd w:val="clear" w:color="auto" w:fill="FFFFFF"/>
        </w:rPr>
        <w:t>Press</w:t>
      </w:r>
      <w:proofErr w:type="spellEnd"/>
      <w:r w:rsidRPr="00CE1B46">
        <w:rPr>
          <w:rFonts w:ascii="Times New Roman" w:hAnsi="Times New Roman" w:cs="Times New Roman"/>
          <w:color w:val="000000"/>
          <w:shd w:val="clear" w:color="auto" w:fill="FFFFFF"/>
        </w:rPr>
        <w:t>, 2007, s. 200.</w:t>
      </w:r>
    </w:p>
  </w:footnote>
  <w:footnote w:id="20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2014 [cit. 2015-11-13].</w:t>
      </w:r>
    </w:p>
  </w:footnote>
  <w:footnote w:id="20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JANÁČKOVÁ, Stanislava. Euro – rozhodně nespěchat!. In: MACH, Petr (</w:t>
      </w:r>
      <w:proofErr w:type="spellStart"/>
      <w:r w:rsidRPr="00CE1B46">
        <w:rPr>
          <w:rFonts w:ascii="Times New Roman" w:hAnsi="Times New Roman" w:cs="Times New Roman"/>
          <w:color w:val="000000"/>
          <w:shd w:val="clear" w:color="auto" w:fill="FFFFFF"/>
        </w:rPr>
        <w:t>ed</w:t>
      </w:r>
      <w:proofErr w:type="spellEnd"/>
      <w:r w:rsidRPr="00CE1B46">
        <w:rPr>
          <w:rFonts w:ascii="Times New Roman" w:hAnsi="Times New Roman" w:cs="Times New Roman"/>
          <w:color w:val="000000"/>
          <w:shd w:val="clear" w:color="auto" w:fill="FFFFFF"/>
        </w:rPr>
        <w:t xml:space="preserve">.). </w:t>
      </w:r>
      <w:r w:rsidRPr="00CE1B46">
        <w:rPr>
          <w:rFonts w:ascii="Times New Roman" w:hAnsi="Times New Roman" w:cs="Times New Roman"/>
          <w:i/>
          <w:color w:val="000000"/>
          <w:shd w:val="clear" w:color="auto" w:fill="FFFFFF"/>
        </w:rPr>
        <w:t>Euro – dříve nebo později?</w:t>
      </w:r>
      <w:r w:rsidRPr="00CE1B46">
        <w:rPr>
          <w:rFonts w:ascii="Times New Roman" w:hAnsi="Times New Roman" w:cs="Times New Roman"/>
          <w:color w:val="000000"/>
          <w:shd w:val="clear" w:color="auto" w:fill="FFFFFF"/>
        </w:rPr>
        <w:t xml:space="preserve"> Praha: Centrum pro ekonomiku a politiku, 2007, s. 12.</w:t>
      </w:r>
    </w:p>
  </w:footnote>
  <w:footnote w:id="20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SINGER, Miroslav. Časování vstupu do eurozóny. In: MACH, Petr (</w:t>
      </w:r>
      <w:proofErr w:type="spellStart"/>
      <w:r w:rsidRPr="00CE1B46">
        <w:rPr>
          <w:rFonts w:ascii="Times New Roman" w:hAnsi="Times New Roman" w:cs="Times New Roman"/>
          <w:color w:val="000000"/>
          <w:shd w:val="clear" w:color="auto" w:fill="FFFFFF"/>
        </w:rPr>
        <w:t>ed</w:t>
      </w:r>
      <w:proofErr w:type="spellEnd"/>
      <w:r w:rsidRPr="00CE1B46">
        <w:rPr>
          <w:rFonts w:ascii="Times New Roman" w:hAnsi="Times New Roman" w:cs="Times New Roman"/>
          <w:color w:val="000000"/>
          <w:shd w:val="clear" w:color="auto" w:fill="FFFFFF"/>
        </w:rPr>
        <w:t xml:space="preserve">.). </w:t>
      </w:r>
      <w:r w:rsidRPr="00CE1B46">
        <w:rPr>
          <w:rFonts w:ascii="Times New Roman" w:hAnsi="Times New Roman" w:cs="Times New Roman"/>
          <w:i/>
          <w:color w:val="000000"/>
          <w:shd w:val="clear" w:color="auto" w:fill="FFFFFF"/>
        </w:rPr>
        <w:t>Euro – dříve nebo později?</w:t>
      </w:r>
      <w:r w:rsidRPr="00CE1B46">
        <w:rPr>
          <w:rFonts w:ascii="Times New Roman" w:hAnsi="Times New Roman" w:cs="Times New Roman"/>
          <w:color w:val="000000"/>
          <w:shd w:val="clear" w:color="auto" w:fill="FFFFFF"/>
        </w:rPr>
        <w:t xml:space="preserve"> Praha: Centrum pro ekonomiku a politiku, 2007, s. 31-33.</w:t>
      </w:r>
    </w:p>
  </w:footnote>
  <w:footnote w:id="20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zCs w:val="19"/>
          <w:shd w:val="clear" w:color="auto" w:fill="FFFFFF"/>
        </w:rPr>
        <w:t xml:space="preserve"> </w:t>
      </w:r>
      <w:r w:rsidRPr="00CE1B46">
        <w:rPr>
          <w:rFonts w:ascii="Times New Roman" w:hAnsi="Times New Roman" w:cs="Times New Roman"/>
          <w:color w:val="000000"/>
          <w:szCs w:val="19"/>
          <w:shd w:val="clear" w:color="auto" w:fill="FFFFFF"/>
        </w:rPr>
        <w:t xml:space="preserve">DVOROKOVÁ, Kateřina; HODULA, Martin. </w:t>
      </w:r>
      <w:r w:rsidRPr="00CE1B46">
        <w:rPr>
          <w:rFonts w:ascii="Times New Roman" w:hAnsi="Times New Roman" w:cs="Times New Roman"/>
        </w:rPr>
        <w:t xml:space="preserve">Modelling </w:t>
      </w:r>
      <w:proofErr w:type="spellStart"/>
      <w:r w:rsidRPr="00CE1B46">
        <w:rPr>
          <w:rFonts w:ascii="Times New Roman" w:hAnsi="Times New Roman" w:cs="Times New Roman"/>
        </w:rPr>
        <w:t>of</w:t>
      </w:r>
      <w:proofErr w:type="spellEnd"/>
      <w:r w:rsidRPr="00CE1B46">
        <w:rPr>
          <w:rFonts w:ascii="Times New Roman" w:hAnsi="Times New Roman" w:cs="Times New Roman"/>
        </w:rPr>
        <w:t xml:space="preserve"> Maastricht </w:t>
      </w:r>
      <w:proofErr w:type="spellStart"/>
      <w:r w:rsidRPr="00CE1B46">
        <w:rPr>
          <w:rFonts w:ascii="Times New Roman" w:hAnsi="Times New Roman" w:cs="Times New Roman"/>
        </w:rPr>
        <w:t>Convergence</w:t>
      </w:r>
      <w:proofErr w:type="spellEnd"/>
      <w:r>
        <w:rPr>
          <w:rFonts w:ascii="Times New Roman" w:hAnsi="Times New Roman" w:cs="Times New Roman"/>
        </w:rPr>
        <w:t xml:space="preserve"> </w:t>
      </w:r>
      <w:proofErr w:type="spellStart"/>
      <w:r w:rsidRPr="00CE1B46">
        <w:rPr>
          <w:rFonts w:ascii="Times New Roman" w:hAnsi="Times New Roman" w:cs="Times New Roman"/>
        </w:rPr>
        <w:t>Criteria</w:t>
      </w:r>
      <w:proofErr w:type="spellEnd"/>
      <w:r w:rsidRPr="00CE1B46">
        <w:rPr>
          <w:rFonts w:ascii="Times New Roman" w:hAnsi="Times New Roman" w:cs="Times New Roman"/>
        </w:rPr>
        <w:t xml:space="preserve"> Influence on </w:t>
      </w:r>
      <w:proofErr w:type="spellStart"/>
      <w:r w:rsidRPr="00CE1B46">
        <w:rPr>
          <w:rFonts w:ascii="Times New Roman" w:hAnsi="Times New Roman" w:cs="Times New Roman"/>
        </w:rPr>
        <w:t>Economic</w:t>
      </w:r>
      <w:proofErr w:type="spellEnd"/>
      <w:r>
        <w:rPr>
          <w:rFonts w:ascii="Times New Roman" w:hAnsi="Times New Roman" w:cs="Times New Roman"/>
        </w:rPr>
        <w:t xml:space="preserve"> </w:t>
      </w:r>
      <w:proofErr w:type="spellStart"/>
      <w:r w:rsidRPr="00CE1B46">
        <w:rPr>
          <w:rFonts w:ascii="Times New Roman" w:hAnsi="Times New Roman" w:cs="Times New Roman"/>
        </w:rPr>
        <w:t>Growth</w:t>
      </w:r>
      <w:proofErr w:type="spellEnd"/>
      <w:r w:rsidRPr="00CE1B46">
        <w:rPr>
          <w:rFonts w:ascii="Times New Roman" w:hAnsi="Times New Roman" w:cs="Times New Roman"/>
        </w:rPr>
        <w:t xml:space="preserve">: </w:t>
      </w:r>
      <w:proofErr w:type="spellStart"/>
      <w:r w:rsidRPr="00CE1B46">
        <w:rPr>
          <w:rFonts w:ascii="Times New Roman" w:hAnsi="Times New Roman" w:cs="Times New Roman"/>
        </w:rPr>
        <w:t>an</w:t>
      </w:r>
      <w:proofErr w:type="spellEnd"/>
      <w:r>
        <w:rPr>
          <w:rFonts w:ascii="Times New Roman" w:hAnsi="Times New Roman" w:cs="Times New Roman"/>
        </w:rPr>
        <w:t xml:space="preserve"> </w:t>
      </w:r>
      <w:proofErr w:type="spellStart"/>
      <w:r w:rsidRPr="00CE1B46">
        <w:rPr>
          <w:rFonts w:ascii="Times New Roman" w:hAnsi="Times New Roman" w:cs="Times New Roman"/>
        </w:rPr>
        <w:t>empirical</w:t>
      </w:r>
      <w:proofErr w:type="spellEnd"/>
      <w:r w:rsidRPr="00CE1B46">
        <w:rPr>
          <w:rFonts w:ascii="Times New Roman" w:hAnsi="Times New Roman" w:cs="Times New Roman"/>
        </w:rPr>
        <w:t xml:space="preserve"> study </w:t>
      </w:r>
      <w:proofErr w:type="spellStart"/>
      <w:r w:rsidRPr="00CE1B46">
        <w:rPr>
          <w:rFonts w:ascii="Times New Roman" w:hAnsi="Times New Roman" w:cs="Times New Roman"/>
        </w:rPr>
        <w:t>of</w:t>
      </w:r>
      <w:proofErr w:type="spellEnd"/>
      <w:r>
        <w:rPr>
          <w:rFonts w:ascii="Times New Roman" w:hAnsi="Times New Roman" w:cs="Times New Roman"/>
        </w:rPr>
        <w:t xml:space="preserve"> </w:t>
      </w:r>
      <w:proofErr w:type="spellStart"/>
      <w:r w:rsidRPr="00CE1B46">
        <w:rPr>
          <w:rFonts w:ascii="Times New Roman" w:hAnsi="Times New Roman" w:cs="Times New Roman"/>
        </w:rPr>
        <w:t>Visegrad</w:t>
      </w:r>
      <w:proofErr w:type="spellEnd"/>
      <w:r w:rsidRPr="00CE1B46">
        <w:rPr>
          <w:rFonts w:ascii="Times New Roman" w:hAnsi="Times New Roman" w:cs="Times New Roman"/>
        </w:rPr>
        <w:t xml:space="preserve"> Group </w:t>
      </w:r>
      <w:proofErr w:type="spellStart"/>
      <w:r w:rsidRPr="00CE1B46">
        <w:rPr>
          <w:rFonts w:ascii="Times New Roman" w:hAnsi="Times New Roman" w:cs="Times New Roman"/>
        </w:rPr>
        <w:t>countries</w:t>
      </w:r>
      <w:proofErr w:type="spellEnd"/>
      <w:r w:rsidRPr="00CE1B46">
        <w:rPr>
          <w:rFonts w:ascii="Times New Roman" w:hAnsi="Times New Roman" w:cs="Times New Roman"/>
        </w:rPr>
        <w:t xml:space="preserve">. </w:t>
      </w:r>
      <w:r w:rsidRPr="00CE1B46">
        <w:rPr>
          <w:rFonts w:ascii="Times New Roman" w:hAnsi="Times New Roman" w:cs="Times New Roman"/>
          <w:i/>
        </w:rPr>
        <w:t xml:space="preserve">WSEAS TRANSACTIONS on BUSINESS and ECONOMICS </w:t>
      </w:r>
      <w:r w:rsidRPr="00CE1B46">
        <w:rPr>
          <w:rFonts w:ascii="Times New Roman" w:hAnsi="Times New Roman" w:cs="Times New Roman"/>
        </w:rPr>
        <w:t>[online]</w:t>
      </w:r>
      <w:r w:rsidRPr="00CE1B46">
        <w:rPr>
          <w:rFonts w:ascii="Times New Roman" w:hAnsi="Times New Roman" w:cs="Times New Roman"/>
          <w:i/>
        </w:rPr>
        <w:t>.</w:t>
      </w:r>
      <w:r w:rsidRPr="00CE1B46">
        <w:rPr>
          <w:rFonts w:ascii="Times New Roman" w:hAnsi="Times New Roman" w:cs="Times New Roman"/>
        </w:rPr>
        <w:t xml:space="preserve"> 2014, vol. 11, s. 357.</w:t>
      </w:r>
    </w:p>
  </w:footnote>
  <w:footnote w:id="21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SINGER, 2007, op. </w:t>
      </w:r>
      <w:proofErr w:type="gramStart"/>
      <w:r w:rsidRPr="00CE1B46">
        <w:rPr>
          <w:rFonts w:ascii="Times New Roman" w:hAnsi="Times New Roman" w:cs="Times New Roman"/>
        </w:rPr>
        <w:t>cit</w:t>
      </w:r>
      <w:proofErr w:type="gramEnd"/>
      <w:r w:rsidRPr="00CE1B46">
        <w:rPr>
          <w:rFonts w:ascii="Times New Roman" w:hAnsi="Times New Roman" w:cs="Times New Roman"/>
        </w:rPr>
        <w:t>., s. 27-30.</w:t>
      </w:r>
    </w:p>
  </w:footnote>
  <w:footnote w:id="21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SKOPEČEK, Jan. Jak se rozhodovat o přijetí eura?. In: MACH, Petr (</w:t>
      </w:r>
      <w:proofErr w:type="spellStart"/>
      <w:r w:rsidRPr="00CE1B46">
        <w:rPr>
          <w:rFonts w:ascii="Times New Roman" w:hAnsi="Times New Roman" w:cs="Times New Roman"/>
          <w:color w:val="000000"/>
          <w:shd w:val="clear" w:color="auto" w:fill="FFFFFF"/>
        </w:rPr>
        <w:t>ed</w:t>
      </w:r>
      <w:proofErr w:type="spellEnd"/>
      <w:r w:rsidRPr="00CE1B46">
        <w:rPr>
          <w:rFonts w:ascii="Times New Roman" w:hAnsi="Times New Roman" w:cs="Times New Roman"/>
          <w:color w:val="000000"/>
          <w:shd w:val="clear" w:color="auto" w:fill="FFFFFF"/>
        </w:rPr>
        <w:t xml:space="preserve">.). </w:t>
      </w:r>
      <w:r w:rsidRPr="00CE1B46">
        <w:rPr>
          <w:rFonts w:ascii="Times New Roman" w:hAnsi="Times New Roman" w:cs="Times New Roman"/>
          <w:i/>
          <w:color w:val="000000"/>
          <w:shd w:val="clear" w:color="auto" w:fill="FFFFFF"/>
        </w:rPr>
        <w:t>Euro – dříve nebo později?</w:t>
      </w:r>
      <w:r w:rsidRPr="00CE1B46">
        <w:rPr>
          <w:rFonts w:ascii="Times New Roman" w:hAnsi="Times New Roman" w:cs="Times New Roman"/>
          <w:color w:val="000000"/>
          <w:shd w:val="clear" w:color="auto" w:fill="FFFFFF"/>
        </w:rPr>
        <w:t xml:space="preserve"> Praha: Centrum pro ekonomiku a politiku, 2007, s. 61.</w:t>
      </w:r>
    </w:p>
  </w:footnote>
  <w:footnote w:id="21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SINGER, 2007, op. </w:t>
      </w:r>
      <w:proofErr w:type="gramStart"/>
      <w:r w:rsidRPr="00CE1B46">
        <w:rPr>
          <w:rFonts w:ascii="Times New Roman" w:hAnsi="Times New Roman" w:cs="Times New Roman"/>
        </w:rPr>
        <w:t>cit</w:t>
      </w:r>
      <w:proofErr w:type="gramEnd"/>
      <w:r w:rsidRPr="00CE1B46">
        <w:rPr>
          <w:rFonts w:ascii="Times New Roman" w:hAnsi="Times New Roman" w:cs="Times New Roman"/>
        </w:rPr>
        <w:t>., s. 29.</w:t>
      </w:r>
    </w:p>
  </w:footnote>
  <w:footnote w:id="21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Konsolidované znění Smlouvy o fungování Evropské unie č. 2012/C 326/01 ze dne 26. října 2012. In: </w:t>
      </w:r>
      <w:r w:rsidRPr="00CE1B46">
        <w:rPr>
          <w:rFonts w:ascii="Times New Roman" w:hAnsi="Times New Roman" w:cs="Times New Roman"/>
          <w:i/>
        </w:rPr>
        <w:t>EUR-lex</w:t>
      </w:r>
      <w:r w:rsidRPr="00CE1B46">
        <w:rPr>
          <w:rFonts w:ascii="Times New Roman" w:hAnsi="Times New Roman" w:cs="Times New Roman"/>
        </w:rPr>
        <w:t xml:space="preserve"> [právní informační systém]. Úřad pro publikace Evropské unie [cit. 2015-11-14].</w:t>
      </w:r>
    </w:p>
  </w:footnote>
  <w:footnote w:id="21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1 Protokolu o kritériích konvergence</w:t>
      </w:r>
    </w:p>
  </w:footnote>
  <w:footnote w:id="21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2010 [cit. 2015-11-13].</w:t>
      </w:r>
    </w:p>
  </w:footnote>
  <w:footnote w:id="21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leden 2005 [cit. 2015-11-13].</w:t>
      </w:r>
    </w:p>
  </w:footnote>
  <w:footnote w:id="21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listopad 2005 [cit. 2015-11-13].</w:t>
      </w:r>
    </w:p>
  </w:footnote>
  <w:footnote w:id="21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2008 [cit. 2015-11-13].</w:t>
      </w:r>
    </w:p>
  </w:footnote>
  <w:footnote w:id="21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Konvergenční zpráva 2012 </w:t>
      </w:r>
      <w:r w:rsidRPr="00CE1B46">
        <w:rPr>
          <w:rFonts w:ascii="Times New Roman" w:hAnsi="Times New Roman" w:cs="Times New Roman"/>
        </w:rPr>
        <w:t xml:space="preserve">[online]. </w:t>
      </w:r>
      <w:proofErr w:type="spellStart"/>
      <w:r w:rsidRPr="00CE1B46">
        <w:rPr>
          <w:rFonts w:ascii="Times New Roman" w:hAnsi="Times New Roman" w:cs="Times New Roman"/>
        </w:rPr>
        <w:t>Frankfukt</w:t>
      </w:r>
      <w:proofErr w:type="spellEnd"/>
      <w:r w:rsidRPr="00CE1B46">
        <w:rPr>
          <w:rFonts w:ascii="Times New Roman" w:hAnsi="Times New Roman" w:cs="Times New Roman"/>
        </w:rPr>
        <w:t xml:space="preserve"> nad Mohanem: Evropská centrální banka, 2012 [cit. 2015-11-14].</w:t>
      </w:r>
    </w:p>
  </w:footnote>
  <w:footnote w:id="22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Inflační cíl ČNB od ledna 2006</w:t>
      </w:r>
      <w:r w:rsidRPr="00CE1B46">
        <w:rPr>
          <w:rFonts w:ascii="Times New Roman" w:hAnsi="Times New Roman" w:cs="Times New Roman"/>
        </w:rPr>
        <w:t xml:space="preserve"> [online]. Praha: Česká národní banka, 2004 [cit. 2015-09-06].</w:t>
      </w:r>
    </w:p>
  </w:footnote>
  <w:footnote w:id="22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Inflace - druhy, definice, tabulky</w:t>
      </w:r>
      <w:r w:rsidRPr="00CE1B46">
        <w:rPr>
          <w:rFonts w:ascii="Times New Roman" w:hAnsi="Times New Roman" w:cs="Times New Roman"/>
        </w:rPr>
        <w:t xml:space="preserve"> [online]. Praha: Český statistický úřad [cit. 2015-11-14].</w:t>
      </w:r>
    </w:p>
  </w:footnote>
  <w:footnote w:id="22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2014 [cit. 2015-11-13].</w:t>
      </w:r>
    </w:p>
  </w:footnote>
  <w:footnote w:id="22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rPr>
        <w:t xml:space="preserve"> </w:t>
      </w:r>
      <w:proofErr w:type="spellStart"/>
      <w:r w:rsidRPr="00CE1B46">
        <w:rPr>
          <w:rFonts w:ascii="Times New Roman" w:hAnsi="Times New Roman" w:cs="Times New Roman"/>
        </w:rPr>
        <w:t>Ibid</w:t>
      </w:r>
      <w:proofErr w:type="spellEnd"/>
      <w:r w:rsidRPr="00CE1B46">
        <w:rPr>
          <w:rFonts w:ascii="Times New Roman" w:hAnsi="Times New Roman" w:cs="Times New Roman"/>
        </w:rPr>
        <w:t>.</w:t>
      </w:r>
    </w:p>
  </w:footnote>
  <w:footnote w:id="22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2010 [cit. 2015-11-13].</w:t>
      </w:r>
    </w:p>
  </w:footnote>
  <w:footnote w:id="22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i/>
        </w:rPr>
        <w:t xml:space="preserve"> 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2014 [cit. 2015-11-13].</w:t>
      </w:r>
    </w:p>
  </w:footnote>
  <w:footnote w:id="226">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Výroční zprávy NBS z let 2005 – 2008.</w:t>
      </w:r>
    </w:p>
  </w:footnote>
  <w:footnote w:id="227">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Čl. 13 Protokolu o kritériích konvergence</w:t>
      </w:r>
    </w:p>
  </w:footnote>
  <w:footnote w:id="228">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2014 [cit. 2015-11-13].</w:t>
      </w:r>
    </w:p>
  </w:footnote>
  <w:footnote w:id="229">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 xml:space="preserve">Konvergenční zpráva 2014 </w:t>
      </w:r>
      <w:r w:rsidRPr="00CE1B46">
        <w:rPr>
          <w:rFonts w:ascii="Times New Roman" w:hAnsi="Times New Roman" w:cs="Times New Roman"/>
        </w:rPr>
        <w:t xml:space="preserve">[online]. </w:t>
      </w:r>
      <w:proofErr w:type="spellStart"/>
      <w:r w:rsidRPr="00CE1B46">
        <w:rPr>
          <w:rFonts w:ascii="Times New Roman" w:hAnsi="Times New Roman" w:cs="Times New Roman"/>
        </w:rPr>
        <w:t>Frankfukt</w:t>
      </w:r>
      <w:proofErr w:type="spellEnd"/>
      <w:r w:rsidRPr="00CE1B46">
        <w:rPr>
          <w:rFonts w:ascii="Times New Roman" w:hAnsi="Times New Roman" w:cs="Times New Roman"/>
        </w:rPr>
        <w:t xml:space="preserve"> nad Mohanem: Evropská centrální banka, 2014 [cit. 2015-11-22].</w:t>
      </w:r>
    </w:p>
  </w:footnote>
  <w:footnote w:id="230">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2014 [cit. 2015-11-13].</w:t>
      </w:r>
    </w:p>
  </w:footnote>
  <w:footnote w:id="231">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ČERMÁK, Petr. V krizi dokáže ČNB ovlivňovat úrokové sazby jen obtížně. </w:t>
      </w:r>
      <w:r w:rsidRPr="00CE1B46">
        <w:rPr>
          <w:rFonts w:ascii="Times New Roman" w:hAnsi="Times New Roman" w:cs="Times New Roman"/>
          <w:i/>
        </w:rPr>
        <w:t>Peníze.cz</w:t>
      </w:r>
      <w:r w:rsidRPr="00CE1B46">
        <w:rPr>
          <w:rFonts w:ascii="Times New Roman" w:hAnsi="Times New Roman" w:cs="Times New Roman"/>
        </w:rPr>
        <w:t xml:space="preserve"> [online]. Publikováno 9. 2. 2009 [cit. 2015-11-23].</w:t>
      </w:r>
    </w:p>
  </w:footnote>
  <w:footnote w:id="232">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i/>
        </w:rPr>
        <w:t xml:space="preserve"> </w:t>
      </w:r>
      <w:r w:rsidRPr="00CE1B46">
        <w:rPr>
          <w:rFonts w:ascii="Times New Roman" w:hAnsi="Times New Roman" w:cs="Times New Roman"/>
          <w:i/>
        </w:rPr>
        <w:t>Vyhodnocení plnění maastrichtských konvergenčních kritérií a stupně ekonomické sladěnosti ČR s eurozónou</w:t>
      </w:r>
      <w:r w:rsidRPr="00CE1B46">
        <w:rPr>
          <w:rFonts w:ascii="Times New Roman" w:hAnsi="Times New Roman" w:cs="Times New Roman"/>
        </w:rPr>
        <w:t xml:space="preserve"> [online]. Praha: Česká národní banka a Ministerstvo financí ČR, 2014 [cit. 2015-11-13].</w:t>
      </w:r>
    </w:p>
  </w:footnote>
  <w:footnote w:id="233">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sidRPr="00CE1B46">
        <w:rPr>
          <w:rFonts w:ascii="Times New Roman" w:hAnsi="Times New Roman" w:cs="Times New Roman"/>
        </w:rPr>
        <w:t xml:space="preserve"> Výroční zprávy NBS z let 2006 – 2008.</w:t>
      </w:r>
    </w:p>
  </w:footnote>
  <w:footnote w:id="234">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MANDEL, Martin; TOMŠÍK, Vladimír. </w:t>
      </w:r>
      <w:r w:rsidRPr="00CE1B46">
        <w:rPr>
          <w:rFonts w:ascii="Times New Roman" w:hAnsi="Times New Roman" w:cs="Times New Roman"/>
          <w:i/>
          <w:color w:val="000000"/>
          <w:shd w:val="clear" w:color="auto" w:fill="FFFFFF"/>
        </w:rPr>
        <w:t>Monetární ekonomie v malé otevřené ekonomice</w:t>
      </w:r>
      <w:r w:rsidRPr="00CE1B46">
        <w:rPr>
          <w:rFonts w:ascii="Times New Roman" w:hAnsi="Times New Roman" w:cs="Times New Roman"/>
          <w:color w:val="000000"/>
          <w:shd w:val="clear" w:color="auto" w:fill="FFFFFF"/>
        </w:rPr>
        <w:t xml:space="preserve">. 2. vyd. Praha. Management </w:t>
      </w:r>
      <w:proofErr w:type="spellStart"/>
      <w:r w:rsidRPr="00CE1B46">
        <w:rPr>
          <w:rFonts w:ascii="Times New Roman" w:hAnsi="Times New Roman" w:cs="Times New Roman"/>
          <w:color w:val="000000"/>
          <w:shd w:val="clear" w:color="auto" w:fill="FFFFFF"/>
        </w:rPr>
        <w:t>Press</w:t>
      </w:r>
      <w:proofErr w:type="spellEnd"/>
      <w:r w:rsidRPr="00CE1B46">
        <w:rPr>
          <w:rFonts w:ascii="Times New Roman" w:hAnsi="Times New Roman" w:cs="Times New Roman"/>
          <w:color w:val="000000"/>
          <w:shd w:val="clear" w:color="auto" w:fill="FFFFFF"/>
        </w:rPr>
        <w:t>, 2008, 260 – 261.</w:t>
      </w:r>
    </w:p>
  </w:footnote>
  <w:footnote w:id="235">
    <w:p w:rsidR="00E36923" w:rsidRPr="00CE1B46" w:rsidRDefault="00E36923" w:rsidP="001E7829">
      <w:pPr>
        <w:pStyle w:val="Textpoznpodarou"/>
        <w:jc w:val="both"/>
        <w:rPr>
          <w:rFonts w:ascii="Times New Roman" w:hAnsi="Times New Roman" w:cs="Times New Roman"/>
        </w:rPr>
      </w:pPr>
      <w:r w:rsidRPr="00CE1B46">
        <w:rPr>
          <w:rStyle w:val="Znakapoznpodarou"/>
          <w:rFonts w:ascii="Times New Roman" w:hAnsi="Times New Roman" w:cs="Times New Roman"/>
        </w:rPr>
        <w:footnoteRef/>
      </w:r>
      <w:r>
        <w:rPr>
          <w:rFonts w:ascii="Times New Roman" w:hAnsi="Times New Roman" w:cs="Times New Roman"/>
          <w:color w:val="000000"/>
          <w:shd w:val="clear" w:color="auto" w:fill="FFFFFF"/>
        </w:rPr>
        <w:t xml:space="preserve"> </w:t>
      </w:r>
      <w:r w:rsidRPr="00CE1B46">
        <w:rPr>
          <w:rFonts w:ascii="Times New Roman" w:hAnsi="Times New Roman" w:cs="Times New Roman"/>
          <w:color w:val="000000"/>
          <w:shd w:val="clear" w:color="auto" w:fill="FFFFFF"/>
        </w:rPr>
        <w:t xml:space="preserve">MANDEL; TOMŠÍK, 2008, op. </w:t>
      </w:r>
      <w:proofErr w:type="gramStart"/>
      <w:r w:rsidRPr="00CE1B46">
        <w:rPr>
          <w:rFonts w:ascii="Times New Roman" w:hAnsi="Times New Roman" w:cs="Times New Roman"/>
          <w:color w:val="000000"/>
          <w:shd w:val="clear" w:color="auto" w:fill="FFFFFF"/>
        </w:rPr>
        <w:t>cit</w:t>
      </w:r>
      <w:proofErr w:type="gramEnd"/>
      <w:r w:rsidRPr="00CE1B46">
        <w:rPr>
          <w:rFonts w:ascii="Times New Roman" w:hAnsi="Times New Roman" w:cs="Times New Roman"/>
          <w:color w:val="000000"/>
          <w:shd w:val="clear" w:color="auto" w:fill="FFFFFF"/>
        </w:rPr>
        <w:t>., 228 – 231.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923" w:rsidRDefault="00E36923">
    <w:pPr>
      <w:pStyle w:val="Zhlav"/>
      <w:jc w:val="center"/>
    </w:pPr>
  </w:p>
  <w:p w:rsidR="00E36923" w:rsidRDefault="00E3692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72242"/>
    <w:multiLevelType w:val="hybridMultilevel"/>
    <w:tmpl w:val="13144980"/>
    <w:lvl w:ilvl="0" w:tplc="B4722436">
      <w:start w:val="1"/>
      <w:numFmt w:val="decimal"/>
      <w:lvlText w:val="%1)"/>
      <w:lvlJc w:val="left"/>
      <w:pPr>
        <w:ind w:left="720" w:hanging="360"/>
      </w:pPr>
      <w:rPr>
        <w:rFonts w:ascii="Times New Roman" w:hAnsi="Times New Roman" w:cs="Times New Roman" w:hint="default"/>
        <w:b w:val="0"/>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E36581E"/>
    <w:multiLevelType w:val="hybridMultilevel"/>
    <w:tmpl w:val="0B4EFCD4"/>
    <w:lvl w:ilvl="0" w:tplc="1BC49DE0">
      <w:start w:val="1"/>
      <w:numFmt w:val="decimal"/>
      <w:pStyle w:val="431"/>
      <w:lvlText w:val="3.3.%1."/>
      <w:lvlJc w:val="left"/>
      <w:pPr>
        <w:ind w:left="92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nsid w:val="171F3DA0"/>
    <w:multiLevelType w:val="hybridMultilevel"/>
    <w:tmpl w:val="33BADB26"/>
    <w:lvl w:ilvl="0" w:tplc="0130D53A">
      <w:start w:val="1"/>
      <w:numFmt w:val="decimal"/>
      <w:pStyle w:val="seznam"/>
      <w:lvlText w:val="%1)"/>
      <w:lvlJc w:val="right"/>
      <w:pPr>
        <w:ind w:left="720" w:hanging="360"/>
      </w:pPr>
      <w:rPr>
        <w:rFonts w:hint="default"/>
        <w:b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7A07992"/>
    <w:multiLevelType w:val="hybridMultilevel"/>
    <w:tmpl w:val="152449E2"/>
    <w:lvl w:ilvl="0" w:tplc="0405000F">
      <w:start w:val="1"/>
      <w:numFmt w:val="decimal"/>
      <w:lvlText w:val="%1."/>
      <w:lvlJc w:val="left"/>
      <w:pPr>
        <w:ind w:left="720" w:hanging="360"/>
      </w:pPr>
      <w:rPr>
        <w:rFonts w:hint="default"/>
      </w:rPr>
    </w:lvl>
    <w:lvl w:ilvl="1" w:tplc="3CCA630A">
      <w:start w:val="1"/>
      <w:numFmt w:val="decimal"/>
      <w:lvlText w:val="2.%2."/>
      <w:lvlJc w:val="right"/>
      <w:pPr>
        <w:ind w:left="1440" w:hanging="360"/>
      </w:pPr>
      <w:rPr>
        <w:rFonts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8F7530B"/>
    <w:multiLevelType w:val="hybridMultilevel"/>
    <w:tmpl w:val="5FC21156"/>
    <w:lvl w:ilvl="0" w:tplc="735C2546">
      <w:start w:val="1"/>
      <w:numFmt w:val="decimal"/>
      <w:pStyle w:val="411"/>
      <w:lvlText w:val="3.1.%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38BD5709"/>
    <w:multiLevelType w:val="hybridMultilevel"/>
    <w:tmpl w:val="D652855A"/>
    <w:lvl w:ilvl="0" w:tplc="AB8A4636">
      <w:start w:val="1"/>
      <w:numFmt w:val="decimal"/>
      <w:pStyle w:val="31"/>
      <w:lvlText w:val="3.%1."/>
      <w:lvlJc w:val="left"/>
      <w:pPr>
        <w:ind w:left="71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AA33BF3"/>
    <w:multiLevelType w:val="hybridMultilevel"/>
    <w:tmpl w:val="4B2EB2B2"/>
    <w:lvl w:ilvl="0" w:tplc="E8CC67F4">
      <w:start w:val="1"/>
      <w:numFmt w:val="decimal"/>
      <w:pStyle w:val="1"/>
      <w:lvlText w:val="%1."/>
      <w:lvlJc w:val="right"/>
      <w:pPr>
        <w:ind w:left="717"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29C1BD5"/>
    <w:multiLevelType w:val="hybridMultilevel"/>
    <w:tmpl w:val="66F0886C"/>
    <w:lvl w:ilvl="0" w:tplc="F976BDFE">
      <w:start w:val="1"/>
      <w:numFmt w:val="decimal"/>
      <w:lvlText w:val="2.%1."/>
      <w:lvlJc w:val="left"/>
      <w:pPr>
        <w:ind w:left="717"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8">
    <w:nsid w:val="44F93C05"/>
    <w:multiLevelType w:val="hybridMultilevel"/>
    <w:tmpl w:val="8B86F91E"/>
    <w:lvl w:ilvl="0" w:tplc="9A16D270">
      <w:start w:val="1"/>
      <w:numFmt w:val="decimal"/>
      <w:pStyle w:val="221"/>
      <w:lvlText w:val="2.2.%1."/>
      <w:lvlJc w:val="left"/>
      <w:pPr>
        <w:ind w:left="92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nsid w:val="5CB00663"/>
    <w:multiLevelType w:val="hybridMultilevel"/>
    <w:tmpl w:val="4CACB40E"/>
    <w:lvl w:ilvl="0" w:tplc="2EEC7206">
      <w:start w:val="1"/>
      <w:numFmt w:val="decimal"/>
      <w:lvlText w:val="2.%1."/>
      <w:lvlJc w:val="right"/>
      <w:pPr>
        <w:ind w:left="1434" w:hanging="360"/>
      </w:pPr>
      <w:rPr>
        <w:rFonts w:hint="default"/>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0">
    <w:nsid w:val="5F8E0F44"/>
    <w:multiLevelType w:val="hybridMultilevel"/>
    <w:tmpl w:val="C026E5C8"/>
    <w:lvl w:ilvl="0" w:tplc="ED1606FE">
      <w:start w:val="1"/>
      <w:numFmt w:val="decimal"/>
      <w:pStyle w:val="131"/>
      <w:lvlText w:val="1.3.%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1">
    <w:nsid w:val="607F3760"/>
    <w:multiLevelType w:val="hybridMultilevel"/>
    <w:tmpl w:val="998AAA74"/>
    <w:lvl w:ilvl="0" w:tplc="AA3C5914">
      <w:start w:val="1"/>
      <w:numFmt w:val="decimal"/>
      <w:pStyle w:val="1310"/>
      <w:lvlText w:val="1.2.%1."/>
      <w:lvlJc w:val="left"/>
      <w:pPr>
        <w:ind w:left="92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nsid w:val="629D7BC3"/>
    <w:multiLevelType w:val="hybridMultilevel"/>
    <w:tmpl w:val="5E1CEC92"/>
    <w:lvl w:ilvl="0" w:tplc="26EEC760">
      <w:start w:val="1"/>
      <w:numFmt w:val="decimal"/>
      <w:pStyle w:val="21"/>
      <w:lvlText w:val="2.%1."/>
      <w:lvlJc w:val="left"/>
      <w:pPr>
        <w:ind w:left="717" w:hanging="360"/>
      </w:pPr>
      <w:rPr>
        <w:rFonts w:ascii="Times New Roman" w:hAnsi="Times New Roman" w:hint="default"/>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3">
    <w:nsid w:val="64240EB8"/>
    <w:multiLevelType w:val="hybridMultilevel"/>
    <w:tmpl w:val="D07476D4"/>
    <w:lvl w:ilvl="0" w:tplc="9A506D9E">
      <w:start w:val="1"/>
      <w:numFmt w:val="decimal"/>
      <w:pStyle w:val="11"/>
      <w:lvlText w:val="1.%1."/>
      <w:lvlJc w:val="left"/>
      <w:pPr>
        <w:ind w:left="1434" w:hanging="360"/>
      </w:pPr>
      <w:rPr>
        <w:rFonts w:hint="default"/>
      </w:rPr>
    </w:lvl>
    <w:lvl w:ilvl="1" w:tplc="04050019" w:tentative="1">
      <w:start w:val="1"/>
      <w:numFmt w:val="lowerLetter"/>
      <w:lvlText w:val="%2."/>
      <w:lvlJc w:val="left"/>
      <w:pPr>
        <w:ind w:left="2154" w:hanging="360"/>
      </w:pPr>
    </w:lvl>
    <w:lvl w:ilvl="2" w:tplc="0405001B" w:tentative="1">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4">
    <w:nsid w:val="6E7560C1"/>
    <w:multiLevelType w:val="hybridMultilevel"/>
    <w:tmpl w:val="2DFED87C"/>
    <w:lvl w:ilvl="0" w:tplc="9746F14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1"/>
  </w:num>
  <w:num w:numId="5">
    <w:abstractNumId w:val="11"/>
  </w:num>
  <w:num w:numId="6">
    <w:abstractNumId w:val="13"/>
  </w:num>
  <w:num w:numId="7">
    <w:abstractNumId w:val="7"/>
  </w:num>
  <w:num w:numId="8">
    <w:abstractNumId w:val="9"/>
  </w:num>
  <w:num w:numId="9">
    <w:abstractNumId w:val="12"/>
  </w:num>
  <w:num w:numId="10">
    <w:abstractNumId w:val="3"/>
  </w:num>
  <w:num w:numId="11">
    <w:abstractNumId w:val="10"/>
  </w:num>
  <w:num w:numId="12">
    <w:abstractNumId w:val="8"/>
  </w:num>
  <w:num w:numId="13">
    <w:abstractNumId w:val="14"/>
  </w:num>
  <w:num w:numId="14">
    <w:abstractNumId w:val="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FF2"/>
    <w:rsid w:val="00005E49"/>
    <w:rsid w:val="00011306"/>
    <w:rsid w:val="00017B46"/>
    <w:rsid w:val="0002071D"/>
    <w:rsid w:val="000227DC"/>
    <w:rsid w:val="00025D0A"/>
    <w:rsid w:val="00027626"/>
    <w:rsid w:val="00032E19"/>
    <w:rsid w:val="0003331A"/>
    <w:rsid w:val="0003333D"/>
    <w:rsid w:val="00037A83"/>
    <w:rsid w:val="00041CEB"/>
    <w:rsid w:val="00044E5D"/>
    <w:rsid w:val="00046AE6"/>
    <w:rsid w:val="0005033A"/>
    <w:rsid w:val="00057171"/>
    <w:rsid w:val="0006663B"/>
    <w:rsid w:val="00066DB8"/>
    <w:rsid w:val="00071429"/>
    <w:rsid w:val="00071456"/>
    <w:rsid w:val="00072F2A"/>
    <w:rsid w:val="00074540"/>
    <w:rsid w:val="000756F7"/>
    <w:rsid w:val="00075952"/>
    <w:rsid w:val="0007625A"/>
    <w:rsid w:val="00081A17"/>
    <w:rsid w:val="000844F9"/>
    <w:rsid w:val="00084866"/>
    <w:rsid w:val="00095082"/>
    <w:rsid w:val="000A0B33"/>
    <w:rsid w:val="000A3CE9"/>
    <w:rsid w:val="000A5F2F"/>
    <w:rsid w:val="000B4E22"/>
    <w:rsid w:val="000B7348"/>
    <w:rsid w:val="000C1AC1"/>
    <w:rsid w:val="000C302C"/>
    <w:rsid w:val="000C484B"/>
    <w:rsid w:val="000D0819"/>
    <w:rsid w:val="000D0ED4"/>
    <w:rsid w:val="000D1E97"/>
    <w:rsid w:val="000D5E68"/>
    <w:rsid w:val="000D6F3B"/>
    <w:rsid w:val="000D7E78"/>
    <w:rsid w:val="000E310E"/>
    <w:rsid w:val="000F2783"/>
    <w:rsid w:val="000F3CAB"/>
    <w:rsid w:val="000F5B19"/>
    <w:rsid w:val="0010499B"/>
    <w:rsid w:val="0010502C"/>
    <w:rsid w:val="001051FA"/>
    <w:rsid w:val="0010584A"/>
    <w:rsid w:val="0010599F"/>
    <w:rsid w:val="00105B4B"/>
    <w:rsid w:val="001074D3"/>
    <w:rsid w:val="00107DBA"/>
    <w:rsid w:val="00110A2D"/>
    <w:rsid w:val="00112D92"/>
    <w:rsid w:val="00114306"/>
    <w:rsid w:val="00122C3F"/>
    <w:rsid w:val="00122E34"/>
    <w:rsid w:val="0012409F"/>
    <w:rsid w:val="00130878"/>
    <w:rsid w:val="00133F3D"/>
    <w:rsid w:val="00134D7F"/>
    <w:rsid w:val="00136957"/>
    <w:rsid w:val="00137933"/>
    <w:rsid w:val="0014006C"/>
    <w:rsid w:val="00142789"/>
    <w:rsid w:val="00147DD8"/>
    <w:rsid w:val="00150EEB"/>
    <w:rsid w:val="001519F5"/>
    <w:rsid w:val="0015646E"/>
    <w:rsid w:val="00156674"/>
    <w:rsid w:val="00160A31"/>
    <w:rsid w:val="001621D3"/>
    <w:rsid w:val="0016553E"/>
    <w:rsid w:val="001820B3"/>
    <w:rsid w:val="0018356C"/>
    <w:rsid w:val="00192B0B"/>
    <w:rsid w:val="00192B5E"/>
    <w:rsid w:val="0019311D"/>
    <w:rsid w:val="0019599A"/>
    <w:rsid w:val="001960B6"/>
    <w:rsid w:val="001A48E8"/>
    <w:rsid w:val="001A5B04"/>
    <w:rsid w:val="001A668E"/>
    <w:rsid w:val="001A6901"/>
    <w:rsid w:val="001A6B60"/>
    <w:rsid w:val="001B0276"/>
    <w:rsid w:val="001B6604"/>
    <w:rsid w:val="001B6B1B"/>
    <w:rsid w:val="001C0AB3"/>
    <w:rsid w:val="001C1AEC"/>
    <w:rsid w:val="001C3811"/>
    <w:rsid w:val="001C4344"/>
    <w:rsid w:val="001C4B3A"/>
    <w:rsid w:val="001C4CB3"/>
    <w:rsid w:val="001C57FB"/>
    <w:rsid w:val="001C7432"/>
    <w:rsid w:val="001E0548"/>
    <w:rsid w:val="001E183D"/>
    <w:rsid w:val="001E35E7"/>
    <w:rsid w:val="001E65C2"/>
    <w:rsid w:val="001E6B88"/>
    <w:rsid w:val="001E7829"/>
    <w:rsid w:val="001F15D2"/>
    <w:rsid w:val="001F4A3D"/>
    <w:rsid w:val="001F4C3B"/>
    <w:rsid w:val="001F6870"/>
    <w:rsid w:val="002005BD"/>
    <w:rsid w:val="00200FA2"/>
    <w:rsid w:val="00201631"/>
    <w:rsid w:val="0020514B"/>
    <w:rsid w:val="00205739"/>
    <w:rsid w:val="00205B4A"/>
    <w:rsid w:val="0021092E"/>
    <w:rsid w:val="00214FBC"/>
    <w:rsid w:val="00215B0A"/>
    <w:rsid w:val="00215EF3"/>
    <w:rsid w:val="002166E4"/>
    <w:rsid w:val="002168FD"/>
    <w:rsid w:val="00220CF2"/>
    <w:rsid w:val="0022370A"/>
    <w:rsid w:val="00225B45"/>
    <w:rsid w:val="002262DC"/>
    <w:rsid w:val="00226D79"/>
    <w:rsid w:val="00230693"/>
    <w:rsid w:val="002328B9"/>
    <w:rsid w:val="00232E6E"/>
    <w:rsid w:val="00233181"/>
    <w:rsid w:val="00236CDD"/>
    <w:rsid w:val="00237BE9"/>
    <w:rsid w:val="00243835"/>
    <w:rsid w:val="0024435E"/>
    <w:rsid w:val="00250D52"/>
    <w:rsid w:val="0025274E"/>
    <w:rsid w:val="002533A1"/>
    <w:rsid w:val="00254D62"/>
    <w:rsid w:val="002602D8"/>
    <w:rsid w:val="0026053F"/>
    <w:rsid w:val="002723B4"/>
    <w:rsid w:val="00276539"/>
    <w:rsid w:val="00280C82"/>
    <w:rsid w:val="0028143A"/>
    <w:rsid w:val="0028214D"/>
    <w:rsid w:val="002832E8"/>
    <w:rsid w:val="002936D9"/>
    <w:rsid w:val="00293DD9"/>
    <w:rsid w:val="00294C8D"/>
    <w:rsid w:val="002A068A"/>
    <w:rsid w:val="002A4D40"/>
    <w:rsid w:val="002A5800"/>
    <w:rsid w:val="002B2421"/>
    <w:rsid w:val="002B34F6"/>
    <w:rsid w:val="002B5207"/>
    <w:rsid w:val="002B5CBF"/>
    <w:rsid w:val="002C1BE6"/>
    <w:rsid w:val="002C6EE0"/>
    <w:rsid w:val="002D35D8"/>
    <w:rsid w:val="002D47AF"/>
    <w:rsid w:val="002D519B"/>
    <w:rsid w:val="002D5C1A"/>
    <w:rsid w:val="002D71FA"/>
    <w:rsid w:val="002E3600"/>
    <w:rsid w:val="002E6EC1"/>
    <w:rsid w:val="002E751A"/>
    <w:rsid w:val="002F0881"/>
    <w:rsid w:val="002F144A"/>
    <w:rsid w:val="002F2AE7"/>
    <w:rsid w:val="002F3B6F"/>
    <w:rsid w:val="002F5C6B"/>
    <w:rsid w:val="002F5DB9"/>
    <w:rsid w:val="002F7125"/>
    <w:rsid w:val="00302BBE"/>
    <w:rsid w:val="00306858"/>
    <w:rsid w:val="003103BF"/>
    <w:rsid w:val="00313A45"/>
    <w:rsid w:val="003164C7"/>
    <w:rsid w:val="00320944"/>
    <w:rsid w:val="003229C3"/>
    <w:rsid w:val="00324242"/>
    <w:rsid w:val="003247A7"/>
    <w:rsid w:val="00337FD7"/>
    <w:rsid w:val="00340670"/>
    <w:rsid w:val="00341882"/>
    <w:rsid w:val="0034443C"/>
    <w:rsid w:val="00352947"/>
    <w:rsid w:val="00360608"/>
    <w:rsid w:val="00362063"/>
    <w:rsid w:val="003631D7"/>
    <w:rsid w:val="003650F0"/>
    <w:rsid w:val="00371C5B"/>
    <w:rsid w:val="00373C99"/>
    <w:rsid w:val="00376DC4"/>
    <w:rsid w:val="00377561"/>
    <w:rsid w:val="003855D2"/>
    <w:rsid w:val="00387CC4"/>
    <w:rsid w:val="003921BD"/>
    <w:rsid w:val="00396010"/>
    <w:rsid w:val="003A06E2"/>
    <w:rsid w:val="003A3EEE"/>
    <w:rsid w:val="003A53E5"/>
    <w:rsid w:val="003A666E"/>
    <w:rsid w:val="003A69FB"/>
    <w:rsid w:val="003B0945"/>
    <w:rsid w:val="003B2633"/>
    <w:rsid w:val="003B4513"/>
    <w:rsid w:val="003B5A6C"/>
    <w:rsid w:val="003B6EBE"/>
    <w:rsid w:val="003C07C1"/>
    <w:rsid w:val="003C0C55"/>
    <w:rsid w:val="003C1FF6"/>
    <w:rsid w:val="003D05AE"/>
    <w:rsid w:val="003D5A14"/>
    <w:rsid w:val="003D6246"/>
    <w:rsid w:val="003D65A9"/>
    <w:rsid w:val="003E03A6"/>
    <w:rsid w:val="003E1EF8"/>
    <w:rsid w:val="003E2C65"/>
    <w:rsid w:val="003E2DF6"/>
    <w:rsid w:val="003E550A"/>
    <w:rsid w:val="003E60FF"/>
    <w:rsid w:val="003E7FC5"/>
    <w:rsid w:val="003F24AF"/>
    <w:rsid w:val="003F3024"/>
    <w:rsid w:val="003F4A69"/>
    <w:rsid w:val="003F50F4"/>
    <w:rsid w:val="003F58BD"/>
    <w:rsid w:val="003F5FD8"/>
    <w:rsid w:val="003F7FEE"/>
    <w:rsid w:val="0040176A"/>
    <w:rsid w:val="00404378"/>
    <w:rsid w:val="00412CA1"/>
    <w:rsid w:val="004230C9"/>
    <w:rsid w:val="00423187"/>
    <w:rsid w:val="00424CA9"/>
    <w:rsid w:val="0042557E"/>
    <w:rsid w:val="0043036A"/>
    <w:rsid w:val="0043399C"/>
    <w:rsid w:val="00434357"/>
    <w:rsid w:val="00434A87"/>
    <w:rsid w:val="004353D4"/>
    <w:rsid w:val="00441084"/>
    <w:rsid w:val="004426B4"/>
    <w:rsid w:val="00443A80"/>
    <w:rsid w:val="00450725"/>
    <w:rsid w:val="00451300"/>
    <w:rsid w:val="00453A0B"/>
    <w:rsid w:val="004547FE"/>
    <w:rsid w:val="00454C38"/>
    <w:rsid w:val="004620FE"/>
    <w:rsid w:val="00462383"/>
    <w:rsid w:val="00465319"/>
    <w:rsid w:val="00465EEF"/>
    <w:rsid w:val="0046748A"/>
    <w:rsid w:val="00470C38"/>
    <w:rsid w:val="0047238B"/>
    <w:rsid w:val="0047314E"/>
    <w:rsid w:val="00477CEB"/>
    <w:rsid w:val="00484463"/>
    <w:rsid w:val="00484A30"/>
    <w:rsid w:val="00486DE6"/>
    <w:rsid w:val="00487E29"/>
    <w:rsid w:val="00492740"/>
    <w:rsid w:val="00493AE2"/>
    <w:rsid w:val="004A0EEB"/>
    <w:rsid w:val="004A1EF7"/>
    <w:rsid w:val="004A5560"/>
    <w:rsid w:val="004A7950"/>
    <w:rsid w:val="004B04CC"/>
    <w:rsid w:val="004B1406"/>
    <w:rsid w:val="004B360B"/>
    <w:rsid w:val="004B42BC"/>
    <w:rsid w:val="004B7AFE"/>
    <w:rsid w:val="004C2989"/>
    <w:rsid w:val="004C3AA4"/>
    <w:rsid w:val="004C4FF2"/>
    <w:rsid w:val="004C5ED6"/>
    <w:rsid w:val="004E2D63"/>
    <w:rsid w:val="004E31C3"/>
    <w:rsid w:val="004E7289"/>
    <w:rsid w:val="004E78E6"/>
    <w:rsid w:val="004F3912"/>
    <w:rsid w:val="004F51F5"/>
    <w:rsid w:val="004F638A"/>
    <w:rsid w:val="00500BE5"/>
    <w:rsid w:val="00506D9A"/>
    <w:rsid w:val="005108B0"/>
    <w:rsid w:val="00513A21"/>
    <w:rsid w:val="00513BE6"/>
    <w:rsid w:val="00514154"/>
    <w:rsid w:val="00515A22"/>
    <w:rsid w:val="00515D98"/>
    <w:rsid w:val="005170B2"/>
    <w:rsid w:val="00524259"/>
    <w:rsid w:val="0052715A"/>
    <w:rsid w:val="005275CE"/>
    <w:rsid w:val="00530AC2"/>
    <w:rsid w:val="005315AA"/>
    <w:rsid w:val="00531980"/>
    <w:rsid w:val="00533E4E"/>
    <w:rsid w:val="00535082"/>
    <w:rsid w:val="0053544D"/>
    <w:rsid w:val="005400E5"/>
    <w:rsid w:val="00543116"/>
    <w:rsid w:val="005434B1"/>
    <w:rsid w:val="00543E09"/>
    <w:rsid w:val="0055403F"/>
    <w:rsid w:val="00555376"/>
    <w:rsid w:val="00560436"/>
    <w:rsid w:val="00560959"/>
    <w:rsid w:val="00565CF1"/>
    <w:rsid w:val="00566B43"/>
    <w:rsid w:val="00571334"/>
    <w:rsid w:val="00574270"/>
    <w:rsid w:val="00576E5F"/>
    <w:rsid w:val="0058080F"/>
    <w:rsid w:val="00591BB5"/>
    <w:rsid w:val="00591D4A"/>
    <w:rsid w:val="005958BA"/>
    <w:rsid w:val="005A02A3"/>
    <w:rsid w:val="005A2F3E"/>
    <w:rsid w:val="005A37A0"/>
    <w:rsid w:val="005A427F"/>
    <w:rsid w:val="005A5F7E"/>
    <w:rsid w:val="005B19BB"/>
    <w:rsid w:val="005B227C"/>
    <w:rsid w:val="005B7C93"/>
    <w:rsid w:val="005C215B"/>
    <w:rsid w:val="005C6ABD"/>
    <w:rsid w:val="005C7E43"/>
    <w:rsid w:val="005D358D"/>
    <w:rsid w:val="005E159B"/>
    <w:rsid w:val="005F0018"/>
    <w:rsid w:val="005F5635"/>
    <w:rsid w:val="00602AC4"/>
    <w:rsid w:val="00604F25"/>
    <w:rsid w:val="00605B16"/>
    <w:rsid w:val="006078F5"/>
    <w:rsid w:val="00614601"/>
    <w:rsid w:val="00616B86"/>
    <w:rsid w:val="0062089E"/>
    <w:rsid w:val="006263BD"/>
    <w:rsid w:val="00637044"/>
    <w:rsid w:val="00637A09"/>
    <w:rsid w:val="00644FEE"/>
    <w:rsid w:val="00646F70"/>
    <w:rsid w:val="00652889"/>
    <w:rsid w:val="0065432C"/>
    <w:rsid w:val="00655897"/>
    <w:rsid w:val="00663A50"/>
    <w:rsid w:val="00665B2F"/>
    <w:rsid w:val="00666020"/>
    <w:rsid w:val="00671C31"/>
    <w:rsid w:val="006730AF"/>
    <w:rsid w:val="0067372F"/>
    <w:rsid w:val="00673C53"/>
    <w:rsid w:val="006756BA"/>
    <w:rsid w:val="00675AE3"/>
    <w:rsid w:val="00690CB5"/>
    <w:rsid w:val="00692269"/>
    <w:rsid w:val="00692AE4"/>
    <w:rsid w:val="00697C80"/>
    <w:rsid w:val="006A0F1D"/>
    <w:rsid w:val="006A19B6"/>
    <w:rsid w:val="006A28BB"/>
    <w:rsid w:val="006A4127"/>
    <w:rsid w:val="006B14F1"/>
    <w:rsid w:val="006B4D39"/>
    <w:rsid w:val="006B6470"/>
    <w:rsid w:val="006C450B"/>
    <w:rsid w:val="006C4D44"/>
    <w:rsid w:val="006C64C6"/>
    <w:rsid w:val="006C70F1"/>
    <w:rsid w:val="006C7871"/>
    <w:rsid w:val="006D073D"/>
    <w:rsid w:val="006D274C"/>
    <w:rsid w:val="006D2B9B"/>
    <w:rsid w:val="006D2F40"/>
    <w:rsid w:val="006D5459"/>
    <w:rsid w:val="006E04C6"/>
    <w:rsid w:val="006E1A80"/>
    <w:rsid w:val="006E2E9F"/>
    <w:rsid w:val="006E41A4"/>
    <w:rsid w:val="006E573C"/>
    <w:rsid w:val="006E6253"/>
    <w:rsid w:val="00700D13"/>
    <w:rsid w:val="00704598"/>
    <w:rsid w:val="00710076"/>
    <w:rsid w:val="007100C9"/>
    <w:rsid w:val="0071147B"/>
    <w:rsid w:val="00713074"/>
    <w:rsid w:val="00714619"/>
    <w:rsid w:val="00714862"/>
    <w:rsid w:val="00716E21"/>
    <w:rsid w:val="00721669"/>
    <w:rsid w:val="0072366E"/>
    <w:rsid w:val="0072369D"/>
    <w:rsid w:val="00726F0F"/>
    <w:rsid w:val="00731BD9"/>
    <w:rsid w:val="00733B2E"/>
    <w:rsid w:val="00735EFE"/>
    <w:rsid w:val="007363AA"/>
    <w:rsid w:val="00737DB4"/>
    <w:rsid w:val="00740177"/>
    <w:rsid w:val="00740CA8"/>
    <w:rsid w:val="00751472"/>
    <w:rsid w:val="00751A1D"/>
    <w:rsid w:val="007531A3"/>
    <w:rsid w:val="00755B94"/>
    <w:rsid w:val="00755D68"/>
    <w:rsid w:val="007570BB"/>
    <w:rsid w:val="00764C51"/>
    <w:rsid w:val="00765A28"/>
    <w:rsid w:val="007660E3"/>
    <w:rsid w:val="00770BCA"/>
    <w:rsid w:val="007729D8"/>
    <w:rsid w:val="00774CEB"/>
    <w:rsid w:val="00780BBA"/>
    <w:rsid w:val="00780C43"/>
    <w:rsid w:val="007843B4"/>
    <w:rsid w:val="00787BC0"/>
    <w:rsid w:val="00792E04"/>
    <w:rsid w:val="00793D92"/>
    <w:rsid w:val="00795ED0"/>
    <w:rsid w:val="00796B16"/>
    <w:rsid w:val="007A04A7"/>
    <w:rsid w:val="007A08FD"/>
    <w:rsid w:val="007A43C8"/>
    <w:rsid w:val="007A5C70"/>
    <w:rsid w:val="007A5DFC"/>
    <w:rsid w:val="007B1DED"/>
    <w:rsid w:val="007B2939"/>
    <w:rsid w:val="007B2AE8"/>
    <w:rsid w:val="007B5A49"/>
    <w:rsid w:val="007C1067"/>
    <w:rsid w:val="007C5885"/>
    <w:rsid w:val="007C6C0F"/>
    <w:rsid w:val="007D1F62"/>
    <w:rsid w:val="007D6D71"/>
    <w:rsid w:val="007D6E5A"/>
    <w:rsid w:val="007E3F74"/>
    <w:rsid w:val="007E602D"/>
    <w:rsid w:val="007F18A0"/>
    <w:rsid w:val="007F73B4"/>
    <w:rsid w:val="008029FF"/>
    <w:rsid w:val="00803F4B"/>
    <w:rsid w:val="00804789"/>
    <w:rsid w:val="0081016A"/>
    <w:rsid w:val="008124A7"/>
    <w:rsid w:val="00813A5A"/>
    <w:rsid w:val="00821EBF"/>
    <w:rsid w:val="008267A8"/>
    <w:rsid w:val="00826C05"/>
    <w:rsid w:val="00830234"/>
    <w:rsid w:val="0083087A"/>
    <w:rsid w:val="0083575C"/>
    <w:rsid w:val="0083683F"/>
    <w:rsid w:val="0083765A"/>
    <w:rsid w:val="008405E4"/>
    <w:rsid w:val="00840AF8"/>
    <w:rsid w:val="00852DE2"/>
    <w:rsid w:val="0085568F"/>
    <w:rsid w:val="008569E0"/>
    <w:rsid w:val="00860861"/>
    <w:rsid w:val="00861549"/>
    <w:rsid w:val="008661AF"/>
    <w:rsid w:val="00874033"/>
    <w:rsid w:val="0087769F"/>
    <w:rsid w:val="008810AA"/>
    <w:rsid w:val="008829D2"/>
    <w:rsid w:val="00885ABC"/>
    <w:rsid w:val="00886D78"/>
    <w:rsid w:val="008910F0"/>
    <w:rsid w:val="00893410"/>
    <w:rsid w:val="008A1432"/>
    <w:rsid w:val="008A3D32"/>
    <w:rsid w:val="008A6840"/>
    <w:rsid w:val="008A7103"/>
    <w:rsid w:val="008B0D2E"/>
    <w:rsid w:val="008B46D4"/>
    <w:rsid w:val="008B6958"/>
    <w:rsid w:val="008B7E89"/>
    <w:rsid w:val="008C200C"/>
    <w:rsid w:val="008C2767"/>
    <w:rsid w:val="008C79DF"/>
    <w:rsid w:val="008D0302"/>
    <w:rsid w:val="008D2AD7"/>
    <w:rsid w:val="008D61C3"/>
    <w:rsid w:val="008D69DD"/>
    <w:rsid w:val="008D7052"/>
    <w:rsid w:val="008E28C6"/>
    <w:rsid w:val="008E3A7D"/>
    <w:rsid w:val="008E698D"/>
    <w:rsid w:val="008F1DC0"/>
    <w:rsid w:val="008F5506"/>
    <w:rsid w:val="00900E72"/>
    <w:rsid w:val="00901C6A"/>
    <w:rsid w:val="009066F6"/>
    <w:rsid w:val="00913CE0"/>
    <w:rsid w:val="009178DE"/>
    <w:rsid w:val="00917C45"/>
    <w:rsid w:val="009207FA"/>
    <w:rsid w:val="00935254"/>
    <w:rsid w:val="00936541"/>
    <w:rsid w:val="00936C31"/>
    <w:rsid w:val="00940F9B"/>
    <w:rsid w:val="009417DE"/>
    <w:rsid w:val="00941A00"/>
    <w:rsid w:val="0094325A"/>
    <w:rsid w:val="00944CBA"/>
    <w:rsid w:val="00946477"/>
    <w:rsid w:val="0094677F"/>
    <w:rsid w:val="00947B60"/>
    <w:rsid w:val="00953DFF"/>
    <w:rsid w:val="0095534B"/>
    <w:rsid w:val="009615BA"/>
    <w:rsid w:val="00963CF9"/>
    <w:rsid w:val="00964A07"/>
    <w:rsid w:val="00965A2A"/>
    <w:rsid w:val="009670BC"/>
    <w:rsid w:val="00967324"/>
    <w:rsid w:val="009724B9"/>
    <w:rsid w:val="00982EFC"/>
    <w:rsid w:val="009842B7"/>
    <w:rsid w:val="00990BE1"/>
    <w:rsid w:val="00991C12"/>
    <w:rsid w:val="00992478"/>
    <w:rsid w:val="00994413"/>
    <w:rsid w:val="00994B4C"/>
    <w:rsid w:val="00994D5D"/>
    <w:rsid w:val="009A3112"/>
    <w:rsid w:val="009B018D"/>
    <w:rsid w:val="009B0221"/>
    <w:rsid w:val="009B02FE"/>
    <w:rsid w:val="009B16C6"/>
    <w:rsid w:val="009B2202"/>
    <w:rsid w:val="009B2B9E"/>
    <w:rsid w:val="009B43E5"/>
    <w:rsid w:val="009B556C"/>
    <w:rsid w:val="009B7272"/>
    <w:rsid w:val="009C0EF7"/>
    <w:rsid w:val="009C173B"/>
    <w:rsid w:val="009C1BFB"/>
    <w:rsid w:val="009C34E5"/>
    <w:rsid w:val="009C444F"/>
    <w:rsid w:val="009C5346"/>
    <w:rsid w:val="009C55AD"/>
    <w:rsid w:val="009C5E71"/>
    <w:rsid w:val="009C64B6"/>
    <w:rsid w:val="009C74A9"/>
    <w:rsid w:val="009C7722"/>
    <w:rsid w:val="009D15F1"/>
    <w:rsid w:val="009D1D3C"/>
    <w:rsid w:val="009D4DC4"/>
    <w:rsid w:val="009D6EEE"/>
    <w:rsid w:val="009E2603"/>
    <w:rsid w:val="009E67DA"/>
    <w:rsid w:val="009E71A1"/>
    <w:rsid w:val="009F1129"/>
    <w:rsid w:val="009F2649"/>
    <w:rsid w:val="009F38C2"/>
    <w:rsid w:val="009F5289"/>
    <w:rsid w:val="009F6A8D"/>
    <w:rsid w:val="00A01C06"/>
    <w:rsid w:val="00A04A95"/>
    <w:rsid w:val="00A04E8C"/>
    <w:rsid w:val="00A07B74"/>
    <w:rsid w:val="00A10056"/>
    <w:rsid w:val="00A11D95"/>
    <w:rsid w:val="00A16A8B"/>
    <w:rsid w:val="00A1791B"/>
    <w:rsid w:val="00A24F3B"/>
    <w:rsid w:val="00A30AB8"/>
    <w:rsid w:val="00A31369"/>
    <w:rsid w:val="00A32F82"/>
    <w:rsid w:val="00A35F50"/>
    <w:rsid w:val="00A40812"/>
    <w:rsid w:val="00A42129"/>
    <w:rsid w:val="00A4684C"/>
    <w:rsid w:val="00A47C67"/>
    <w:rsid w:val="00A52455"/>
    <w:rsid w:val="00A537AF"/>
    <w:rsid w:val="00A56126"/>
    <w:rsid w:val="00A5700A"/>
    <w:rsid w:val="00A6546C"/>
    <w:rsid w:val="00A667D3"/>
    <w:rsid w:val="00A671DA"/>
    <w:rsid w:val="00A67736"/>
    <w:rsid w:val="00A74218"/>
    <w:rsid w:val="00A766F0"/>
    <w:rsid w:val="00A76E8C"/>
    <w:rsid w:val="00A83315"/>
    <w:rsid w:val="00A840EB"/>
    <w:rsid w:val="00A8485D"/>
    <w:rsid w:val="00A90290"/>
    <w:rsid w:val="00A90645"/>
    <w:rsid w:val="00A91583"/>
    <w:rsid w:val="00A91753"/>
    <w:rsid w:val="00A93E70"/>
    <w:rsid w:val="00A93F26"/>
    <w:rsid w:val="00A972FA"/>
    <w:rsid w:val="00AA1434"/>
    <w:rsid w:val="00AA3A51"/>
    <w:rsid w:val="00AA5A33"/>
    <w:rsid w:val="00AA6E75"/>
    <w:rsid w:val="00AA7CA0"/>
    <w:rsid w:val="00AB2965"/>
    <w:rsid w:val="00AB5EBD"/>
    <w:rsid w:val="00AC0EF3"/>
    <w:rsid w:val="00AC25C1"/>
    <w:rsid w:val="00AC4712"/>
    <w:rsid w:val="00AC5ABB"/>
    <w:rsid w:val="00AC6057"/>
    <w:rsid w:val="00AD1351"/>
    <w:rsid w:val="00AD382B"/>
    <w:rsid w:val="00AD3D7B"/>
    <w:rsid w:val="00AD5160"/>
    <w:rsid w:val="00AD7F1E"/>
    <w:rsid w:val="00AF21B2"/>
    <w:rsid w:val="00AF25CE"/>
    <w:rsid w:val="00AF260A"/>
    <w:rsid w:val="00B00E0B"/>
    <w:rsid w:val="00B0328D"/>
    <w:rsid w:val="00B037E2"/>
    <w:rsid w:val="00B075AA"/>
    <w:rsid w:val="00B127B0"/>
    <w:rsid w:val="00B13302"/>
    <w:rsid w:val="00B15D1F"/>
    <w:rsid w:val="00B2597F"/>
    <w:rsid w:val="00B25F34"/>
    <w:rsid w:val="00B30052"/>
    <w:rsid w:val="00B30740"/>
    <w:rsid w:val="00B32960"/>
    <w:rsid w:val="00B32B06"/>
    <w:rsid w:val="00B37DAC"/>
    <w:rsid w:val="00B40EB7"/>
    <w:rsid w:val="00B41F4B"/>
    <w:rsid w:val="00B4371D"/>
    <w:rsid w:val="00B43842"/>
    <w:rsid w:val="00B439D5"/>
    <w:rsid w:val="00B444B9"/>
    <w:rsid w:val="00B50866"/>
    <w:rsid w:val="00B5162D"/>
    <w:rsid w:val="00B52A54"/>
    <w:rsid w:val="00B5592F"/>
    <w:rsid w:val="00B600DE"/>
    <w:rsid w:val="00B6029B"/>
    <w:rsid w:val="00B60C4F"/>
    <w:rsid w:val="00B66F57"/>
    <w:rsid w:val="00B7019E"/>
    <w:rsid w:val="00B7173B"/>
    <w:rsid w:val="00B77C53"/>
    <w:rsid w:val="00B84B97"/>
    <w:rsid w:val="00B85601"/>
    <w:rsid w:val="00B873D4"/>
    <w:rsid w:val="00B90F6F"/>
    <w:rsid w:val="00B921F2"/>
    <w:rsid w:val="00B93859"/>
    <w:rsid w:val="00B96BCC"/>
    <w:rsid w:val="00BA16DA"/>
    <w:rsid w:val="00BA29F9"/>
    <w:rsid w:val="00BA52BB"/>
    <w:rsid w:val="00BA6513"/>
    <w:rsid w:val="00BB15FB"/>
    <w:rsid w:val="00BB1AEB"/>
    <w:rsid w:val="00BC1273"/>
    <w:rsid w:val="00BC25C2"/>
    <w:rsid w:val="00BC753E"/>
    <w:rsid w:val="00BC7C8E"/>
    <w:rsid w:val="00BD1081"/>
    <w:rsid w:val="00BD143D"/>
    <w:rsid w:val="00BD1491"/>
    <w:rsid w:val="00BD511F"/>
    <w:rsid w:val="00BD5863"/>
    <w:rsid w:val="00BD7955"/>
    <w:rsid w:val="00BE361D"/>
    <w:rsid w:val="00BE5C5D"/>
    <w:rsid w:val="00BF00AE"/>
    <w:rsid w:val="00BF5947"/>
    <w:rsid w:val="00BF5B9D"/>
    <w:rsid w:val="00C00781"/>
    <w:rsid w:val="00C05C13"/>
    <w:rsid w:val="00C06301"/>
    <w:rsid w:val="00C06EA7"/>
    <w:rsid w:val="00C07F7F"/>
    <w:rsid w:val="00C10687"/>
    <w:rsid w:val="00C12DE2"/>
    <w:rsid w:val="00C137BE"/>
    <w:rsid w:val="00C14530"/>
    <w:rsid w:val="00C2065B"/>
    <w:rsid w:val="00C20A83"/>
    <w:rsid w:val="00C23179"/>
    <w:rsid w:val="00C23472"/>
    <w:rsid w:val="00C2526E"/>
    <w:rsid w:val="00C30773"/>
    <w:rsid w:val="00C318F8"/>
    <w:rsid w:val="00C324C6"/>
    <w:rsid w:val="00C3776E"/>
    <w:rsid w:val="00C43A91"/>
    <w:rsid w:val="00C4761B"/>
    <w:rsid w:val="00C51E87"/>
    <w:rsid w:val="00C53A7F"/>
    <w:rsid w:val="00C53C50"/>
    <w:rsid w:val="00C57033"/>
    <w:rsid w:val="00C57159"/>
    <w:rsid w:val="00C579EB"/>
    <w:rsid w:val="00C628AB"/>
    <w:rsid w:val="00C65571"/>
    <w:rsid w:val="00C66342"/>
    <w:rsid w:val="00C70954"/>
    <w:rsid w:val="00C74E96"/>
    <w:rsid w:val="00C75E25"/>
    <w:rsid w:val="00C81186"/>
    <w:rsid w:val="00C86CFF"/>
    <w:rsid w:val="00C902D5"/>
    <w:rsid w:val="00C950A8"/>
    <w:rsid w:val="00CA19FE"/>
    <w:rsid w:val="00CA695E"/>
    <w:rsid w:val="00CA7272"/>
    <w:rsid w:val="00CA779C"/>
    <w:rsid w:val="00CA7DA4"/>
    <w:rsid w:val="00CB5DC8"/>
    <w:rsid w:val="00CB62BA"/>
    <w:rsid w:val="00CB745E"/>
    <w:rsid w:val="00CD4A56"/>
    <w:rsid w:val="00CD7EC2"/>
    <w:rsid w:val="00CE0705"/>
    <w:rsid w:val="00CE1B46"/>
    <w:rsid w:val="00CE7E60"/>
    <w:rsid w:val="00CF0336"/>
    <w:rsid w:val="00D01623"/>
    <w:rsid w:val="00D15054"/>
    <w:rsid w:val="00D15352"/>
    <w:rsid w:val="00D15C7A"/>
    <w:rsid w:val="00D17BC0"/>
    <w:rsid w:val="00D2769D"/>
    <w:rsid w:val="00D34DA2"/>
    <w:rsid w:val="00D35E73"/>
    <w:rsid w:val="00D45C13"/>
    <w:rsid w:val="00D45C38"/>
    <w:rsid w:val="00D54EEA"/>
    <w:rsid w:val="00D56CB0"/>
    <w:rsid w:val="00D6247D"/>
    <w:rsid w:val="00D629E5"/>
    <w:rsid w:val="00D62E54"/>
    <w:rsid w:val="00D71035"/>
    <w:rsid w:val="00D75A49"/>
    <w:rsid w:val="00D76E9A"/>
    <w:rsid w:val="00D76FE9"/>
    <w:rsid w:val="00D829F0"/>
    <w:rsid w:val="00D97CC9"/>
    <w:rsid w:val="00DA2194"/>
    <w:rsid w:val="00DB08FF"/>
    <w:rsid w:val="00DB1F29"/>
    <w:rsid w:val="00DB3726"/>
    <w:rsid w:val="00DB4ED6"/>
    <w:rsid w:val="00DC1230"/>
    <w:rsid w:val="00DC44DD"/>
    <w:rsid w:val="00DC4E02"/>
    <w:rsid w:val="00DC6BC5"/>
    <w:rsid w:val="00DC777F"/>
    <w:rsid w:val="00DC7948"/>
    <w:rsid w:val="00DD2CFB"/>
    <w:rsid w:val="00DD630D"/>
    <w:rsid w:val="00DE0787"/>
    <w:rsid w:val="00DE1409"/>
    <w:rsid w:val="00DE1B48"/>
    <w:rsid w:val="00DE2283"/>
    <w:rsid w:val="00DE7648"/>
    <w:rsid w:val="00DF13E7"/>
    <w:rsid w:val="00DF7BEA"/>
    <w:rsid w:val="00E004FD"/>
    <w:rsid w:val="00E047E5"/>
    <w:rsid w:val="00E04C05"/>
    <w:rsid w:val="00E052DF"/>
    <w:rsid w:val="00E07CD0"/>
    <w:rsid w:val="00E10FF9"/>
    <w:rsid w:val="00E22489"/>
    <w:rsid w:val="00E242A4"/>
    <w:rsid w:val="00E26485"/>
    <w:rsid w:val="00E336D4"/>
    <w:rsid w:val="00E36923"/>
    <w:rsid w:val="00E40B71"/>
    <w:rsid w:val="00E40DA4"/>
    <w:rsid w:val="00E418A6"/>
    <w:rsid w:val="00E4283F"/>
    <w:rsid w:val="00E43F01"/>
    <w:rsid w:val="00E44E76"/>
    <w:rsid w:val="00E45D40"/>
    <w:rsid w:val="00E4601C"/>
    <w:rsid w:val="00E5019C"/>
    <w:rsid w:val="00E577D5"/>
    <w:rsid w:val="00E57DF0"/>
    <w:rsid w:val="00E6121B"/>
    <w:rsid w:val="00E62350"/>
    <w:rsid w:val="00E631D3"/>
    <w:rsid w:val="00E6422F"/>
    <w:rsid w:val="00E648F4"/>
    <w:rsid w:val="00E64EAE"/>
    <w:rsid w:val="00E66CA6"/>
    <w:rsid w:val="00E66D05"/>
    <w:rsid w:val="00E71516"/>
    <w:rsid w:val="00E7611B"/>
    <w:rsid w:val="00E7638C"/>
    <w:rsid w:val="00E80E64"/>
    <w:rsid w:val="00E8234E"/>
    <w:rsid w:val="00E82AA5"/>
    <w:rsid w:val="00E85F3E"/>
    <w:rsid w:val="00E9199D"/>
    <w:rsid w:val="00E91D54"/>
    <w:rsid w:val="00E951C9"/>
    <w:rsid w:val="00E97BA0"/>
    <w:rsid w:val="00EA08D8"/>
    <w:rsid w:val="00EA4782"/>
    <w:rsid w:val="00EA5755"/>
    <w:rsid w:val="00EA6380"/>
    <w:rsid w:val="00EB1857"/>
    <w:rsid w:val="00EB3BD5"/>
    <w:rsid w:val="00EB5BC6"/>
    <w:rsid w:val="00EB6C85"/>
    <w:rsid w:val="00EC1C5B"/>
    <w:rsid w:val="00EC485E"/>
    <w:rsid w:val="00EC5065"/>
    <w:rsid w:val="00EC7055"/>
    <w:rsid w:val="00EC7852"/>
    <w:rsid w:val="00ED18DA"/>
    <w:rsid w:val="00EE0F81"/>
    <w:rsid w:val="00EE6FD0"/>
    <w:rsid w:val="00EF08B0"/>
    <w:rsid w:val="00EF37A7"/>
    <w:rsid w:val="00EF3854"/>
    <w:rsid w:val="00EF6BFD"/>
    <w:rsid w:val="00EF6C1E"/>
    <w:rsid w:val="00F00475"/>
    <w:rsid w:val="00F021E9"/>
    <w:rsid w:val="00F03B50"/>
    <w:rsid w:val="00F05921"/>
    <w:rsid w:val="00F06D39"/>
    <w:rsid w:val="00F1224F"/>
    <w:rsid w:val="00F165D3"/>
    <w:rsid w:val="00F170A5"/>
    <w:rsid w:val="00F2740B"/>
    <w:rsid w:val="00F30842"/>
    <w:rsid w:val="00F322DE"/>
    <w:rsid w:val="00F3270F"/>
    <w:rsid w:val="00F3436C"/>
    <w:rsid w:val="00F417DB"/>
    <w:rsid w:val="00F419B8"/>
    <w:rsid w:val="00F44F2D"/>
    <w:rsid w:val="00F464CE"/>
    <w:rsid w:val="00F46F58"/>
    <w:rsid w:val="00F50924"/>
    <w:rsid w:val="00F54F6F"/>
    <w:rsid w:val="00F56B48"/>
    <w:rsid w:val="00F57567"/>
    <w:rsid w:val="00F61EEC"/>
    <w:rsid w:val="00F61F36"/>
    <w:rsid w:val="00F63395"/>
    <w:rsid w:val="00F65037"/>
    <w:rsid w:val="00F66355"/>
    <w:rsid w:val="00F7649F"/>
    <w:rsid w:val="00F76A5C"/>
    <w:rsid w:val="00F76AE3"/>
    <w:rsid w:val="00F77511"/>
    <w:rsid w:val="00F837BA"/>
    <w:rsid w:val="00F84C0E"/>
    <w:rsid w:val="00F86080"/>
    <w:rsid w:val="00F87BD5"/>
    <w:rsid w:val="00F93281"/>
    <w:rsid w:val="00F9500A"/>
    <w:rsid w:val="00F9548A"/>
    <w:rsid w:val="00F95962"/>
    <w:rsid w:val="00F968CB"/>
    <w:rsid w:val="00F97909"/>
    <w:rsid w:val="00FA2B06"/>
    <w:rsid w:val="00FA54C1"/>
    <w:rsid w:val="00FA717E"/>
    <w:rsid w:val="00FA7FA7"/>
    <w:rsid w:val="00FB0ECB"/>
    <w:rsid w:val="00FB46F3"/>
    <w:rsid w:val="00FC2577"/>
    <w:rsid w:val="00FC5F81"/>
    <w:rsid w:val="00FC61C1"/>
    <w:rsid w:val="00FC739D"/>
    <w:rsid w:val="00FD4021"/>
    <w:rsid w:val="00FD5A72"/>
    <w:rsid w:val="00FD701C"/>
    <w:rsid w:val="00FE07D2"/>
    <w:rsid w:val="00FE230E"/>
    <w:rsid w:val="00FE3145"/>
    <w:rsid w:val="00FE7BF5"/>
    <w:rsid w:val="00FF0D4E"/>
    <w:rsid w:val="00FF11DC"/>
    <w:rsid w:val="00FF17C3"/>
    <w:rsid w:val="00FF41D2"/>
    <w:rsid w:val="00FF4255"/>
    <w:rsid w:val="00FF57D2"/>
    <w:rsid w:val="00FF72C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6D71"/>
  </w:style>
  <w:style w:type="paragraph" w:styleId="Nadpis1">
    <w:name w:val="heading 1"/>
    <w:basedOn w:val="Normln"/>
    <w:next w:val="Normln"/>
    <w:link w:val="Nadpis1Char"/>
    <w:uiPriority w:val="9"/>
    <w:qFormat/>
    <w:rsid w:val="00B60C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A29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BA29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rvn">
    <w:name w:val="První"/>
    <w:basedOn w:val="Normln"/>
    <w:next w:val="Druh"/>
    <w:autoRedefine/>
    <w:qFormat/>
    <w:rsid w:val="00B40EB7"/>
    <w:pPr>
      <w:spacing w:after="120" w:line="360" w:lineRule="auto"/>
      <w:jc w:val="both"/>
    </w:pPr>
    <w:rPr>
      <w:rFonts w:ascii="Times New Roman" w:hAnsi="Times New Roman"/>
      <w:sz w:val="24"/>
      <w:shd w:val="clear" w:color="auto" w:fill="FDFDFE"/>
    </w:rPr>
  </w:style>
  <w:style w:type="paragraph" w:customStyle="1" w:styleId="Druh">
    <w:name w:val="Druhý"/>
    <w:basedOn w:val="Normln"/>
    <w:autoRedefine/>
    <w:qFormat/>
    <w:rsid w:val="00F57567"/>
    <w:pPr>
      <w:spacing w:after="120" w:line="360" w:lineRule="auto"/>
      <w:ind w:firstLine="709"/>
      <w:jc w:val="both"/>
    </w:pPr>
    <w:rPr>
      <w:rFonts w:ascii="Times New Roman" w:hAnsi="Times New Roman"/>
      <w:sz w:val="24"/>
      <w:shd w:val="clear" w:color="auto" w:fill="FDFDFE"/>
    </w:rPr>
  </w:style>
  <w:style w:type="paragraph" w:styleId="Textbubliny">
    <w:name w:val="Balloon Text"/>
    <w:basedOn w:val="Normln"/>
    <w:link w:val="TextbublinyChar"/>
    <w:uiPriority w:val="99"/>
    <w:semiHidden/>
    <w:unhideWhenUsed/>
    <w:rsid w:val="00A524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2455"/>
    <w:rPr>
      <w:rFonts w:ascii="Tahoma" w:hAnsi="Tahoma" w:cs="Tahoma"/>
      <w:sz w:val="16"/>
      <w:szCs w:val="16"/>
    </w:rPr>
  </w:style>
  <w:style w:type="character" w:styleId="Zvraznn">
    <w:name w:val="Emphasis"/>
    <w:basedOn w:val="Standardnpsmoodstavce"/>
    <w:uiPriority w:val="20"/>
    <w:qFormat/>
    <w:rsid w:val="00EF08B0"/>
    <w:rPr>
      <w:i/>
      <w:iCs/>
    </w:rPr>
  </w:style>
  <w:style w:type="character" w:customStyle="1" w:styleId="apple-converted-space">
    <w:name w:val="apple-converted-space"/>
    <w:basedOn w:val="Standardnpsmoodstavce"/>
    <w:rsid w:val="00EF08B0"/>
  </w:style>
  <w:style w:type="character" w:styleId="Siln">
    <w:name w:val="Strong"/>
    <w:basedOn w:val="Standardnpsmoodstavce"/>
    <w:uiPriority w:val="22"/>
    <w:qFormat/>
    <w:rsid w:val="00EF08B0"/>
    <w:rPr>
      <w:b/>
      <w:bCs/>
    </w:rPr>
  </w:style>
  <w:style w:type="paragraph" w:styleId="Zhlav">
    <w:name w:val="header"/>
    <w:basedOn w:val="Normln"/>
    <w:link w:val="ZhlavChar"/>
    <w:uiPriority w:val="99"/>
    <w:unhideWhenUsed/>
    <w:rsid w:val="00B60C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0C4F"/>
  </w:style>
  <w:style w:type="paragraph" w:styleId="Zpat">
    <w:name w:val="footer"/>
    <w:basedOn w:val="Normln"/>
    <w:link w:val="ZpatChar"/>
    <w:uiPriority w:val="99"/>
    <w:unhideWhenUsed/>
    <w:rsid w:val="00B60C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C4F"/>
  </w:style>
  <w:style w:type="paragraph" w:customStyle="1" w:styleId="31">
    <w:name w:val="3.1."/>
    <w:basedOn w:val="Nadpis1"/>
    <w:next w:val="Prvn"/>
    <w:qFormat/>
    <w:rsid w:val="00A4684C"/>
    <w:pPr>
      <w:numPr>
        <w:numId w:val="1"/>
      </w:numPr>
      <w:spacing w:after="240"/>
      <w:jc w:val="both"/>
      <w:outlineLvl w:val="1"/>
    </w:pPr>
    <w:rPr>
      <w:rFonts w:ascii="Times New Roman" w:hAnsi="Times New Roman" w:cs="Arial"/>
      <w:color w:val="000000"/>
      <w:sz w:val="26"/>
      <w:szCs w:val="19"/>
      <w:shd w:val="clear" w:color="auto" w:fill="FDFDFE"/>
    </w:rPr>
  </w:style>
  <w:style w:type="paragraph" w:customStyle="1" w:styleId="411">
    <w:name w:val="4.1.1."/>
    <w:basedOn w:val="Nadpis1"/>
    <w:next w:val="Prvn"/>
    <w:autoRedefine/>
    <w:qFormat/>
    <w:rsid w:val="00FE3145"/>
    <w:pPr>
      <w:numPr>
        <w:numId w:val="2"/>
      </w:numPr>
      <w:spacing w:after="240"/>
      <w:jc w:val="both"/>
    </w:pPr>
    <w:rPr>
      <w:rFonts w:ascii="Times New Roman" w:hAnsi="Times New Roman"/>
      <w:color w:val="auto"/>
      <w:sz w:val="24"/>
    </w:rPr>
  </w:style>
  <w:style w:type="character" w:customStyle="1" w:styleId="Nadpis1Char">
    <w:name w:val="Nadpis 1 Char"/>
    <w:basedOn w:val="Standardnpsmoodstavce"/>
    <w:link w:val="Nadpis1"/>
    <w:uiPriority w:val="9"/>
    <w:rsid w:val="00B60C4F"/>
    <w:rPr>
      <w:rFonts w:asciiTheme="majorHAnsi" w:eastAsiaTheme="majorEastAsia" w:hAnsiTheme="majorHAnsi" w:cstheme="majorBidi"/>
      <w:b/>
      <w:bCs/>
      <w:color w:val="365F91" w:themeColor="accent1" w:themeShade="BF"/>
      <w:sz w:val="28"/>
      <w:szCs w:val="28"/>
    </w:rPr>
  </w:style>
  <w:style w:type="paragraph" w:styleId="Textpoznpodarou">
    <w:name w:val="footnote text"/>
    <w:basedOn w:val="Normln"/>
    <w:link w:val="TextpoznpodarouChar"/>
    <w:uiPriority w:val="99"/>
    <w:semiHidden/>
    <w:unhideWhenUsed/>
    <w:rsid w:val="0046531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65319"/>
    <w:rPr>
      <w:sz w:val="20"/>
      <w:szCs w:val="20"/>
    </w:rPr>
  </w:style>
  <w:style w:type="character" w:styleId="Znakapoznpodarou">
    <w:name w:val="footnote reference"/>
    <w:basedOn w:val="Standardnpsmoodstavce"/>
    <w:uiPriority w:val="99"/>
    <w:semiHidden/>
    <w:unhideWhenUsed/>
    <w:rsid w:val="00465319"/>
    <w:rPr>
      <w:vertAlign w:val="superscript"/>
    </w:rPr>
  </w:style>
  <w:style w:type="paragraph" w:customStyle="1" w:styleId="1">
    <w:name w:val="1."/>
    <w:basedOn w:val="Nadpis1"/>
    <w:next w:val="Prvn"/>
    <w:autoRedefine/>
    <w:qFormat/>
    <w:rsid w:val="00FE3145"/>
    <w:pPr>
      <w:pageBreakBefore/>
      <w:numPr>
        <w:numId w:val="3"/>
      </w:numPr>
      <w:spacing w:after="240"/>
      <w:ind w:left="170" w:firstLine="0"/>
    </w:pPr>
    <w:rPr>
      <w:rFonts w:ascii="Times New Roman" w:hAnsi="Times New Roman" w:cs="Arial"/>
      <w:color w:val="000000"/>
      <w:szCs w:val="19"/>
      <w:shd w:val="clear" w:color="auto" w:fill="FDFDFE"/>
    </w:rPr>
  </w:style>
  <w:style w:type="paragraph" w:customStyle="1" w:styleId="431">
    <w:name w:val="4.3.1."/>
    <w:basedOn w:val="411"/>
    <w:next w:val="Prvn"/>
    <w:qFormat/>
    <w:rsid w:val="00147DD8"/>
    <w:pPr>
      <w:numPr>
        <w:numId w:val="4"/>
      </w:numPr>
    </w:pPr>
  </w:style>
  <w:style w:type="table" w:styleId="Mkatabulky">
    <w:name w:val="Table Grid"/>
    <w:basedOn w:val="Normlntabulka"/>
    <w:uiPriority w:val="59"/>
    <w:rsid w:val="009C3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E5019C"/>
    <w:pPr>
      <w:spacing w:line="240" w:lineRule="auto"/>
    </w:pPr>
    <w:rPr>
      <w:b/>
      <w:bCs/>
      <w:color w:val="4F81BD" w:themeColor="accent1"/>
      <w:sz w:val="18"/>
      <w:szCs w:val="18"/>
    </w:rPr>
  </w:style>
  <w:style w:type="paragraph" w:customStyle="1" w:styleId="1310">
    <w:name w:val="1.3.1."/>
    <w:basedOn w:val="411"/>
    <w:next w:val="Prvn"/>
    <w:qFormat/>
    <w:rsid w:val="00947B60"/>
    <w:pPr>
      <w:numPr>
        <w:numId w:val="5"/>
      </w:numPr>
      <w:ind w:left="924" w:hanging="357"/>
    </w:pPr>
  </w:style>
  <w:style w:type="paragraph" w:customStyle="1" w:styleId="11">
    <w:name w:val="1.1."/>
    <w:basedOn w:val="31"/>
    <w:next w:val="Prvn"/>
    <w:qFormat/>
    <w:rsid w:val="001A5B04"/>
    <w:pPr>
      <w:numPr>
        <w:numId w:val="6"/>
      </w:numPr>
      <w:ind w:left="714" w:hanging="357"/>
    </w:pPr>
  </w:style>
  <w:style w:type="paragraph" w:customStyle="1" w:styleId="21">
    <w:name w:val="2.1."/>
    <w:basedOn w:val="31"/>
    <w:next w:val="Prvn"/>
    <w:autoRedefine/>
    <w:qFormat/>
    <w:rsid w:val="009C173B"/>
    <w:pPr>
      <w:numPr>
        <w:numId w:val="9"/>
      </w:numPr>
    </w:pPr>
  </w:style>
  <w:style w:type="paragraph" w:styleId="Odstavecseseznamem">
    <w:name w:val="List Paragraph"/>
    <w:basedOn w:val="Normln"/>
    <w:uiPriority w:val="34"/>
    <w:qFormat/>
    <w:rsid w:val="005D358D"/>
    <w:pPr>
      <w:ind w:left="720"/>
      <w:contextualSpacing/>
    </w:pPr>
  </w:style>
  <w:style w:type="paragraph" w:customStyle="1" w:styleId="131">
    <w:name w:val="1.3.1"/>
    <w:basedOn w:val="1310"/>
    <w:next w:val="Prvn"/>
    <w:qFormat/>
    <w:rsid w:val="00DD630D"/>
    <w:pPr>
      <w:numPr>
        <w:numId w:val="11"/>
      </w:numPr>
      <w:ind w:left="924" w:hanging="357"/>
      <w:outlineLvl w:val="2"/>
    </w:pPr>
  </w:style>
  <w:style w:type="character" w:customStyle="1" w:styleId="h1a">
    <w:name w:val="h1a"/>
    <w:basedOn w:val="Standardnpsmoodstavce"/>
    <w:rsid w:val="00605B16"/>
  </w:style>
  <w:style w:type="paragraph" w:customStyle="1" w:styleId="221">
    <w:name w:val="2.2.1."/>
    <w:basedOn w:val="1310"/>
    <w:next w:val="Prvn"/>
    <w:qFormat/>
    <w:rsid w:val="00947B60"/>
    <w:pPr>
      <w:numPr>
        <w:numId w:val="12"/>
      </w:numPr>
      <w:outlineLvl w:val="2"/>
    </w:pPr>
  </w:style>
  <w:style w:type="character" w:customStyle="1" w:styleId="Nadpis2Char">
    <w:name w:val="Nadpis 2 Char"/>
    <w:basedOn w:val="Standardnpsmoodstavce"/>
    <w:link w:val="Nadpis2"/>
    <w:uiPriority w:val="9"/>
    <w:semiHidden/>
    <w:rsid w:val="00BA29F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BA29F9"/>
    <w:rPr>
      <w:rFonts w:asciiTheme="majorHAnsi" w:eastAsiaTheme="majorEastAsia" w:hAnsiTheme="majorHAnsi" w:cstheme="majorBidi"/>
      <w:b/>
      <w:bCs/>
      <w:color w:val="4F81BD" w:themeColor="accent1"/>
    </w:rPr>
  </w:style>
  <w:style w:type="paragraph" w:styleId="Obsah2">
    <w:name w:val="toc 2"/>
    <w:basedOn w:val="Normln"/>
    <w:next w:val="Normln"/>
    <w:autoRedefine/>
    <w:uiPriority w:val="39"/>
    <w:unhideWhenUsed/>
    <w:rsid w:val="00BA29F9"/>
    <w:pPr>
      <w:spacing w:after="100"/>
      <w:ind w:left="220"/>
    </w:pPr>
  </w:style>
  <w:style w:type="paragraph" w:styleId="Obsah3">
    <w:name w:val="toc 3"/>
    <w:basedOn w:val="Normln"/>
    <w:next w:val="Normln"/>
    <w:autoRedefine/>
    <w:uiPriority w:val="39"/>
    <w:unhideWhenUsed/>
    <w:rsid w:val="00BA29F9"/>
    <w:pPr>
      <w:spacing w:after="100"/>
      <w:ind w:left="440"/>
    </w:pPr>
  </w:style>
  <w:style w:type="character" w:styleId="Hypertextovodkaz">
    <w:name w:val="Hyperlink"/>
    <w:basedOn w:val="Standardnpsmoodstavce"/>
    <w:uiPriority w:val="99"/>
    <w:unhideWhenUsed/>
    <w:rsid w:val="00BA29F9"/>
    <w:rPr>
      <w:color w:val="0000FF" w:themeColor="hyperlink"/>
      <w:u w:val="single"/>
    </w:rPr>
  </w:style>
  <w:style w:type="paragraph" w:styleId="Obsah1">
    <w:name w:val="toc 1"/>
    <w:basedOn w:val="Normln"/>
    <w:next w:val="Normln"/>
    <w:autoRedefine/>
    <w:uiPriority w:val="39"/>
    <w:unhideWhenUsed/>
    <w:rsid w:val="00BA29F9"/>
    <w:pPr>
      <w:spacing w:after="100"/>
    </w:pPr>
  </w:style>
  <w:style w:type="paragraph" w:customStyle="1" w:styleId="Others">
    <w:name w:val="Others"/>
    <w:basedOn w:val="Normln"/>
    <w:next w:val="Prvn"/>
    <w:qFormat/>
    <w:rsid w:val="00B90F6F"/>
    <w:pPr>
      <w:pageBreakBefore/>
    </w:pPr>
    <w:rPr>
      <w:rFonts w:ascii="Times New Roman" w:hAnsi="Times New Roman" w:cs="Arial"/>
      <w:b/>
      <w:color w:val="000000"/>
      <w:sz w:val="28"/>
      <w:szCs w:val="19"/>
      <w:shd w:val="clear" w:color="auto" w:fill="FDFDFE"/>
    </w:rPr>
  </w:style>
  <w:style w:type="paragraph" w:customStyle="1" w:styleId="seznam">
    <w:name w:val="seznam"/>
    <w:basedOn w:val="Odstavecseseznamem"/>
    <w:qFormat/>
    <w:rsid w:val="00E052DF"/>
    <w:pPr>
      <w:keepLines/>
      <w:numPr>
        <w:numId w:val="15"/>
      </w:numPr>
      <w:spacing w:before="240" w:after="240"/>
      <w:ind w:left="714" w:hanging="357"/>
      <w:contextualSpacing w:val="0"/>
      <w:jc w:val="both"/>
    </w:pPr>
    <w:rPr>
      <w:rFonts w:ascii="Times New Roman" w:hAnsi="Times New Roman" w:cs="Times New Roman"/>
      <w:color w:val="000000"/>
      <w:sz w:val="24"/>
      <w:szCs w:val="20"/>
      <w:shd w:val="clear" w:color="auto" w:fill="FFFFFF"/>
    </w:rPr>
  </w:style>
  <w:style w:type="paragraph" w:styleId="Seznamobrzk">
    <w:name w:val="table of figures"/>
    <w:basedOn w:val="Normln"/>
    <w:next w:val="Normln"/>
    <w:uiPriority w:val="99"/>
    <w:unhideWhenUsed/>
    <w:rsid w:val="00B40EB7"/>
    <w:pPr>
      <w:spacing w:after="0"/>
    </w:pPr>
  </w:style>
  <w:style w:type="paragraph" w:customStyle="1" w:styleId="obsah">
    <w:name w:val="obsah"/>
    <w:basedOn w:val="Others"/>
    <w:qFormat/>
    <w:rsid w:val="00071456"/>
  </w:style>
  <w:style w:type="paragraph" w:styleId="Nzev">
    <w:name w:val="Title"/>
    <w:basedOn w:val="Normln"/>
    <w:next w:val="Normln"/>
    <w:link w:val="NzevChar"/>
    <w:uiPriority w:val="10"/>
    <w:qFormat/>
    <w:rsid w:val="00FE31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E314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6D71"/>
  </w:style>
  <w:style w:type="paragraph" w:styleId="Nadpis1">
    <w:name w:val="heading 1"/>
    <w:basedOn w:val="Normln"/>
    <w:next w:val="Normln"/>
    <w:link w:val="Nadpis1Char"/>
    <w:uiPriority w:val="9"/>
    <w:qFormat/>
    <w:rsid w:val="00B60C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semiHidden/>
    <w:unhideWhenUsed/>
    <w:qFormat/>
    <w:rsid w:val="00BA29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BA29F9"/>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rvn">
    <w:name w:val="První"/>
    <w:basedOn w:val="Normln"/>
    <w:next w:val="Druh"/>
    <w:autoRedefine/>
    <w:qFormat/>
    <w:rsid w:val="00B40EB7"/>
    <w:pPr>
      <w:spacing w:after="120" w:line="360" w:lineRule="auto"/>
      <w:jc w:val="both"/>
    </w:pPr>
    <w:rPr>
      <w:rFonts w:ascii="Times New Roman" w:hAnsi="Times New Roman"/>
      <w:sz w:val="24"/>
      <w:shd w:val="clear" w:color="auto" w:fill="FDFDFE"/>
    </w:rPr>
  </w:style>
  <w:style w:type="paragraph" w:customStyle="1" w:styleId="Druh">
    <w:name w:val="Druhý"/>
    <w:basedOn w:val="Normln"/>
    <w:autoRedefine/>
    <w:qFormat/>
    <w:rsid w:val="00F57567"/>
    <w:pPr>
      <w:spacing w:after="120" w:line="360" w:lineRule="auto"/>
      <w:ind w:firstLine="709"/>
      <w:jc w:val="both"/>
    </w:pPr>
    <w:rPr>
      <w:rFonts w:ascii="Times New Roman" w:hAnsi="Times New Roman"/>
      <w:sz w:val="24"/>
      <w:shd w:val="clear" w:color="auto" w:fill="FDFDFE"/>
    </w:rPr>
  </w:style>
  <w:style w:type="paragraph" w:styleId="Textbubliny">
    <w:name w:val="Balloon Text"/>
    <w:basedOn w:val="Normln"/>
    <w:link w:val="TextbublinyChar"/>
    <w:uiPriority w:val="99"/>
    <w:semiHidden/>
    <w:unhideWhenUsed/>
    <w:rsid w:val="00A524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52455"/>
    <w:rPr>
      <w:rFonts w:ascii="Tahoma" w:hAnsi="Tahoma" w:cs="Tahoma"/>
      <w:sz w:val="16"/>
      <w:szCs w:val="16"/>
    </w:rPr>
  </w:style>
  <w:style w:type="character" w:styleId="Zvraznn">
    <w:name w:val="Emphasis"/>
    <w:basedOn w:val="Standardnpsmoodstavce"/>
    <w:uiPriority w:val="20"/>
    <w:qFormat/>
    <w:rsid w:val="00EF08B0"/>
    <w:rPr>
      <w:i/>
      <w:iCs/>
    </w:rPr>
  </w:style>
  <w:style w:type="character" w:customStyle="1" w:styleId="apple-converted-space">
    <w:name w:val="apple-converted-space"/>
    <w:basedOn w:val="Standardnpsmoodstavce"/>
    <w:rsid w:val="00EF08B0"/>
  </w:style>
  <w:style w:type="character" w:styleId="Siln">
    <w:name w:val="Strong"/>
    <w:basedOn w:val="Standardnpsmoodstavce"/>
    <w:uiPriority w:val="22"/>
    <w:qFormat/>
    <w:rsid w:val="00EF08B0"/>
    <w:rPr>
      <w:b/>
      <w:bCs/>
    </w:rPr>
  </w:style>
  <w:style w:type="paragraph" w:styleId="Zhlav">
    <w:name w:val="header"/>
    <w:basedOn w:val="Normln"/>
    <w:link w:val="ZhlavChar"/>
    <w:uiPriority w:val="99"/>
    <w:unhideWhenUsed/>
    <w:rsid w:val="00B60C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60C4F"/>
  </w:style>
  <w:style w:type="paragraph" w:styleId="Zpat">
    <w:name w:val="footer"/>
    <w:basedOn w:val="Normln"/>
    <w:link w:val="ZpatChar"/>
    <w:uiPriority w:val="99"/>
    <w:unhideWhenUsed/>
    <w:rsid w:val="00B60C4F"/>
    <w:pPr>
      <w:tabs>
        <w:tab w:val="center" w:pos="4536"/>
        <w:tab w:val="right" w:pos="9072"/>
      </w:tabs>
      <w:spacing w:after="0" w:line="240" w:lineRule="auto"/>
    </w:pPr>
  </w:style>
  <w:style w:type="character" w:customStyle="1" w:styleId="ZpatChar">
    <w:name w:val="Zápatí Char"/>
    <w:basedOn w:val="Standardnpsmoodstavce"/>
    <w:link w:val="Zpat"/>
    <w:uiPriority w:val="99"/>
    <w:rsid w:val="00B60C4F"/>
  </w:style>
  <w:style w:type="paragraph" w:customStyle="1" w:styleId="31">
    <w:name w:val="3.1."/>
    <w:basedOn w:val="Nadpis1"/>
    <w:next w:val="Prvn"/>
    <w:qFormat/>
    <w:rsid w:val="00A4684C"/>
    <w:pPr>
      <w:numPr>
        <w:numId w:val="1"/>
      </w:numPr>
      <w:spacing w:after="240"/>
      <w:jc w:val="both"/>
      <w:outlineLvl w:val="1"/>
    </w:pPr>
    <w:rPr>
      <w:rFonts w:ascii="Times New Roman" w:hAnsi="Times New Roman" w:cs="Arial"/>
      <w:color w:val="000000"/>
      <w:sz w:val="26"/>
      <w:szCs w:val="19"/>
      <w:shd w:val="clear" w:color="auto" w:fill="FDFDFE"/>
    </w:rPr>
  </w:style>
  <w:style w:type="paragraph" w:customStyle="1" w:styleId="411">
    <w:name w:val="4.1.1."/>
    <w:basedOn w:val="Nadpis1"/>
    <w:next w:val="Prvn"/>
    <w:autoRedefine/>
    <w:qFormat/>
    <w:rsid w:val="00FE3145"/>
    <w:pPr>
      <w:numPr>
        <w:numId w:val="2"/>
      </w:numPr>
      <w:spacing w:after="240"/>
      <w:jc w:val="both"/>
    </w:pPr>
    <w:rPr>
      <w:rFonts w:ascii="Times New Roman" w:hAnsi="Times New Roman"/>
      <w:color w:val="auto"/>
      <w:sz w:val="24"/>
    </w:rPr>
  </w:style>
  <w:style w:type="character" w:customStyle="1" w:styleId="Nadpis1Char">
    <w:name w:val="Nadpis 1 Char"/>
    <w:basedOn w:val="Standardnpsmoodstavce"/>
    <w:link w:val="Nadpis1"/>
    <w:uiPriority w:val="9"/>
    <w:rsid w:val="00B60C4F"/>
    <w:rPr>
      <w:rFonts w:asciiTheme="majorHAnsi" w:eastAsiaTheme="majorEastAsia" w:hAnsiTheme="majorHAnsi" w:cstheme="majorBidi"/>
      <w:b/>
      <w:bCs/>
      <w:color w:val="365F91" w:themeColor="accent1" w:themeShade="BF"/>
      <w:sz w:val="28"/>
      <w:szCs w:val="28"/>
    </w:rPr>
  </w:style>
  <w:style w:type="paragraph" w:styleId="Textpoznpodarou">
    <w:name w:val="footnote text"/>
    <w:basedOn w:val="Normln"/>
    <w:link w:val="TextpoznpodarouChar"/>
    <w:uiPriority w:val="99"/>
    <w:semiHidden/>
    <w:unhideWhenUsed/>
    <w:rsid w:val="0046531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465319"/>
    <w:rPr>
      <w:sz w:val="20"/>
      <w:szCs w:val="20"/>
    </w:rPr>
  </w:style>
  <w:style w:type="character" w:styleId="Znakapoznpodarou">
    <w:name w:val="footnote reference"/>
    <w:basedOn w:val="Standardnpsmoodstavce"/>
    <w:uiPriority w:val="99"/>
    <w:semiHidden/>
    <w:unhideWhenUsed/>
    <w:rsid w:val="00465319"/>
    <w:rPr>
      <w:vertAlign w:val="superscript"/>
    </w:rPr>
  </w:style>
  <w:style w:type="paragraph" w:customStyle="1" w:styleId="1">
    <w:name w:val="1."/>
    <w:basedOn w:val="Nadpis1"/>
    <w:next w:val="Prvn"/>
    <w:autoRedefine/>
    <w:qFormat/>
    <w:rsid w:val="00FE3145"/>
    <w:pPr>
      <w:pageBreakBefore/>
      <w:numPr>
        <w:numId w:val="3"/>
      </w:numPr>
      <w:spacing w:after="240"/>
      <w:ind w:left="170" w:firstLine="0"/>
    </w:pPr>
    <w:rPr>
      <w:rFonts w:ascii="Times New Roman" w:hAnsi="Times New Roman" w:cs="Arial"/>
      <w:color w:val="000000"/>
      <w:szCs w:val="19"/>
      <w:shd w:val="clear" w:color="auto" w:fill="FDFDFE"/>
    </w:rPr>
  </w:style>
  <w:style w:type="paragraph" w:customStyle="1" w:styleId="431">
    <w:name w:val="4.3.1."/>
    <w:basedOn w:val="411"/>
    <w:next w:val="Prvn"/>
    <w:qFormat/>
    <w:rsid w:val="00147DD8"/>
    <w:pPr>
      <w:numPr>
        <w:numId w:val="4"/>
      </w:numPr>
    </w:pPr>
  </w:style>
  <w:style w:type="table" w:styleId="Mkatabulky">
    <w:name w:val="Table Grid"/>
    <w:basedOn w:val="Normlntabulka"/>
    <w:uiPriority w:val="59"/>
    <w:rsid w:val="009C34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basedOn w:val="Normln"/>
    <w:next w:val="Normln"/>
    <w:uiPriority w:val="35"/>
    <w:unhideWhenUsed/>
    <w:qFormat/>
    <w:rsid w:val="00E5019C"/>
    <w:pPr>
      <w:spacing w:line="240" w:lineRule="auto"/>
    </w:pPr>
    <w:rPr>
      <w:b/>
      <w:bCs/>
      <w:color w:val="4F81BD" w:themeColor="accent1"/>
      <w:sz w:val="18"/>
      <w:szCs w:val="18"/>
    </w:rPr>
  </w:style>
  <w:style w:type="paragraph" w:customStyle="1" w:styleId="1310">
    <w:name w:val="1.3.1."/>
    <w:basedOn w:val="411"/>
    <w:next w:val="Prvn"/>
    <w:qFormat/>
    <w:rsid w:val="00947B60"/>
    <w:pPr>
      <w:numPr>
        <w:numId w:val="5"/>
      </w:numPr>
      <w:ind w:left="924" w:hanging="357"/>
    </w:pPr>
  </w:style>
  <w:style w:type="paragraph" w:customStyle="1" w:styleId="11">
    <w:name w:val="1.1."/>
    <w:basedOn w:val="31"/>
    <w:next w:val="Prvn"/>
    <w:qFormat/>
    <w:rsid w:val="001A5B04"/>
    <w:pPr>
      <w:numPr>
        <w:numId w:val="6"/>
      </w:numPr>
      <w:ind w:left="714" w:hanging="357"/>
    </w:pPr>
  </w:style>
  <w:style w:type="paragraph" w:customStyle="1" w:styleId="21">
    <w:name w:val="2.1."/>
    <w:basedOn w:val="31"/>
    <w:next w:val="Prvn"/>
    <w:autoRedefine/>
    <w:qFormat/>
    <w:rsid w:val="009C173B"/>
    <w:pPr>
      <w:numPr>
        <w:numId w:val="9"/>
      </w:numPr>
    </w:pPr>
  </w:style>
  <w:style w:type="paragraph" w:styleId="Odstavecseseznamem">
    <w:name w:val="List Paragraph"/>
    <w:basedOn w:val="Normln"/>
    <w:uiPriority w:val="34"/>
    <w:qFormat/>
    <w:rsid w:val="005D358D"/>
    <w:pPr>
      <w:ind w:left="720"/>
      <w:contextualSpacing/>
    </w:pPr>
  </w:style>
  <w:style w:type="paragraph" w:customStyle="1" w:styleId="131">
    <w:name w:val="1.3.1"/>
    <w:basedOn w:val="1310"/>
    <w:next w:val="Prvn"/>
    <w:qFormat/>
    <w:rsid w:val="00DD630D"/>
    <w:pPr>
      <w:numPr>
        <w:numId w:val="11"/>
      </w:numPr>
      <w:ind w:left="924" w:hanging="357"/>
      <w:outlineLvl w:val="2"/>
    </w:pPr>
  </w:style>
  <w:style w:type="character" w:customStyle="1" w:styleId="h1a">
    <w:name w:val="h1a"/>
    <w:basedOn w:val="Standardnpsmoodstavce"/>
    <w:rsid w:val="00605B16"/>
  </w:style>
  <w:style w:type="paragraph" w:customStyle="1" w:styleId="221">
    <w:name w:val="2.2.1."/>
    <w:basedOn w:val="1310"/>
    <w:next w:val="Prvn"/>
    <w:qFormat/>
    <w:rsid w:val="00947B60"/>
    <w:pPr>
      <w:numPr>
        <w:numId w:val="12"/>
      </w:numPr>
      <w:outlineLvl w:val="2"/>
    </w:pPr>
  </w:style>
  <w:style w:type="character" w:customStyle="1" w:styleId="Nadpis2Char">
    <w:name w:val="Nadpis 2 Char"/>
    <w:basedOn w:val="Standardnpsmoodstavce"/>
    <w:link w:val="Nadpis2"/>
    <w:uiPriority w:val="9"/>
    <w:semiHidden/>
    <w:rsid w:val="00BA29F9"/>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semiHidden/>
    <w:rsid w:val="00BA29F9"/>
    <w:rPr>
      <w:rFonts w:asciiTheme="majorHAnsi" w:eastAsiaTheme="majorEastAsia" w:hAnsiTheme="majorHAnsi" w:cstheme="majorBidi"/>
      <w:b/>
      <w:bCs/>
      <w:color w:val="4F81BD" w:themeColor="accent1"/>
    </w:rPr>
  </w:style>
  <w:style w:type="paragraph" w:styleId="Obsah2">
    <w:name w:val="toc 2"/>
    <w:basedOn w:val="Normln"/>
    <w:next w:val="Normln"/>
    <w:autoRedefine/>
    <w:uiPriority w:val="39"/>
    <w:unhideWhenUsed/>
    <w:rsid w:val="00BA29F9"/>
    <w:pPr>
      <w:spacing w:after="100"/>
      <w:ind w:left="220"/>
    </w:pPr>
  </w:style>
  <w:style w:type="paragraph" w:styleId="Obsah3">
    <w:name w:val="toc 3"/>
    <w:basedOn w:val="Normln"/>
    <w:next w:val="Normln"/>
    <w:autoRedefine/>
    <w:uiPriority w:val="39"/>
    <w:unhideWhenUsed/>
    <w:rsid w:val="00BA29F9"/>
    <w:pPr>
      <w:spacing w:after="100"/>
      <w:ind w:left="440"/>
    </w:pPr>
  </w:style>
  <w:style w:type="character" w:styleId="Hypertextovodkaz">
    <w:name w:val="Hyperlink"/>
    <w:basedOn w:val="Standardnpsmoodstavce"/>
    <w:uiPriority w:val="99"/>
    <w:unhideWhenUsed/>
    <w:rsid w:val="00BA29F9"/>
    <w:rPr>
      <w:color w:val="0000FF" w:themeColor="hyperlink"/>
      <w:u w:val="single"/>
    </w:rPr>
  </w:style>
  <w:style w:type="paragraph" w:styleId="Obsah1">
    <w:name w:val="toc 1"/>
    <w:basedOn w:val="Normln"/>
    <w:next w:val="Normln"/>
    <w:autoRedefine/>
    <w:uiPriority w:val="39"/>
    <w:unhideWhenUsed/>
    <w:rsid w:val="00BA29F9"/>
    <w:pPr>
      <w:spacing w:after="100"/>
    </w:pPr>
  </w:style>
  <w:style w:type="paragraph" w:customStyle="1" w:styleId="Others">
    <w:name w:val="Others"/>
    <w:basedOn w:val="Normln"/>
    <w:next w:val="Prvn"/>
    <w:qFormat/>
    <w:rsid w:val="00B90F6F"/>
    <w:pPr>
      <w:pageBreakBefore/>
    </w:pPr>
    <w:rPr>
      <w:rFonts w:ascii="Times New Roman" w:hAnsi="Times New Roman" w:cs="Arial"/>
      <w:b/>
      <w:color w:val="000000"/>
      <w:sz w:val="28"/>
      <w:szCs w:val="19"/>
      <w:shd w:val="clear" w:color="auto" w:fill="FDFDFE"/>
    </w:rPr>
  </w:style>
  <w:style w:type="paragraph" w:customStyle="1" w:styleId="seznam">
    <w:name w:val="seznam"/>
    <w:basedOn w:val="Odstavecseseznamem"/>
    <w:qFormat/>
    <w:rsid w:val="00E052DF"/>
    <w:pPr>
      <w:keepLines/>
      <w:numPr>
        <w:numId w:val="15"/>
      </w:numPr>
      <w:spacing w:before="240" w:after="240"/>
      <w:ind w:left="714" w:hanging="357"/>
      <w:contextualSpacing w:val="0"/>
      <w:jc w:val="both"/>
    </w:pPr>
    <w:rPr>
      <w:rFonts w:ascii="Times New Roman" w:hAnsi="Times New Roman" w:cs="Times New Roman"/>
      <w:color w:val="000000"/>
      <w:sz w:val="24"/>
      <w:szCs w:val="20"/>
      <w:shd w:val="clear" w:color="auto" w:fill="FFFFFF"/>
    </w:rPr>
  </w:style>
  <w:style w:type="paragraph" w:styleId="Seznamobrzk">
    <w:name w:val="table of figures"/>
    <w:basedOn w:val="Normln"/>
    <w:next w:val="Normln"/>
    <w:uiPriority w:val="99"/>
    <w:unhideWhenUsed/>
    <w:rsid w:val="00B40EB7"/>
    <w:pPr>
      <w:spacing w:after="0"/>
    </w:pPr>
  </w:style>
  <w:style w:type="paragraph" w:customStyle="1" w:styleId="obsah">
    <w:name w:val="obsah"/>
    <w:basedOn w:val="Others"/>
    <w:qFormat/>
    <w:rsid w:val="00071456"/>
  </w:style>
  <w:style w:type="paragraph" w:styleId="Nzev">
    <w:name w:val="Title"/>
    <w:basedOn w:val="Normln"/>
    <w:next w:val="Normln"/>
    <w:link w:val="NzevChar"/>
    <w:uiPriority w:val="10"/>
    <w:qFormat/>
    <w:rsid w:val="00FE314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E314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8885391">
      <w:bodyDiv w:val="1"/>
      <w:marLeft w:val="0"/>
      <w:marRight w:val="0"/>
      <w:marTop w:val="0"/>
      <w:marBottom w:val="0"/>
      <w:divBdr>
        <w:top w:val="none" w:sz="0" w:space="0" w:color="auto"/>
        <w:left w:val="none" w:sz="0" w:space="0" w:color="auto"/>
        <w:bottom w:val="none" w:sz="0" w:space="0" w:color="auto"/>
        <w:right w:val="none" w:sz="0" w:space="0" w:color="auto"/>
      </w:divBdr>
    </w:div>
    <w:div w:id="1854612862">
      <w:bodyDiv w:val="1"/>
      <w:marLeft w:val="0"/>
      <w:marRight w:val="0"/>
      <w:marTop w:val="0"/>
      <w:marBottom w:val="0"/>
      <w:divBdr>
        <w:top w:val="none" w:sz="0" w:space="0" w:color="auto"/>
        <w:left w:val="none" w:sz="0" w:space="0" w:color="auto"/>
        <w:bottom w:val="none" w:sz="0" w:space="0" w:color="auto"/>
        <w:right w:val="none" w:sz="0" w:space="0" w:color="auto"/>
      </w:divBdr>
      <w:divsChild>
        <w:div w:id="110245637">
          <w:marLeft w:val="0"/>
          <w:marRight w:val="0"/>
          <w:marTop w:val="0"/>
          <w:marBottom w:val="0"/>
          <w:divBdr>
            <w:top w:val="none" w:sz="0" w:space="0" w:color="auto"/>
            <w:left w:val="none" w:sz="0" w:space="0" w:color="auto"/>
            <w:bottom w:val="none" w:sz="0" w:space="0" w:color="auto"/>
            <w:right w:val="none" w:sz="0" w:space="0" w:color="auto"/>
          </w:divBdr>
        </w:div>
        <w:div w:id="158738116">
          <w:marLeft w:val="0"/>
          <w:marRight w:val="0"/>
          <w:marTop w:val="0"/>
          <w:marBottom w:val="0"/>
          <w:divBdr>
            <w:top w:val="none" w:sz="0" w:space="0" w:color="auto"/>
            <w:left w:val="none" w:sz="0" w:space="0" w:color="auto"/>
            <w:bottom w:val="none" w:sz="0" w:space="0" w:color="auto"/>
            <w:right w:val="none" w:sz="0" w:space="0" w:color="auto"/>
          </w:divBdr>
        </w:div>
        <w:div w:id="634721463">
          <w:marLeft w:val="0"/>
          <w:marRight w:val="0"/>
          <w:marTop w:val="0"/>
          <w:marBottom w:val="0"/>
          <w:divBdr>
            <w:top w:val="none" w:sz="0" w:space="0" w:color="auto"/>
            <w:left w:val="none" w:sz="0" w:space="0" w:color="auto"/>
            <w:bottom w:val="none" w:sz="0" w:space="0" w:color="auto"/>
            <w:right w:val="none" w:sz="0" w:space="0" w:color="auto"/>
          </w:divBdr>
        </w:div>
        <w:div w:id="1006978005">
          <w:marLeft w:val="0"/>
          <w:marRight w:val="0"/>
          <w:marTop w:val="0"/>
          <w:marBottom w:val="0"/>
          <w:divBdr>
            <w:top w:val="none" w:sz="0" w:space="0" w:color="auto"/>
            <w:left w:val="none" w:sz="0" w:space="0" w:color="auto"/>
            <w:bottom w:val="none" w:sz="0" w:space="0" w:color="auto"/>
            <w:right w:val="none" w:sz="0" w:space="0" w:color="auto"/>
          </w:divBdr>
        </w:div>
        <w:div w:id="1071005405">
          <w:marLeft w:val="0"/>
          <w:marRight w:val="0"/>
          <w:marTop w:val="0"/>
          <w:marBottom w:val="0"/>
          <w:divBdr>
            <w:top w:val="none" w:sz="0" w:space="0" w:color="auto"/>
            <w:left w:val="none" w:sz="0" w:space="0" w:color="auto"/>
            <w:bottom w:val="none" w:sz="0" w:space="0" w:color="auto"/>
            <w:right w:val="none" w:sz="0" w:space="0" w:color="auto"/>
          </w:divBdr>
        </w:div>
        <w:div w:id="1143080260">
          <w:marLeft w:val="0"/>
          <w:marRight w:val="0"/>
          <w:marTop w:val="0"/>
          <w:marBottom w:val="0"/>
          <w:divBdr>
            <w:top w:val="none" w:sz="0" w:space="0" w:color="auto"/>
            <w:left w:val="none" w:sz="0" w:space="0" w:color="auto"/>
            <w:bottom w:val="none" w:sz="0" w:space="0" w:color="auto"/>
            <w:right w:val="none" w:sz="0" w:space="0" w:color="auto"/>
          </w:divBdr>
        </w:div>
        <w:div w:id="1413157864">
          <w:marLeft w:val="0"/>
          <w:marRight w:val="0"/>
          <w:marTop w:val="0"/>
          <w:marBottom w:val="0"/>
          <w:divBdr>
            <w:top w:val="none" w:sz="0" w:space="0" w:color="auto"/>
            <w:left w:val="none" w:sz="0" w:space="0" w:color="auto"/>
            <w:bottom w:val="none" w:sz="0" w:space="0" w:color="auto"/>
            <w:right w:val="none" w:sz="0" w:space="0" w:color="auto"/>
          </w:divBdr>
        </w:div>
        <w:div w:id="1527134739">
          <w:marLeft w:val="0"/>
          <w:marRight w:val="0"/>
          <w:marTop w:val="0"/>
          <w:marBottom w:val="0"/>
          <w:divBdr>
            <w:top w:val="none" w:sz="0" w:space="0" w:color="auto"/>
            <w:left w:val="none" w:sz="0" w:space="0" w:color="auto"/>
            <w:bottom w:val="none" w:sz="0" w:space="0" w:color="auto"/>
            <w:right w:val="none" w:sz="0" w:space="0" w:color="auto"/>
          </w:divBdr>
        </w:div>
        <w:div w:id="1532962081">
          <w:marLeft w:val="0"/>
          <w:marRight w:val="0"/>
          <w:marTop w:val="0"/>
          <w:marBottom w:val="0"/>
          <w:divBdr>
            <w:top w:val="none" w:sz="0" w:space="0" w:color="auto"/>
            <w:left w:val="none" w:sz="0" w:space="0" w:color="auto"/>
            <w:bottom w:val="none" w:sz="0" w:space="0" w:color="auto"/>
            <w:right w:val="none" w:sz="0" w:space="0" w:color="auto"/>
          </w:divBdr>
        </w:div>
        <w:div w:id="2049990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enize.cz/makroekonomika/275985-ocima-expertu-menova-intervence-cnb-komu-pomuze-a-komu-ublizi" TargetMode="External"/><Relationship Id="rId21" Type="http://schemas.openxmlformats.org/officeDocument/2006/relationships/hyperlink" Target="http://cepin.cz/cze/prednaska.php?ID=146" TargetMode="External"/><Relationship Id="rId34" Type="http://schemas.openxmlformats.org/officeDocument/2006/relationships/hyperlink" Target="http://www.cnb.cz/cs/menova_politika/cilovani.html" TargetMode="External"/><Relationship Id="rId42" Type="http://schemas.openxmlformats.org/officeDocument/2006/relationships/hyperlink" Target="http://www.cnb.cz/miranda2/export/sites/www.cnb.cz/cs/menova_politika/strategicke_dokumenty/download/inflacni_cil_2006.pdf" TargetMode="External"/><Relationship Id="rId47" Type="http://schemas.openxmlformats.org/officeDocument/2006/relationships/hyperlink" Target="http://www.cnb.cz/miranda2/export/sites/www.cnb.cz/cs/menova_politika/strategicke_dokumenty/download/inflacni_cil_cnb_2010.pdf" TargetMode="External"/><Relationship Id="rId50" Type="http://schemas.openxmlformats.org/officeDocument/2006/relationships/hyperlink" Target="https://www.cnb.cz/cs/faq/proc_je_cnb_nezavisla.html" TargetMode="External"/><Relationship Id="rId55" Type="http://schemas.openxmlformats.org/officeDocument/2006/relationships/hyperlink" Target="https://www.cnb.cz/miranda2/export/sites/www.cnb.cz/cs/o_cnb/hospodareni/download/cnb_vysledky_hospodareni_2002.pdf" TargetMode="External"/><Relationship Id="rId63" Type="http://schemas.openxmlformats.org/officeDocument/2006/relationships/hyperlink" Target="https://www.cnb.cz/miranda2/export/sites/www.cnb.cz/cs/o_cnb/hospodareni/download/cnb_vysledky_hospodareni_2010.pdf" TargetMode="External"/><Relationship Id="rId68" Type="http://schemas.openxmlformats.org/officeDocument/2006/relationships/hyperlink" Target="http://www.cnb.cz/miranda2/export/sites/www.cnb.cz/cs/menova_politika/strategicke_dokumenty/download/inflacni_cil_2002_05.pdf" TargetMode="External"/><Relationship Id="rId76" Type="http://schemas.openxmlformats.org/officeDocument/2006/relationships/hyperlink" Target="http://www.nbs.sk/_img/Documents/_Publikacie/VyrocnaSprava/VSNBS06.pdf" TargetMode="External"/><Relationship Id="rId84" Type="http://schemas.openxmlformats.org/officeDocument/2006/relationships/hyperlink" Target="http://www.cnb.cz/miranda2/export/sites/www.cnb.cz/cs/o_cnb/hospodareni/vyrocni_zpravy/download/vyrocni_zprava_2003.pdf" TargetMode="External"/><Relationship Id="rId89" Type="http://schemas.openxmlformats.org/officeDocument/2006/relationships/hyperlink" Target="https://www.cnb.cz/miranda2/export/sites/www.cnb.cz/cs/o_cnb/hospodareni/vyrocni_zpravy/download/vyrocni_zprava_2013.pdf"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cnb.cz/miranda2/export/sites/www.cnb.cz/cs/menova_politika/strategicke_dokumenty/download/maastricht_vyhodnoceni_2005.pdf" TargetMode="External"/><Relationship Id="rId92" Type="http://schemas.openxmlformats.org/officeDocument/2006/relationships/hyperlink" Target="http://eur-lex.europa.eu/legal-content/CS/TXT/?uri=CELEX:12012E/TXT" TargetMode="External"/><Relationship Id="rId2" Type="http://schemas.openxmlformats.org/officeDocument/2006/relationships/numbering" Target="numbering.xml"/><Relationship Id="rId16" Type="http://schemas.openxmlformats.org/officeDocument/2006/relationships/hyperlink" Target="http://www.nbs.sk/_img/Documents/PUBLIK/MU/08_03.PDF" TargetMode="External"/><Relationship Id="rId29" Type="http://schemas.openxmlformats.org/officeDocument/2006/relationships/hyperlink" Target="http://www.nbs.sk/sk/menova-politika/menova-politika-nbs-do-roku-2009/2000-2004-implicitne-inflacne-cielenie" TargetMode="External"/><Relationship Id="rId11" Type="http://schemas.openxmlformats.org/officeDocument/2006/relationships/footer" Target="footer1.xml"/><Relationship Id="rId24" Type="http://schemas.openxmlformats.org/officeDocument/2006/relationships/hyperlink" Target="https://is.muni.cz/auth/th/199255/pravf_m/Diplomova_prace.pdf" TargetMode="External"/><Relationship Id="rId32" Type="http://schemas.openxmlformats.org/officeDocument/2006/relationships/hyperlink" Target="http://www.mpo.cz/dokument160232.html" TargetMode="External"/><Relationship Id="rId37" Type="http://schemas.openxmlformats.org/officeDocument/2006/relationships/hyperlink" Target="https://www.cnb.cz/cs/verejnost/pro_media/tiskove_zpravy_cnb/2015/20150112_oceneni.html" TargetMode="External"/><Relationship Id="rId40" Type="http://schemas.openxmlformats.org/officeDocument/2006/relationships/hyperlink" Target="http://www.financninoviny.cz/zpravy/hospodareni-cnb-spadlo-loni-do-ztraty-468-milionu-korun/1302249" TargetMode="External"/><Relationship Id="rId45" Type="http://schemas.openxmlformats.org/officeDocument/2006/relationships/hyperlink" Target="http://www.nbs.sk/sk/menova-politika/menova-politika-ecb-od-roku-2009" TargetMode="External"/><Relationship Id="rId53" Type="http://schemas.openxmlformats.org/officeDocument/2006/relationships/hyperlink" Target="https://www.cnb.cz/miranda2/export/sites/www.cnb.cz/cs/o_cnb/hospodareni/download/cnb_vysledky_hospodareni_2000.pdf" TargetMode="External"/><Relationship Id="rId58" Type="http://schemas.openxmlformats.org/officeDocument/2006/relationships/hyperlink" Target="https://www.cnb.cz/miranda2/export/sites/www.cnb.cz/cs/o_cnb/hospodareni/download/cnb_vysledky_hospodareni_2005.pdf" TargetMode="External"/><Relationship Id="rId66" Type="http://schemas.openxmlformats.org/officeDocument/2006/relationships/hyperlink" Target="https://www.cnb.cz/miranda2/export/sites/www.cnb.cz/cs/o_cnb/hospodareni/download/cnb_vysledky_hospodareni_2013.pdf" TargetMode="External"/><Relationship Id="rId74" Type="http://schemas.openxmlformats.org/officeDocument/2006/relationships/hyperlink" Target="https://www.cnb.cz/miranda2/export/sites/www.cnb.cz/cs/menova_politika/strategicke_dokumenty/download/maastricht_vyhodnoceni_2014.pdf" TargetMode="External"/><Relationship Id="rId79" Type="http://schemas.openxmlformats.org/officeDocument/2006/relationships/hyperlink" Target="http://www.cnb.cz/miranda2/export/sites/www.cnb.cz/cs/o_cnb/hospodareni/vyrocni_zpravy/download/vyrocni_zprava_1995.pdf" TargetMode="External"/><Relationship Id="rId87" Type="http://schemas.openxmlformats.org/officeDocument/2006/relationships/hyperlink" Target="https://www.cnb.cz/miranda2/export/sites/www.cnb.cz/cs/o_cnb/hospodareni/vyrocni_zpravy/download/vyrocni_zprava_2011.pdf" TargetMode="External"/><Relationship Id="rId5" Type="http://schemas.openxmlformats.org/officeDocument/2006/relationships/settings" Target="settings.xml"/><Relationship Id="rId61" Type="http://schemas.openxmlformats.org/officeDocument/2006/relationships/hyperlink" Target="https://www.cnb.cz/miranda2/export/sites/www.cnb.cz/cs/o_cnb/hospodareni/download/cnb_vysledky_hospodareni_2008.pdf" TargetMode="External"/><Relationship Id="rId82" Type="http://schemas.openxmlformats.org/officeDocument/2006/relationships/hyperlink" Target="http://www.cnb.cz/miranda2/export/sites/www.cnb.cz/cs/o_cnb/hospodareni/vyrocni_zpravy/download/vyrocni_zprava_2001.pdf" TargetMode="External"/><Relationship Id="rId90" Type="http://schemas.openxmlformats.org/officeDocument/2006/relationships/hyperlink" Target="http://www.nbs.sk/sk/statisticke-udaje/udajove-kategorie-sdds/urokove-sadzby/urokove-sadzby-nbs/zakladna-urokova-sadzba-nbs-limitna-urokova-sadzba-pre-dvojtyzdnove-repo" TargetMode="External"/><Relationship Id="rId95" Type="http://schemas.openxmlformats.org/officeDocument/2006/relationships/hyperlink" Target="http://www.psp.cz/sqw/text/tiskt.sqw?o=5&amp;ct=800&amp;ct1=6" TargetMode="External"/><Relationship Id="rId19" Type="http://schemas.openxmlformats.org/officeDocument/2006/relationships/hyperlink" Target="https://is.bivs.cz/th/6626/bivs_m/HlavatyJ-Diplom.prace.pdf" TargetMode="External"/><Relationship Id="rId14" Type="http://schemas.openxmlformats.org/officeDocument/2006/relationships/hyperlink" Target="http://www.penize.cz/dan-z-prijmu-fyzickych-osob/49182-v-krizi-dokaze-cnb-ovlivnovat-urokove-sazby-jen-obtizne" TargetMode="External"/><Relationship Id="rId22" Type="http://schemas.openxmlformats.org/officeDocument/2006/relationships/hyperlink" Target="http://euro.e15.cz/archiv/cesko-mezi-dvema-koni-820697" TargetMode="External"/><Relationship Id="rId27" Type="http://schemas.openxmlformats.org/officeDocument/2006/relationships/hyperlink" Target="http://www.cnb.cz/miranda2/export/sites/www.cnb.cz/cs/o_cnb/publikace/download/10_let_inflacni_cileni_cz.pdf" TargetMode="External"/><Relationship Id="rId30" Type="http://schemas.openxmlformats.org/officeDocument/2006/relationships/hyperlink" Target="http://www.nbs.sk/sk/menova-politika/menova-politika-nbs-do-roku-2009/2005-2008-inflacne-cielenie-v-erm-ii" TargetMode="External"/><Relationship Id="rId35" Type="http://schemas.openxmlformats.org/officeDocument/2006/relationships/hyperlink" Target="http://www.tyden.cz/rubriky/domaci/politika/cnb-ma-byt-nezavisla-zlobi-se-babis-nad-vyroky-zemana_333858.html" TargetMode="External"/><Relationship Id="rId43" Type="http://schemas.openxmlformats.org/officeDocument/2006/relationships/hyperlink" Target="https://www.ecb.europa.eu/pub/pdf/conrep/cr201205cs.pdf?2c848beb92732c7465ac4c47cca448bd" TargetMode="External"/><Relationship Id="rId48" Type="http://schemas.openxmlformats.org/officeDocument/2006/relationships/hyperlink" Target="http://www.cnb.cz/cs/platebni_styk/" TargetMode="External"/><Relationship Id="rId56" Type="http://schemas.openxmlformats.org/officeDocument/2006/relationships/hyperlink" Target="https://www.cnb.cz/miranda2/export/sites/www.cnb.cz/cs/o_cnb/hospodareni/download/cnb_vysledky_hospodareni_2003.pdf" TargetMode="External"/><Relationship Id="rId64" Type="http://schemas.openxmlformats.org/officeDocument/2006/relationships/hyperlink" Target="https://www.cnb.cz/miranda2/export/sites/www.cnb.cz/cs/o_cnb/hospodareni/download/cnb_vysledky_hospodareni_2011.pdf" TargetMode="External"/><Relationship Id="rId69" Type="http://schemas.openxmlformats.org/officeDocument/2006/relationships/hyperlink" Target="http://www.nbs.sk/sk/statisticke-udaje/udajove-kategorie-sdds/urokove-sadzby/urokove-sadzby-ecb" TargetMode="External"/><Relationship Id="rId77" Type="http://schemas.openxmlformats.org/officeDocument/2006/relationships/hyperlink" Target="http://www.nbs.sk/_img/Documents/_Publikacie/VyrocnaSprava/VSNBS07.pdf" TargetMode="External"/><Relationship Id="rId8" Type="http://schemas.openxmlformats.org/officeDocument/2006/relationships/endnotes" Target="endnotes.xml"/><Relationship Id="rId51" Type="http://schemas.openxmlformats.org/officeDocument/2006/relationships/hyperlink" Target="http://www.cnb.cz/cs/menova_politika/br_zapisy_z_jednani/2016/160204_prohlaseni.html" TargetMode="External"/><Relationship Id="rId72" Type="http://schemas.openxmlformats.org/officeDocument/2006/relationships/hyperlink" Target="http://www.cnb.cz/miranda2/export/sites/www.cnb.cz/cs/menova_politika/strategicke_dokumenty/download/maastricht_vyhodnoceni_2008.pdf" TargetMode="External"/><Relationship Id="rId80" Type="http://schemas.openxmlformats.org/officeDocument/2006/relationships/hyperlink" Target="http://www.cnb.cz/miranda2/export/sites/www.cnb.cz/cs/o_cnb/hospodareni/vyrocni_zpravy/download/vyrocni_zprava_1997.pdf" TargetMode="External"/><Relationship Id="rId85" Type="http://schemas.openxmlformats.org/officeDocument/2006/relationships/hyperlink" Target="https://www.cnb.cz/miranda2/export/sites/www.cnb.cz/cs/o_cnb/hospodareni/vyrocni_zpravy/download/vyrocni_zprava_2009.pdf" TargetMode="External"/><Relationship Id="rId93" Type="http://schemas.openxmlformats.org/officeDocument/2006/relationships/hyperlink" Target="http://eur-lex.europa.eu/legal-content/CS/TXT/?uri=CELEX:12012E/TXT"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apic-ak.cz/data_ak/11/k/Stat/DopadyKrizeCR.pdf" TargetMode="External"/><Relationship Id="rId25" Type="http://schemas.openxmlformats.org/officeDocument/2006/relationships/hyperlink" Target="http://www.cnb.cz/miranda2/export/sites/www.cnb.cz/cs/vyzkum/vyzkum_publikace/plneni_infl_cilu/download/vyhodnoceni_plneni_infl_cilu_CNB_1998-2007.pdf" TargetMode="External"/><Relationship Id="rId33" Type="http://schemas.openxmlformats.org/officeDocument/2006/relationships/hyperlink" Target="http://www.cnb.cz/cs/platidla/" TargetMode="External"/><Relationship Id="rId38" Type="http://schemas.openxmlformats.org/officeDocument/2006/relationships/hyperlink" Target="http://www.cnb.cz/cs/dohled_financni_trh/" TargetMode="External"/><Relationship Id="rId46" Type="http://schemas.openxmlformats.org/officeDocument/2006/relationships/hyperlink" Target="https://www.cnb.cz/cs/menova_politika/mp_nastroje/" TargetMode="External"/><Relationship Id="rId59" Type="http://schemas.openxmlformats.org/officeDocument/2006/relationships/hyperlink" Target="https://www.cnb.cz/miranda2/export/sites/www.cnb.cz/cs/o_cnb/hospodareni/download/cnb_vysledky_hospodareni_2006.pdf" TargetMode="External"/><Relationship Id="rId67" Type="http://schemas.openxmlformats.org/officeDocument/2006/relationships/hyperlink" Target="https://www.cnb.cz/miranda2/export/sites/www.cnb.cz/cs/o_cnb/hospodareni/download/cnb_vysledky_hospodareni_2014.pdf" TargetMode="External"/><Relationship Id="rId20" Type="http://schemas.openxmlformats.org/officeDocument/2006/relationships/hyperlink" Target="http://www.cnb.cz/miranda2/export/sites/www.cnb.cz/cs/vyzkum/vyzkum_publikace/plneni_infl_cilu/download/vyhodnoceni_plneni_infl_cilu_CNB_1998-2007.pdf" TargetMode="External"/><Relationship Id="rId41" Type="http://schemas.openxmlformats.org/officeDocument/2006/relationships/hyperlink" Target="https://www.czso.cz/csu/czso/mira_inflace" TargetMode="External"/><Relationship Id="rId54" Type="http://schemas.openxmlformats.org/officeDocument/2006/relationships/hyperlink" Target="https://www.cnb.cz/miranda2/export/sites/www.cnb.cz/cs/o_cnb/hospodareni/download/cnb_vysledky_hospodareni_2001.pdf" TargetMode="External"/><Relationship Id="rId62" Type="http://schemas.openxmlformats.org/officeDocument/2006/relationships/hyperlink" Target="https://www.cnb.cz/miranda2/export/sites/www.cnb.cz/cs/o_cnb/hospodareni/download/cnb_vysledky_hospodareni_2009.pdf" TargetMode="External"/><Relationship Id="rId70" Type="http://schemas.openxmlformats.org/officeDocument/2006/relationships/hyperlink" Target="https://www.cnb.cz/cs/menova_politika/strategicke_dokumenty/download/maastricht_sladenost_cr.pdf" TargetMode="External"/><Relationship Id="rId75" Type="http://schemas.openxmlformats.org/officeDocument/2006/relationships/hyperlink" Target="http://www.nbs.sk/_img/Documents/_Publikacie/VyrocnaSprava/VSNBS05.pdf" TargetMode="External"/><Relationship Id="rId83" Type="http://schemas.openxmlformats.org/officeDocument/2006/relationships/hyperlink" Target="http://www.cnb.cz/miranda2/export/sites/www.cnb.cz/cs/o_cnb/hospodareni/vyrocni_zpravy/download/vyrocni_zprava_2002.pdf" TargetMode="External"/><Relationship Id="rId88" Type="http://schemas.openxmlformats.org/officeDocument/2006/relationships/hyperlink" Target="https://www.cnb.cz/miranda2/export/sites/www.cnb.cz/cs/o_cnb/hospodareni/vyrocni_zpravy/download/vyrocni_zprava_2012.pdf" TargetMode="External"/><Relationship Id="rId91" Type="http://schemas.openxmlformats.org/officeDocument/2006/relationships/hyperlink" Target="http://www.cnb.cz/cs/o_cnb/zastoupeni_cnb.html" TargetMode="Externa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zavedenieura.cz/cs/euro/eurozona/maastrichtska-kriteria" TargetMode="External"/><Relationship Id="rId23" Type="http://schemas.openxmlformats.org/officeDocument/2006/relationships/hyperlink" Target="http://www.cnb.cz/miranda2/export/sites/www.cnb.cz/cs/verejnost/pro_media/konference_projevy/vystoupeni_projevy/download/singer_20080407_brno.pdf" TargetMode="External"/><Relationship Id="rId28" Type="http://schemas.openxmlformats.org/officeDocument/2006/relationships/hyperlink" Target="http://www.nbs.sk/sk/menova-politika/menova-politika-nbs-do-roku-2009/1993-1999-nezavisla-mp-nbs" TargetMode="External"/><Relationship Id="rId36" Type="http://schemas.openxmlformats.org/officeDocument/2006/relationships/hyperlink" Target="http://www.cnb.cz/cs/verejnost/pro_media/tiskove_zpravy_cnb/2015/20150806_menove_rozhodnuti.html" TargetMode="External"/><Relationship Id="rId49" Type="http://schemas.openxmlformats.org/officeDocument/2006/relationships/hyperlink" Target="https://www.cnb.cz/cs/dohled_financni_trh/vykon_dohledu/postaveni_dohledu/uverove_instituce/pravomoci_bd.html" TargetMode="External"/><Relationship Id="rId57" Type="http://schemas.openxmlformats.org/officeDocument/2006/relationships/hyperlink" Target="https://www.cnb.cz/miranda2/export/sites/www.cnb.cz/cs/o_cnb/hospodareni/download/CNB_vysledky_hospodareni_2004.pdf" TargetMode="External"/><Relationship Id="rId10" Type="http://schemas.openxmlformats.org/officeDocument/2006/relationships/header" Target="header1.xml"/><Relationship Id="rId31" Type="http://schemas.openxmlformats.org/officeDocument/2006/relationships/hyperlink" Target="http://www.mpo.cz/dokument149564.html" TargetMode="External"/><Relationship Id="rId44" Type="http://schemas.openxmlformats.org/officeDocument/2006/relationships/hyperlink" Target="https://www.ecb.europa.eu/pub/pdf/conrep/cr201406cs.pdf?cb7b4d35bebab59fc9e570191d55b866" TargetMode="External"/><Relationship Id="rId52" Type="http://schemas.openxmlformats.org/officeDocument/2006/relationships/hyperlink" Target="https://www.cnb.cz/miranda2/export/sites/www.cnb.cz/cs/o_cnb/hospodareni/download/cnb_vysledky_hospodareni_1999.pdf" TargetMode="External"/><Relationship Id="rId60" Type="http://schemas.openxmlformats.org/officeDocument/2006/relationships/hyperlink" Target="https://www.cnb.cz/miranda2/export/sites/www.cnb.cz/cs/o_cnb/hospodareni/download/cnb_vysledky_hospodareni_2007.pdf" TargetMode="External"/><Relationship Id="rId65" Type="http://schemas.openxmlformats.org/officeDocument/2006/relationships/hyperlink" Target="https://www.cnb.cz/miranda2/export/sites/www.cnb.cz/cs/o_cnb/hospodareni/download/cnb_vysledky_hospodareni_2012.pdf" TargetMode="External"/><Relationship Id="rId73" Type="http://schemas.openxmlformats.org/officeDocument/2006/relationships/hyperlink" Target="http://www.cnb.cz/miranda2/export/sites/www.cnb.cz/cs/menova_politika/strategicke_dokumenty/download/maastricht_vyhodnoceni_2010.pdf" TargetMode="External"/><Relationship Id="rId78" Type="http://schemas.openxmlformats.org/officeDocument/2006/relationships/hyperlink" Target="http://www.nbs.sk/_img/Documents/_Publikacie/VyrocnaSprava/VSNBS08.pdf" TargetMode="External"/><Relationship Id="rId81" Type="http://schemas.openxmlformats.org/officeDocument/2006/relationships/hyperlink" Target="http://www.cnb.cz/miranda2/export/sites/www.cnb.cz/cs/o_cnb/hospodareni/vyrocni_zpravy/download/vyrocni_zprava_1998.pdf" TargetMode="External"/><Relationship Id="rId86" Type="http://schemas.openxmlformats.org/officeDocument/2006/relationships/hyperlink" Target="https://www.cnb.cz/miranda2/export/sites/www.cnb.cz/cs/o_cnb/hospodareni/vyrocni_zpravy/download/vyrocni_zprava_2010.pdf" TargetMode="External"/><Relationship Id="rId94" Type="http://schemas.openxmlformats.org/officeDocument/2006/relationships/hyperlink" Target="https://www.ecb.europa.eu/ecb/legal/pdf/cs_con_2015_28_f_sign.pdf"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http://byznys.ihned.cz/c1-64960570-cnb-nemuze-jit-hlavou-proti-zdi" TargetMode="External"/><Relationship Id="rId18" Type="http://schemas.openxmlformats.org/officeDocument/2006/relationships/hyperlink" Target="http://www.wseas.org/multimedia/journals/economics/2014/a265707-227.pdf" TargetMode="External"/><Relationship Id="rId39" Type="http://schemas.openxmlformats.org/officeDocument/2006/relationships/hyperlink" Target="http://www.cnb.cz/cs/financni_stabilita/"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F423-39AE-4639-9837-C4115DC7F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30436</TotalTime>
  <Pages>98</Pages>
  <Words>24760</Words>
  <Characters>146085</Characters>
  <Application>Microsoft Office Word</Application>
  <DocSecurity>0</DocSecurity>
  <Lines>1217</Lines>
  <Paragraphs>341</Paragraphs>
  <ScaleCrop>false</ScaleCrop>
  <HeadingPairs>
    <vt:vector size="2" baseType="variant">
      <vt:variant>
        <vt:lpstr>Název</vt:lpstr>
      </vt:variant>
      <vt:variant>
        <vt:i4>1</vt:i4>
      </vt:variant>
    </vt:vector>
  </HeadingPairs>
  <TitlesOfParts>
    <vt:vector size="1" baseType="lpstr">
      <vt:lpstr/>
    </vt:vector>
  </TitlesOfParts>
  <Company>TEAM OS</Company>
  <LinksUpToDate>false</LinksUpToDate>
  <CharactersWithSpaces>170504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Clonman</dc:creator>
  <cp:keywords/>
  <dc:description/>
  <cp:lastModifiedBy>Clonman</cp:lastModifiedBy>
  <cp:revision>46</cp:revision>
  <dcterms:created xsi:type="dcterms:W3CDTF">2015-08-04T17:00:00Z</dcterms:created>
  <dcterms:modified xsi:type="dcterms:W3CDTF">2016-03-24T16:37:00Z</dcterms:modified>
</cp:coreProperties>
</file>